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outlineLvl w:val="0"/>
        <w:rPr>
          <w:rFonts w:ascii="Times New Roman" w:hAnsi="Times New Roman" w:cs="Times New Roman"/>
          <w:b/>
          <w:color w:val="auto"/>
          <w:sz w:val="28"/>
          <w:szCs w:val="20"/>
        </w:rPr>
      </w:pPr>
      <w:bookmarkStart w:id="23" w:name="_GoBack"/>
      <w:bookmarkEnd w:id="23"/>
      <w:r>
        <w:rPr>
          <w:rFonts w:ascii="Times New Roman" w:hAnsi="Times New Roman" w:cs="Times New Roman"/>
          <w:b/>
          <w:color w:val="auto"/>
          <w:sz w:val="28"/>
          <w:szCs w:val="20"/>
        </w:rPr>
        <w:t>一、建设项目基本情况</w:t>
      </w:r>
    </w:p>
    <w:tbl>
      <w:tblPr>
        <w:tblStyle w:val="20"/>
        <w:tblW w:w="9270"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30"/>
        <w:gridCol w:w="2410"/>
        <w:gridCol w:w="2409"/>
        <w:gridCol w:w="312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330" w:type="dxa"/>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建设项目名称</w:t>
            </w:r>
          </w:p>
        </w:tc>
        <w:tc>
          <w:tcPr>
            <w:tcW w:w="7940" w:type="dxa"/>
            <w:gridSpan w:val="3"/>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洗衣机、电视机线物理拆解、分类收集改扩建项目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330" w:type="dxa"/>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建设单位</w:t>
            </w:r>
          </w:p>
        </w:tc>
        <w:tc>
          <w:tcPr>
            <w:tcW w:w="7940" w:type="dxa"/>
            <w:gridSpan w:val="3"/>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云南华再新源环保产业发展有限公司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330" w:type="dxa"/>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项目代码</w:t>
            </w:r>
          </w:p>
        </w:tc>
        <w:tc>
          <w:tcPr>
            <w:tcW w:w="7940" w:type="dxa"/>
            <w:gridSpan w:val="3"/>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2103-530113-89-02-910876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330" w:type="dxa"/>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联系人</w:t>
            </w:r>
          </w:p>
        </w:tc>
        <w:tc>
          <w:tcPr>
            <w:tcW w:w="2410" w:type="dxa"/>
            <w:tcBorders>
              <w:right w:val="single" w:color="auto" w:sz="4" w:space="0"/>
            </w:tcBorders>
            <w:vAlign w:val="center"/>
          </w:tcPr>
          <w:p>
            <w:pPr>
              <w:spacing w:line="360" w:lineRule="auto"/>
              <w:jc w:val="center"/>
              <w:rPr>
                <w:rFonts w:hint="eastAsia" w:ascii="Times New Roman" w:hAnsi="Times New Roman" w:cs="Times New Roman" w:eastAsiaTheme="minorEastAsia"/>
                <w:color w:val="auto"/>
                <w:sz w:val="24"/>
                <w:szCs w:val="24"/>
                <w:lang w:eastAsia="zh-CN"/>
              </w:rPr>
            </w:pPr>
            <w:r>
              <w:rPr>
                <w:rFonts w:ascii="Times New Roman" w:hAnsi="Times New Roman" w:cs="Times New Roman"/>
                <w:color w:val="auto"/>
                <w:sz w:val="24"/>
                <w:szCs w:val="24"/>
              </w:rPr>
              <w:t>陈</w:t>
            </w:r>
            <w:r>
              <w:rPr>
                <w:rFonts w:hint="eastAsia" w:ascii="Times New Roman" w:hAnsi="Times New Roman" w:cs="Times New Roman"/>
                <w:color w:val="auto"/>
                <w:sz w:val="24"/>
                <w:szCs w:val="24"/>
                <w:lang w:val="en-US" w:eastAsia="zh-CN"/>
              </w:rPr>
              <w:t>*</w:t>
            </w:r>
          </w:p>
        </w:tc>
        <w:tc>
          <w:tcPr>
            <w:tcW w:w="2409" w:type="dxa"/>
            <w:tcBorders>
              <w:left w:val="single" w:color="auto" w:sz="4" w:space="0"/>
              <w:right w:val="single" w:color="auto" w:sz="4" w:space="0"/>
            </w:tcBorders>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联系方式</w:t>
            </w:r>
          </w:p>
        </w:tc>
        <w:tc>
          <w:tcPr>
            <w:tcW w:w="3121" w:type="dxa"/>
            <w:tcBorders>
              <w:left w:val="single" w:color="auto" w:sz="4" w:space="0"/>
            </w:tcBorders>
            <w:vAlign w:val="center"/>
          </w:tcPr>
          <w:p>
            <w:pPr>
              <w:spacing w:line="360" w:lineRule="auto"/>
              <w:jc w:val="center"/>
              <w:rPr>
                <w:rFonts w:hint="default" w:ascii="Times New Roman" w:hAnsi="Times New Roman" w:cs="Times New Roman" w:eastAsiaTheme="minorEastAsia"/>
                <w:color w:val="auto"/>
                <w:sz w:val="24"/>
                <w:szCs w:val="24"/>
                <w:lang w:val="en-US" w:eastAsia="zh-CN"/>
              </w:rPr>
            </w:pPr>
            <w:r>
              <w:rPr>
                <w:rFonts w:ascii="Times New Roman" w:hAnsi="Times New Roman" w:cs="Times New Roman"/>
                <w:color w:val="auto"/>
                <w:sz w:val="24"/>
                <w:szCs w:val="24"/>
              </w:rPr>
              <w:t>138</w:t>
            </w:r>
            <w:r>
              <w:rPr>
                <w:rFonts w:hint="eastAsia" w:ascii="Times New Roman" w:hAnsi="Times New Roman" w:cs="Times New Roman"/>
                <w:color w:val="auto"/>
                <w:sz w:val="24"/>
                <w:szCs w:val="24"/>
                <w:lang w:val="en-US" w:eastAsia="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330" w:type="dxa"/>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建设地点</w:t>
            </w:r>
          </w:p>
        </w:tc>
        <w:tc>
          <w:tcPr>
            <w:tcW w:w="7940" w:type="dxa"/>
            <w:gridSpan w:val="3"/>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昆明市东川区再就业特区天生桥特色产业园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330" w:type="dxa"/>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地理坐标</w:t>
            </w:r>
          </w:p>
        </w:tc>
        <w:tc>
          <w:tcPr>
            <w:tcW w:w="7940" w:type="dxa"/>
            <w:gridSpan w:val="3"/>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东经103°15'11.934"，北纬26°38'23.384"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330" w:type="dxa"/>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国民经济行业类别</w:t>
            </w:r>
          </w:p>
        </w:tc>
        <w:tc>
          <w:tcPr>
            <w:tcW w:w="2410" w:type="dxa"/>
            <w:tcBorders>
              <w:right w:val="single" w:color="auto" w:sz="4" w:space="0"/>
            </w:tcBorders>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4220 非金属废料和碎屑加工处理</w:t>
            </w:r>
          </w:p>
        </w:tc>
        <w:tc>
          <w:tcPr>
            <w:tcW w:w="2409" w:type="dxa"/>
            <w:tcBorders>
              <w:left w:val="single" w:color="auto" w:sz="4" w:space="0"/>
              <w:right w:val="single" w:color="auto" w:sz="4" w:space="0"/>
            </w:tcBorders>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建设项目行业类别</w:t>
            </w:r>
          </w:p>
        </w:tc>
        <w:tc>
          <w:tcPr>
            <w:tcW w:w="3121" w:type="dxa"/>
            <w:tcBorders>
              <w:left w:val="single" w:color="auto" w:sz="4" w:space="0"/>
            </w:tcBorders>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废弃电器电子产品加工处理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330" w:type="dxa"/>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建设性质</w:t>
            </w:r>
          </w:p>
        </w:tc>
        <w:tc>
          <w:tcPr>
            <w:tcW w:w="2410" w:type="dxa"/>
            <w:tcBorders>
              <w:right w:val="single" w:color="auto" w:sz="4" w:space="0"/>
            </w:tcBorders>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改扩建</w:t>
            </w:r>
          </w:p>
        </w:tc>
        <w:tc>
          <w:tcPr>
            <w:tcW w:w="2409" w:type="dxa"/>
            <w:tcBorders>
              <w:left w:val="single" w:color="auto" w:sz="4" w:space="0"/>
              <w:right w:val="single" w:color="auto" w:sz="4" w:space="0"/>
            </w:tcBorders>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建设项目申报情形</w:t>
            </w:r>
          </w:p>
        </w:tc>
        <w:tc>
          <w:tcPr>
            <w:tcW w:w="3121" w:type="dxa"/>
            <w:tcBorders>
              <w:left w:val="single" w:color="auto" w:sz="4" w:space="0"/>
            </w:tcBorders>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首次申报项目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330" w:type="dxa"/>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项目审批（核准/备案）部门（选填）</w:t>
            </w:r>
          </w:p>
        </w:tc>
        <w:tc>
          <w:tcPr>
            <w:tcW w:w="2410" w:type="dxa"/>
            <w:tcBorders>
              <w:right w:val="single" w:color="auto" w:sz="4" w:space="0"/>
            </w:tcBorders>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昆明市东川区发展和改革局</w:t>
            </w:r>
          </w:p>
        </w:tc>
        <w:tc>
          <w:tcPr>
            <w:tcW w:w="2409" w:type="dxa"/>
            <w:tcBorders>
              <w:left w:val="single" w:color="auto" w:sz="4" w:space="0"/>
              <w:right w:val="single" w:color="auto" w:sz="4" w:space="0"/>
            </w:tcBorders>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项目审批（核准/备案）文号（选填）</w:t>
            </w:r>
          </w:p>
        </w:tc>
        <w:tc>
          <w:tcPr>
            <w:tcW w:w="3121" w:type="dxa"/>
            <w:tcBorders>
              <w:left w:val="single" w:color="auto" w:sz="4" w:space="0"/>
            </w:tcBorders>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投资项目备案证（项目代码：2103-530113-89-02-910876）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330" w:type="dxa"/>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总投资（万元）</w:t>
            </w:r>
          </w:p>
        </w:tc>
        <w:tc>
          <w:tcPr>
            <w:tcW w:w="2410" w:type="dxa"/>
            <w:tcBorders>
              <w:right w:val="single" w:color="auto" w:sz="4" w:space="0"/>
            </w:tcBorders>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1050</w:t>
            </w:r>
          </w:p>
        </w:tc>
        <w:tc>
          <w:tcPr>
            <w:tcW w:w="2409" w:type="dxa"/>
            <w:tcBorders>
              <w:left w:val="single" w:color="auto" w:sz="4" w:space="0"/>
              <w:right w:val="single" w:color="auto" w:sz="4" w:space="0"/>
            </w:tcBorders>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环保投资（万元）</w:t>
            </w:r>
          </w:p>
        </w:tc>
        <w:tc>
          <w:tcPr>
            <w:tcW w:w="3121" w:type="dxa"/>
            <w:tcBorders>
              <w:left w:val="single" w:color="auto" w:sz="4" w:space="0"/>
            </w:tcBorders>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47.11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330" w:type="dxa"/>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环保投资占比</w:t>
            </w:r>
          </w:p>
        </w:tc>
        <w:tc>
          <w:tcPr>
            <w:tcW w:w="2410" w:type="dxa"/>
            <w:tcBorders>
              <w:right w:val="single" w:color="auto" w:sz="4" w:space="0"/>
            </w:tcBorders>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4.49%</w:t>
            </w:r>
          </w:p>
        </w:tc>
        <w:tc>
          <w:tcPr>
            <w:tcW w:w="2409" w:type="dxa"/>
            <w:tcBorders>
              <w:left w:val="single" w:color="auto" w:sz="4" w:space="0"/>
              <w:right w:val="single" w:color="auto" w:sz="4" w:space="0"/>
            </w:tcBorders>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施工工期</w:t>
            </w:r>
          </w:p>
        </w:tc>
        <w:tc>
          <w:tcPr>
            <w:tcW w:w="3121" w:type="dxa"/>
            <w:tcBorders>
              <w:left w:val="single" w:color="auto" w:sz="4" w:space="0"/>
            </w:tcBorders>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5个月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330" w:type="dxa"/>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是否开工建设</w:t>
            </w:r>
          </w:p>
        </w:tc>
        <w:tc>
          <w:tcPr>
            <w:tcW w:w="2410" w:type="dxa"/>
            <w:tcBorders>
              <w:right w:val="single" w:color="auto" w:sz="4" w:space="0"/>
            </w:tcBorders>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否</w:t>
            </w:r>
          </w:p>
        </w:tc>
        <w:tc>
          <w:tcPr>
            <w:tcW w:w="2409" w:type="dxa"/>
            <w:tcBorders>
              <w:left w:val="single" w:color="auto" w:sz="4" w:space="0"/>
              <w:right w:val="single" w:color="auto" w:sz="4" w:space="0"/>
            </w:tcBorders>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用地（用海）面积</w:t>
            </w:r>
          </w:p>
        </w:tc>
        <w:tc>
          <w:tcPr>
            <w:tcW w:w="3121" w:type="dxa"/>
            <w:tcBorders>
              <w:left w:val="single" w:color="auto" w:sz="4" w:space="0"/>
            </w:tcBorders>
            <w:vAlign w:val="center"/>
          </w:tcPr>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在现有厂房内改造，新增面积为0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330" w:type="dxa"/>
            <w:tcBorders>
              <w:right w:val="single" w:color="auto" w:sz="4" w:space="0"/>
            </w:tcBorders>
            <w:vAlign w:val="center"/>
          </w:tcPr>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专项评价设置情况</w:t>
            </w:r>
          </w:p>
        </w:tc>
        <w:tc>
          <w:tcPr>
            <w:tcW w:w="7940" w:type="dxa"/>
            <w:gridSpan w:val="3"/>
            <w:vAlign w:val="center"/>
          </w:tcPr>
          <w:p>
            <w:pPr>
              <w:spacing w:beforeLines="50"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 xml:space="preserve">根据《建设项目环境影响报告表编制技术指南》（污染影响类）（试行）“表1 专项评价设置原则表”的要求，本项目专项评价设置情况具体如下表所示。 </w:t>
            </w:r>
          </w:p>
          <w:p>
            <w:pPr>
              <w:jc w:val="center"/>
              <w:rPr>
                <w:rFonts w:ascii="Times New Roman" w:hAnsi="Times New Roman" w:cs="Times New Roman"/>
                <w:b/>
                <w:color w:val="auto"/>
              </w:rPr>
            </w:pPr>
            <w:r>
              <w:rPr>
                <w:rFonts w:ascii="Times New Roman" w:hAnsi="Times New Roman" w:cs="Times New Roman"/>
                <w:b/>
                <w:color w:val="auto"/>
              </w:rPr>
              <w:t>表1-1 专项评价设置情况分析表</w:t>
            </w:r>
          </w:p>
          <w:tbl>
            <w:tblPr>
              <w:tblStyle w:val="20"/>
              <w:tblW w:w="771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40"/>
              <w:gridCol w:w="3023"/>
              <w:gridCol w:w="3302"/>
              <w:gridCol w:w="64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40" w:type="dxa"/>
                  <w:vAlign w:val="center"/>
                </w:tcPr>
                <w:p>
                  <w:pPr>
                    <w:pStyle w:val="30"/>
                    <w:spacing w:line="360" w:lineRule="exact"/>
                    <w:rPr>
                      <w:rFonts w:eastAsiaTheme="minorEastAsia"/>
                      <w:color w:val="auto"/>
                      <w:szCs w:val="21"/>
                    </w:rPr>
                  </w:pPr>
                  <w:r>
                    <w:rPr>
                      <w:rFonts w:eastAsiaTheme="minorEastAsia"/>
                      <w:color w:val="auto"/>
                      <w:szCs w:val="21"/>
                    </w:rPr>
                    <w:t>环境影响因素</w:t>
                  </w:r>
                </w:p>
              </w:tc>
              <w:tc>
                <w:tcPr>
                  <w:tcW w:w="3023" w:type="dxa"/>
                  <w:vAlign w:val="center"/>
                </w:tcPr>
                <w:p>
                  <w:pPr>
                    <w:pStyle w:val="30"/>
                    <w:spacing w:line="360" w:lineRule="exact"/>
                    <w:rPr>
                      <w:rFonts w:eastAsiaTheme="minorEastAsia"/>
                      <w:color w:val="auto"/>
                      <w:szCs w:val="21"/>
                    </w:rPr>
                  </w:pPr>
                  <w:r>
                    <w:rPr>
                      <w:rFonts w:eastAsiaTheme="minorEastAsia"/>
                      <w:color w:val="auto"/>
                      <w:szCs w:val="21"/>
                    </w:rPr>
                    <w:t>专项设置原则</w:t>
                  </w:r>
                </w:p>
              </w:tc>
              <w:tc>
                <w:tcPr>
                  <w:tcW w:w="3302" w:type="dxa"/>
                  <w:vAlign w:val="center"/>
                </w:tcPr>
                <w:p>
                  <w:pPr>
                    <w:pStyle w:val="30"/>
                    <w:spacing w:line="360" w:lineRule="exact"/>
                    <w:rPr>
                      <w:rFonts w:eastAsiaTheme="minorEastAsia"/>
                      <w:color w:val="auto"/>
                      <w:szCs w:val="21"/>
                    </w:rPr>
                  </w:pPr>
                  <w:r>
                    <w:rPr>
                      <w:rFonts w:eastAsiaTheme="minorEastAsia"/>
                      <w:color w:val="auto"/>
                      <w:szCs w:val="21"/>
                    </w:rPr>
                    <w:t>本项目情况</w:t>
                  </w:r>
                </w:p>
              </w:tc>
              <w:tc>
                <w:tcPr>
                  <w:tcW w:w="649" w:type="dxa"/>
                  <w:vAlign w:val="center"/>
                </w:tcPr>
                <w:p>
                  <w:pPr>
                    <w:pStyle w:val="30"/>
                    <w:spacing w:line="360" w:lineRule="exact"/>
                    <w:rPr>
                      <w:rFonts w:eastAsiaTheme="minorEastAsia"/>
                      <w:color w:val="auto"/>
                      <w:szCs w:val="21"/>
                    </w:rPr>
                  </w:pPr>
                  <w:r>
                    <w:rPr>
                      <w:rFonts w:eastAsiaTheme="minorEastAsia"/>
                      <w:color w:val="auto"/>
                      <w:szCs w:val="21"/>
                    </w:rPr>
                    <w:t>是否设置专项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40" w:type="dxa"/>
                  <w:vAlign w:val="center"/>
                </w:tcPr>
                <w:p>
                  <w:pPr>
                    <w:pStyle w:val="30"/>
                    <w:spacing w:line="360" w:lineRule="exact"/>
                    <w:rPr>
                      <w:rFonts w:eastAsiaTheme="minorEastAsia"/>
                      <w:color w:val="auto"/>
                      <w:szCs w:val="21"/>
                    </w:rPr>
                  </w:pPr>
                  <w:r>
                    <w:rPr>
                      <w:rFonts w:eastAsiaTheme="minorEastAsia"/>
                      <w:color w:val="auto"/>
                      <w:szCs w:val="21"/>
                    </w:rPr>
                    <w:t>大气</w:t>
                  </w:r>
                </w:p>
              </w:tc>
              <w:tc>
                <w:tcPr>
                  <w:tcW w:w="3023" w:type="dxa"/>
                  <w:vAlign w:val="center"/>
                </w:tcPr>
                <w:p>
                  <w:pPr>
                    <w:pStyle w:val="30"/>
                    <w:spacing w:line="360" w:lineRule="exact"/>
                    <w:ind w:firstLine="210" w:firstLineChars="100"/>
                    <w:jc w:val="both"/>
                    <w:rPr>
                      <w:color w:val="auto"/>
                      <w:szCs w:val="21"/>
                    </w:rPr>
                  </w:pPr>
                  <w:r>
                    <w:rPr>
                      <w:color w:val="auto"/>
                      <w:szCs w:val="21"/>
                    </w:rPr>
                    <w:t xml:space="preserve"> 排放废气含有《有毒有害大气污染物名录》的污染物（不包括无排放标准的污染物）、二噁英、苯并[a]芘、氰化物、氯气且厂界外500 米范围内有环境空气保护目标的建设项目。</w:t>
                  </w:r>
                </w:p>
              </w:tc>
              <w:tc>
                <w:tcPr>
                  <w:tcW w:w="3302" w:type="dxa"/>
                  <w:vAlign w:val="center"/>
                </w:tcPr>
                <w:p>
                  <w:pPr>
                    <w:pStyle w:val="30"/>
                    <w:spacing w:line="360" w:lineRule="exact"/>
                    <w:ind w:firstLine="210" w:firstLineChars="100"/>
                    <w:jc w:val="both"/>
                    <w:rPr>
                      <w:color w:val="auto"/>
                      <w:szCs w:val="21"/>
                    </w:rPr>
                  </w:pPr>
                  <w:r>
                    <w:rPr>
                      <w:color w:val="auto"/>
                      <w:szCs w:val="21"/>
                    </w:rPr>
                    <w:t>本改扩建项目排放的大气污染物中废旧电视机（液晶电视）处理线废气排放口（DA004）排放污染物中含有汞及其化合物，废旧电视机（CRT）含铅粉尘排放口（DA006）排放污染物中含有铅及其化合物；上述两类污染物属于《有毒有害大气污染物名录》有排放标准的污染物，应因此环评设置大气专项评价。</w:t>
                  </w:r>
                </w:p>
              </w:tc>
              <w:tc>
                <w:tcPr>
                  <w:tcW w:w="649" w:type="dxa"/>
                  <w:vAlign w:val="center"/>
                </w:tcPr>
                <w:p>
                  <w:pPr>
                    <w:pStyle w:val="30"/>
                    <w:spacing w:line="360" w:lineRule="exact"/>
                    <w:rPr>
                      <w:rFonts w:eastAsiaTheme="minorEastAsia"/>
                      <w:color w:val="auto"/>
                      <w:szCs w:val="21"/>
                      <w:lang w:val="en-US"/>
                    </w:rPr>
                  </w:pPr>
                  <w:r>
                    <w:rPr>
                      <w:rFonts w:eastAsiaTheme="minorEastAsia"/>
                      <w:color w:val="auto"/>
                      <w:szCs w:val="21"/>
                      <w:lang w:val="en-US"/>
                    </w:rPr>
                    <w:t>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40" w:type="dxa"/>
                  <w:vAlign w:val="center"/>
                </w:tcPr>
                <w:p>
                  <w:pPr>
                    <w:pStyle w:val="30"/>
                    <w:spacing w:line="360" w:lineRule="exact"/>
                    <w:rPr>
                      <w:rFonts w:eastAsiaTheme="minorEastAsia"/>
                      <w:color w:val="auto"/>
                      <w:szCs w:val="21"/>
                    </w:rPr>
                  </w:pPr>
                  <w:r>
                    <w:rPr>
                      <w:rFonts w:eastAsiaTheme="minorEastAsia"/>
                      <w:color w:val="auto"/>
                      <w:szCs w:val="21"/>
                    </w:rPr>
                    <w:t>地表水</w:t>
                  </w:r>
                </w:p>
              </w:tc>
              <w:tc>
                <w:tcPr>
                  <w:tcW w:w="3023" w:type="dxa"/>
                  <w:vAlign w:val="center"/>
                </w:tcPr>
                <w:p>
                  <w:pPr>
                    <w:pStyle w:val="30"/>
                    <w:spacing w:line="360" w:lineRule="exact"/>
                    <w:ind w:firstLine="210" w:firstLineChars="100"/>
                    <w:jc w:val="both"/>
                    <w:rPr>
                      <w:color w:val="auto"/>
                      <w:szCs w:val="21"/>
                    </w:rPr>
                  </w:pPr>
                  <w:r>
                    <w:rPr>
                      <w:color w:val="auto"/>
                      <w:szCs w:val="21"/>
                    </w:rPr>
                    <w:t>新增工业废水直排建设项目（槽罐车外送污水处理厂的除外）；新增废水直排的污水集中处理厂。</w:t>
                  </w:r>
                </w:p>
              </w:tc>
              <w:tc>
                <w:tcPr>
                  <w:tcW w:w="3302" w:type="dxa"/>
                  <w:vAlign w:val="center"/>
                </w:tcPr>
                <w:p>
                  <w:pPr>
                    <w:pStyle w:val="30"/>
                    <w:spacing w:line="360" w:lineRule="exact"/>
                    <w:ind w:firstLine="210" w:firstLineChars="100"/>
                    <w:jc w:val="both"/>
                    <w:rPr>
                      <w:color w:val="auto"/>
                      <w:szCs w:val="21"/>
                    </w:rPr>
                  </w:pPr>
                  <w:r>
                    <w:rPr>
                      <w:color w:val="auto"/>
                      <w:szCs w:val="21"/>
                    </w:rPr>
                    <w:t>本改扩建项目产生的废水类型包括盐水、生活污水和初期雨水，均各经配套的设施处理后回用于绿化，不外排；因此不设置地表水专项评价。</w:t>
                  </w:r>
                </w:p>
              </w:tc>
              <w:tc>
                <w:tcPr>
                  <w:tcW w:w="649" w:type="dxa"/>
                  <w:vAlign w:val="center"/>
                </w:tcPr>
                <w:p>
                  <w:pPr>
                    <w:pStyle w:val="30"/>
                    <w:spacing w:line="360" w:lineRule="exact"/>
                    <w:rPr>
                      <w:rFonts w:eastAsiaTheme="minorEastAsia"/>
                      <w:color w:val="auto"/>
                      <w:szCs w:val="21"/>
                    </w:rPr>
                  </w:pPr>
                  <w:r>
                    <w:rPr>
                      <w:rFonts w:eastAsiaTheme="minorEastAsia"/>
                      <w:color w:val="auto"/>
                      <w:szCs w:val="21"/>
                      <w:lang w:val="en-US"/>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40" w:type="dxa"/>
                  <w:vAlign w:val="center"/>
                </w:tcPr>
                <w:p>
                  <w:pPr>
                    <w:pStyle w:val="30"/>
                    <w:spacing w:line="360" w:lineRule="exact"/>
                    <w:rPr>
                      <w:rFonts w:eastAsiaTheme="minorEastAsia"/>
                      <w:color w:val="auto"/>
                      <w:szCs w:val="21"/>
                    </w:rPr>
                  </w:pPr>
                  <w:r>
                    <w:rPr>
                      <w:rFonts w:eastAsiaTheme="minorEastAsia"/>
                      <w:color w:val="auto"/>
                      <w:szCs w:val="21"/>
                    </w:rPr>
                    <w:t>环境风险</w:t>
                  </w:r>
                </w:p>
              </w:tc>
              <w:tc>
                <w:tcPr>
                  <w:tcW w:w="3023" w:type="dxa"/>
                  <w:vAlign w:val="center"/>
                </w:tcPr>
                <w:p>
                  <w:pPr>
                    <w:pStyle w:val="30"/>
                    <w:spacing w:line="360" w:lineRule="exact"/>
                    <w:ind w:firstLine="210" w:firstLineChars="100"/>
                    <w:jc w:val="both"/>
                    <w:rPr>
                      <w:color w:val="auto"/>
                      <w:szCs w:val="21"/>
                    </w:rPr>
                  </w:pPr>
                  <w:r>
                    <w:rPr>
                      <w:color w:val="auto"/>
                      <w:szCs w:val="21"/>
                    </w:rPr>
                    <w:t>有毒有害和易燃易爆危险物质存储量超过临界量的建设项目。</w:t>
                  </w:r>
                </w:p>
              </w:tc>
              <w:tc>
                <w:tcPr>
                  <w:tcW w:w="3302" w:type="dxa"/>
                  <w:vAlign w:val="center"/>
                </w:tcPr>
                <w:p>
                  <w:pPr>
                    <w:pStyle w:val="30"/>
                    <w:spacing w:line="360" w:lineRule="exact"/>
                    <w:ind w:firstLine="210" w:firstLineChars="100"/>
                    <w:jc w:val="both"/>
                    <w:rPr>
                      <w:color w:val="auto"/>
                      <w:szCs w:val="21"/>
                    </w:rPr>
                  </w:pPr>
                  <w:r>
                    <w:rPr>
                      <w:color w:val="auto"/>
                      <w:szCs w:val="21"/>
                    </w:rPr>
                    <w:t>本改扩建项目涉及的危险物质包括：一体化污水处理设施使用的消毒剂次氯酸钠0.05t/a（临界量5t），项目产生的废矿物油27.41t/a（临界量2500t），以及没有临界量的废电路板、含汞灯管、背光模组、废弃的阴极射线管（锥玻璃）、荧光粉、废活性炭（吸附有机废气）、废活性炭（吸附汞及其化合物）、收集含铅粉尘等无临界量的危险废物。存储物质未超过临界量，因此不需设置环境风险评价等级。</w:t>
                  </w:r>
                </w:p>
              </w:tc>
              <w:tc>
                <w:tcPr>
                  <w:tcW w:w="649" w:type="dxa"/>
                  <w:vAlign w:val="center"/>
                </w:tcPr>
                <w:p>
                  <w:pPr>
                    <w:pStyle w:val="30"/>
                    <w:spacing w:line="360" w:lineRule="exact"/>
                    <w:rPr>
                      <w:rFonts w:eastAsiaTheme="minorEastAsia"/>
                      <w:color w:val="auto"/>
                      <w:szCs w:val="21"/>
                    </w:rPr>
                  </w:pPr>
                  <w:r>
                    <w:rPr>
                      <w:rFonts w:eastAsiaTheme="minorEastAsia"/>
                      <w:color w:val="auto"/>
                      <w:szCs w:val="21"/>
                      <w:lang w:val="en-US"/>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40" w:type="dxa"/>
                  <w:vAlign w:val="center"/>
                </w:tcPr>
                <w:p>
                  <w:pPr>
                    <w:pStyle w:val="30"/>
                    <w:spacing w:line="360" w:lineRule="exact"/>
                    <w:rPr>
                      <w:rFonts w:eastAsiaTheme="minorEastAsia"/>
                      <w:color w:val="auto"/>
                      <w:szCs w:val="21"/>
                    </w:rPr>
                  </w:pPr>
                  <w:r>
                    <w:rPr>
                      <w:rFonts w:eastAsiaTheme="minorEastAsia"/>
                      <w:color w:val="auto"/>
                      <w:szCs w:val="21"/>
                    </w:rPr>
                    <w:t>生态</w:t>
                  </w:r>
                </w:p>
              </w:tc>
              <w:tc>
                <w:tcPr>
                  <w:tcW w:w="3023" w:type="dxa"/>
                  <w:vAlign w:val="center"/>
                </w:tcPr>
                <w:p>
                  <w:pPr>
                    <w:pStyle w:val="30"/>
                    <w:spacing w:line="360" w:lineRule="exact"/>
                    <w:ind w:firstLine="210" w:firstLineChars="100"/>
                    <w:jc w:val="both"/>
                    <w:rPr>
                      <w:color w:val="auto"/>
                      <w:szCs w:val="21"/>
                    </w:rPr>
                  </w:pPr>
                  <w:r>
                    <w:rPr>
                      <w:color w:val="auto"/>
                      <w:szCs w:val="21"/>
                    </w:rPr>
                    <w:t>取水口下游500 米范围内有重要水生生物的自然产卵场、索饵场、越冬场和洄游通道的新增河道取水的污染类建设项目。</w:t>
                  </w:r>
                </w:p>
              </w:tc>
              <w:tc>
                <w:tcPr>
                  <w:tcW w:w="3302" w:type="dxa"/>
                  <w:vAlign w:val="center"/>
                </w:tcPr>
                <w:p>
                  <w:pPr>
                    <w:pStyle w:val="30"/>
                    <w:spacing w:line="360" w:lineRule="exact"/>
                    <w:ind w:firstLine="210" w:firstLineChars="100"/>
                    <w:jc w:val="both"/>
                    <w:rPr>
                      <w:color w:val="auto"/>
                      <w:szCs w:val="21"/>
                    </w:rPr>
                  </w:pPr>
                  <w:r>
                    <w:rPr>
                      <w:color w:val="auto"/>
                      <w:szCs w:val="21"/>
                    </w:rPr>
                    <w:t>本改扩建项目用水使用自来水，不涉及河道取水，因此不设置生态专项评价。</w:t>
                  </w:r>
                </w:p>
              </w:tc>
              <w:tc>
                <w:tcPr>
                  <w:tcW w:w="649" w:type="dxa"/>
                  <w:vAlign w:val="center"/>
                </w:tcPr>
                <w:p>
                  <w:pPr>
                    <w:pStyle w:val="30"/>
                    <w:spacing w:line="360" w:lineRule="exact"/>
                    <w:rPr>
                      <w:rFonts w:eastAsiaTheme="minorEastAsia"/>
                      <w:color w:val="auto"/>
                      <w:szCs w:val="21"/>
                      <w:lang w:val="en-US"/>
                    </w:rPr>
                  </w:pPr>
                  <w:r>
                    <w:rPr>
                      <w:rFonts w:eastAsiaTheme="minorEastAsia"/>
                      <w:color w:val="auto"/>
                      <w:szCs w:val="21"/>
                      <w:lang w:val="en-US"/>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40" w:type="dxa"/>
                  <w:vAlign w:val="center"/>
                </w:tcPr>
                <w:p>
                  <w:pPr>
                    <w:pStyle w:val="30"/>
                    <w:spacing w:line="360" w:lineRule="exact"/>
                    <w:rPr>
                      <w:rFonts w:eastAsiaTheme="minorEastAsia"/>
                      <w:color w:val="auto"/>
                      <w:szCs w:val="21"/>
                    </w:rPr>
                  </w:pPr>
                  <w:r>
                    <w:rPr>
                      <w:rFonts w:eastAsiaTheme="minorEastAsia"/>
                      <w:color w:val="auto"/>
                      <w:szCs w:val="21"/>
                    </w:rPr>
                    <w:t>海洋</w:t>
                  </w:r>
                </w:p>
              </w:tc>
              <w:tc>
                <w:tcPr>
                  <w:tcW w:w="3023" w:type="dxa"/>
                  <w:vAlign w:val="center"/>
                </w:tcPr>
                <w:p>
                  <w:pPr>
                    <w:pStyle w:val="30"/>
                    <w:spacing w:line="360" w:lineRule="exact"/>
                    <w:ind w:firstLine="210" w:firstLineChars="100"/>
                    <w:jc w:val="both"/>
                    <w:rPr>
                      <w:color w:val="auto"/>
                      <w:szCs w:val="21"/>
                    </w:rPr>
                  </w:pPr>
                  <w:r>
                    <w:rPr>
                      <w:color w:val="auto"/>
                      <w:szCs w:val="21"/>
                    </w:rPr>
                    <w:t>直接向海排放污染物的海洋工程建设项目。</w:t>
                  </w:r>
                </w:p>
              </w:tc>
              <w:tc>
                <w:tcPr>
                  <w:tcW w:w="3302" w:type="dxa"/>
                  <w:vAlign w:val="center"/>
                </w:tcPr>
                <w:p>
                  <w:pPr>
                    <w:pStyle w:val="30"/>
                    <w:spacing w:line="360" w:lineRule="exact"/>
                    <w:ind w:firstLine="210" w:firstLineChars="100"/>
                    <w:jc w:val="both"/>
                    <w:rPr>
                      <w:color w:val="auto"/>
                      <w:szCs w:val="21"/>
                    </w:rPr>
                  </w:pPr>
                  <w:r>
                    <w:rPr>
                      <w:color w:val="auto"/>
                      <w:szCs w:val="21"/>
                    </w:rPr>
                    <w:t>本改扩建项目不涉及海洋，因此不设置海洋专项评价。</w:t>
                  </w:r>
                </w:p>
              </w:tc>
              <w:tc>
                <w:tcPr>
                  <w:tcW w:w="649" w:type="dxa"/>
                  <w:vAlign w:val="center"/>
                </w:tcPr>
                <w:p>
                  <w:pPr>
                    <w:pStyle w:val="30"/>
                    <w:spacing w:line="360" w:lineRule="exact"/>
                    <w:rPr>
                      <w:rFonts w:eastAsiaTheme="minorEastAsia"/>
                      <w:color w:val="auto"/>
                      <w:szCs w:val="21"/>
                      <w:lang w:val="en-US"/>
                    </w:rPr>
                  </w:pPr>
                  <w:r>
                    <w:rPr>
                      <w:rFonts w:eastAsiaTheme="minorEastAsia"/>
                      <w:color w:val="auto"/>
                      <w:szCs w:val="21"/>
                      <w:lang w:val="en-US"/>
                    </w:rPr>
                    <w:t>否</w:t>
                  </w:r>
                </w:p>
              </w:tc>
            </w:tr>
          </w:tbl>
          <w:p>
            <w:pPr>
              <w:spacing w:beforeLines="50"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由上表可知，本项目不设置专项评价。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270" w:type="dxa"/>
            <w:gridSpan w:val="4"/>
            <w:vAlign w:val="center"/>
          </w:tcPr>
          <w:p>
            <w:pPr>
              <w:spacing w:line="360" w:lineRule="auto"/>
              <w:ind w:firstLine="360" w:firstLineChars="150"/>
              <w:rPr>
                <w:rFonts w:ascii="Times New Roman" w:hAnsi="Times New Roman" w:eastAsia="微软雅黑" w:cs="Times New Roman"/>
                <w:b/>
                <w:color w:val="auto"/>
                <w:sz w:val="24"/>
                <w:szCs w:val="24"/>
              </w:rPr>
            </w:pPr>
            <w:r>
              <w:rPr>
                <w:rFonts w:ascii="Times New Roman" w:hAnsi="Times New Roman" w:eastAsia="微软雅黑" w:cs="Times New Roman"/>
                <w:b/>
                <w:color w:val="auto"/>
                <w:sz w:val="24"/>
                <w:szCs w:val="24"/>
              </w:rPr>
              <w:t>规划情况</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项目位于云南省东川再就业特区天生桥特色产业园，该区域已规划为工业园区，该园区名称为云南省东川再就业特色产业园，园区代码为S539017，该园区批准时间为2004年4月，审批机关为云南省工信厅，主导产业为：金属加工、再生资源利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270" w:type="dxa"/>
            <w:gridSpan w:val="4"/>
            <w:vAlign w:val="center"/>
          </w:tcPr>
          <w:p>
            <w:pPr>
              <w:spacing w:line="360" w:lineRule="auto"/>
              <w:ind w:firstLine="360" w:firstLineChars="150"/>
              <w:rPr>
                <w:rFonts w:ascii="Times New Roman" w:hAnsi="Times New Roman" w:eastAsia="微软雅黑" w:cs="Times New Roman"/>
                <w:b/>
                <w:color w:val="auto"/>
                <w:sz w:val="24"/>
                <w:szCs w:val="24"/>
              </w:rPr>
            </w:pPr>
            <w:r>
              <w:rPr>
                <w:rFonts w:ascii="Times New Roman" w:hAnsi="Times New Roman" w:eastAsia="微软雅黑" w:cs="Times New Roman"/>
                <w:b/>
                <w:color w:val="auto"/>
                <w:sz w:val="24"/>
                <w:szCs w:val="24"/>
              </w:rPr>
              <w:t>规划环境影响评价情况</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云南省东川再就业特区天生桥产业园总体规划（2010-2030）》，云南省东川再就业特区天生桥特色产业园的产业功能定位为以报废汽车拆解回收利用类项目、报废家电回收利用类项目、废旧轮胎回收利用项目等再生资源回收利用为主的静脉产业、轻工产业、材料加工、有色金属深加工等四大基础性产业为主的工业园区。</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云南省东川再就业特区管理委员会组织编制了《云南省东川再就业特区天生桥特色产业园总体规划环境影响报告书》；2012年3月24日，由云南省环境保护局（现云南省生态环境厅）和云南省工业和信息化委员会召集了有关部门和专家组对该规划环评进行审查，2012年9月24日云南省环境保护局（现云南省生态环境厅）下发了《关于云南省东川再就业特区天生桥特色产业园总体规划环境影响报告书审查意见的函》（云环函【2012】340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270" w:type="dxa"/>
            <w:gridSpan w:val="4"/>
            <w:vAlign w:val="center"/>
          </w:tcPr>
          <w:p>
            <w:pPr>
              <w:spacing w:line="360" w:lineRule="auto"/>
              <w:ind w:firstLine="360" w:firstLineChars="150"/>
              <w:rPr>
                <w:rFonts w:ascii="Times New Roman" w:hAnsi="Times New Roman" w:eastAsia="微软雅黑" w:cs="Times New Roman"/>
                <w:b/>
                <w:color w:val="auto"/>
                <w:sz w:val="24"/>
                <w:szCs w:val="24"/>
              </w:rPr>
            </w:pPr>
            <w:r>
              <w:rPr>
                <w:rFonts w:ascii="Times New Roman" w:hAnsi="Times New Roman" w:eastAsia="微软雅黑" w:cs="Times New Roman"/>
                <w:b/>
                <w:color w:val="auto"/>
                <w:sz w:val="24"/>
                <w:szCs w:val="24"/>
              </w:rPr>
              <w:t>规划及规划环境影响评价符合性分析</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根据《建设项目环境影响报告表编制技术指南》（污染影响类）（试行）的要求，从以下几个方面进行规划及规划环境影响评价符合性分析。具体如下。</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（1）相关规划符合性分析</w:t>
            </w:r>
          </w:p>
          <w:p>
            <w:pPr>
              <w:spacing w:line="360" w:lineRule="auto"/>
              <w:ind w:firstLine="482" w:firstLineChars="200"/>
              <w:rPr>
                <w:rFonts w:ascii="Times New Roman" w:hAnsi="Times New Roman" w:eastAsia="宋体" w:cs="Times New Roman"/>
                <w:b/>
                <w:color w:val="auto"/>
                <w:sz w:val="24"/>
                <w:szCs w:val="24"/>
              </w:rPr>
            </w:pPr>
            <w:r>
              <w:rPr>
                <w:rFonts w:ascii="Times New Roman" w:hAnsi="宋体" w:eastAsia="宋体" w:cs="Times New Roman"/>
                <w:b/>
                <w:color w:val="auto"/>
                <w:sz w:val="24"/>
                <w:szCs w:val="24"/>
              </w:rPr>
              <w:t>①</w:t>
            </w:r>
            <w:r>
              <w:rPr>
                <w:rFonts w:ascii="Times New Roman" w:hAnsi="Times New Roman" w:eastAsia="宋体" w:cs="Times New Roman"/>
                <w:b/>
                <w:color w:val="auto"/>
                <w:sz w:val="24"/>
                <w:szCs w:val="24"/>
              </w:rPr>
              <w:t>规划环评的产业定位</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改扩建项目位于云南省东川再就业特区天生桥特色产业园，根据《云南省东川再就业特区天生桥产业园总体规划（2010-2030）》，天生桥产业园区的产业功能定位为以报废汽车拆解回收利用类项目、报废家电回收利用类项目、废旧轮胎回收利用项目等再生资源回收利用为主的静脉产业、轻工产业、材料加工、有色金属深加工等四大基础性产业为主的工业园区，充分利用当地及周边的资源及区位优势，积极打造成为昆明市乃至云南省的资源型城市转型可持续发展示范基地。</w:t>
            </w:r>
          </w:p>
          <w:p>
            <w:pPr>
              <w:spacing w:line="360" w:lineRule="auto"/>
              <w:ind w:firstLine="482" w:firstLineChars="200"/>
              <w:rPr>
                <w:rFonts w:ascii="Times New Roman" w:hAnsi="Times New Roman" w:eastAsia="宋体" w:cs="Times New Roman"/>
                <w:b/>
                <w:color w:val="auto"/>
                <w:sz w:val="24"/>
                <w:szCs w:val="24"/>
              </w:rPr>
            </w:pPr>
            <w:r>
              <w:rPr>
                <w:rFonts w:ascii="Times New Roman" w:hAnsi="宋体" w:eastAsia="宋体" w:cs="Times New Roman"/>
                <w:b/>
                <w:color w:val="auto"/>
                <w:sz w:val="24"/>
                <w:szCs w:val="24"/>
              </w:rPr>
              <w:t>②</w:t>
            </w:r>
            <w:r>
              <w:rPr>
                <w:rFonts w:ascii="Times New Roman" w:hAnsi="Times New Roman" w:eastAsia="宋体" w:cs="Times New Roman"/>
                <w:b/>
                <w:color w:val="auto"/>
                <w:sz w:val="24"/>
                <w:szCs w:val="24"/>
              </w:rPr>
              <w:t>规划环评审查意见的产业定位</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规划环评审查意见的园区产业定位和规划环评一致。</w:t>
            </w:r>
          </w:p>
          <w:p>
            <w:pPr>
              <w:spacing w:line="360" w:lineRule="auto"/>
              <w:ind w:firstLine="482" w:firstLineChars="200"/>
              <w:rPr>
                <w:rFonts w:ascii="Times New Roman" w:hAnsi="Times New Roman" w:eastAsia="宋体" w:cs="Times New Roman"/>
                <w:b/>
                <w:color w:val="auto"/>
                <w:sz w:val="24"/>
                <w:szCs w:val="24"/>
              </w:rPr>
            </w:pPr>
            <w:r>
              <w:rPr>
                <w:rFonts w:ascii="Times New Roman" w:hAnsi="宋体" w:eastAsia="宋体" w:cs="Times New Roman"/>
                <w:b/>
                <w:color w:val="auto"/>
                <w:sz w:val="24"/>
                <w:szCs w:val="24"/>
              </w:rPr>
              <w:t>③</w:t>
            </w:r>
            <w:r>
              <w:rPr>
                <w:rFonts w:ascii="Times New Roman" w:hAnsi="Times New Roman" w:eastAsia="宋体" w:cs="Times New Roman"/>
                <w:b/>
                <w:color w:val="auto"/>
                <w:sz w:val="24"/>
                <w:szCs w:val="24"/>
              </w:rPr>
              <w:t>项目基本情况</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根据附图5 天生桥特色产业园功能区划图可知，本改扩建项目位于云南省东川再就业特区天生桥产业园北片区工业南区组团（静脉产业园），本改扩建项目属于报废家电回收类项目，东川再就业特色产业园区管理委员会于2013年1月30日下发了《东川再就业特色产业园区管理委员会关于同意云南华再新源环保产业发展有限公司入驻天生桥特色产业园的批复》（云东天管【2013】3号），项目符合昆明市东川区再就业特区天生桥特色产业园的产业定位。</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（2）规划环境影响评价结论及审查意见符合性分析</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规划环评结论及其审查意见的要求，园区引进企业必须要满足园区产业定位、环保措施和准入条件的要求。根据上述分析，项目建设符合园区的产业定位。因此环评重点从项目与园区环保措施和园区准入条件的符合性两方面进行项目与规划环境影响评价结论及审查意见符合性分析。具体如下：</w:t>
            </w:r>
          </w:p>
          <w:p>
            <w:pPr>
              <w:spacing w:line="360" w:lineRule="auto"/>
              <w:ind w:firstLine="482" w:firstLineChars="200"/>
              <w:rPr>
                <w:rFonts w:ascii="Times New Roman" w:hAnsi="Times New Roman" w:cs="Times New Roman"/>
                <w:b/>
                <w:color w:val="auto"/>
                <w:sz w:val="24"/>
              </w:rPr>
            </w:pPr>
            <w:r>
              <w:rPr>
                <w:rFonts w:cs="Times New Roman" w:asciiTheme="minorEastAsia" w:hAnsiTheme="minorEastAsia"/>
                <w:b/>
                <w:color w:val="auto"/>
                <w:sz w:val="24"/>
              </w:rPr>
              <w:t>①</w:t>
            </w:r>
            <w:r>
              <w:rPr>
                <w:rFonts w:ascii="Times New Roman" w:hAnsi="Times New Roman" w:cs="Times New Roman"/>
                <w:b/>
                <w:color w:val="auto"/>
                <w:sz w:val="24"/>
              </w:rPr>
              <w:t>与园区环保措施要求的符合性分析</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查阅《云南省东川再就业特区天生桥特色产业园总体规划环境影响报告书》及其审查意见（云环函【2012】340号），针对园区环保措施要求，重点提出了废水和固废处置的要，具体符合性分析如下表所示。</w:t>
            </w:r>
          </w:p>
          <w:p>
            <w:pPr>
              <w:jc w:val="center"/>
              <w:rPr>
                <w:rFonts w:ascii="Times New Roman" w:hAnsi="Times New Roman" w:cs="Times New Roman"/>
                <w:b/>
                <w:color w:val="auto"/>
              </w:rPr>
            </w:pPr>
            <w:r>
              <w:rPr>
                <w:rFonts w:ascii="Times New Roman" w:hAnsi="Times New Roman" w:cs="Times New Roman"/>
                <w:b/>
                <w:color w:val="auto"/>
              </w:rPr>
              <w:t>表1-1 与园区环保措施要求的符合性分析</w:t>
            </w:r>
          </w:p>
          <w:tbl>
            <w:tblPr>
              <w:tblStyle w:val="20"/>
              <w:tblW w:w="904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92"/>
              <w:gridCol w:w="3402"/>
              <w:gridCol w:w="3997"/>
              <w:gridCol w:w="85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92" w:type="dxa"/>
                  <w:vAlign w:val="center"/>
                </w:tcPr>
                <w:p>
                  <w:pPr>
                    <w:pStyle w:val="30"/>
                    <w:spacing w:line="360" w:lineRule="exact"/>
                    <w:rPr>
                      <w:rFonts w:eastAsiaTheme="minorEastAsia"/>
                      <w:color w:val="auto"/>
                      <w:szCs w:val="21"/>
                    </w:rPr>
                  </w:pPr>
                  <w:r>
                    <w:rPr>
                      <w:rFonts w:eastAsiaTheme="minorEastAsia"/>
                      <w:color w:val="auto"/>
                      <w:szCs w:val="21"/>
                    </w:rPr>
                    <w:t>要求</w:t>
                  </w:r>
                </w:p>
              </w:tc>
              <w:tc>
                <w:tcPr>
                  <w:tcW w:w="3402" w:type="dxa"/>
                  <w:vAlign w:val="center"/>
                </w:tcPr>
                <w:p>
                  <w:pPr>
                    <w:pStyle w:val="30"/>
                    <w:spacing w:line="360" w:lineRule="exact"/>
                    <w:rPr>
                      <w:rFonts w:eastAsiaTheme="minorEastAsia"/>
                      <w:color w:val="auto"/>
                      <w:szCs w:val="21"/>
                    </w:rPr>
                  </w:pPr>
                  <w:r>
                    <w:rPr>
                      <w:rFonts w:eastAsiaTheme="minorEastAsia"/>
                      <w:color w:val="auto"/>
                      <w:szCs w:val="21"/>
                    </w:rPr>
                    <w:t>规划环评及审查意见污染物控制要求</w:t>
                  </w:r>
                </w:p>
              </w:tc>
              <w:tc>
                <w:tcPr>
                  <w:tcW w:w="3997" w:type="dxa"/>
                  <w:vAlign w:val="center"/>
                </w:tcPr>
                <w:p>
                  <w:pPr>
                    <w:pStyle w:val="30"/>
                    <w:spacing w:line="360" w:lineRule="exact"/>
                    <w:rPr>
                      <w:rFonts w:eastAsiaTheme="minorEastAsia"/>
                      <w:color w:val="auto"/>
                      <w:szCs w:val="21"/>
                    </w:rPr>
                  </w:pPr>
                  <w:r>
                    <w:rPr>
                      <w:rFonts w:eastAsiaTheme="minorEastAsia"/>
                      <w:color w:val="auto"/>
                      <w:szCs w:val="21"/>
                    </w:rPr>
                    <w:t>项目实际情况</w:t>
                  </w:r>
                </w:p>
              </w:tc>
              <w:tc>
                <w:tcPr>
                  <w:tcW w:w="853" w:type="dxa"/>
                  <w:vAlign w:val="center"/>
                </w:tcPr>
                <w:p>
                  <w:pPr>
                    <w:pStyle w:val="30"/>
                    <w:spacing w:line="360" w:lineRule="exact"/>
                    <w:rPr>
                      <w:rFonts w:eastAsiaTheme="minorEastAsia"/>
                      <w:color w:val="auto"/>
                      <w:szCs w:val="21"/>
                    </w:rPr>
                  </w:pPr>
                  <w:r>
                    <w:rPr>
                      <w:rFonts w:eastAsiaTheme="minorEastAsia"/>
                      <w:color w:val="auto"/>
                      <w:szCs w:val="21"/>
                    </w:rPr>
                    <w:t>符合性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92" w:type="dxa"/>
                  <w:vAlign w:val="center"/>
                </w:tcPr>
                <w:p>
                  <w:pPr>
                    <w:pStyle w:val="30"/>
                    <w:spacing w:line="360" w:lineRule="exact"/>
                    <w:rPr>
                      <w:rFonts w:eastAsiaTheme="minorEastAsia"/>
                      <w:color w:val="auto"/>
                      <w:szCs w:val="21"/>
                    </w:rPr>
                  </w:pPr>
                  <w:r>
                    <w:rPr>
                      <w:color w:val="auto"/>
                      <w:szCs w:val="21"/>
                    </w:rPr>
                    <w:t>关于园区污水处理及排放问题</w:t>
                  </w:r>
                </w:p>
              </w:tc>
              <w:tc>
                <w:tcPr>
                  <w:tcW w:w="3402" w:type="dxa"/>
                  <w:vAlign w:val="center"/>
                </w:tcPr>
                <w:p>
                  <w:pPr>
                    <w:pStyle w:val="30"/>
                    <w:spacing w:line="360" w:lineRule="exact"/>
                    <w:ind w:firstLine="210" w:firstLineChars="100"/>
                    <w:jc w:val="both"/>
                    <w:rPr>
                      <w:color w:val="auto"/>
                      <w:szCs w:val="21"/>
                    </w:rPr>
                  </w:pPr>
                  <w:r>
                    <w:rPr>
                      <w:color w:val="auto"/>
                      <w:szCs w:val="21"/>
                    </w:rPr>
                    <w:t>天生桥产业园区涉及到牛栏江流域和小江流域，牛栏江流域和小江流域都应规划建设全覆盖的生活污水收集处理管网系统、区域再生水贮存和回用管网系统。原则上入驻牛栏江流域片区企业的生活污水应通过专用管道全部送入设置在小江流域片区的园区污水集中处理厂处理，送入园区集中污染处理厂的生活污水须处理达到《污水排入城镇下水道水质标准》（CJ343-2010）。</w:t>
                  </w:r>
                </w:p>
              </w:tc>
              <w:tc>
                <w:tcPr>
                  <w:tcW w:w="3997" w:type="dxa"/>
                  <w:vAlign w:val="center"/>
                </w:tcPr>
                <w:p>
                  <w:pPr>
                    <w:pStyle w:val="30"/>
                    <w:spacing w:line="360" w:lineRule="exact"/>
                    <w:ind w:firstLine="210" w:firstLineChars="100"/>
                    <w:jc w:val="both"/>
                    <w:rPr>
                      <w:color w:val="auto"/>
                      <w:szCs w:val="21"/>
                    </w:rPr>
                  </w:pPr>
                  <w:r>
                    <w:rPr>
                      <w:color w:val="auto"/>
                      <w:szCs w:val="21"/>
                    </w:rPr>
                    <w:t>根据附图6 项目所在流域位置图可知，本改扩建项目位于小江流域，项目废水主要包括平衡盐水、初期雨水和生活污水；项目平衡盐水按1：8的比例稀释后回用于绿化；初期雨水经收集沉淀处理后回用于项目区绿化；根据调查，目前规划的东川再就业特区天生桥特色产业园污水处理厂还未建成，因此项目生活污水近期（园区污水处理厂建成前），项目产生的生活污水通过隔油池、化粪池和一体化污水处理设施处理后，达到《城市污水再生利用 城市杂用水水质》（GB/T18920-2020）城市绿化标准回用于绿化不外排；远期（园区污水处理厂建成后），项目产生的生活污水通过化粪池预处理达到《污水排入城镇下水道水质标准》（GB/T31962-2015）中B级标准后，进入东川再就业特区天生桥特色产业园污水处理厂集中处理；符合园污水处理及排放管理相关要求。</w:t>
                  </w:r>
                </w:p>
              </w:tc>
              <w:tc>
                <w:tcPr>
                  <w:tcW w:w="853" w:type="dxa"/>
                  <w:vAlign w:val="center"/>
                </w:tcPr>
                <w:p>
                  <w:pPr>
                    <w:pStyle w:val="30"/>
                    <w:spacing w:line="360" w:lineRule="exact"/>
                    <w:rPr>
                      <w:rFonts w:eastAsiaTheme="minorEastAsia"/>
                      <w:color w:val="auto"/>
                      <w:szCs w:val="21"/>
                    </w:rPr>
                  </w:pPr>
                  <w:r>
                    <w:rPr>
                      <w:rFonts w:eastAsiaTheme="minorEastAsia"/>
                      <w:color w:val="auto"/>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92" w:type="dxa"/>
                  <w:vAlign w:val="center"/>
                </w:tcPr>
                <w:p>
                  <w:pPr>
                    <w:pStyle w:val="30"/>
                    <w:spacing w:line="360" w:lineRule="exact"/>
                    <w:rPr>
                      <w:rFonts w:eastAsiaTheme="minorEastAsia"/>
                      <w:color w:val="auto"/>
                      <w:szCs w:val="21"/>
                    </w:rPr>
                  </w:pPr>
                  <w:r>
                    <w:rPr>
                      <w:color w:val="auto"/>
                      <w:szCs w:val="21"/>
                    </w:rPr>
                    <w:t>关于固废处置问题</w:t>
                  </w:r>
                </w:p>
              </w:tc>
              <w:tc>
                <w:tcPr>
                  <w:tcW w:w="3402" w:type="dxa"/>
                  <w:vAlign w:val="center"/>
                </w:tcPr>
                <w:p>
                  <w:pPr>
                    <w:pStyle w:val="30"/>
                    <w:spacing w:line="360" w:lineRule="exact"/>
                    <w:ind w:firstLine="210" w:firstLineChars="100"/>
                    <w:jc w:val="both"/>
                    <w:rPr>
                      <w:color w:val="auto"/>
                      <w:szCs w:val="21"/>
                    </w:rPr>
                  </w:pPr>
                  <w:r>
                    <w:rPr>
                      <w:color w:val="auto"/>
                      <w:szCs w:val="21"/>
                    </w:rPr>
                    <w:t>园区内不得设置生活垃圾填埋场，规划范围内的生活垃圾应全部清运至寻甸县城市垃圾集中处理系统进行统一处置。园区内不得规划建设工业固废堆场，为确保入园企业的固体废物处置达到无害化要求，应在牛栏江流域外做好工业固废堆场选址的水文地质调查和选址建设工作。</w:t>
                  </w:r>
                </w:p>
              </w:tc>
              <w:tc>
                <w:tcPr>
                  <w:tcW w:w="3997" w:type="dxa"/>
                  <w:vAlign w:val="center"/>
                </w:tcPr>
                <w:p>
                  <w:pPr>
                    <w:pStyle w:val="30"/>
                    <w:spacing w:line="360" w:lineRule="exact"/>
                    <w:ind w:firstLine="210" w:firstLineChars="100"/>
                    <w:jc w:val="both"/>
                    <w:rPr>
                      <w:color w:val="auto"/>
                      <w:szCs w:val="21"/>
                    </w:rPr>
                  </w:pPr>
                  <w:r>
                    <w:rPr>
                      <w:color w:val="auto"/>
                      <w:szCs w:val="21"/>
                    </w:rPr>
                    <w:t>本改扩建项目建成后不新增劳动定员，生活垃圾按现有处理方式委托环卫部门处理，本改扩建项目产生的工业固废，均严格按照其固废属性分类进行收集，其中危险废物分别委托有资质的单位处理，而一般工业固废委托相关有处理能力的单位进行处置。项目固体废物处置率为100%，符合园区固体废物管理相关要求。</w:t>
                  </w:r>
                </w:p>
              </w:tc>
              <w:tc>
                <w:tcPr>
                  <w:tcW w:w="853" w:type="dxa"/>
                  <w:vAlign w:val="center"/>
                </w:tcPr>
                <w:p>
                  <w:pPr>
                    <w:pStyle w:val="30"/>
                    <w:spacing w:line="360" w:lineRule="exact"/>
                    <w:rPr>
                      <w:rFonts w:eastAsiaTheme="minorEastAsia"/>
                      <w:color w:val="auto"/>
                      <w:szCs w:val="21"/>
                    </w:rPr>
                  </w:pPr>
                  <w:r>
                    <w:rPr>
                      <w:rFonts w:eastAsiaTheme="minorEastAsia"/>
                      <w:color w:val="auto"/>
                      <w:szCs w:val="21"/>
                    </w:rPr>
                    <w:t>符合</w:t>
                  </w:r>
                </w:p>
              </w:tc>
            </w:tr>
          </w:tbl>
          <w:p>
            <w:pPr>
              <w:spacing w:beforeLines="50"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由上表可知，本改扩建项目符合云南省东川再就业特区天生桥特色产业园环保措施要求。</w:t>
            </w:r>
          </w:p>
          <w:p>
            <w:pPr>
              <w:spacing w:line="360" w:lineRule="auto"/>
              <w:ind w:firstLine="482" w:firstLineChars="200"/>
              <w:rPr>
                <w:rFonts w:ascii="Times New Roman" w:hAnsi="Times New Roman" w:cs="Times New Roman"/>
                <w:b/>
                <w:color w:val="auto"/>
                <w:sz w:val="24"/>
              </w:rPr>
            </w:pPr>
            <w:r>
              <w:rPr>
                <w:rFonts w:cs="Times New Roman" w:asciiTheme="minorEastAsia" w:hAnsiTheme="minorEastAsia"/>
                <w:b/>
                <w:color w:val="auto"/>
                <w:sz w:val="24"/>
              </w:rPr>
              <w:t>②</w:t>
            </w:r>
            <w:r>
              <w:rPr>
                <w:rFonts w:ascii="Times New Roman" w:hAnsi="Times New Roman" w:cs="Times New Roman"/>
                <w:b/>
                <w:color w:val="auto"/>
                <w:sz w:val="24"/>
              </w:rPr>
              <w:t>与园区准入要求的符合性分析</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本改扩建项目与云南省东川再就业特区天生桥特色产业园准入要求的符合性分析如下表所示。</w:t>
            </w:r>
          </w:p>
          <w:p>
            <w:pPr>
              <w:jc w:val="center"/>
              <w:rPr>
                <w:rFonts w:ascii="Times New Roman" w:hAnsi="Times New Roman" w:cs="Times New Roman"/>
                <w:b/>
                <w:color w:val="auto"/>
              </w:rPr>
            </w:pPr>
            <w:r>
              <w:rPr>
                <w:rFonts w:ascii="Times New Roman" w:hAnsi="Times New Roman" w:cs="Times New Roman"/>
                <w:b/>
                <w:color w:val="auto"/>
              </w:rPr>
              <w:t>表1-2 与园区准入要求的符合性分析</w:t>
            </w:r>
          </w:p>
          <w:tbl>
            <w:tblPr>
              <w:tblStyle w:val="20"/>
              <w:tblW w:w="904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573"/>
              <w:gridCol w:w="4615"/>
              <w:gridCol w:w="85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3573" w:type="dxa"/>
                  <w:vAlign w:val="center"/>
                </w:tcPr>
                <w:p>
                  <w:pPr>
                    <w:pStyle w:val="30"/>
                    <w:spacing w:before="78" w:line="360" w:lineRule="exact"/>
                    <w:rPr>
                      <w:rFonts w:eastAsiaTheme="minorEastAsia"/>
                      <w:color w:val="auto"/>
                      <w:szCs w:val="21"/>
                    </w:rPr>
                  </w:pPr>
                  <w:r>
                    <w:rPr>
                      <w:rFonts w:eastAsiaTheme="minorEastAsia"/>
                      <w:color w:val="auto"/>
                      <w:szCs w:val="21"/>
                    </w:rPr>
                    <w:t>规划环评及审查意见准入要求</w:t>
                  </w:r>
                </w:p>
              </w:tc>
              <w:tc>
                <w:tcPr>
                  <w:tcW w:w="4615" w:type="dxa"/>
                  <w:vAlign w:val="center"/>
                </w:tcPr>
                <w:p>
                  <w:pPr>
                    <w:pStyle w:val="30"/>
                    <w:spacing w:before="78" w:line="360" w:lineRule="exact"/>
                    <w:rPr>
                      <w:rFonts w:eastAsiaTheme="minorEastAsia"/>
                      <w:color w:val="auto"/>
                      <w:szCs w:val="21"/>
                    </w:rPr>
                  </w:pPr>
                  <w:r>
                    <w:rPr>
                      <w:rFonts w:eastAsiaTheme="minorEastAsia"/>
                      <w:color w:val="auto"/>
                      <w:szCs w:val="21"/>
                    </w:rPr>
                    <w:t>项目实际情况</w:t>
                  </w:r>
                </w:p>
              </w:tc>
              <w:tc>
                <w:tcPr>
                  <w:tcW w:w="856" w:type="dxa"/>
                  <w:vAlign w:val="center"/>
                </w:tcPr>
                <w:p>
                  <w:pPr>
                    <w:pStyle w:val="30"/>
                    <w:spacing w:before="78" w:line="360" w:lineRule="exact"/>
                    <w:rPr>
                      <w:rFonts w:eastAsiaTheme="minorEastAsia"/>
                      <w:color w:val="auto"/>
                      <w:szCs w:val="21"/>
                    </w:rPr>
                  </w:pPr>
                  <w:r>
                    <w:rPr>
                      <w:rFonts w:eastAsiaTheme="minorEastAsia"/>
                      <w:color w:val="auto"/>
                      <w:szCs w:val="21"/>
                    </w:rPr>
                    <w:t>符合性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3573" w:type="dxa"/>
                  <w:vAlign w:val="center"/>
                </w:tcPr>
                <w:p>
                  <w:pPr>
                    <w:pStyle w:val="30"/>
                    <w:spacing w:line="360" w:lineRule="exact"/>
                    <w:ind w:firstLine="210" w:firstLineChars="100"/>
                    <w:jc w:val="both"/>
                    <w:rPr>
                      <w:rFonts w:eastAsiaTheme="minorEastAsia"/>
                      <w:color w:val="auto"/>
                      <w:szCs w:val="21"/>
                    </w:rPr>
                  </w:pPr>
                  <w:r>
                    <w:rPr>
                      <w:color w:val="auto"/>
                      <w:szCs w:val="21"/>
                    </w:rPr>
                    <w:t>加强入园企业的控制，对不符合园区功能定位的企业和项目禁止入园。入园企业须满足国家产业政策和环境准入条件，坚持使用清洁能源，严格执行污染物达标排放和总量控制要求。</w:t>
                  </w:r>
                </w:p>
              </w:tc>
              <w:tc>
                <w:tcPr>
                  <w:tcW w:w="4615" w:type="dxa"/>
                  <w:vAlign w:val="center"/>
                </w:tcPr>
                <w:p>
                  <w:pPr>
                    <w:pStyle w:val="30"/>
                    <w:spacing w:line="360" w:lineRule="exact"/>
                    <w:ind w:firstLine="210" w:firstLineChars="100"/>
                    <w:jc w:val="both"/>
                    <w:rPr>
                      <w:color w:val="auto"/>
                      <w:szCs w:val="21"/>
                    </w:rPr>
                  </w:pPr>
                  <w:r>
                    <w:rPr>
                      <w:color w:val="auto"/>
                      <w:szCs w:val="21"/>
                    </w:rPr>
                    <w:t>根据《东川再就业特色产业园区管理委员会关于同意云南华再新源环保产业发展有限公司入驻天生桥特色产业园的批复》（云东天管【2013】3号），本改扩建项目符合园区功能定位，符合国家产业政策和环境准入条件。同时污染物可达标排放，无总量控制指标要求。满足园区政策管理相关要求。</w:t>
                  </w:r>
                </w:p>
              </w:tc>
              <w:tc>
                <w:tcPr>
                  <w:tcW w:w="856" w:type="dxa"/>
                  <w:vAlign w:val="center"/>
                </w:tcPr>
                <w:p>
                  <w:pPr>
                    <w:pStyle w:val="30"/>
                    <w:spacing w:before="78" w:line="360" w:lineRule="exact"/>
                    <w:rPr>
                      <w:rFonts w:eastAsiaTheme="minorEastAsia"/>
                      <w:color w:val="auto"/>
                      <w:szCs w:val="21"/>
                    </w:rPr>
                  </w:pPr>
                  <w:r>
                    <w:rPr>
                      <w:rFonts w:eastAsiaTheme="minorEastAsia"/>
                      <w:color w:val="auto"/>
                      <w:szCs w:val="21"/>
                    </w:rPr>
                    <w:t>符合</w:t>
                  </w:r>
                </w:p>
              </w:tc>
            </w:tr>
          </w:tbl>
          <w:p>
            <w:pPr>
              <w:spacing w:beforeLines="50"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由上表可知，本改扩建项目符合云南省东川再就业特区天生桥特色产业园环准入要求。</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通过上述分析，本改扩建项目建设符合《云南省东川再就业特区天生桥特色产业园总体规划环境影响报告书》及《云南省生态环境厅关于云南省东川再就业特区天生桥特色产业园总体规划环境影响报告书审查意见的函》（云环函【2012】340号）的管理要求；符合园区的总体规划。</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270" w:type="dxa"/>
            <w:gridSpan w:val="4"/>
            <w:vAlign w:val="center"/>
          </w:tcPr>
          <w:p>
            <w:pPr>
              <w:spacing w:line="360" w:lineRule="auto"/>
              <w:ind w:firstLine="360" w:firstLineChars="150"/>
              <w:rPr>
                <w:rFonts w:ascii="Times New Roman" w:hAnsi="Times New Roman" w:eastAsia="微软雅黑" w:cs="Times New Roman"/>
                <w:b/>
                <w:color w:val="auto"/>
                <w:sz w:val="24"/>
                <w:szCs w:val="24"/>
              </w:rPr>
            </w:pPr>
            <w:r>
              <w:rPr>
                <w:rFonts w:ascii="Times New Roman" w:hAnsi="Times New Roman" w:eastAsia="微软雅黑" w:cs="Times New Roman"/>
                <w:b/>
                <w:color w:val="auto"/>
                <w:sz w:val="24"/>
                <w:szCs w:val="24"/>
              </w:rPr>
              <w:t>其他符合性分析</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根据《建设项目环境影响报告表编制技术指南》（污染影响类）（试行）的要求，其他符合性包括“三线一单”符合性、生态环境保护法律法规政策符合性和生态环境保护规划的符合性，具体如下：</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（1）“三线一单”符合性分析</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昆明市人民政府已发布《昆明市人民政府关于昆明市“三线一单” 生态环境分区管控的实施意见》，本项目符合性分析具体如下：</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①生态保护红线和一般生态空间</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云南省人民政府关于发布云南省生态保护红线的通知》（云政发〔2018〕32号）文，云南省生态红线主要包括包含生物多样性维护、水源涵养、水土保持三大红线类型，11个分区。其中和昆明行政区划内有关的分区有4个，项目位于云南省东川再就业特区天生桥特色产业园，不涉及生态红线。又《昆明市人民政府关于昆明市“三线一单” 生态环境分区管控的实施意见》明确将“将未划入生态保护红线的自然保护地、饮用水水源保护区、重要湿地、基本草原、生态公益林、天然林等生态功能重要、生态环境敏感区域划为一般生态空间”，本项目位于云南省东川再就业特区天生桥特色产业园，项目所在地不涉及自然保护地、饮用水水源保护区、重要湿地、基本草原、生态公益林、天然林等生态功能重要、生态环境敏感区；因此项目建设不涉及一般生态空间。</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②环境质量底线</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《昆明市人民政府关于昆明市“三线一单” 生态环境分区管控的实施意见》对环境质量底线设定了2025年和2035年两个目标，本项目位于云南省东川再就业特区天生桥特色产业园，环境质量底线和本项目相关的要求及符合性分析如下：</w:t>
            </w:r>
          </w:p>
          <w:p>
            <w:pPr>
              <w:spacing w:line="360" w:lineRule="auto"/>
              <w:ind w:firstLine="482" w:firstLineChars="200"/>
              <w:rPr>
                <w:rFonts w:ascii="Times New Roman" w:hAnsi="Times New Roman" w:cs="Times New Roman"/>
                <w:b/>
                <w:color w:val="auto"/>
                <w:sz w:val="24"/>
              </w:rPr>
            </w:pPr>
            <w:r>
              <w:rPr>
                <w:rFonts w:ascii="Times New Roman" w:hAnsi="Times New Roman" w:cs="Times New Roman"/>
                <w:b/>
                <w:color w:val="auto"/>
                <w:sz w:val="24"/>
              </w:rPr>
              <w:fldChar w:fldCharType="begin"/>
            </w:r>
            <w:r>
              <w:rPr>
                <w:rFonts w:ascii="Times New Roman" w:hAnsi="Times New Roman" w:cs="Times New Roman"/>
                <w:b/>
                <w:color w:val="auto"/>
                <w:sz w:val="24"/>
              </w:rPr>
              <w:instrText xml:space="preserve"> = 1 \* GB2 </w:instrText>
            </w:r>
            <w:r>
              <w:rPr>
                <w:rFonts w:ascii="Times New Roman" w:hAnsi="Times New Roman" w:cs="Times New Roman"/>
                <w:b/>
                <w:color w:val="auto"/>
                <w:sz w:val="24"/>
              </w:rPr>
              <w:fldChar w:fldCharType="separate"/>
            </w:r>
            <w:r>
              <w:rPr>
                <w:rFonts w:ascii="Times New Roman" w:hAnsi="Times New Roman" w:cs="Times New Roman"/>
                <w:b/>
                <w:color w:val="auto"/>
                <w:sz w:val="24"/>
              </w:rPr>
              <w:t>⑴</w:t>
            </w:r>
            <w:r>
              <w:rPr>
                <w:rFonts w:ascii="Times New Roman" w:hAnsi="Times New Roman" w:cs="Times New Roman"/>
                <w:b/>
                <w:color w:val="auto"/>
                <w:sz w:val="24"/>
              </w:rPr>
              <w:fldChar w:fldCharType="end"/>
            </w:r>
            <w:r>
              <w:rPr>
                <w:rFonts w:ascii="Times New Roman" w:hAnsi="Times New Roman" w:cs="Times New Roman"/>
                <w:b/>
                <w:color w:val="auto"/>
                <w:sz w:val="24"/>
              </w:rPr>
              <w:t>生态环境质量底线</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实施意见”要求：到2025年，全市生态环境质量持续改善，生态空间得到优化和有效保护，区域生态安全屏障更加牢固。到2035年，全市生态环境质量实现根本好转，生态功能显著提升，区域生态安全得到全面保障。</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根据调查，项目的建设不涉及到生态保护红线和一般生态空间，因此项目建设和生态环境质量底线不冲突。因此，项目建设不会改变区域生态环境质量功能要求。</w:t>
            </w:r>
          </w:p>
          <w:p>
            <w:pPr>
              <w:spacing w:line="360" w:lineRule="auto"/>
              <w:ind w:firstLine="482" w:firstLineChars="200"/>
              <w:rPr>
                <w:rFonts w:ascii="Times New Roman" w:hAnsi="Times New Roman" w:cs="Times New Roman"/>
                <w:b/>
                <w:color w:val="auto"/>
                <w:sz w:val="24"/>
              </w:rPr>
            </w:pPr>
            <w:r>
              <w:rPr>
                <w:rFonts w:ascii="Times New Roman" w:hAnsi="Times New Roman" w:cs="Times New Roman"/>
                <w:b/>
                <w:color w:val="auto"/>
                <w:sz w:val="24"/>
              </w:rPr>
              <w:fldChar w:fldCharType="begin"/>
            </w:r>
            <w:r>
              <w:rPr>
                <w:rFonts w:ascii="Times New Roman" w:hAnsi="Times New Roman" w:cs="Times New Roman"/>
                <w:b/>
                <w:color w:val="auto"/>
                <w:sz w:val="24"/>
              </w:rPr>
              <w:instrText xml:space="preserve"> = 2 \* GB2 </w:instrText>
            </w:r>
            <w:r>
              <w:rPr>
                <w:rFonts w:ascii="Times New Roman" w:hAnsi="Times New Roman" w:cs="Times New Roman"/>
                <w:b/>
                <w:color w:val="auto"/>
                <w:sz w:val="24"/>
              </w:rPr>
              <w:fldChar w:fldCharType="separate"/>
            </w:r>
            <w:r>
              <w:rPr>
                <w:rFonts w:ascii="Times New Roman" w:hAnsi="Times New Roman" w:cs="Times New Roman"/>
                <w:b/>
                <w:color w:val="auto"/>
                <w:sz w:val="24"/>
              </w:rPr>
              <w:t>⑵</w:t>
            </w:r>
            <w:r>
              <w:rPr>
                <w:rFonts w:ascii="Times New Roman" w:hAnsi="Times New Roman" w:cs="Times New Roman"/>
                <w:b/>
                <w:color w:val="auto"/>
                <w:sz w:val="24"/>
              </w:rPr>
              <w:fldChar w:fldCharType="end"/>
            </w:r>
            <w:r>
              <w:rPr>
                <w:rFonts w:ascii="Times New Roman" w:hAnsi="Times New Roman" w:cs="Times New Roman"/>
                <w:b/>
                <w:color w:val="auto"/>
                <w:sz w:val="24"/>
              </w:rPr>
              <w:t>环境空气环境质量底线</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“实施意见”要求：到2025年，全市环境空气质量总体保持优良，主城建成区空气质量优良天数占比达99%以上，二氧化硫（SO</w:t>
            </w:r>
            <w:r>
              <w:rPr>
                <w:rFonts w:ascii="Times New Roman" w:hAnsi="Times New Roman" w:cs="Times New Roman"/>
                <w:color w:val="auto"/>
                <w:sz w:val="24"/>
                <w:vertAlign w:val="subscript"/>
              </w:rPr>
              <w:t>2</w:t>
            </w:r>
            <w:r>
              <w:rPr>
                <w:rFonts w:ascii="Times New Roman" w:hAnsi="Times New Roman" w:cs="Times New Roman"/>
                <w:color w:val="auto"/>
                <w:sz w:val="24"/>
              </w:rPr>
              <w:t>）和氮氧化物（NOx）排放总量控制在省下达的目标以内，主城区空气中颗粒物（PM</w:t>
            </w:r>
            <w:r>
              <w:rPr>
                <w:rFonts w:ascii="Times New Roman" w:hAnsi="Times New Roman" w:cs="Times New Roman"/>
                <w:color w:val="auto"/>
                <w:sz w:val="24"/>
                <w:vertAlign w:val="subscript"/>
              </w:rPr>
              <w:t>10</w:t>
            </w:r>
            <w:r>
              <w:rPr>
                <w:rFonts w:ascii="Times New Roman" w:hAnsi="Times New Roman" w:cs="Times New Roman"/>
                <w:color w:val="auto"/>
                <w:sz w:val="24"/>
              </w:rPr>
              <w:t>、PM</w:t>
            </w:r>
            <w:r>
              <w:rPr>
                <w:rFonts w:ascii="Times New Roman" w:hAnsi="Times New Roman" w:cs="Times New Roman"/>
                <w:color w:val="auto"/>
                <w:sz w:val="24"/>
                <w:vertAlign w:val="subscript"/>
              </w:rPr>
              <w:t>2.5</w:t>
            </w:r>
            <w:r>
              <w:rPr>
                <w:rFonts w:ascii="Times New Roman" w:hAnsi="Times New Roman" w:cs="Times New Roman"/>
                <w:color w:val="auto"/>
                <w:sz w:val="24"/>
              </w:rPr>
              <w:t>）稳定达《环境空气质量标准》二级标准以上。到2035年，全市环境空气质量全面改善，各县（市）区、开发（度假）区环境空气质量稳定达到国家二级标准。</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根据调查，现目选址区域空气环境可达到《环境空气质量标准》（GB3095-2012）二级标准，属于空气达标区，且本项目的建设不会改变区域环境空气质量功能要求。</w:t>
            </w:r>
          </w:p>
          <w:p>
            <w:pPr>
              <w:spacing w:line="360" w:lineRule="auto"/>
              <w:ind w:firstLine="482" w:firstLineChars="200"/>
              <w:rPr>
                <w:rFonts w:ascii="Times New Roman" w:hAnsi="Times New Roman" w:cs="Times New Roman"/>
                <w:b/>
                <w:color w:val="auto"/>
                <w:sz w:val="24"/>
              </w:rPr>
            </w:pPr>
            <w:r>
              <w:rPr>
                <w:rFonts w:ascii="Times New Roman" w:hAnsi="Times New Roman" w:cs="Times New Roman"/>
                <w:b/>
                <w:color w:val="auto"/>
                <w:sz w:val="24"/>
              </w:rPr>
              <w:fldChar w:fldCharType="begin"/>
            </w:r>
            <w:r>
              <w:rPr>
                <w:rFonts w:ascii="Times New Roman" w:hAnsi="Times New Roman" w:cs="Times New Roman"/>
                <w:b/>
                <w:color w:val="auto"/>
                <w:sz w:val="24"/>
              </w:rPr>
              <w:instrText xml:space="preserve"> = 3 \* GB2 </w:instrText>
            </w:r>
            <w:r>
              <w:rPr>
                <w:rFonts w:ascii="Times New Roman" w:hAnsi="Times New Roman" w:cs="Times New Roman"/>
                <w:b/>
                <w:color w:val="auto"/>
                <w:sz w:val="24"/>
              </w:rPr>
              <w:fldChar w:fldCharType="separate"/>
            </w:r>
            <w:r>
              <w:rPr>
                <w:rFonts w:ascii="Times New Roman" w:hAnsi="Times New Roman" w:cs="Times New Roman"/>
                <w:b/>
                <w:color w:val="auto"/>
                <w:sz w:val="24"/>
              </w:rPr>
              <w:t>⑶</w:t>
            </w:r>
            <w:r>
              <w:rPr>
                <w:rFonts w:ascii="Times New Roman" w:hAnsi="Times New Roman" w:cs="Times New Roman"/>
                <w:b/>
                <w:color w:val="auto"/>
                <w:sz w:val="24"/>
              </w:rPr>
              <w:fldChar w:fldCharType="end"/>
            </w:r>
            <w:r>
              <w:rPr>
                <w:rFonts w:ascii="Times New Roman" w:hAnsi="Times New Roman" w:cs="Times New Roman"/>
                <w:b/>
                <w:color w:val="auto"/>
                <w:sz w:val="24"/>
              </w:rPr>
              <w:t>地表水环境质量底线</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“实施意见”要求：到2025年，纳入国家和省级考核的地表水监测断面水质优良率稳步提升，滇池流域、阳宗海流域水环境质量明显改善，水生态系统功能逐步恢复，滇池草海水质达</w:t>
            </w:r>
            <w:r>
              <w:rPr>
                <w:rFonts w:ascii="Times New Roman" w:cs="Times New Roman" w:hAnsiTheme="minorEastAsia"/>
                <w:color w:val="auto"/>
                <w:sz w:val="24"/>
              </w:rPr>
              <w:t>Ⅳ</w:t>
            </w:r>
            <w:r>
              <w:rPr>
                <w:rFonts w:ascii="Times New Roman" w:hAnsi="Times New Roman" w:cs="Times New Roman"/>
                <w:color w:val="auto"/>
                <w:sz w:val="24"/>
              </w:rPr>
              <w:t>类，滇池外海水质达</w:t>
            </w:r>
            <w:r>
              <w:rPr>
                <w:rFonts w:ascii="Times New Roman" w:cs="Times New Roman" w:hAnsiTheme="minorEastAsia"/>
                <w:color w:val="auto"/>
                <w:sz w:val="24"/>
              </w:rPr>
              <w:t>Ⅳ</w:t>
            </w:r>
            <w:r>
              <w:rPr>
                <w:rFonts w:ascii="Times New Roman" w:hAnsi="Times New Roman" w:cs="Times New Roman"/>
                <w:color w:val="auto"/>
                <w:sz w:val="24"/>
              </w:rPr>
              <w:t>类（化学需氧量≤40毫克/升），阳宗海水质达</w:t>
            </w:r>
            <w:r>
              <w:rPr>
                <w:rFonts w:ascii="Times New Roman" w:cs="Times New Roman" w:hAnsiTheme="minorEastAsia"/>
                <w:color w:val="auto"/>
                <w:sz w:val="24"/>
              </w:rPr>
              <w:t>Ⅲ</w:t>
            </w:r>
            <w:r>
              <w:rPr>
                <w:rFonts w:ascii="Times New Roman" w:hAnsi="Times New Roman" w:cs="Times New Roman"/>
                <w:color w:val="auto"/>
                <w:sz w:val="24"/>
              </w:rPr>
              <w:t>类，集中式饮用水源水质巩固改善。到2035年，地表水体水质优良率全面提升，各监测断面水质达到水环境功能要求，消除劣V类水体，集中式饮用水水源水质稳定达标。</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根据调查，本项目地表水体小江姑海断面水质可达到《地表水环境质量标准》（GB3838-2002）III类标准；且项目运行期间无废水外排入环境，不会改变区域地表水环境质量功能要求。</w:t>
            </w:r>
          </w:p>
          <w:p>
            <w:pPr>
              <w:spacing w:line="360" w:lineRule="auto"/>
              <w:ind w:firstLine="482" w:firstLineChars="200"/>
              <w:rPr>
                <w:rFonts w:ascii="Times New Roman" w:hAnsi="Times New Roman" w:cs="Times New Roman"/>
                <w:b/>
                <w:color w:val="auto"/>
                <w:sz w:val="24"/>
              </w:rPr>
            </w:pPr>
            <w:r>
              <w:rPr>
                <w:rFonts w:ascii="Times New Roman" w:hAnsi="Times New Roman" w:cs="Times New Roman"/>
                <w:b/>
                <w:color w:val="auto"/>
                <w:sz w:val="24"/>
              </w:rPr>
              <w:fldChar w:fldCharType="begin"/>
            </w:r>
            <w:r>
              <w:rPr>
                <w:rFonts w:ascii="Times New Roman" w:hAnsi="Times New Roman" w:cs="Times New Roman"/>
                <w:b/>
                <w:color w:val="auto"/>
                <w:sz w:val="24"/>
              </w:rPr>
              <w:instrText xml:space="preserve"> = 4 \* GB2 </w:instrText>
            </w:r>
            <w:r>
              <w:rPr>
                <w:rFonts w:ascii="Times New Roman" w:hAnsi="Times New Roman" w:cs="Times New Roman"/>
                <w:b/>
                <w:color w:val="auto"/>
                <w:sz w:val="24"/>
              </w:rPr>
              <w:fldChar w:fldCharType="separate"/>
            </w:r>
            <w:r>
              <w:rPr>
                <w:rFonts w:ascii="Times New Roman" w:hAnsi="Times New Roman" w:cs="Times New Roman"/>
                <w:b/>
                <w:color w:val="auto"/>
                <w:sz w:val="24"/>
              </w:rPr>
              <w:t>⑷</w:t>
            </w:r>
            <w:r>
              <w:rPr>
                <w:rFonts w:ascii="Times New Roman" w:hAnsi="Times New Roman" w:cs="Times New Roman"/>
                <w:b/>
                <w:color w:val="auto"/>
                <w:sz w:val="24"/>
              </w:rPr>
              <w:fldChar w:fldCharType="end"/>
            </w:r>
            <w:r>
              <w:rPr>
                <w:rFonts w:ascii="Times New Roman" w:hAnsi="Times New Roman" w:cs="Times New Roman"/>
                <w:b/>
                <w:color w:val="auto"/>
                <w:sz w:val="24"/>
              </w:rPr>
              <w:t>土壤环境质量底线</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实施意见”要求：到2025年，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到2035年，土壤环境质量稳中向好，农用地和建设用地土壤环境安全得到有效保障，土壤环境风险得到全面管控。</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根据调查，项目建设对土壤环境影响较小，只要严格执行相应的土壤环境保护措施，项目建设不会改变区域土壤环境质量功能要求。</w:t>
            </w:r>
          </w:p>
          <w:p>
            <w:pPr>
              <w:spacing w:line="360" w:lineRule="auto"/>
              <w:ind w:firstLine="482" w:firstLineChars="200"/>
              <w:rPr>
                <w:rFonts w:ascii="Times New Roman" w:hAnsi="Times New Roman" w:cs="Times New Roman"/>
                <w:b/>
                <w:color w:val="auto"/>
                <w:sz w:val="24"/>
              </w:rPr>
            </w:pPr>
            <w:r>
              <w:rPr>
                <w:rFonts w:ascii="Times New Roman" w:cs="Times New Roman" w:hAnsiTheme="minorEastAsia"/>
                <w:b/>
                <w:color w:val="auto"/>
                <w:sz w:val="24"/>
                <w:szCs w:val="24"/>
              </w:rPr>
              <w:t>③</w:t>
            </w:r>
            <w:r>
              <w:rPr>
                <w:rFonts w:ascii="Times New Roman" w:hAnsi="Times New Roman" w:cs="Times New Roman"/>
                <w:b/>
                <w:color w:val="auto"/>
                <w:sz w:val="24"/>
                <w:szCs w:val="24"/>
              </w:rPr>
              <w:t>资源利用上线</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《昆明市人民政府关于昆明市“三线一单” 生态环境分区管控的实施意见》对资源利用上限的要求为：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根据调查，项目主要用水环节为生活用水，用水量较全市工业用水量占比极小；项目选址位于工业园区，租用厂房建设，不涉及耕地、基本农田等土地资源，项目能耗较低；因此项目资源利用符合国家相关要求。</w:t>
            </w:r>
          </w:p>
          <w:p>
            <w:pPr>
              <w:spacing w:line="360" w:lineRule="auto"/>
              <w:ind w:firstLine="482" w:firstLineChars="200"/>
              <w:rPr>
                <w:rFonts w:ascii="Times New Roman" w:hAnsi="Times New Roman" w:cs="Times New Roman"/>
                <w:b/>
                <w:color w:val="auto"/>
                <w:sz w:val="24"/>
                <w:szCs w:val="24"/>
              </w:rPr>
            </w:pPr>
            <w:r>
              <w:rPr>
                <w:rFonts w:cs="Times New Roman" w:asciiTheme="minorEastAsia" w:hAnsiTheme="minorEastAsia"/>
                <w:b/>
                <w:color w:val="auto"/>
                <w:sz w:val="24"/>
                <w:szCs w:val="24"/>
              </w:rPr>
              <w:t>④</w:t>
            </w:r>
            <w:r>
              <w:rPr>
                <w:rFonts w:ascii="Times New Roman" w:hAnsi="Times New Roman" w:cs="Times New Roman"/>
                <w:b/>
                <w:color w:val="auto"/>
                <w:sz w:val="24"/>
              </w:rPr>
              <w:t>环境准入负面清单</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《昆明市人民政府关于昆明市“三线一单” 生态环境分区管控的实施意见》提出严格落实严格落实《云南省人民政府关于实施“三线一单”生态环境分区管控的意见》（云政发〔2020〕29号）管控要求。强化污染防治和自然生态系统保护修复，改善区域生态环境质量。根据划分的全市环境管控单元的特征，对每个管控单元分别提出了生态环境管控要求，形成昆明市环境管控单元生态环境准入清单，构建全市生态环境分区管控体系，落实总体管控要求。</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调查，本项目位于本项目位于云南省东川再就业特区天生桥特色产业园，项目所在地属于云南东川再就业特色产业园区重点管控单元，根据东川区环境管控单元生态环境准入清单的管理要求，本项目环境准入负面清单符合性具体下表所示。</w:t>
            </w:r>
          </w:p>
          <w:p>
            <w:pPr>
              <w:jc w:val="center"/>
              <w:rPr>
                <w:rFonts w:ascii="Times New Roman" w:hAnsi="Times New Roman" w:cs="Times New Roman"/>
                <w:b/>
                <w:color w:val="auto"/>
              </w:rPr>
            </w:pPr>
            <w:r>
              <w:rPr>
                <w:rFonts w:ascii="Times New Roman" w:hAnsi="Times New Roman" w:cs="Times New Roman"/>
                <w:b/>
                <w:color w:val="auto"/>
              </w:rPr>
              <w:t>表1-4 与东川区环境管控单元生态环境准入清单符合性分析一览表</w:t>
            </w:r>
          </w:p>
          <w:tbl>
            <w:tblPr>
              <w:tblStyle w:val="20"/>
              <w:tblW w:w="904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52"/>
              <w:gridCol w:w="659"/>
              <w:gridCol w:w="3518"/>
              <w:gridCol w:w="3365"/>
              <w:gridCol w:w="75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52" w:type="dxa"/>
                  <w:vAlign w:val="center"/>
                </w:tcPr>
                <w:p>
                  <w:pPr>
                    <w:pStyle w:val="30"/>
                    <w:spacing w:line="360" w:lineRule="exact"/>
                    <w:rPr>
                      <w:rFonts w:eastAsiaTheme="minorEastAsia"/>
                      <w:color w:val="auto"/>
                      <w:szCs w:val="21"/>
                    </w:rPr>
                  </w:pPr>
                  <w:r>
                    <w:rPr>
                      <w:rFonts w:eastAsiaTheme="minorEastAsia"/>
                      <w:color w:val="auto"/>
                      <w:szCs w:val="21"/>
                    </w:rPr>
                    <w:t>单元名称</w:t>
                  </w:r>
                </w:p>
              </w:tc>
              <w:tc>
                <w:tcPr>
                  <w:tcW w:w="4177" w:type="dxa"/>
                  <w:gridSpan w:val="2"/>
                  <w:vAlign w:val="center"/>
                </w:tcPr>
                <w:p>
                  <w:pPr>
                    <w:pStyle w:val="30"/>
                    <w:spacing w:line="360" w:lineRule="exact"/>
                    <w:rPr>
                      <w:rFonts w:eastAsiaTheme="minorEastAsia"/>
                      <w:color w:val="auto"/>
                      <w:szCs w:val="21"/>
                    </w:rPr>
                  </w:pPr>
                  <w:r>
                    <w:rPr>
                      <w:rFonts w:eastAsiaTheme="minorEastAsia"/>
                      <w:color w:val="auto"/>
                      <w:szCs w:val="21"/>
                    </w:rPr>
                    <w:t>管控要求</w:t>
                  </w:r>
                </w:p>
              </w:tc>
              <w:tc>
                <w:tcPr>
                  <w:tcW w:w="3365" w:type="dxa"/>
                  <w:vAlign w:val="center"/>
                </w:tcPr>
                <w:p>
                  <w:pPr>
                    <w:pStyle w:val="30"/>
                    <w:spacing w:line="360" w:lineRule="exact"/>
                    <w:rPr>
                      <w:rFonts w:eastAsiaTheme="minorEastAsia"/>
                      <w:color w:val="auto"/>
                      <w:szCs w:val="21"/>
                    </w:rPr>
                  </w:pPr>
                  <w:r>
                    <w:rPr>
                      <w:rFonts w:eastAsiaTheme="minorEastAsia"/>
                      <w:color w:val="auto"/>
                      <w:szCs w:val="21"/>
                    </w:rPr>
                    <w:t>项目实际情况</w:t>
                  </w:r>
                </w:p>
              </w:tc>
              <w:tc>
                <w:tcPr>
                  <w:tcW w:w="750" w:type="dxa"/>
                  <w:vAlign w:val="center"/>
                </w:tcPr>
                <w:p>
                  <w:pPr>
                    <w:pStyle w:val="30"/>
                    <w:spacing w:line="360" w:lineRule="exact"/>
                    <w:rPr>
                      <w:rFonts w:eastAsiaTheme="minorEastAsia"/>
                      <w:color w:val="auto"/>
                      <w:szCs w:val="21"/>
                    </w:rPr>
                  </w:pPr>
                  <w:r>
                    <w:rPr>
                      <w:rFonts w:eastAsiaTheme="minorEastAsia"/>
                      <w:color w:val="auto"/>
                      <w:szCs w:val="21"/>
                    </w:rPr>
                    <w:t>符合性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52" w:type="dxa"/>
                  <w:vMerge w:val="restart"/>
                  <w:vAlign w:val="center"/>
                </w:tcPr>
                <w:p>
                  <w:pPr>
                    <w:pStyle w:val="30"/>
                    <w:spacing w:line="360" w:lineRule="exact"/>
                    <w:rPr>
                      <w:rFonts w:eastAsiaTheme="minorEastAsia"/>
                      <w:color w:val="auto"/>
                      <w:szCs w:val="21"/>
                    </w:rPr>
                  </w:pPr>
                  <w:r>
                    <w:rPr>
                      <w:rFonts w:eastAsiaTheme="minorEastAsia"/>
                      <w:color w:val="auto"/>
                      <w:szCs w:val="21"/>
                    </w:rPr>
                    <w:t>重点管控单元</w:t>
                  </w:r>
                </w:p>
              </w:tc>
              <w:tc>
                <w:tcPr>
                  <w:tcW w:w="659" w:type="dxa"/>
                  <w:vAlign w:val="center"/>
                </w:tcPr>
                <w:p>
                  <w:pPr>
                    <w:pStyle w:val="30"/>
                    <w:spacing w:line="360" w:lineRule="exact"/>
                    <w:rPr>
                      <w:rFonts w:eastAsiaTheme="minorEastAsia"/>
                      <w:color w:val="auto"/>
                      <w:szCs w:val="21"/>
                    </w:rPr>
                  </w:pPr>
                  <w:r>
                    <w:rPr>
                      <w:rFonts w:eastAsiaTheme="minorEastAsia"/>
                      <w:color w:val="auto"/>
                      <w:szCs w:val="21"/>
                    </w:rPr>
                    <w:t>空间布局约束</w:t>
                  </w:r>
                </w:p>
              </w:tc>
              <w:tc>
                <w:tcPr>
                  <w:tcW w:w="3518" w:type="dxa"/>
                  <w:vAlign w:val="center"/>
                </w:tcPr>
                <w:p>
                  <w:pPr>
                    <w:pStyle w:val="30"/>
                    <w:spacing w:line="360" w:lineRule="exact"/>
                    <w:ind w:firstLine="210" w:firstLineChars="100"/>
                    <w:jc w:val="both"/>
                    <w:rPr>
                      <w:rFonts w:eastAsiaTheme="minorEastAsia"/>
                      <w:color w:val="auto"/>
                    </w:rPr>
                  </w:pPr>
                  <w:r>
                    <w:rPr>
                      <w:rFonts w:eastAsiaTheme="minorEastAsia"/>
                      <w:color w:val="auto"/>
                    </w:rPr>
                    <w:t>重点发展重化工、有色冶金、铸造、有色金属和稀贵金属加工、机械制造、机电设备、黄金精加工、建筑建材以及食品加工、生物医药行业。</w:t>
                  </w:r>
                </w:p>
              </w:tc>
              <w:tc>
                <w:tcPr>
                  <w:tcW w:w="3365" w:type="dxa"/>
                  <w:vAlign w:val="center"/>
                </w:tcPr>
                <w:p>
                  <w:pPr>
                    <w:pStyle w:val="30"/>
                    <w:spacing w:line="360" w:lineRule="exact"/>
                    <w:ind w:firstLine="210" w:firstLineChars="100"/>
                    <w:jc w:val="both"/>
                    <w:rPr>
                      <w:rFonts w:eastAsiaTheme="minorEastAsia"/>
                      <w:color w:val="auto"/>
                    </w:rPr>
                  </w:pPr>
                  <w:r>
                    <w:rPr>
                      <w:rFonts w:eastAsiaTheme="minorEastAsia"/>
                      <w:color w:val="auto"/>
                    </w:rPr>
                    <w:t>本项目为报废家电（电子垃圾）回收利用类项目，项目已取得</w:t>
                  </w:r>
                  <w:r>
                    <w:rPr>
                      <w:rFonts w:eastAsiaTheme="minorEastAsia"/>
                      <w:color w:val="auto"/>
                      <w:sz w:val="20"/>
                    </w:rPr>
                    <w:t>东川再就业特色产业园区管理委员会于2013年1月30日下发的《东川再就业特色产业园区管理委员会关于同意云南华再新源环保产业发展有限公司入驻天生桥特色产业园的批复》（云东天管【2013】3号）</w:t>
                  </w:r>
                  <w:r>
                    <w:rPr>
                      <w:rFonts w:eastAsiaTheme="minorEastAsia"/>
                      <w:color w:val="auto"/>
                    </w:rPr>
                    <w:t>，符合园区规划。</w:t>
                  </w:r>
                </w:p>
              </w:tc>
              <w:tc>
                <w:tcPr>
                  <w:tcW w:w="750" w:type="dxa"/>
                  <w:vAlign w:val="center"/>
                </w:tcPr>
                <w:p>
                  <w:pPr>
                    <w:pStyle w:val="30"/>
                    <w:spacing w:line="360" w:lineRule="exact"/>
                    <w:rPr>
                      <w:rFonts w:eastAsiaTheme="minorEastAsia"/>
                      <w:color w:val="auto"/>
                      <w:szCs w:val="21"/>
                    </w:rPr>
                  </w:pPr>
                  <w:r>
                    <w:rPr>
                      <w:rFonts w:eastAsiaTheme="minorEastAsia"/>
                      <w:color w:val="auto"/>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52" w:type="dxa"/>
                  <w:vMerge w:val="continue"/>
                  <w:vAlign w:val="center"/>
                </w:tcPr>
                <w:p>
                  <w:pPr>
                    <w:pStyle w:val="30"/>
                    <w:spacing w:line="360" w:lineRule="exact"/>
                    <w:rPr>
                      <w:rFonts w:eastAsiaTheme="minorEastAsia"/>
                      <w:color w:val="auto"/>
                      <w:szCs w:val="21"/>
                    </w:rPr>
                  </w:pPr>
                </w:p>
              </w:tc>
              <w:tc>
                <w:tcPr>
                  <w:tcW w:w="659" w:type="dxa"/>
                  <w:vAlign w:val="center"/>
                </w:tcPr>
                <w:p>
                  <w:pPr>
                    <w:pStyle w:val="30"/>
                    <w:spacing w:line="360" w:lineRule="exact"/>
                    <w:rPr>
                      <w:rFonts w:eastAsiaTheme="minorEastAsia"/>
                      <w:color w:val="auto"/>
                      <w:szCs w:val="21"/>
                    </w:rPr>
                  </w:pPr>
                  <w:r>
                    <w:rPr>
                      <w:rFonts w:eastAsiaTheme="minorEastAsia"/>
                      <w:color w:val="auto"/>
                      <w:szCs w:val="21"/>
                    </w:rPr>
                    <w:t>污染物排放管控</w:t>
                  </w:r>
                </w:p>
              </w:tc>
              <w:tc>
                <w:tcPr>
                  <w:tcW w:w="3518" w:type="dxa"/>
                  <w:vAlign w:val="center"/>
                </w:tcPr>
                <w:p>
                  <w:pPr>
                    <w:pStyle w:val="30"/>
                    <w:spacing w:line="360" w:lineRule="exact"/>
                    <w:ind w:firstLine="210" w:firstLineChars="100"/>
                    <w:jc w:val="both"/>
                    <w:rPr>
                      <w:rFonts w:eastAsiaTheme="minorEastAsia"/>
                      <w:color w:val="auto"/>
                    </w:rPr>
                  </w:pPr>
                  <w:r>
                    <w:rPr>
                      <w:rFonts w:eastAsiaTheme="minorEastAsia"/>
                      <w:color w:val="auto"/>
                    </w:rPr>
                    <w:t>1.四方地组团禁止再安排重污染企业，防止加重该区域的环境污染。</w:t>
                  </w:r>
                </w:p>
                <w:p>
                  <w:pPr>
                    <w:pStyle w:val="30"/>
                    <w:spacing w:line="360" w:lineRule="exact"/>
                    <w:ind w:firstLine="210" w:firstLineChars="100"/>
                    <w:jc w:val="both"/>
                    <w:rPr>
                      <w:rFonts w:eastAsiaTheme="minorEastAsia"/>
                      <w:color w:val="auto"/>
                    </w:rPr>
                  </w:pPr>
                  <w:r>
                    <w:rPr>
                      <w:rFonts w:eastAsiaTheme="minorEastAsia"/>
                      <w:color w:val="auto"/>
                    </w:rPr>
                    <w:t>2.碧谷片区靠近城区一侧安排居住及轻污染的工业项目，该地区地势较低，不得布置空气污染较重的项目。</w:t>
                  </w:r>
                </w:p>
                <w:p>
                  <w:pPr>
                    <w:pStyle w:val="30"/>
                    <w:spacing w:line="360" w:lineRule="exact"/>
                    <w:ind w:firstLine="210" w:firstLineChars="100"/>
                    <w:jc w:val="both"/>
                    <w:rPr>
                      <w:rFonts w:eastAsiaTheme="minorEastAsia"/>
                      <w:color w:val="auto"/>
                    </w:rPr>
                  </w:pPr>
                  <w:r>
                    <w:rPr>
                      <w:rFonts w:eastAsiaTheme="minorEastAsia"/>
                      <w:color w:val="auto"/>
                    </w:rPr>
                    <w:t>3.对门山片区不宜作为工业片区，作为城市服务功能区，靠近城区一侧应营造绿化带和布置低噪声影响项目。</w:t>
                  </w:r>
                </w:p>
                <w:p>
                  <w:pPr>
                    <w:pStyle w:val="30"/>
                    <w:spacing w:line="360" w:lineRule="exact"/>
                    <w:ind w:firstLine="210" w:firstLineChars="100"/>
                    <w:jc w:val="both"/>
                    <w:rPr>
                      <w:rFonts w:eastAsiaTheme="minorEastAsia"/>
                      <w:color w:val="auto"/>
                      <w:szCs w:val="21"/>
                    </w:rPr>
                  </w:pPr>
                  <w:r>
                    <w:rPr>
                      <w:rFonts w:eastAsiaTheme="minorEastAsia"/>
                      <w:color w:val="auto"/>
                    </w:rPr>
                    <w:t>4.阿旺片区不宜布局空气污染大的项目</w:t>
                  </w:r>
                  <w:r>
                    <w:rPr>
                      <w:rFonts w:eastAsiaTheme="minorEastAsia"/>
                      <w:color w:val="auto"/>
                      <w:sz w:val="20"/>
                    </w:rPr>
                    <w:t>。</w:t>
                  </w:r>
                </w:p>
              </w:tc>
              <w:tc>
                <w:tcPr>
                  <w:tcW w:w="3365" w:type="dxa"/>
                  <w:vAlign w:val="center"/>
                </w:tcPr>
                <w:p>
                  <w:pPr>
                    <w:pStyle w:val="30"/>
                    <w:spacing w:line="360" w:lineRule="exact"/>
                    <w:ind w:firstLine="200" w:firstLineChars="100"/>
                    <w:jc w:val="both"/>
                    <w:rPr>
                      <w:rFonts w:eastAsiaTheme="minorEastAsia"/>
                      <w:color w:val="auto"/>
                      <w:szCs w:val="21"/>
                    </w:rPr>
                  </w:pPr>
                  <w:r>
                    <w:rPr>
                      <w:rFonts w:eastAsiaTheme="minorEastAsia"/>
                      <w:color w:val="auto"/>
                      <w:sz w:val="20"/>
                    </w:rPr>
                    <w:t>本项目位于云南省东川再就业特区天生桥特色产业园，不在</w:t>
                  </w:r>
                  <w:r>
                    <w:rPr>
                      <w:rFonts w:eastAsiaTheme="minorEastAsia"/>
                      <w:color w:val="auto"/>
                    </w:rPr>
                    <w:t>四方地组团、碧谷片区、对门山片区和阿旺片区。</w:t>
                  </w:r>
                </w:p>
              </w:tc>
              <w:tc>
                <w:tcPr>
                  <w:tcW w:w="750" w:type="dxa"/>
                  <w:vAlign w:val="center"/>
                </w:tcPr>
                <w:p>
                  <w:pPr>
                    <w:pStyle w:val="30"/>
                    <w:spacing w:line="360" w:lineRule="exact"/>
                    <w:rPr>
                      <w:rFonts w:eastAsiaTheme="minorEastAsia"/>
                      <w:color w:val="auto"/>
                      <w:szCs w:val="21"/>
                    </w:rPr>
                  </w:pPr>
                  <w:r>
                    <w:rPr>
                      <w:rFonts w:eastAsiaTheme="minorEastAsia"/>
                      <w:color w:val="auto"/>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52" w:type="dxa"/>
                  <w:vMerge w:val="continue"/>
                  <w:vAlign w:val="center"/>
                </w:tcPr>
                <w:p>
                  <w:pPr>
                    <w:pStyle w:val="30"/>
                    <w:spacing w:line="360" w:lineRule="exact"/>
                    <w:rPr>
                      <w:rFonts w:eastAsiaTheme="minorEastAsia"/>
                      <w:color w:val="auto"/>
                      <w:szCs w:val="21"/>
                    </w:rPr>
                  </w:pPr>
                </w:p>
              </w:tc>
              <w:tc>
                <w:tcPr>
                  <w:tcW w:w="659" w:type="dxa"/>
                  <w:vAlign w:val="center"/>
                </w:tcPr>
                <w:p>
                  <w:pPr>
                    <w:pStyle w:val="30"/>
                    <w:spacing w:line="360" w:lineRule="exact"/>
                    <w:rPr>
                      <w:rFonts w:eastAsiaTheme="minorEastAsia"/>
                      <w:color w:val="auto"/>
                      <w:szCs w:val="21"/>
                    </w:rPr>
                  </w:pPr>
                  <w:r>
                    <w:rPr>
                      <w:rFonts w:eastAsiaTheme="minorEastAsia"/>
                      <w:color w:val="auto"/>
                      <w:szCs w:val="21"/>
                    </w:rPr>
                    <w:t>环境风险防控</w:t>
                  </w:r>
                </w:p>
              </w:tc>
              <w:tc>
                <w:tcPr>
                  <w:tcW w:w="3518" w:type="dxa"/>
                  <w:vAlign w:val="center"/>
                </w:tcPr>
                <w:p>
                  <w:pPr>
                    <w:pStyle w:val="30"/>
                    <w:spacing w:line="360" w:lineRule="exact"/>
                    <w:ind w:firstLine="210" w:firstLineChars="100"/>
                    <w:jc w:val="both"/>
                    <w:rPr>
                      <w:rFonts w:eastAsiaTheme="minorEastAsia"/>
                      <w:color w:val="auto"/>
                    </w:rPr>
                  </w:pPr>
                  <w:r>
                    <w:rPr>
                      <w:rFonts w:eastAsiaTheme="minorEastAsia"/>
                      <w:color w:val="auto"/>
                    </w:rPr>
                    <w:t>对门山片区发展生物制药及食品加工业时不得使用氨冷冻方式，以免氨泄露造成风险。</w:t>
                  </w:r>
                </w:p>
              </w:tc>
              <w:tc>
                <w:tcPr>
                  <w:tcW w:w="3365" w:type="dxa"/>
                  <w:vAlign w:val="center"/>
                </w:tcPr>
                <w:p>
                  <w:pPr>
                    <w:pStyle w:val="30"/>
                    <w:spacing w:line="360" w:lineRule="exact"/>
                    <w:ind w:firstLine="200" w:firstLineChars="100"/>
                    <w:jc w:val="both"/>
                    <w:rPr>
                      <w:color w:val="auto"/>
                    </w:rPr>
                  </w:pPr>
                  <w:r>
                    <w:rPr>
                      <w:rFonts w:eastAsiaTheme="minorEastAsia"/>
                      <w:color w:val="auto"/>
                      <w:sz w:val="20"/>
                    </w:rPr>
                    <w:t>本项目位于云南省东川再就业特区天生桥特色产业园，不在</w:t>
                  </w:r>
                  <w:r>
                    <w:rPr>
                      <w:rFonts w:eastAsiaTheme="minorEastAsia"/>
                      <w:color w:val="auto"/>
                    </w:rPr>
                    <w:t>对门山片区。</w:t>
                  </w:r>
                </w:p>
              </w:tc>
              <w:tc>
                <w:tcPr>
                  <w:tcW w:w="750" w:type="dxa"/>
                  <w:vAlign w:val="center"/>
                </w:tcPr>
                <w:p>
                  <w:pPr>
                    <w:pStyle w:val="30"/>
                    <w:spacing w:line="360" w:lineRule="exact"/>
                    <w:rPr>
                      <w:rFonts w:eastAsiaTheme="minorEastAsia"/>
                      <w:color w:val="auto"/>
                      <w:szCs w:val="21"/>
                    </w:rPr>
                  </w:pPr>
                  <w:r>
                    <w:rPr>
                      <w:rFonts w:eastAsiaTheme="minorEastAsia"/>
                      <w:color w:val="auto"/>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52" w:type="dxa"/>
                  <w:vMerge w:val="continue"/>
                  <w:vAlign w:val="center"/>
                </w:tcPr>
                <w:p>
                  <w:pPr>
                    <w:pStyle w:val="30"/>
                    <w:spacing w:line="360" w:lineRule="exact"/>
                    <w:rPr>
                      <w:rFonts w:eastAsiaTheme="minorEastAsia"/>
                      <w:color w:val="auto"/>
                      <w:szCs w:val="21"/>
                    </w:rPr>
                  </w:pPr>
                </w:p>
              </w:tc>
              <w:tc>
                <w:tcPr>
                  <w:tcW w:w="659" w:type="dxa"/>
                  <w:vAlign w:val="center"/>
                </w:tcPr>
                <w:p>
                  <w:pPr>
                    <w:pStyle w:val="30"/>
                    <w:spacing w:line="360" w:lineRule="exact"/>
                    <w:rPr>
                      <w:rFonts w:eastAsiaTheme="minorEastAsia"/>
                      <w:bCs w:val="0"/>
                      <w:snapToGrid/>
                      <w:color w:val="auto"/>
                    </w:rPr>
                  </w:pPr>
                  <w:r>
                    <w:rPr>
                      <w:rFonts w:eastAsiaTheme="minorEastAsia"/>
                      <w:color w:val="auto"/>
                      <w:szCs w:val="21"/>
                    </w:rPr>
                    <w:t>资源开发效率要求</w:t>
                  </w:r>
                </w:p>
              </w:tc>
              <w:tc>
                <w:tcPr>
                  <w:tcW w:w="3518" w:type="dxa"/>
                  <w:vAlign w:val="center"/>
                </w:tcPr>
                <w:p>
                  <w:pPr>
                    <w:pStyle w:val="30"/>
                    <w:spacing w:line="360" w:lineRule="exact"/>
                    <w:ind w:firstLine="210" w:firstLineChars="100"/>
                    <w:jc w:val="both"/>
                    <w:rPr>
                      <w:rFonts w:eastAsiaTheme="minorEastAsia"/>
                      <w:color w:val="auto"/>
                    </w:rPr>
                  </w:pPr>
                  <w:r>
                    <w:rPr>
                      <w:rFonts w:eastAsiaTheme="minorEastAsia"/>
                      <w:color w:val="auto"/>
                    </w:rPr>
                    <w:t>城市污水再生利用率在20%以上。工业污水处理达标率达到100%。</w:t>
                  </w:r>
                </w:p>
              </w:tc>
              <w:tc>
                <w:tcPr>
                  <w:tcW w:w="3365"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项目无工业废水外排。</w:t>
                  </w:r>
                </w:p>
              </w:tc>
              <w:tc>
                <w:tcPr>
                  <w:tcW w:w="750" w:type="dxa"/>
                  <w:vAlign w:val="center"/>
                </w:tcPr>
                <w:p>
                  <w:pPr>
                    <w:pStyle w:val="30"/>
                    <w:spacing w:line="360" w:lineRule="exact"/>
                    <w:rPr>
                      <w:rFonts w:eastAsiaTheme="minorEastAsia"/>
                      <w:color w:val="auto"/>
                      <w:szCs w:val="21"/>
                    </w:rPr>
                  </w:pPr>
                  <w:r>
                    <w:rPr>
                      <w:rFonts w:eastAsiaTheme="minorEastAsia"/>
                      <w:color w:val="auto"/>
                      <w:szCs w:val="21"/>
                    </w:rPr>
                    <w:t>符合</w:t>
                  </w:r>
                </w:p>
              </w:tc>
            </w:tr>
          </w:tbl>
          <w:p>
            <w:pPr>
              <w:spacing w:beforeLines="50"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由上表可知，项目建设满足东川区环境管控单元生态环境准入清单的相关要求。</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综上分析，项目建设符合“三线一单”要求。</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（2）与《中华人民共和国长江保护法》</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《中华人民共和国长江保护法》重点从空间管控、规划等方面提出了长江保护的相关要求，保护法提出的具体建设项目的措施符合性具体如下表所示。</w:t>
            </w:r>
          </w:p>
          <w:p>
            <w:pPr>
              <w:jc w:val="center"/>
              <w:rPr>
                <w:rFonts w:ascii="Times New Roman" w:hAnsi="Times New Roman" w:cs="Times New Roman"/>
                <w:b/>
                <w:color w:val="auto"/>
              </w:rPr>
            </w:pPr>
            <w:r>
              <w:rPr>
                <w:rFonts w:ascii="Times New Roman" w:hAnsi="Times New Roman" w:cs="Times New Roman"/>
                <w:b/>
                <w:color w:val="auto"/>
              </w:rPr>
              <w:t>表1-3 与《中华人民共和国长江保护法》符合性分析一览表</w:t>
            </w:r>
          </w:p>
          <w:tbl>
            <w:tblPr>
              <w:tblStyle w:val="20"/>
              <w:tblW w:w="9044"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48"/>
              <w:gridCol w:w="3180"/>
              <w:gridCol w:w="4539"/>
              <w:gridCol w:w="77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548" w:type="dxa"/>
                  <w:vAlign w:val="center"/>
                </w:tcPr>
                <w:p>
                  <w:pPr>
                    <w:pStyle w:val="30"/>
                    <w:spacing w:line="360" w:lineRule="exact"/>
                    <w:rPr>
                      <w:color w:val="auto"/>
                      <w:kern w:val="0"/>
                      <w:szCs w:val="21"/>
                    </w:rPr>
                  </w:pPr>
                  <w:r>
                    <w:rPr>
                      <w:color w:val="auto"/>
                      <w:kern w:val="0"/>
                      <w:szCs w:val="21"/>
                    </w:rPr>
                    <w:t>序号</w:t>
                  </w:r>
                </w:p>
              </w:tc>
              <w:tc>
                <w:tcPr>
                  <w:tcW w:w="3180" w:type="dxa"/>
                  <w:vAlign w:val="center"/>
                </w:tcPr>
                <w:p>
                  <w:pPr>
                    <w:pStyle w:val="30"/>
                    <w:spacing w:line="360" w:lineRule="exact"/>
                    <w:rPr>
                      <w:color w:val="auto"/>
                      <w:kern w:val="0"/>
                      <w:szCs w:val="21"/>
                    </w:rPr>
                  </w:pPr>
                  <w:r>
                    <w:rPr>
                      <w:color w:val="auto"/>
                      <w:kern w:val="0"/>
                      <w:szCs w:val="21"/>
                    </w:rPr>
                    <w:t>中华人民共和国长江保护法要求</w:t>
                  </w:r>
                </w:p>
              </w:tc>
              <w:tc>
                <w:tcPr>
                  <w:tcW w:w="4539" w:type="dxa"/>
                  <w:vAlign w:val="center"/>
                </w:tcPr>
                <w:p>
                  <w:pPr>
                    <w:pStyle w:val="30"/>
                    <w:spacing w:line="360" w:lineRule="exact"/>
                    <w:rPr>
                      <w:color w:val="auto"/>
                      <w:kern w:val="0"/>
                      <w:szCs w:val="21"/>
                    </w:rPr>
                  </w:pPr>
                  <w:r>
                    <w:rPr>
                      <w:color w:val="auto"/>
                      <w:kern w:val="0"/>
                      <w:szCs w:val="21"/>
                    </w:rPr>
                    <w:t>本改扩建项目实际情况</w:t>
                  </w:r>
                </w:p>
              </w:tc>
              <w:tc>
                <w:tcPr>
                  <w:tcW w:w="777" w:type="dxa"/>
                  <w:vAlign w:val="center"/>
                </w:tcPr>
                <w:p>
                  <w:pPr>
                    <w:pStyle w:val="30"/>
                    <w:spacing w:line="360" w:lineRule="exact"/>
                    <w:rPr>
                      <w:color w:val="auto"/>
                      <w:kern w:val="0"/>
                      <w:szCs w:val="21"/>
                    </w:rPr>
                  </w:pPr>
                  <w:r>
                    <w:rPr>
                      <w:color w:val="auto"/>
                      <w:kern w:val="0"/>
                      <w:szCs w:val="21"/>
                    </w:rPr>
                    <w:t>符合性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548" w:type="dxa"/>
                  <w:vAlign w:val="center"/>
                </w:tcPr>
                <w:p>
                  <w:pPr>
                    <w:pStyle w:val="30"/>
                    <w:spacing w:line="360" w:lineRule="exact"/>
                    <w:rPr>
                      <w:color w:val="auto"/>
                      <w:kern w:val="0"/>
                      <w:szCs w:val="21"/>
                    </w:rPr>
                  </w:pPr>
                  <w:r>
                    <w:rPr>
                      <w:color w:val="auto"/>
                      <w:kern w:val="0"/>
                      <w:szCs w:val="21"/>
                    </w:rPr>
                    <w:t>1</w:t>
                  </w:r>
                </w:p>
              </w:tc>
              <w:tc>
                <w:tcPr>
                  <w:tcW w:w="3180" w:type="dxa"/>
                  <w:vAlign w:val="center"/>
                </w:tcPr>
                <w:p>
                  <w:pPr>
                    <w:pStyle w:val="30"/>
                    <w:spacing w:line="360" w:lineRule="exact"/>
                    <w:ind w:firstLine="210" w:firstLineChars="100"/>
                    <w:jc w:val="both"/>
                    <w:rPr>
                      <w:color w:val="auto"/>
                      <w:kern w:val="0"/>
                      <w:szCs w:val="21"/>
                    </w:rPr>
                  </w:pPr>
                  <w:r>
                    <w:rPr>
                      <w:color w:val="auto"/>
                      <w:kern w:val="0"/>
                      <w:szCs w:val="21"/>
                    </w:rPr>
                    <w:t>禁止在长江干支流岸线一公里范围内新建、扩建化工园区和化工项目。</w:t>
                  </w:r>
                </w:p>
              </w:tc>
              <w:tc>
                <w:tcPr>
                  <w:tcW w:w="4539" w:type="dxa"/>
                  <w:vAlign w:val="center"/>
                </w:tcPr>
                <w:p>
                  <w:pPr>
                    <w:pStyle w:val="30"/>
                    <w:spacing w:line="360" w:lineRule="exact"/>
                    <w:ind w:firstLine="210" w:firstLineChars="100"/>
                    <w:jc w:val="both"/>
                    <w:rPr>
                      <w:color w:val="auto"/>
                      <w:kern w:val="0"/>
                      <w:szCs w:val="21"/>
                    </w:rPr>
                  </w:pPr>
                  <w:r>
                    <w:rPr>
                      <w:color w:val="auto"/>
                      <w:kern w:val="0"/>
                      <w:szCs w:val="21"/>
                    </w:rPr>
                    <w:t>本改扩建项目属于废弃电器电子产品物理拆解、分类收集项目，不属于化工项目。</w:t>
                  </w:r>
                </w:p>
              </w:tc>
              <w:tc>
                <w:tcPr>
                  <w:tcW w:w="777" w:type="dxa"/>
                  <w:vAlign w:val="center"/>
                </w:tcPr>
                <w:p>
                  <w:pPr>
                    <w:pStyle w:val="30"/>
                    <w:spacing w:line="360" w:lineRule="exact"/>
                    <w:rPr>
                      <w:color w:val="auto"/>
                      <w:kern w:val="0"/>
                      <w:szCs w:val="21"/>
                    </w:rPr>
                  </w:pPr>
                  <w:r>
                    <w:rPr>
                      <w:color w:val="auto"/>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548" w:type="dxa"/>
                  <w:vAlign w:val="center"/>
                </w:tcPr>
                <w:p>
                  <w:pPr>
                    <w:pStyle w:val="30"/>
                    <w:spacing w:line="360" w:lineRule="exact"/>
                    <w:rPr>
                      <w:color w:val="auto"/>
                      <w:kern w:val="0"/>
                      <w:szCs w:val="21"/>
                    </w:rPr>
                  </w:pPr>
                  <w:r>
                    <w:rPr>
                      <w:color w:val="auto"/>
                      <w:kern w:val="0"/>
                      <w:szCs w:val="21"/>
                    </w:rPr>
                    <w:t>2</w:t>
                  </w:r>
                </w:p>
              </w:tc>
              <w:tc>
                <w:tcPr>
                  <w:tcW w:w="3180" w:type="dxa"/>
                  <w:vAlign w:val="center"/>
                </w:tcPr>
                <w:p>
                  <w:pPr>
                    <w:pStyle w:val="30"/>
                    <w:spacing w:line="360" w:lineRule="exact"/>
                    <w:ind w:firstLine="210" w:firstLineChars="100"/>
                    <w:jc w:val="both"/>
                    <w:rPr>
                      <w:color w:val="auto"/>
                      <w:kern w:val="0"/>
                      <w:szCs w:val="21"/>
                    </w:rPr>
                  </w:pPr>
                  <w:r>
                    <w:rPr>
                      <w:color w:val="auto"/>
                      <w:kern w:val="0"/>
                      <w:szCs w:val="21"/>
                    </w:rPr>
                    <w:t>严格控制高耗水项目建设。</w:t>
                  </w:r>
                </w:p>
              </w:tc>
              <w:tc>
                <w:tcPr>
                  <w:tcW w:w="4539" w:type="dxa"/>
                  <w:vAlign w:val="center"/>
                </w:tcPr>
                <w:p>
                  <w:pPr>
                    <w:pStyle w:val="30"/>
                    <w:pBdr>
                      <w:bottom w:val="single" w:color="DDDDDD" w:sz="6" w:space="7"/>
                    </w:pBdr>
                    <w:spacing w:line="360" w:lineRule="exact"/>
                    <w:ind w:firstLine="210" w:firstLineChars="100"/>
                    <w:jc w:val="both"/>
                    <w:rPr>
                      <w:color w:val="auto"/>
                      <w:kern w:val="0"/>
                      <w:szCs w:val="21"/>
                    </w:rPr>
                  </w:pPr>
                  <w:r>
                    <w:rPr>
                      <w:color w:val="auto"/>
                      <w:kern w:val="0"/>
                      <w:szCs w:val="21"/>
                    </w:rPr>
                    <w:t>水利部发布18项传统高耗水行业包括：钢铁、火力发电、石油炼制、选煤、罐头食品、食糖、毛皮、皮革、核电、氨纶、锦纶、聚酯涤纶、维纶、再生涤纶、多晶硅、离子型稀土矿冶炼分离、对二甲苯、精对二甲苯。</w:t>
                  </w:r>
                </w:p>
                <w:p>
                  <w:pPr>
                    <w:pStyle w:val="30"/>
                    <w:pBdr>
                      <w:bottom w:val="single" w:color="DDDDDD" w:sz="6" w:space="7"/>
                    </w:pBdr>
                    <w:spacing w:line="360" w:lineRule="exact"/>
                    <w:ind w:firstLine="210" w:firstLineChars="100"/>
                    <w:jc w:val="both"/>
                    <w:rPr>
                      <w:color w:val="auto"/>
                      <w:kern w:val="0"/>
                      <w:szCs w:val="21"/>
                    </w:rPr>
                  </w:pPr>
                  <w:r>
                    <w:rPr>
                      <w:color w:val="auto"/>
                      <w:kern w:val="0"/>
                      <w:szCs w:val="21"/>
                    </w:rPr>
                    <w:t>本改扩建项目属于废弃电器电子产品物理拆解、分类收集项目，不属于水利部发布18项传统高耗水行业。</w:t>
                  </w:r>
                </w:p>
              </w:tc>
              <w:tc>
                <w:tcPr>
                  <w:tcW w:w="777" w:type="dxa"/>
                  <w:vAlign w:val="center"/>
                </w:tcPr>
                <w:p>
                  <w:pPr>
                    <w:pStyle w:val="30"/>
                    <w:spacing w:line="360" w:lineRule="exact"/>
                    <w:rPr>
                      <w:color w:val="auto"/>
                      <w:kern w:val="0"/>
                      <w:szCs w:val="21"/>
                    </w:rPr>
                  </w:pPr>
                  <w:r>
                    <w:rPr>
                      <w:color w:val="auto"/>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548" w:type="dxa"/>
                  <w:vAlign w:val="center"/>
                </w:tcPr>
                <w:p>
                  <w:pPr>
                    <w:pStyle w:val="30"/>
                    <w:spacing w:line="360" w:lineRule="exact"/>
                    <w:rPr>
                      <w:color w:val="auto"/>
                      <w:kern w:val="0"/>
                      <w:szCs w:val="21"/>
                    </w:rPr>
                  </w:pPr>
                  <w:r>
                    <w:rPr>
                      <w:color w:val="auto"/>
                      <w:kern w:val="0"/>
                      <w:szCs w:val="21"/>
                    </w:rPr>
                    <w:t>3</w:t>
                  </w:r>
                </w:p>
              </w:tc>
              <w:tc>
                <w:tcPr>
                  <w:tcW w:w="3180" w:type="dxa"/>
                  <w:vAlign w:val="center"/>
                </w:tcPr>
                <w:p>
                  <w:pPr>
                    <w:pStyle w:val="30"/>
                    <w:spacing w:line="360" w:lineRule="exact"/>
                    <w:ind w:firstLine="210" w:firstLineChars="100"/>
                    <w:jc w:val="both"/>
                    <w:rPr>
                      <w:color w:val="auto"/>
                      <w:kern w:val="0"/>
                      <w:szCs w:val="21"/>
                    </w:rPr>
                  </w:pPr>
                  <w:r>
                    <w:rPr>
                      <w:color w:val="auto"/>
                      <w:kern w:val="0"/>
                      <w:szCs w:val="21"/>
                    </w:rPr>
                    <w:t>禁止在长江流域河湖管理范围内倾倒、填埋、堆放、弃置、处理固体废物。</w:t>
                  </w:r>
                </w:p>
              </w:tc>
              <w:tc>
                <w:tcPr>
                  <w:tcW w:w="4539" w:type="dxa"/>
                  <w:vAlign w:val="center"/>
                </w:tcPr>
                <w:p>
                  <w:pPr>
                    <w:pStyle w:val="30"/>
                    <w:spacing w:line="360" w:lineRule="exact"/>
                    <w:ind w:firstLine="210" w:firstLineChars="100"/>
                    <w:jc w:val="both"/>
                    <w:rPr>
                      <w:color w:val="auto"/>
                      <w:kern w:val="0"/>
                      <w:szCs w:val="21"/>
                    </w:rPr>
                  </w:pPr>
                  <w:r>
                    <w:rPr>
                      <w:color w:val="auto"/>
                      <w:kern w:val="0"/>
                      <w:szCs w:val="21"/>
                    </w:rPr>
                    <w:t>项目位于昆明市东川区再就业特区天生桥特色产业园，该区域不属于长江流域河湖管理范围。</w:t>
                  </w:r>
                </w:p>
              </w:tc>
              <w:tc>
                <w:tcPr>
                  <w:tcW w:w="777" w:type="dxa"/>
                  <w:vAlign w:val="center"/>
                </w:tcPr>
                <w:p>
                  <w:pPr>
                    <w:pStyle w:val="30"/>
                    <w:spacing w:line="360" w:lineRule="exact"/>
                    <w:rPr>
                      <w:color w:val="auto"/>
                      <w:kern w:val="0"/>
                      <w:szCs w:val="21"/>
                    </w:rPr>
                  </w:pPr>
                  <w:r>
                    <w:rPr>
                      <w:color w:val="auto"/>
                      <w:kern w:val="0"/>
                      <w:szCs w:val="21"/>
                    </w:rPr>
                    <w:t>符合</w:t>
                  </w:r>
                </w:p>
              </w:tc>
            </w:tr>
          </w:tbl>
          <w:p>
            <w:pPr>
              <w:spacing w:beforeLines="50"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综上，项目建设符合《中华人民共和国长江保护法》的相关要求。</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（3）与《长江经济带发展负面清单指南》（试行）的符合性分析</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2019年1月12日，推动长江经济带发展领导小组办公室发布了《关于发布长江经济带发展负面清单指南（试行）的通知》（第89号），项目位于昆明市东川区再就业特区天生桥特色产业园，项目所在地的纳污水体为小江（清水海-入金沙江口段），小江属于长江的上游主要支流。因此，本环评须分析本改扩建项目与《长江经济带发展负面清单指南（试行）》的符合性。</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具体分析如下表所示。</w:t>
            </w:r>
          </w:p>
          <w:p>
            <w:pPr>
              <w:pStyle w:val="15"/>
              <w:spacing w:after="0"/>
              <w:ind w:left="0" w:leftChars="0"/>
              <w:jc w:val="center"/>
              <w:rPr>
                <w:rFonts w:eastAsiaTheme="minorEastAsia"/>
                <w:b/>
                <w:color w:val="auto"/>
                <w:sz w:val="21"/>
                <w:szCs w:val="21"/>
              </w:rPr>
            </w:pPr>
            <w:r>
              <w:rPr>
                <w:rFonts w:eastAsiaTheme="minorEastAsia"/>
                <w:b/>
                <w:color w:val="auto"/>
                <w:sz w:val="21"/>
                <w:szCs w:val="21"/>
              </w:rPr>
              <w:t>表1-4 与《长江经济带发展负面清单指南（试行）》符合性分析一览表</w:t>
            </w:r>
          </w:p>
          <w:tbl>
            <w:tblPr>
              <w:tblStyle w:val="20"/>
              <w:tblW w:w="9044"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48"/>
              <w:gridCol w:w="3787"/>
              <w:gridCol w:w="3969"/>
              <w:gridCol w:w="74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548" w:type="dxa"/>
                  <w:vAlign w:val="center"/>
                </w:tcPr>
                <w:p>
                  <w:pPr>
                    <w:pStyle w:val="30"/>
                    <w:spacing w:line="360" w:lineRule="exact"/>
                    <w:rPr>
                      <w:rFonts w:eastAsiaTheme="minorEastAsia"/>
                      <w:color w:val="auto"/>
                      <w:kern w:val="0"/>
                      <w:szCs w:val="21"/>
                    </w:rPr>
                  </w:pPr>
                  <w:r>
                    <w:rPr>
                      <w:rFonts w:eastAsiaTheme="minorEastAsia"/>
                      <w:color w:val="auto"/>
                      <w:kern w:val="0"/>
                      <w:szCs w:val="21"/>
                    </w:rPr>
                    <w:t>序号</w:t>
                  </w:r>
                </w:p>
              </w:tc>
              <w:tc>
                <w:tcPr>
                  <w:tcW w:w="3787" w:type="dxa"/>
                  <w:vAlign w:val="center"/>
                </w:tcPr>
                <w:p>
                  <w:pPr>
                    <w:pStyle w:val="30"/>
                    <w:spacing w:line="360" w:lineRule="exact"/>
                    <w:rPr>
                      <w:rFonts w:eastAsiaTheme="minorEastAsia"/>
                      <w:color w:val="auto"/>
                      <w:kern w:val="0"/>
                      <w:szCs w:val="21"/>
                    </w:rPr>
                  </w:pPr>
                  <w:r>
                    <w:rPr>
                      <w:rFonts w:eastAsiaTheme="minorEastAsia"/>
                      <w:color w:val="auto"/>
                      <w:szCs w:val="21"/>
                    </w:rPr>
                    <w:t>长江经济带发展负面清单指南（试行）要求</w:t>
                  </w:r>
                </w:p>
              </w:tc>
              <w:tc>
                <w:tcPr>
                  <w:tcW w:w="3969" w:type="dxa"/>
                  <w:vAlign w:val="center"/>
                </w:tcPr>
                <w:p>
                  <w:pPr>
                    <w:pStyle w:val="30"/>
                    <w:spacing w:line="360" w:lineRule="exact"/>
                    <w:rPr>
                      <w:rFonts w:eastAsiaTheme="minorEastAsia"/>
                      <w:color w:val="auto"/>
                      <w:kern w:val="0"/>
                      <w:szCs w:val="21"/>
                    </w:rPr>
                  </w:pPr>
                  <w:r>
                    <w:rPr>
                      <w:rFonts w:eastAsiaTheme="minorEastAsia"/>
                      <w:color w:val="auto"/>
                      <w:kern w:val="0"/>
                      <w:szCs w:val="21"/>
                    </w:rPr>
                    <w:t>本改扩建项目实际情况</w:t>
                  </w:r>
                </w:p>
              </w:tc>
              <w:tc>
                <w:tcPr>
                  <w:tcW w:w="740" w:type="dxa"/>
                  <w:vAlign w:val="center"/>
                </w:tcPr>
                <w:p>
                  <w:pPr>
                    <w:pStyle w:val="30"/>
                    <w:spacing w:line="360" w:lineRule="exact"/>
                    <w:rPr>
                      <w:rFonts w:eastAsiaTheme="minorEastAsia"/>
                      <w:color w:val="auto"/>
                      <w:kern w:val="0"/>
                      <w:szCs w:val="21"/>
                    </w:rPr>
                  </w:pPr>
                  <w:r>
                    <w:rPr>
                      <w:rFonts w:eastAsiaTheme="minorEastAsia"/>
                      <w:color w:val="auto"/>
                      <w:kern w:val="0"/>
                      <w:szCs w:val="21"/>
                    </w:rPr>
                    <w:t>符合性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548" w:type="dxa"/>
                  <w:vAlign w:val="center"/>
                </w:tcPr>
                <w:p>
                  <w:pPr>
                    <w:pStyle w:val="30"/>
                    <w:spacing w:line="360" w:lineRule="exact"/>
                    <w:rPr>
                      <w:rFonts w:eastAsiaTheme="minorEastAsia"/>
                      <w:color w:val="auto"/>
                      <w:kern w:val="0"/>
                      <w:szCs w:val="21"/>
                    </w:rPr>
                  </w:pPr>
                  <w:r>
                    <w:rPr>
                      <w:rFonts w:eastAsiaTheme="minorEastAsia"/>
                      <w:color w:val="auto"/>
                      <w:kern w:val="0"/>
                      <w:szCs w:val="21"/>
                    </w:rPr>
                    <w:t>1</w:t>
                  </w:r>
                </w:p>
              </w:tc>
              <w:tc>
                <w:tcPr>
                  <w:tcW w:w="3787" w:type="dxa"/>
                  <w:vAlign w:val="center"/>
                </w:tcPr>
                <w:p>
                  <w:pPr>
                    <w:pStyle w:val="30"/>
                    <w:spacing w:line="360" w:lineRule="exact"/>
                    <w:ind w:firstLine="210" w:firstLineChars="100"/>
                    <w:jc w:val="both"/>
                    <w:rPr>
                      <w:rFonts w:eastAsiaTheme="minorEastAsia"/>
                      <w:color w:val="auto"/>
                      <w:kern w:val="0"/>
                      <w:szCs w:val="21"/>
                    </w:rPr>
                  </w:pPr>
                  <w:r>
                    <w:rPr>
                      <w:rFonts w:eastAsiaTheme="minorEastAsia"/>
                      <w:color w:val="auto"/>
                      <w:kern w:val="0"/>
                      <w:szCs w:val="21"/>
                    </w:rPr>
                    <w:t>禁止建设不符合全国和省级港口布局规划以及港口总体规划的码头项目，禁止建设不符合《长江干线过江通道布局规划》的过江通道项目。</w:t>
                  </w:r>
                </w:p>
              </w:tc>
              <w:tc>
                <w:tcPr>
                  <w:tcW w:w="3969" w:type="dxa"/>
                  <w:vAlign w:val="center"/>
                </w:tcPr>
                <w:p>
                  <w:pPr>
                    <w:pStyle w:val="30"/>
                    <w:spacing w:line="360" w:lineRule="exact"/>
                    <w:ind w:firstLine="210" w:firstLineChars="100"/>
                    <w:jc w:val="both"/>
                    <w:rPr>
                      <w:rFonts w:eastAsiaTheme="minorEastAsia"/>
                      <w:color w:val="auto"/>
                      <w:kern w:val="0"/>
                      <w:szCs w:val="21"/>
                    </w:rPr>
                  </w:pPr>
                  <w:r>
                    <w:rPr>
                      <w:rFonts w:eastAsiaTheme="minorEastAsia"/>
                      <w:color w:val="auto"/>
                      <w:kern w:val="0"/>
                      <w:szCs w:val="21"/>
                    </w:rPr>
                    <w:t>项目位于昆明市东川区再就业特区天生桥特色产业园，不涉及码头及过江通道。</w:t>
                  </w:r>
                </w:p>
              </w:tc>
              <w:tc>
                <w:tcPr>
                  <w:tcW w:w="740" w:type="dxa"/>
                  <w:vAlign w:val="center"/>
                </w:tcPr>
                <w:p>
                  <w:pPr>
                    <w:pStyle w:val="30"/>
                    <w:spacing w:line="360" w:lineRule="exact"/>
                    <w:rPr>
                      <w:rFonts w:eastAsiaTheme="minorEastAsia"/>
                      <w:color w:val="auto"/>
                      <w:kern w:val="0"/>
                      <w:szCs w:val="21"/>
                    </w:rPr>
                  </w:pPr>
                  <w:r>
                    <w:rPr>
                      <w:rFonts w:eastAsiaTheme="minorEastAsia"/>
                      <w:color w:val="auto"/>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548" w:type="dxa"/>
                  <w:vAlign w:val="center"/>
                </w:tcPr>
                <w:p>
                  <w:pPr>
                    <w:pStyle w:val="30"/>
                    <w:spacing w:line="360" w:lineRule="exact"/>
                    <w:rPr>
                      <w:rFonts w:eastAsiaTheme="minorEastAsia"/>
                      <w:color w:val="auto"/>
                      <w:kern w:val="0"/>
                      <w:szCs w:val="21"/>
                    </w:rPr>
                  </w:pPr>
                  <w:r>
                    <w:rPr>
                      <w:rFonts w:eastAsiaTheme="minorEastAsia"/>
                      <w:color w:val="auto"/>
                      <w:kern w:val="0"/>
                      <w:szCs w:val="21"/>
                    </w:rPr>
                    <w:t>2</w:t>
                  </w:r>
                </w:p>
              </w:tc>
              <w:tc>
                <w:tcPr>
                  <w:tcW w:w="3787" w:type="dxa"/>
                  <w:vAlign w:val="center"/>
                </w:tcPr>
                <w:p>
                  <w:pPr>
                    <w:pStyle w:val="30"/>
                    <w:spacing w:line="360" w:lineRule="exact"/>
                    <w:ind w:firstLine="210" w:firstLineChars="100"/>
                    <w:jc w:val="both"/>
                    <w:rPr>
                      <w:rFonts w:eastAsiaTheme="minorEastAsia"/>
                      <w:color w:val="auto"/>
                      <w:kern w:val="0"/>
                      <w:szCs w:val="21"/>
                    </w:rPr>
                  </w:pPr>
                  <w:r>
                    <w:rPr>
                      <w:rFonts w:eastAsiaTheme="minorEastAsia"/>
                      <w:color w:val="auto"/>
                      <w:kern w:val="0"/>
                      <w:szCs w:val="21"/>
                    </w:rPr>
                    <w:t>禁止在自然保护区核心区、缓冲区的岸线和河段范围内投资建设旅游和生产经营项目。禁止在风景名胜区核心景区的岸线和河段范围内投资建设与风景名胜资源保护无关的项目；</w:t>
                  </w:r>
                </w:p>
              </w:tc>
              <w:tc>
                <w:tcPr>
                  <w:tcW w:w="3969" w:type="dxa"/>
                  <w:vAlign w:val="center"/>
                </w:tcPr>
                <w:p>
                  <w:pPr>
                    <w:pStyle w:val="30"/>
                    <w:spacing w:line="360" w:lineRule="exact"/>
                    <w:ind w:firstLine="210" w:firstLineChars="100"/>
                    <w:jc w:val="both"/>
                    <w:rPr>
                      <w:rFonts w:eastAsiaTheme="minorEastAsia"/>
                      <w:color w:val="auto"/>
                      <w:kern w:val="0"/>
                      <w:szCs w:val="21"/>
                    </w:rPr>
                  </w:pPr>
                  <w:r>
                    <w:rPr>
                      <w:rFonts w:eastAsiaTheme="minorEastAsia"/>
                      <w:color w:val="auto"/>
                      <w:kern w:val="0"/>
                      <w:szCs w:val="21"/>
                    </w:rPr>
                    <w:t>项目位于昆明市东川区再就业特区天生桥特色产业园，不涉及自然保护区核心区、风景名胜区等特殊敏感区。</w:t>
                  </w:r>
                </w:p>
              </w:tc>
              <w:tc>
                <w:tcPr>
                  <w:tcW w:w="740" w:type="dxa"/>
                  <w:vAlign w:val="center"/>
                </w:tcPr>
                <w:p>
                  <w:pPr>
                    <w:pStyle w:val="30"/>
                    <w:spacing w:line="360" w:lineRule="exact"/>
                    <w:rPr>
                      <w:rFonts w:eastAsiaTheme="minorEastAsia"/>
                      <w:color w:val="auto"/>
                      <w:kern w:val="0"/>
                      <w:szCs w:val="21"/>
                    </w:rPr>
                  </w:pPr>
                  <w:r>
                    <w:rPr>
                      <w:rFonts w:eastAsiaTheme="minorEastAsia"/>
                      <w:color w:val="auto"/>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548" w:type="dxa"/>
                  <w:vAlign w:val="center"/>
                </w:tcPr>
                <w:p>
                  <w:pPr>
                    <w:pStyle w:val="30"/>
                    <w:spacing w:line="360" w:lineRule="exact"/>
                    <w:rPr>
                      <w:rFonts w:eastAsiaTheme="minorEastAsia"/>
                      <w:color w:val="auto"/>
                      <w:kern w:val="0"/>
                      <w:szCs w:val="21"/>
                    </w:rPr>
                  </w:pPr>
                  <w:r>
                    <w:rPr>
                      <w:rFonts w:eastAsiaTheme="minorEastAsia"/>
                      <w:color w:val="auto"/>
                      <w:kern w:val="0"/>
                      <w:szCs w:val="21"/>
                    </w:rPr>
                    <w:t>3</w:t>
                  </w:r>
                </w:p>
              </w:tc>
              <w:tc>
                <w:tcPr>
                  <w:tcW w:w="3787" w:type="dxa"/>
                  <w:vAlign w:val="center"/>
                </w:tcPr>
                <w:p>
                  <w:pPr>
                    <w:pStyle w:val="30"/>
                    <w:spacing w:line="360" w:lineRule="exact"/>
                    <w:ind w:firstLine="210" w:firstLineChars="100"/>
                    <w:jc w:val="both"/>
                    <w:rPr>
                      <w:rFonts w:eastAsiaTheme="minorEastAsia"/>
                      <w:color w:val="auto"/>
                      <w:kern w:val="0"/>
                      <w:szCs w:val="21"/>
                    </w:rPr>
                  </w:pPr>
                  <w:r>
                    <w:rPr>
                      <w:rFonts w:eastAsiaTheme="minorEastAsia"/>
                      <w:color w:val="auto"/>
                      <w:kern w:val="0"/>
                      <w:szCs w:val="21"/>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3969" w:type="dxa"/>
                  <w:vAlign w:val="center"/>
                </w:tcPr>
                <w:p>
                  <w:pPr>
                    <w:pStyle w:val="30"/>
                    <w:spacing w:line="360" w:lineRule="exact"/>
                    <w:ind w:firstLine="210" w:firstLineChars="100"/>
                    <w:jc w:val="both"/>
                    <w:rPr>
                      <w:rFonts w:eastAsiaTheme="minorEastAsia"/>
                      <w:color w:val="auto"/>
                      <w:kern w:val="0"/>
                      <w:szCs w:val="21"/>
                    </w:rPr>
                  </w:pPr>
                  <w:r>
                    <w:rPr>
                      <w:rFonts w:eastAsiaTheme="minorEastAsia"/>
                      <w:color w:val="auto"/>
                      <w:kern w:val="0"/>
                      <w:szCs w:val="21"/>
                    </w:rPr>
                    <w:t>项目位于昆明市东川区再就业特区天生桥特色产业园，</w:t>
                  </w:r>
                  <w:r>
                    <w:rPr>
                      <w:color w:val="auto"/>
                      <w:kern w:val="0"/>
                      <w:szCs w:val="21"/>
                    </w:rPr>
                    <w:t>不涉及到饮用水水源地的一级保护区或二级保护区。</w:t>
                  </w:r>
                </w:p>
              </w:tc>
              <w:tc>
                <w:tcPr>
                  <w:tcW w:w="740" w:type="dxa"/>
                  <w:vAlign w:val="center"/>
                </w:tcPr>
                <w:p>
                  <w:pPr>
                    <w:pStyle w:val="30"/>
                    <w:spacing w:line="360" w:lineRule="exact"/>
                    <w:rPr>
                      <w:rFonts w:eastAsiaTheme="minorEastAsia"/>
                      <w:color w:val="auto"/>
                      <w:kern w:val="0"/>
                      <w:szCs w:val="21"/>
                    </w:rPr>
                  </w:pPr>
                  <w:r>
                    <w:rPr>
                      <w:rFonts w:eastAsiaTheme="minorEastAsia"/>
                      <w:color w:val="auto"/>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548" w:type="dxa"/>
                  <w:vAlign w:val="center"/>
                </w:tcPr>
                <w:p>
                  <w:pPr>
                    <w:pStyle w:val="30"/>
                    <w:spacing w:line="360" w:lineRule="exact"/>
                    <w:rPr>
                      <w:rFonts w:eastAsiaTheme="minorEastAsia"/>
                      <w:color w:val="auto"/>
                      <w:kern w:val="0"/>
                      <w:szCs w:val="21"/>
                    </w:rPr>
                  </w:pPr>
                  <w:r>
                    <w:rPr>
                      <w:rFonts w:eastAsiaTheme="minorEastAsia"/>
                      <w:color w:val="auto"/>
                      <w:kern w:val="0"/>
                      <w:szCs w:val="21"/>
                    </w:rPr>
                    <w:t>4</w:t>
                  </w:r>
                </w:p>
              </w:tc>
              <w:tc>
                <w:tcPr>
                  <w:tcW w:w="3787" w:type="dxa"/>
                  <w:vAlign w:val="center"/>
                </w:tcPr>
                <w:p>
                  <w:pPr>
                    <w:pStyle w:val="30"/>
                    <w:spacing w:line="360" w:lineRule="exact"/>
                    <w:ind w:firstLine="210" w:firstLineChars="100"/>
                    <w:jc w:val="both"/>
                    <w:rPr>
                      <w:rFonts w:eastAsiaTheme="minorEastAsia"/>
                      <w:color w:val="auto"/>
                      <w:kern w:val="0"/>
                      <w:szCs w:val="21"/>
                    </w:rPr>
                  </w:pPr>
                  <w:r>
                    <w:rPr>
                      <w:rFonts w:eastAsiaTheme="minorEastAsia"/>
                      <w:color w:val="auto"/>
                      <w:kern w:val="0"/>
                      <w:szCs w:val="21"/>
                    </w:rPr>
                    <w:t>禁止在水产种植资源保护区的岸线和河段范围内新建排放口，以及围湖造田、围海造地或填海等投资建设项目。禁止在国家湿地公园的岸线和河段范围内挖沙、采矿，以及任何不符合主体功能定位的投资建设项目。</w:t>
                  </w:r>
                </w:p>
              </w:tc>
              <w:tc>
                <w:tcPr>
                  <w:tcW w:w="3969" w:type="dxa"/>
                  <w:vAlign w:val="center"/>
                </w:tcPr>
                <w:p>
                  <w:pPr>
                    <w:pStyle w:val="30"/>
                    <w:spacing w:line="360" w:lineRule="exact"/>
                    <w:ind w:firstLine="210" w:firstLineChars="100"/>
                    <w:jc w:val="both"/>
                    <w:rPr>
                      <w:color w:val="auto"/>
                      <w:kern w:val="0"/>
                      <w:szCs w:val="21"/>
                    </w:rPr>
                  </w:pPr>
                  <w:r>
                    <w:rPr>
                      <w:color w:val="auto"/>
                      <w:kern w:val="0"/>
                      <w:szCs w:val="21"/>
                    </w:rPr>
                    <w:t>本改扩建项目属于废弃电器电子产品物理拆解、分类收集项目，项目建设符合主体功能定位，项目所在地的纳污水体为小江（清水海-入金沙江口段），不属于水产种植资源保护区的岸线和河段范围。</w:t>
                  </w:r>
                </w:p>
              </w:tc>
              <w:tc>
                <w:tcPr>
                  <w:tcW w:w="740" w:type="dxa"/>
                  <w:vAlign w:val="center"/>
                </w:tcPr>
                <w:p>
                  <w:pPr>
                    <w:pStyle w:val="30"/>
                    <w:spacing w:line="360" w:lineRule="exact"/>
                    <w:rPr>
                      <w:rFonts w:eastAsiaTheme="minorEastAsia"/>
                      <w:color w:val="auto"/>
                      <w:kern w:val="0"/>
                      <w:szCs w:val="21"/>
                    </w:rPr>
                  </w:pPr>
                  <w:r>
                    <w:rPr>
                      <w:rFonts w:eastAsiaTheme="minorEastAsia"/>
                      <w:color w:val="auto"/>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548" w:type="dxa"/>
                  <w:vAlign w:val="center"/>
                </w:tcPr>
                <w:p>
                  <w:pPr>
                    <w:pStyle w:val="30"/>
                    <w:spacing w:line="360" w:lineRule="exact"/>
                    <w:rPr>
                      <w:rFonts w:eastAsiaTheme="minorEastAsia"/>
                      <w:color w:val="auto"/>
                      <w:kern w:val="0"/>
                      <w:szCs w:val="21"/>
                    </w:rPr>
                  </w:pPr>
                  <w:r>
                    <w:rPr>
                      <w:rFonts w:eastAsiaTheme="minorEastAsia"/>
                      <w:color w:val="auto"/>
                      <w:kern w:val="0"/>
                      <w:szCs w:val="21"/>
                    </w:rPr>
                    <w:t>5</w:t>
                  </w:r>
                </w:p>
              </w:tc>
              <w:tc>
                <w:tcPr>
                  <w:tcW w:w="3787" w:type="dxa"/>
                  <w:vAlign w:val="center"/>
                </w:tcPr>
                <w:p>
                  <w:pPr>
                    <w:pStyle w:val="30"/>
                    <w:spacing w:line="360" w:lineRule="exact"/>
                    <w:ind w:firstLine="210" w:firstLineChars="100"/>
                    <w:jc w:val="both"/>
                    <w:rPr>
                      <w:rFonts w:eastAsiaTheme="minorEastAsia"/>
                      <w:color w:val="auto"/>
                      <w:kern w:val="0"/>
                      <w:szCs w:val="21"/>
                    </w:rPr>
                  </w:pPr>
                  <w:r>
                    <w:rPr>
                      <w:rFonts w:eastAsiaTheme="minorEastAsia"/>
                      <w:color w:val="auto"/>
                      <w:kern w:val="0"/>
                      <w:szCs w:val="21"/>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以及保护生态环境、已建重要枢纽工程以外的项目，禁止在《全国重要江河湖泊水功能区划》划定的河段保护区、保留区内投资建设不利于水资源及自然生态保护的项目。</w:t>
                  </w:r>
                </w:p>
              </w:tc>
              <w:tc>
                <w:tcPr>
                  <w:tcW w:w="3969" w:type="dxa"/>
                  <w:vAlign w:val="center"/>
                </w:tcPr>
                <w:p>
                  <w:pPr>
                    <w:pStyle w:val="30"/>
                    <w:spacing w:line="360" w:lineRule="exact"/>
                    <w:ind w:firstLine="210" w:firstLineChars="100"/>
                    <w:jc w:val="both"/>
                    <w:rPr>
                      <w:rFonts w:eastAsiaTheme="minorEastAsia"/>
                      <w:color w:val="auto"/>
                      <w:kern w:val="0"/>
                      <w:szCs w:val="21"/>
                    </w:rPr>
                  </w:pPr>
                  <w:r>
                    <w:rPr>
                      <w:rFonts w:eastAsiaTheme="minorEastAsia"/>
                      <w:color w:val="auto"/>
                      <w:kern w:val="0"/>
                      <w:szCs w:val="21"/>
                    </w:rPr>
                    <w:t>项目位于昆明市东川区再就业特区天生桥特色产业园，项目所在地的纳污水体为黑泥沟河，该河段不属于《长江岸线保护和开发利用总体规划》划定的岸线保护区，也不属于全国重要江河湖泊水功能区划》划定的河段保护区、保留区。</w:t>
                  </w:r>
                </w:p>
              </w:tc>
              <w:tc>
                <w:tcPr>
                  <w:tcW w:w="740" w:type="dxa"/>
                  <w:vAlign w:val="center"/>
                </w:tcPr>
                <w:p>
                  <w:pPr>
                    <w:pStyle w:val="30"/>
                    <w:spacing w:line="360" w:lineRule="exact"/>
                    <w:rPr>
                      <w:rFonts w:eastAsiaTheme="minorEastAsia"/>
                      <w:color w:val="auto"/>
                      <w:kern w:val="0"/>
                      <w:szCs w:val="21"/>
                    </w:rPr>
                  </w:pPr>
                  <w:r>
                    <w:rPr>
                      <w:rFonts w:eastAsiaTheme="minorEastAsia"/>
                      <w:color w:val="auto"/>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548" w:type="dxa"/>
                  <w:vAlign w:val="center"/>
                </w:tcPr>
                <w:p>
                  <w:pPr>
                    <w:pStyle w:val="30"/>
                    <w:spacing w:line="360" w:lineRule="exact"/>
                    <w:rPr>
                      <w:rFonts w:eastAsiaTheme="minorEastAsia"/>
                      <w:color w:val="auto"/>
                      <w:kern w:val="0"/>
                      <w:szCs w:val="21"/>
                    </w:rPr>
                  </w:pPr>
                  <w:r>
                    <w:rPr>
                      <w:rFonts w:eastAsiaTheme="minorEastAsia"/>
                      <w:color w:val="auto"/>
                      <w:kern w:val="0"/>
                      <w:szCs w:val="21"/>
                    </w:rPr>
                    <w:t>6</w:t>
                  </w:r>
                </w:p>
              </w:tc>
              <w:tc>
                <w:tcPr>
                  <w:tcW w:w="3787" w:type="dxa"/>
                  <w:vAlign w:val="center"/>
                </w:tcPr>
                <w:p>
                  <w:pPr>
                    <w:pStyle w:val="30"/>
                    <w:spacing w:line="360" w:lineRule="exact"/>
                    <w:ind w:firstLine="210" w:firstLineChars="100"/>
                    <w:jc w:val="both"/>
                    <w:rPr>
                      <w:rFonts w:eastAsiaTheme="minorEastAsia"/>
                      <w:color w:val="auto"/>
                      <w:kern w:val="0"/>
                      <w:szCs w:val="21"/>
                    </w:rPr>
                  </w:pPr>
                  <w:r>
                    <w:rPr>
                      <w:rFonts w:eastAsiaTheme="minorEastAsia"/>
                      <w:color w:val="auto"/>
                      <w:kern w:val="0"/>
                      <w:szCs w:val="21"/>
                    </w:rPr>
                    <w:t>禁止在生态保护红线和永久基本农田范围内投资建设除国家重大战略资源勘查项目、生态保护修复合环境治理项目、重大基础设施项目、军事国防项目以及农牧民基本生产生活等必要的民生项目以外的项目。</w:t>
                  </w:r>
                </w:p>
              </w:tc>
              <w:tc>
                <w:tcPr>
                  <w:tcW w:w="3969" w:type="dxa"/>
                  <w:vAlign w:val="center"/>
                </w:tcPr>
                <w:p>
                  <w:pPr>
                    <w:pStyle w:val="30"/>
                    <w:spacing w:line="360" w:lineRule="exact"/>
                    <w:ind w:firstLine="210" w:firstLineChars="100"/>
                    <w:jc w:val="both"/>
                    <w:rPr>
                      <w:rFonts w:eastAsiaTheme="minorEastAsia"/>
                      <w:color w:val="auto"/>
                      <w:kern w:val="0"/>
                      <w:szCs w:val="21"/>
                    </w:rPr>
                  </w:pPr>
                  <w:r>
                    <w:rPr>
                      <w:rFonts w:eastAsiaTheme="minorEastAsia"/>
                      <w:color w:val="auto"/>
                      <w:kern w:val="0"/>
                      <w:szCs w:val="21"/>
                    </w:rPr>
                    <w:t>项目位于昆明市东川区再就业特区天生桥特色产业园，</w:t>
                  </w:r>
                  <w:r>
                    <w:rPr>
                      <w:rFonts w:eastAsiaTheme="minorEastAsia"/>
                      <w:color w:val="auto"/>
                      <w:szCs w:val="21"/>
                    </w:rPr>
                    <w:t>项目建设</w:t>
                  </w:r>
                  <w:r>
                    <w:rPr>
                      <w:rFonts w:eastAsiaTheme="minorEastAsia"/>
                      <w:color w:val="auto"/>
                      <w:kern w:val="0"/>
                      <w:szCs w:val="21"/>
                    </w:rPr>
                    <w:t>不涉及生态保护红线和永久基本农田。</w:t>
                  </w:r>
                </w:p>
              </w:tc>
              <w:tc>
                <w:tcPr>
                  <w:tcW w:w="740" w:type="dxa"/>
                  <w:vAlign w:val="center"/>
                </w:tcPr>
                <w:p>
                  <w:pPr>
                    <w:pStyle w:val="30"/>
                    <w:spacing w:line="360" w:lineRule="exact"/>
                    <w:rPr>
                      <w:rFonts w:eastAsiaTheme="minorEastAsia"/>
                      <w:color w:val="auto"/>
                      <w:kern w:val="0"/>
                      <w:szCs w:val="21"/>
                    </w:rPr>
                  </w:pPr>
                  <w:r>
                    <w:rPr>
                      <w:rFonts w:eastAsiaTheme="minorEastAsia"/>
                      <w:color w:val="auto"/>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548" w:type="dxa"/>
                  <w:vAlign w:val="center"/>
                </w:tcPr>
                <w:p>
                  <w:pPr>
                    <w:pStyle w:val="30"/>
                    <w:spacing w:line="360" w:lineRule="exact"/>
                    <w:rPr>
                      <w:rFonts w:eastAsiaTheme="minorEastAsia"/>
                      <w:color w:val="auto"/>
                      <w:kern w:val="0"/>
                      <w:szCs w:val="21"/>
                    </w:rPr>
                  </w:pPr>
                  <w:r>
                    <w:rPr>
                      <w:rFonts w:eastAsiaTheme="minorEastAsia"/>
                      <w:color w:val="auto"/>
                      <w:kern w:val="0"/>
                      <w:szCs w:val="21"/>
                    </w:rPr>
                    <w:t>7</w:t>
                  </w:r>
                </w:p>
              </w:tc>
              <w:tc>
                <w:tcPr>
                  <w:tcW w:w="3787" w:type="dxa"/>
                  <w:vAlign w:val="center"/>
                </w:tcPr>
                <w:p>
                  <w:pPr>
                    <w:pStyle w:val="30"/>
                    <w:spacing w:line="360" w:lineRule="exact"/>
                    <w:ind w:firstLine="210" w:firstLineChars="100"/>
                    <w:jc w:val="both"/>
                    <w:rPr>
                      <w:rFonts w:eastAsiaTheme="minorEastAsia"/>
                      <w:color w:val="auto"/>
                      <w:kern w:val="0"/>
                      <w:szCs w:val="21"/>
                    </w:rPr>
                  </w:pPr>
                  <w:r>
                    <w:rPr>
                      <w:rFonts w:eastAsiaTheme="minorEastAsia"/>
                      <w:color w:val="auto"/>
                      <w:kern w:val="0"/>
                      <w:szCs w:val="21"/>
                    </w:rPr>
                    <w:t>禁止在长江干支流1公里范围内新建、扩建化工园区和化工项目。禁止在合规园区外新建、扩建钢铁、石化、化工、焦化、建材、有色等高污染项目。</w:t>
                  </w:r>
                </w:p>
              </w:tc>
              <w:tc>
                <w:tcPr>
                  <w:tcW w:w="3969" w:type="dxa"/>
                  <w:vAlign w:val="center"/>
                </w:tcPr>
                <w:p>
                  <w:pPr>
                    <w:pStyle w:val="30"/>
                    <w:spacing w:line="360" w:lineRule="exact"/>
                    <w:ind w:firstLine="210" w:firstLineChars="100"/>
                    <w:jc w:val="both"/>
                    <w:rPr>
                      <w:rFonts w:eastAsiaTheme="minorEastAsia"/>
                      <w:color w:val="auto"/>
                      <w:kern w:val="0"/>
                      <w:szCs w:val="21"/>
                    </w:rPr>
                  </w:pPr>
                  <w:r>
                    <w:rPr>
                      <w:rFonts w:eastAsiaTheme="minorEastAsia"/>
                      <w:color w:val="auto"/>
                      <w:kern w:val="0"/>
                      <w:szCs w:val="21"/>
                    </w:rPr>
                    <w:t>项目位于昆明市东川区再就业特区天生桥特色产业园，根据周边关系可知，距离小江超过10km，项目所在区域不属于禁建范围。</w:t>
                  </w:r>
                </w:p>
              </w:tc>
              <w:tc>
                <w:tcPr>
                  <w:tcW w:w="740" w:type="dxa"/>
                  <w:vAlign w:val="center"/>
                </w:tcPr>
                <w:p>
                  <w:pPr>
                    <w:pStyle w:val="30"/>
                    <w:spacing w:line="360" w:lineRule="exact"/>
                    <w:rPr>
                      <w:rFonts w:eastAsiaTheme="minorEastAsia"/>
                      <w:color w:val="auto"/>
                      <w:kern w:val="0"/>
                      <w:szCs w:val="21"/>
                    </w:rPr>
                  </w:pPr>
                  <w:r>
                    <w:rPr>
                      <w:rFonts w:eastAsiaTheme="minorEastAsia"/>
                      <w:color w:val="auto"/>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548" w:type="dxa"/>
                  <w:vAlign w:val="center"/>
                </w:tcPr>
                <w:p>
                  <w:pPr>
                    <w:pStyle w:val="30"/>
                    <w:spacing w:line="360" w:lineRule="exact"/>
                    <w:rPr>
                      <w:rFonts w:eastAsiaTheme="minorEastAsia"/>
                      <w:color w:val="auto"/>
                      <w:kern w:val="0"/>
                      <w:szCs w:val="21"/>
                    </w:rPr>
                  </w:pPr>
                  <w:r>
                    <w:rPr>
                      <w:rFonts w:eastAsiaTheme="minorEastAsia"/>
                      <w:color w:val="auto"/>
                      <w:kern w:val="0"/>
                      <w:szCs w:val="21"/>
                    </w:rPr>
                    <w:t>8</w:t>
                  </w:r>
                </w:p>
              </w:tc>
              <w:tc>
                <w:tcPr>
                  <w:tcW w:w="3787" w:type="dxa"/>
                  <w:vAlign w:val="center"/>
                </w:tcPr>
                <w:p>
                  <w:pPr>
                    <w:pStyle w:val="30"/>
                    <w:spacing w:line="360" w:lineRule="exact"/>
                    <w:ind w:firstLine="210" w:firstLineChars="100"/>
                    <w:jc w:val="both"/>
                    <w:rPr>
                      <w:rFonts w:eastAsiaTheme="minorEastAsia"/>
                      <w:color w:val="auto"/>
                      <w:kern w:val="0"/>
                      <w:szCs w:val="21"/>
                    </w:rPr>
                  </w:pPr>
                  <w:r>
                    <w:rPr>
                      <w:rFonts w:eastAsiaTheme="minorEastAsia"/>
                      <w:color w:val="auto"/>
                      <w:kern w:val="0"/>
                      <w:szCs w:val="21"/>
                    </w:rPr>
                    <w:t>禁止新建、扩建不符合国家石化、现代煤化工等产业布局规划的项目。</w:t>
                  </w:r>
                </w:p>
              </w:tc>
              <w:tc>
                <w:tcPr>
                  <w:tcW w:w="3969" w:type="dxa"/>
                  <w:vAlign w:val="center"/>
                </w:tcPr>
                <w:p>
                  <w:pPr>
                    <w:pStyle w:val="30"/>
                    <w:spacing w:line="360" w:lineRule="exact"/>
                    <w:ind w:firstLine="210" w:firstLineChars="100"/>
                    <w:jc w:val="both"/>
                    <w:rPr>
                      <w:rFonts w:eastAsiaTheme="minorEastAsia"/>
                      <w:color w:val="auto"/>
                      <w:kern w:val="0"/>
                      <w:szCs w:val="21"/>
                    </w:rPr>
                  </w:pPr>
                  <w:r>
                    <w:rPr>
                      <w:color w:val="auto"/>
                      <w:kern w:val="0"/>
                      <w:szCs w:val="21"/>
                    </w:rPr>
                    <w:t>本改扩建项目属于废弃电器电子产品物理拆解、分类收集项目，</w:t>
                  </w:r>
                  <w:r>
                    <w:rPr>
                      <w:rFonts w:eastAsiaTheme="minorEastAsia"/>
                      <w:color w:val="auto"/>
                      <w:kern w:val="0"/>
                      <w:szCs w:val="21"/>
                    </w:rPr>
                    <w:t>不属于不符合国家石化、现代煤化工等产业布局规划的项目。</w:t>
                  </w:r>
                </w:p>
              </w:tc>
              <w:tc>
                <w:tcPr>
                  <w:tcW w:w="740" w:type="dxa"/>
                  <w:vAlign w:val="center"/>
                </w:tcPr>
                <w:p>
                  <w:pPr>
                    <w:pStyle w:val="30"/>
                    <w:spacing w:line="360" w:lineRule="exact"/>
                    <w:rPr>
                      <w:rFonts w:eastAsiaTheme="minorEastAsia"/>
                      <w:color w:val="auto"/>
                      <w:kern w:val="0"/>
                      <w:szCs w:val="21"/>
                    </w:rPr>
                  </w:pPr>
                  <w:r>
                    <w:rPr>
                      <w:rFonts w:eastAsiaTheme="minorEastAsia"/>
                      <w:color w:val="auto"/>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548" w:type="dxa"/>
                  <w:vAlign w:val="center"/>
                </w:tcPr>
                <w:p>
                  <w:pPr>
                    <w:pStyle w:val="30"/>
                    <w:spacing w:line="360" w:lineRule="exact"/>
                    <w:rPr>
                      <w:rFonts w:eastAsiaTheme="minorEastAsia"/>
                      <w:color w:val="auto"/>
                      <w:kern w:val="0"/>
                      <w:szCs w:val="21"/>
                    </w:rPr>
                  </w:pPr>
                  <w:r>
                    <w:rPr>
                      <w:rFonts w:eastAsiaTheme="minorEastAsia"/>
                      <w:color w:val="auto"/>
                      <w:kern w:val="0"/>
                      <w:szCs w:val="21"/>
                    </w:rPr>
                    <w:t>9</w:t>
                  </w:r>
                </w:p>
              </w:tc>
              <w:tc>
                <w:tcPr>
                  <w:tcW w:w="3787" w:type="dxa"/>
                  <w:vAlign w:val="center"/>
                </w:tcPr>
                <w:p>
                  <w:pPr>
                    <w:pStyle w:val="30"/>
                    <w:spacing w:line="360" w:lineRule="exact"/>
                    <w:ind w:firstLine="210" w:firstLineChars="100"/>
                    <w:jc w:val="both"/>
                    <w:rPr>
                      <w:rFonts w:eastAsiaTheme="minorEastAsia"/>
                      <w:color w:val="auto"/>
                      <w:kern w:val="0"/>
                      <w:szCs w:val="21"/>
                    </w:rPr>
                  </w:pPr>
                  <w:r>
                    <w:rPr>
                      <w:rFonts w:eastAsiaTheme="minorEastAsia"/>
                      <w:color w:val="auto"/>
                      <w:kern w:val="0"/>
                      <w:szCs w:val="21"/>
                    </w:rPr>
                    <w:t>禁止新建、扩建法律法规和相关政策明令禁止的落后产能项目。</w:t>
                  </w:r>
                </w:p>
              </w:tc>
              <w:tc>
                <w:tcPr>
                  <w:tcW w:w="3969" w:type="dxa"/>
                  <w:vAlign w:val="center"/>
                </w:tcPr>
                <w:p>
                  <w:pPr>
                    <w:pStyle w:val="30"/>
                    <w:spacing w:line="360" w:lineRule="exact"/>
                    <w:ind w:firstLine="210" w:firstLineChars="100"/>
                    <w:jc w:val="both"/>
                    <w:rPr>
                      <w:rFonts w:eastAsiaTheme="minorEastAsia"/>
                      <w:color w:val="auto"/>
                      <w:kern w:val="0"/>
                      <w:szCs w:val="21"/>
                    </w:rPr>
                  </w:pPr>
                  <w:r>
                    <w:rPr>
                      <w:rFonts w:eastAsiaTheme="minorEastAsia"/>
                      <w:color w:val="auto"/>
                      <w:kern w:val="0"/>
                      <w:szCs w:val="21"/>
                    </w:rPr>
                    <w:t>本改扩建项目属于废弃电器电子产品物理拆解、分类收集项目，不属于《产业结构调整指导目录（2019年本）》中淘汰类或限制类项目，不属于法律法规和相关政策明令禁止的落后产能项目。</w:t>
                  </w:r>
                </w:p>
              </w:tc>
              <w:tc>
                <w:tcPr>
                  <w:tcW w:w="740" w:type="dxa"/>
                  <w:vAlign w:val="center"/>
                </w:tcPr>
                <w:p>
                  <w:pPr>
                    <w:pStyle w:val="30"/>
                    <w:spacing w:line="360" w:lineRule="exact"/>
                    <w:rPr>
                      <w:rFonts w:eastAsiaTheme="minorEastAsia"/>
                      <w:color w:val="auto"/>
                      <w:kern w:val="0"/>
                      <w:szCs w:val="21"/>
                    </w:rPr>
                  </w:pPr>
                  <w:r>
                    <w:rPr>
                      <w:rFonts w:eastAsiaTheme="minorEastAsia"/>
                      <w:color w:val="auto"/>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548" w:type="dxa"/>
                  <w:vAlign w:val="center"/>
                </w:tcPr>
                <w:p>
                  <w:pPr>
                    <w:pStyle w:val="30"/>
                    <w:spacing w:line="360" w:lineRule="exact"/>
                    <w:rPr>
                      <w:rFonts w:eastAsiaTheme="minorEastAsia"/>
                      <w:color w:val="auto"/>
                      <w:kern w:val="0"/>
                      <w:szCs w:val="21"/>
                    </w:rPr>
                  </w:pPr>
                  <w:r>
                    <w:rPr>
                      <w:rFonts w:eastAsiaTheme="minorEastAsia"/>
                      <w:color w:val="auto"/>
                      <w:kern w:val="0"/>
                      <w:szCs w:val="21"/>
                    </w:rPr>
                    <w:t>10</w:t>
                  </w:r>
                </w:p>
              </w:tc>
              <w:tc>
                <w:tcPr>
                  <w:tcW w:w="3787" w:type="dxa"/>
                  <w:vAlign w:val="center"/>
                </w:tcPr>
                <w:p>
                  <w:pPr>
                    <w:pStyle w:val="30"/>
                    <w:spacing w:line="360" w:lineRule="exact"/>
                    <w:ind w:firstLine="210" w:firstLineChars="100"/>
                    <w:jc w:val="both"/>
                    <w:rPr>
                      <w:rFonts w:eastAsiaTheme="minorEastAsia"/>
                      <w:color w:val="auto"/>
                      <w:kern w:val="0"/>
                      <w:szCs w:val="21"/>
                    </w:rPr>
                  </w:pPr>
                  <w:r>
                    <w:rPr>
                      <w:rFonts w:eastAsiaTheme="minorEastAsia"/>
                      <w:color w:val="auto"/>
                      <w:kern w:val="0"/>
                      <w:szCs w:val="21"/>
                    </w:rPr>
                    <w:t>禁止新建、扩建不符合国家产能置换要求的严重过剩产能行业的项目。</w:t>
                  </w:r>
                </w:p>
              </w:tc>
              <w:tc>
                <w:tcPr>
                  <w:tcW w:w="3969" w:type="dxa"/>
                  <w:vAlign w:val="center"/>
                </w:tcPr>
                <w:p>
                  <w:pPr>
                    <w:pStyle w:val="30"/>
                    <w:spacing w:line="360" w:lineRule="exact"/>
                    <w:ind w:firstLine="210" w:firstLineChars="100"/>
                    <w:jc w:val="both"/>
                    <w:rPr>
                      <w:rFonts w:eastAsiaTheme="minorEastAsia"/>
                      <w:color w:val="auto"/>
                      <w:kern w:val="0"/>
                      <w:szCs w:val="21"/>
                    </w:rPr>
                  </w:pPr>
                  <w:r>
                    <w:rPr>
                      <w:rFonts w:eastAsiaTheme="minorEastAsia"/>
                      <w:color w:val="auto"/>
                      <w:kern w:val="0"/>
                      <w:szCs w:val="21"/>
                    </w:rPr>
                    <w:t>本改扩建项目属于废弃电器电子产品物理拆解、分类收集项目，不属于国家产能置换要求的严重过剩产能行业的项目。</w:t>
                  </w:r>
                </w:p>
              </w:tc>
              <w:tc>
                <w:tcPr>
                  <w:tcW w:w="740" w:type="dxa"/>
                  <w:vAlign w:val="center"/>
                </w:tcPr>
                <w:p>
                  <w:pPr>
                    <w:pStyle w:val="30"/>
                    <w:spacing w:line="360" w:lineRule="exact"/>
                    <w:rPr>
                      <w:rFonts w:eastAsiaTheme="minorEastAsia"/>
                      <w:color w:val="auto"/>
                      <w:kern w:val="0"/>
                      <w:szCs w:val="21"/>
                    </w:rPr>
                  </w:pPr>
                  <w:r>
                    <w:rPr>
                      <w:rFonts w:eastAsiaTheme="minorEastAsia"/>
                      <w:color w:val="auto"/>
                      <w:kern w:val="0"/>
                      <w:szCs w:val="21"/>
                    </w:rPr>
                    <w:t>符合</w:t>
                  </w:r>
                </w:p>
              </w:tc>
            </w:tr>
          </w:tbl>
          <w:p>
            <w:pPr>
              <w:spacing w:beforeLines="50"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由上表可知，本改扩建项目的建设符合《长江经济带发展负面清单指南（试行）》的要求。</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（4）与《长江经济带生态环境保护规划》符合性分析</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长江经济带生态环境保护规划》，项目所在地为长江经济带上游区，规划中指出，长江经济带上游区包括重庆、四川、贵州、云南等省市，区域水土流失、荒漠化严重，矿产资源开发等带来的环境污染和生态破坏问题突出，大城市及周边污染形势严峻。应重点加强水源涵养、水土保持、生物多样性维护和高原湖泊湿地保护，强化自然保护区建设和管护，合理开发利用水资源，禁止煤炭、有色金属、磷矿等资源的无序开发，加大湖库、湿地等敏感区的保护力度，加强云贵川喀斯特地区、金沙江中下游、嘉陵江流域、沱江流域、乌江中上游、三峡库区等区域水土流失治理与生态恢复，推进成渝城市群环境质量持续改善。</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本改扩建项目属于废弃电器电子产品物理拆解、分类收集项目，本改扩建项目的建设与《长江经济带生态环境保护规划》的相关要求不相冲突。</w:t>
            </w: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tc>
      </w:tr>
    </w:tbl>
    <w:p>
      <w:pPr>
        <w:spacing w:line="360" w:lineRule="auto"/>
        <w:jc w:val="left"/>
        <w:outlineLvl w:val="0"/>
        <w:rPr>
          <w:rFonts w:ascii="Times New Roman" w:hAnsi="Times New Roman" w:cs="Times New Roman"/>
          <w:b/>
          <w:color w:val="auto"/>
          <w:sz w:val="28"/>
          <w:szCs w:val="20"/>
        </w:rPr>
      </w:pPr>
      <w:r>
        <w:rPr>
          <w:rFonts w:ascii="Times New Roman" w:hAnsi="Times New Roman" w:cs="Times New Roman"/>
          <w:b/>
          <w:color w:val="auto"/>
          <w:sz w:val="28"/>
          <w:szCs w:val="20"/>
        </w:rPr>
        <w:t>二、建设项目工程分析</w:t>
      </w:r>
    </w:p>
    <w:tbl>
      <w:tblPr>
        <w:tblStyle w:val="20"/>
        <w:tblW w:w="9270"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27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270" w:type="dxa"/>
            <w:vAlign w:val="center"/>
          </w:tcPr>
          <w:p>
            <w:pPr>
              <w:spacing w:line="360" w:lineRule="auto"/>
              <w:ind w:firstLine="360" w:firstLineChars="150"/>
              <w:rPr>
                <w:rFonts w:ascii="Times New Roman" w:hAnsi="Times New Roman" w:eastAsia="微软雅黑" w:cs="Times New Roman"/>
                <w:b/>
                <w:color w:val="auto"/>
                <w:sz w:val="24"/>
                <w:szCs w:val="24"/>
              </w:rPr>
            </w:pPr>
            <w:r>
              <w:rPr>
                <w:rFonts w:ascii="Times New Roman" w:hAnsi="微软雅黑" w:eastAsia="微软雅黑" w:cs="Times New Roman"/>
                <w:b/>
                <w:color w:val="auto"/>
                <w:sz w:val="24"/>
                <w:szCs w:val="24"/>
              </w:rPr>
              <w:t>建设内容</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项目基本情况，云南华再新源环保产业发展有限公司综合拆解车间内，实际建成了5条废旧家电处理线，分别为1条废旧冰箱处理线、1条空调/小家电/废手机及其视听设备消费电子产品处理线、1条废旧洗衣机处理线和2条废旧电视处理线（命名为：1号废旧电视机（液晶电视）处理线、2号废旧电视机（CRT）处理线）。根据调查，目前5条废旧家电处理线的基本情况如下：</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（1）废旧冰箱处理线</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调查，废旧冰箱处理线原处理规模为60台/h，已不能满足废旧冰箱的处理要求，因此建设单位已于2020年对废旧冰箱处理线通过更换设备的方式进行了升级改造，将其处理能力提升至了100台/h（30万台/a），该项目已于2020年6月22日取得昆明市生态环境局东川分局下发的《关于对冰箱线物理拆解、分类收集改扩建项目环境影响报告表的批复》（昆生环（东）复【2020】19号），项目取得批复后开始建设，现已建设完成，并于2021年5月28日完成自主竣工验收。</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废旧冰箱处理线废气通过1根Φ0.5m、高15m的排气筒（DA001）外排。</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（2）空调/小家电/废手机及其视听设备消费电子产品处理线</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现有工程环评，空调/小家电/废手机及其视听设备消费电子产品处理线共设置了1个喷吹室、6个工位和1套空调制冷剂回收系统，对空调/小家电/废手机及其视听设备电子产品进行拆解，拆解废旧空调50台/h（20万台/a），拆解废旧电脑主机50台/h（20万台/a），拆解废旧手机及其视听设备电子产品50台/h（20万台/a）；根据项目实际情况，仅对电脑主机进行了拆解，其他废旧电器均未拆解，因此其冷媒回收机、抽氟机等设备已拆除，因此建设单位拟按原环评及批复对其拆除设备进行恢复，不改变拆解工艺和规模。</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目前，空调/小家电/废手机及其视听设备消费电子产品处理线废气和1号废旧电视机（液晶电视）处理线废气、2号废旧电视机（CRT）处理线普通粉尘共用1根排气筒外排，整改后，空调/小家电/废手机及其视听设备消费电子产品处理线废气通过1根Φ0.4m、高15m的排气筒（DA002）外排。</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（3）废旧洗衣机处理线</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调查，项目正常运营期间，废旧洗衣机处理线的废旧洗衣机现有拆解工位6个，实际处理能力为90台/h；随着企业的发展，市场废旧洗衣机量的增加，现有的废旧洗衣机处理线已不能满足废旧冰箱的处理要求，因此项目拟对该生产线进行改扩建，具体方案为拟新增6个拆解工位，使废旧洗衣机的实际处理能力达到150台/h（30万台/a），同时对其传输平台进行升级，并在现有危险废物贮存间上方设置一个塑料分选平台，将废旧洗衣机拆解的塑料进行分选出ABS、PS两大类塑料，并在厂房外围的大棚内设置两台破碎机，分别对ABS、PS两大类塑料进行破碎。</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目前，废旧洗衣机处理线废气和废旧冰箱处理线废气共用1根排气筒外排，整改后，废旧洗衣机处理线废气通过1根Φ0.84m、高15m的排气筒（DA003）外排。</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（4）1号废旧电视机（液晶电视）处理线</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调查，目前1号废旧电视机（液晶电视）处理线未正常运行，主要原因为整个废旧市场中液晶电视的报废率较低，项目运营期间，基本没有回收到废旧液晶电视进行拆除，以至于现有设备闲置损坏，根据建设单位的市场调研，液晶电视的报废率开始增加，因此，建设单位拟对该生产线进行升级改造，以满足液晶电视的处理需求。其主要升级改造方案为：对1号废旧电视机（液晶电视）处理线增加2台荧光灯管背光模组负压拆解工作台及其环保设施，达到拆解处理液晶电视机、显示器的能力，最终实现拆解90台/h（45万台/a）液晶电视机液晶显示器的能力。最终实现拆解显示设备（含CRT、液晶电视、电脑液晶显示器）90万台/年的拆解处理能力。</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目前，空调/小家电/废手机及其视听设备消费电子产品处理线废气和1号废旧电视机（液晶电视）处理线废气、2号废旧电视机（CRT）处理线普通粉尘共用1根排气筒外排，整改后，1号废旧电视机（液晶电视）处理线废气通过1根Φ0.44m、高15m的排气筒（DA004）外排。</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（5）2号废旧电视机（CRT）处理线</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根据调查，项目正常运营期间，主要拆除的废旧电视主要以老式的CRT电视为主，该生产线运行正常，其拆解能力为90台/h（45万台/a） ，此次技改不对其进行升级改造，该生产线按原方式进行生产。</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2号废旧电视机（CRT）处理线产生废气包括普通粉尘和含铅粉尘，目前空调/小家电/废手机及其视听设备消费电子产品处理线废气和1号废旧电视机（液晶电视）处理线废气、2号废旧电视机（CRT）处理线普通粉尘共用1根排气筒外排，整改后，废旧电视机（CRT)普通粉尘通过1根Φ0.74m、高15m的排气筒（DA005）外排；而废旧电视机（CRT）含铅粉尘通过1根Φ0.76m、高15m的排气筒（DA006）外排。</w:t>
            </w:r>
          </w:p>
          <w:p>
            <w:pPr>
              <w:autoSpaceDE w:val="0"/>
              <w:autoSpaceDN w:val="0"/>
              <w:spacing w:line="360" w:lineRule="auto"/>
              <w:ind w:firstLine="241" w:firstLineChars="100"/>
              <w:rPr>
                <w:rFonts w:ascii="Times New Roman" w:hAnsi="Times New Roman" w:cs="Times New Roman"/>
                <w:b/>
                <w:color w:val="auto"/>
                <w:sz w:val="24"/>
                <w:szCs w:val="24"/>
              </w:rPr>
            </w:pPr>
            <w:r>
              <w:rPr>
                <w:rFonts w:ascii="Times New Roman" w:hAnsi="Times New Roman" w:cs="Times New Roman"/>
                <w:b/>
                <w:color w:val="auto"/>
                <w:sz w:val="24"/>
                <w:szCs w:val="24"/>
              </w:rPr>
              <w:t>2.1 建设内容及规模</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（1）建设规模</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本次技改主要对项目5条拆解线中的2两条拆解线进行技改，技改后废旧冰箱处理线处理规模不变为100台/h（30万台/a）；空调/小家电/废手机及其视听设备消费电子产品处理线处理规模不变为拆解废旧空调50台/h（20万台/a）、拆解废旧电脑主机50台/h（20万台/a）、拆解废旧手机及其视听设备电子产品50台/h（20万台/a）；废旧洗衣机处理线规模由90台/h（18万台/a）提高至150台/h（30万台/a），并增加了塑料破碎系统；1号废旧电视机（液晶电视）处理线处理规模不变为拆解液晶电视机（液晶显示器）90台/h（45万台/a），并增加了2台荧光灯管背光模组负压拆解工作台及其环保设施；2号废旧电视机（CRT）处理线处理规模不变为拆解能力为90台/h（45万台/a）。</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（2）建设内容</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设计，本次技改项目废旧冰箱处理线和2号废旧电视机（CRT）处理线不变，主要建设内容为对废旧洗衣机处理线拟新增6个拆解工位，并在现有危险废物贮存间上方设置一个塑料分选平台，将废旧洗衣机拆解的塑料进行分选出ABS、PS两大类塑料，并在厂房外围的大棚内设置两台破碎机，分别对ABS、PS两大类塑料进行破碎；对1号废旧电视机（液晶电视）处理线增加了2台荧光灯管背光模组负压拆解工作台及其环保设施；将恢复空调/小家电/废手机及其视听设备消费电子产品处理线原有设施。另外项目拟将现有排气筒进行整改，整改后各条生产线均通过各自配套的排气筒外排。</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项目主要工程内容如下表所示。</w:t>
            </w: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pStyle w:val="32"/>
              <w:widowControl/>
              <w:tabs>
                <w:tab w:val="left" w:pos="540"/>
                <w:tab w:val="left" w:pos="851"/>
                <w:tab w:val="left" w:pos="994"/>
                <w:tab w:val="left" w:pos="1260"/>
                <w:tab w:val="left" w:pos="3108"/>
                <w:tab w:val="left" w:pos="3150"/>
              </w:tabs>
              <w:snapToGrid/>
              <w:spacing w:beforeLines="0"/>
              <w:textAlignment w:val="auto"/>
              <w:rPr>
                <w:rFonts w:hAnsi="Times New Roman" w:eastAsiaTheme="minorEastAsia"/>
                <w:bCs/>
                <w:snapToGrid w:val="0"/>
                <w:color w:val="auto"/>
                <w:sz w:val="21"/>
                <w:szCs w:val="21"/>
              </w:rPr>
            </w:pPr>
          </w:p>
          <w:p>
            <w:pPr>
              <w:pStyle w:val="32"/>
              <w:widowControl/>
              <w:tabs>
                <w:tab w:val="left" w:pos="540"/>
                <w:tab w:val="left" w:pos="851"/>
                <w:tab w:val="left" w:pos="994"/>
                <w:tab w:val="left" w:pos="1260"/>
                <w:tab w:val="left" w:pos="3108"/>
                <w:tab w:val="left" w:pos="3150"/>
              </w:tabs>
              <w:snapToGrid/>
              <w:spacing w:beforeLines="0"/>
              <w:textAlignment w:val="auto"/>
              <w:rPr>
                <w:rFonts w:hAnsi="Times New Roman" w:eastAsiaTheme="minorEastAsia"/>
                <w:bCs/>
                <w:snapToGrid w:val="0"/>
                <w:color w:val="auto"/>
                <w:sz w:val="21"/>
                <w:szCs w:val="21"/>
              </w:rPr>
            </w:pPr>
            <w:r>
              <w:rPr>
                <w:rFonts w:hAnsi="Times New Roman" w:eastAsiaTheme="minorEastAsia"/>
                <w:bCs/>
                <w:snapToGrid w:val="0"/>
                <w:color w:val="auto"/>
                <w:sz w:val="21"/>
                <w:szCs w:val="21"/>
              </w:rPr>
              <w:t>表2.1-1 项目建设内容组成一览表</w:t>
            </w:r>
          </w:p>
          <w:tbl>
            <w:tblPr>
              <w:tblStyle w:val="19"/>
              <w:tblW w:w="90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758"/>
              <w:gridCol w:w="1125"/>
              <w:gridCol w:w="5273"/>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70" w:type="dxa"/>
                  <w:vAlign w:val="center"/>
                </w:tcPr>
                <w:p>
                  <w:pPr>
                    <w:pStyle w:val="30"/>
                    <w:spacing w:line="360" w:lineRule="exact"/>
                    <w:rPr>
                      <w:color w:val="auto"/>
                      <w:szCs w:val="21"/>
                    </w:rPr>
                  </w:pPr>
                  <w:r>
                    <w:rPr>
                      <w:color w:val="auto"/>
                      <w:szCs w:val="21"/>
                    </w:rPr>
                    <w:t>类别</w:t>
                  </w:r>
                </w:p>
              </w:tc>
              <w:tc>
                <w:tcPr>
                  <w:tcW w:w="1883" w:type="dxa"/>
                  <w:gridSpan w:val="2"/>
                  <w:vAlign w:val="center"/>
                </w:tcPr>
                <w:p>
                  <w:pPr>
                    <w:pStyle w:val="30"/>
                    <w:spacing w:line="360" w:lineRule="exact"/>
                    <w:rPr>
                      <w:color w:val="auto"/>
                      <w:szCs w:val="21"/>
                    </w:rPr>
                  </w:pPr>
                  <w:r>
                    <w:rPr>
                      <w:color w:val="auto"/>
                      <w:szCs w:val="21"/>
                    </w:rPr>
                    <w:t>工程内容</w:t>
                  </w:r>
                </w:p>
              </w:tc>
              <w:tc>
                <w:tcPr>
                  <w:tcW w:w="5273" w:type="dxa"/>
                  <w:vAlign w:val="center"/>
                </w:tcPr>
                <w:p>
                  <w:pPr>
                    <w:pStyle w:val="30"/>
                    <w:spacing w:line="360" w:lineRule="exact"/>
                    <w:rPr>
                      <w:color w:val="auto"/>
                      <w:szCs w:val="21"/>
                    </w:rPr>
                  </w:pPr>
                  <w:r>
                    <w:rPr>
                      <w:color w:val="auto"/>
                      <w:szCs w:val="21"/>
                    </w:rPr>
                    <w:t>建筑内容及规模</w:t>
                  </w:r>
                </w:p>
              </w:tc>
              <w:tc>
                <w:tcPr>
                  <w:tcW w:w="1118" w:type="dxa"/>
                  <w:vAlign w:val="center"/>
                </w:tcPr>
                <w:p>
                  <w:pPr>
                    <w:pStyle w:val="30"/>
                    <w:spacing w:line="360" w:lineRule="exact"/>
                    <w:rPr>
                      <w:color w:val="auto"/>
                      <w:szCs w:val="21"/>
                    </w:rPr>
                  </w:pPr>
                  <w:r>
                    <w:rPr>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0" w:type="dxa"/>
                  <w:vMerge w:val="restart"/>
                  <w:vAlign w:val="center"/>
                </w:tcPr>
                <w:p>
                  <w:pPr>
                    <w:pStyle w:val="30"/>
                    <w:spacing w:line="360" w:lineRule="exact"/>
                    <w:rPr>
                      <w:color w:val="auto"/>
                      <w:szCs w:val="21"/>
                    </w:rPr>
                  </w:pPr>
                  <w:r>
                    <w:rPr>
                      <w:color w:val="auto"/>
                      <w:szCs w:val="21"/>
                    </w:rPr>
                    <w:t>主体工程</w:t>
                  </w:r>
                </w:p>
              </w:tc>
              <w:tc>
                <w:tcPr>
                  <w:tcW w:w="758" w:type="dxa"/>
                  <w:vMerge w:val="restart"/>
                  <w:vAlign w:val="center"/>
                </w:tcPr>
                <w:p>
                  <w:pPr>
                    <w:pStyle w:val="30"/>
                    <w:spacing w:line="360" w:lineRule="exact"/>
                    <w:rPr>
                      <w:color w:val="auto"/>
                      <w:szCs w:val="21"/>
                    </w:rPr>
                  </w:pPr>
                  <w:r>
                    <w:rPr>
                      <w:color w:val="auto"/>
                      <w:szCs w:val="21"/>
                    </w:rPr>
                    <w:t>生产车间</w:t>
                  </w:r>
                </w:p>
              </w:tc>
              <w:tc>
                <w:tcPr>
                  <w:tcW w:w="1125" w:type="dxa"/>
                  <w:vAlign w:val="center"/>
                </w:tcPr>
                <w:p>
                  <w:pPr>
                    <w:pStyle w:val="30"/>
                    <w:spacing w:line="360" w:lineRule="exact"/>
                    <w:rPr>
                      <w:color w:val="auto"/>
                      <w:szCs w:val="21"/>
                    </w:rPr>
                  </w:pPr>
                  <w:r>
                    <w:rPr>
                      <w:color w:val="auto"/>
                      <w:szCs w:val="21"/>
                    </w:rPr>
                    <w:t>废旧冰箱处理线</w:t>
                  </w:r>
                </w:p>
              </w:tc>
              <w:tc>
                <w:tcPr>
                  <w:tcW w:w="5273" w:type="dxa"/>
                  <w:vAlign w:val="center"/>
                </w:tcPr>
                <w:p>
                  <w:pPr>
                    <w:pStyle w:val="30"/>
                    <w:spacing w:line="360" w:lineRule="exact"/>
                    <w:ind w:firstLine="210" w:firstLineChars="100"/>
                    <w:jc w:val="both"/>
                    <w:rPr>
                      <w:color w:val="auto"/>
                      <w:szCs w:val="21"/>
                    </w:rPr>
                  </w:pPr>
                  <w:r>
                    <w:rPr>
                      <w:color w:val="auto"/>
                      <w:szCs w:val="21"/>
                    </w:rPr>
                    <w:t>项目废旧冰箱处理线的占地面积约为1200m²，废旧冰箱处理线配套设置预处理工序、破碎工序和分选工序等设施区域，处理废旧冰箱100台/h，该生产线的工作制度为年生产300d，每天生产10h，可处理废旧冰箱30万台/a。</w:t>
                  </w:r>
                </w:p>
                <w:p>
                  <w:pPr>
                    <w:pStyle w:val="30"/>
                    <w:spacing w:line="360" w:lineRule="exact"/>
                    <w:ind w:firstLine="210" w:firstLineChars="100"/>
                    <w:jc w:val="both"/>
                    <w:rPr>
                      <w:color w:val="auto"/>
                      <w:szCs w:val="21"/>
                    </w:rPr>
                  </w:pPr>
                  <w:r>
                    <w:rPr>
                      <w:color w:val="auto"/>
                      <w:szCs w:val="21"/>
                    </w:rPr>
                    <w:t>废旧冰箱处理线产生的粉尘及有机废气经集气罩收集、管道运输至旋风除尘+</w:t>
                  </w:r>
                  <w:r>
                    <w:rPr>
                      <w:rFonts w:hint="eastAsia"/>
                      <w:color w:val="auto"/>
                      <w:szCs w:val="21"/>
                    </w:rPr>
                    <w:t>1</w:t>
                  </w:r>
                  <w:r>
                    <w:rPr>
                      <w:color w:val="auto"/>
                      <w:szCs w:val="21"/>
                    </w:rPr>
                    <w:t>#脉冲除尘器+有机废气处理装置处理后，单独通过DA00</w:t>
                  </w:r>
                  <w:r>
                    <w:rPr>
                      <w:rFonts w:hint="eastAsia"/>
                      <w:color w:val="auto"/>
                      <w:szCs w:val="21"/>
                    </w:rPr>
                    <w:t>1</w:t>
                  </w:r>
                  <w:r>
                    <w:rPr>
                      <w:color w:val="auto"/>
                      <w:szCs w:val="21"/>
                    </w:rPr>
                    <w:t>排气筒外排。</w:t>
                  </w:r>
                </w:p>
                <w:p>
                  <w:pPr>
                    <w:pStyle w:val="30"/>
                    <w:spacing w:line="360" w:lineRule="exact"/>
                    <w:ind w:firstLine="210" w:firstLineChars="100"/>
                    <w:jc w:val="both"/>
                    <w:rPr>
                      <w:color w:val="auto"/>
                      <w:szCs w:val="21"/>
                    </w:rPr>
                  </w:pPr>
                  <w:r>
                    <w:rPr>
                      <w:color w:val="auto"/>
                      <w:szCs w:val="21"/>
                    </w:rPr>
                    <w:t>该生产线已于2020年6月22日取得昆明市生态环境局东川分局下发的《关于对冰箱线物理拆解、分类收集改扩建项目环境影响报告表的批复》（昆生环（东）复【2020】19号），项目取得批复后开始建设，现已建设完成，并于2021年5月28日完成自主竣工验收。</w:t>
                  </w:r>
                </w:p>
                <w:p>
                  <w:pPr>
                    <w:pStyle w:val="30"/>
                    <w:spacing w:line="360" w:lineRule="exact"/>
                    <w:ind w:firstLine="210" w:firstLineChars="100"/>
                    <w:jc w:val="both"/>
                    <w:rPr>
                      <w:color w:val="auto"/>
                      <w:szCs w:val="21"/>
                    </w:rPr>
                  </w:pPr>
                  <w:r>
                    <w:rPr>
                      <w:color w:val="auto"/>
                      <w:szCs w:val="21"/>
                    </w:rPr>
                    <w:t>本次技改不涉及该生产线，该生产线环保手续齐全。</w:t>
                  </w:r>
                </w:p>
              </w:tc>
              <w:tc>
                <w:tcPr>
                  <w:tcW w:w="1118" w:type="dxa"/>
                  <w:vAlign w:val="center"/>
                </w:tcPr>
                <w:p>
                  <w:pPr>
                    <w:pStyle w:val="30"/>
                    <w:spacing w:line="360" w:lineRule="exact"/>
                    <w:ind w:firstLine="210" w:firstLineChars="100"/>
                    <w:jc w:val="both"/>
                    <w:rPr>
                      <w:color w:val="auto"/>
                      <w:szCs w:val="21"/>
                    </w:rPr>
                  </w:pPr>
                  <w:r>
                    <w:rPr>
                      <w:color w:val="auto"/>
                      <w:szCs w:val="21"/>
                    </w:rPr>
                    <w:t>已建成，正常运行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0" w:type="dxa"/>
                  <w:vMerge w:val="continue"/>
                  <w:vAlign w:val="center"/>
                </w:tcPr>
                <w:p>
                  <w:pPr>
                    <w:pStyle w:val="30"/>
                    <w:spacing w:line="360" w:lineRule="exact"/>
                    <w:rPr>
                      <w:color w:val="auto"/>
                      <w:szCs w:val="21"/>
                    </w:rPr>
                  </w:pPr>
                </w:p>
              </w:tc>
              <w:tc>
                <w:tcPr>
                  <w:tcW w:w="758" w:type="dxa"/>
                  <w:vMerge w:val="continue"/>
                  <w:vAlign w:val="center"/>
                </w:tcPr>
                <w:p>
                  <w:pPr>
                    <w:pStyle w:val="30"/>
                    <w:spacing w:line="360" w:lineRule="exact"/>
                    <w:rPr>
                      <w:color w:val="auto"/>
                      <w:szCs w:val="21"/>
                    </w:rPr>
                  </w:pPr>
                </w:p>
              </w:tc>
              <w:tc>
                <w:tcPr>
                  <w:tcW w:w="1125" w:type="dxa"/>
                  <w:vAlign w:val="center"/>
                </w:tcPr>
                <w:p>
                  <w:pPr>
                    <w:pStyle w:val="30"/>
                    <w:spacing w:line="360" w:lineRule="exact"/>
                    <w:rPr>
                      <w:color w:val="auto"/>
                      <w:szCs w:val="21"/>
                    </w:rPr>
                  </w:pPr>
                  <w:r>
                    <w:rPr>
                      <w:color w:val="auto"/>
                      <w:szCs w:val="21"/>
                    </w:rPr>
                    <w:t>空调/小家电/废手机及其视听设备消费电子产品处理线</w:t>
                  </w:r>
                </w:p>
              </w:tc>
              <w:tc>
                <w:tcPr>
                  <w:tcW w:w="5273" w:type="dxa"/>
                  <w:vAlign w:val="center"/>
                </w:tcPr>
                <w:p>
                  <w:pPr>
                    <w:pStyle w:val="30"/>
                    <w:spacing w:line="360" w:lineRule="exact"/>
                    <w:ind w:firstLine="210" w:firstLineChars="100"/>
                    <w:jc w:val="both"/>
                    <w:rPr>
                      <w:color w:val="auto"/>
                      <w:szCs w:val="21"/>
                    </w:rPr>
                  </w:pPr>
                  <w:r>
                    <w:rPr>
                      <w:color w:val="auto"/>
                      <w:szCs w:val="21"/>
                    </w:rPr>
                    <w:t>项目空调/小家电/废手机及其视听设备消费电子产品处理线的占地面积约为600m²，根据现有工程环评，空调/小家电/废手机及其视听设备消费电子产品处理线共设置了1个喷吹室、6个工位和1套空调制冷剂回收系统，对空调/小家电/废手机及其视听设备电子产品进行拆解，拆解废旧空调50台/h（20万台/a），拆解废旧电脑主机50台/h（20万台/a），拆解废旧手机及其视听设备电子产品50台/h（20万台/a）；根据项目实际情况，仅对电脑主机进行了拆解，其他废旧电器均未拆解，因此其1套空调制冷剂回收系统（冷媒回收机、抽氟机）已拆除，因此建设单位拟按原环评及批复对其拆除设备进行恢复，不改变拆解工艺和规模。</w:t>
                  </w:r>
                </w:p>
                <w:p>
                  <w:pPr>
                    <w:pStyle w:val="30"/>
                    <w:spacing w:line="360" w:lineRule="exact"/>
                    <w:ind w:firstLine="210" w:firstLineChars="100"/>
                    <w:jc w:val="both"/>
                    <w:rPr>
                      <w:color w:val="auto"/>
                      <w:szCs w:val="21"/>
                    </w:rPr>
                  </w:pPr>
                  <w:r>
                    <w:rPr>
                      <w:color w:val="auto"/>
                      <w:szCs w:val="21"/>
                    </w:rPr>
                    <w:t>空调/小家电/废手机及其视听设备消费电子产品处理线产生的粉尘通过集气罩收集、管道输送至</w:t>
                  </w:r>
                  <w:r>
                    <w:rPr>
                      <w:rFonts w:hint="eastAsia"/>
                      <w:color w:val="auto"/>
                      <w:szCs w:val="21"/>
                    </w:rPr>
                    <w:t>2</w:t>
                  </w:r>
                  <w:r>
                    <w:rPr>
                      <w:color w:val="auto"/>
                      <w:szCs w:val="21"/>
                    </w:rPr>
                    <w:t>#脉冲除尘器处理后，单独通过DA00</w:t>
                  </w:r>
                  <w:r>
                    <w:rPr>
                      <w:rFonts w:hint="eastAsia"/>
                      <w:color w:val="auto"/>
                      <w:szCs w:val="21"/>
                    </w:rPr>
                    <w:t>2</w:t>
                  </w:r>
                  <w:r>
                    <w:rPr>
                      <w:color w:val="auto"/>
                      <w:szCs w:val="21"/>
                    </w:rPr>
                    <w:t>排气筒外排。</w:t>
                  </w:r>
                </w:p>
                <w:p>
                  <w:pPr>
                    <w:pStyle w:val="30"/>
                    <w:spacing w:line="360" w:lineRule="exact"/>
                    <w:ind w:firstLine="210" w:firstLineChars="100"/>
                    <w:jc w:val="both"/>
                    <w:rPr>
                      <w:color w:val="auto"/>
                      <w:szCs w:val="21"/>
                    </w:rPr>
                  </w:pPr>
                  <w:r>
                    <w:rPr>
                      <w:color w:val="auto"/>
                      <w:szCs w:val="21"/>
                    </w:rPr>
                    <w:t>本次技改不涉及该生产线，该生产线环保手续齐全。</w:t>
                  </w:r>
                </w:p>
              </w:tc>
              <w:tc>
                <w:tcPr>
                  <w:tcW w:w="1118" w:type="dxa"/>
                  <w:vAlign w:val="center"/>
                </w:tcPr>
                <w:p>
                  <w:pPr>
                    <w:pStyle w:val="30"/>
                    <w:spacing w:line="360" w:lineRule="exact"/>
                    <w:ind w:firstLine="210" w:firstLineChars="100"/>
                    <w:jc w:val="both"/>
                    <w:rPr>
                      <w:color w:val="auto"/>
                      <w:szCs w:val="21"/>
                    </w:rPr>
                  </w:pPr>
                  <w:r>
                    <w:rPr>
                      <w:color w:val="auto"/>
                      <w:szCs w:val="21"/>
                    </w:rPr>
                    <w:t>恢复现有工程生产线，本次技改工程不涉及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0" w:type="dxa"/>
                  <w:vMerge w:val="continue"/>
                  <w:vAlign w:val="center"/>
                </w:tcPr>
                <w:p>
                  <w:pPr>
                    <w:pStyle w:val="30"/>
                    <w:spacing w:line="360" w:lineRule="exact"/>
                    <w:rPr>
                      <w:color w:val="auto"/>
                      <w:szCs w:val="21"/>
                    </w:rPr>
                  </w:pPr>
                </w:p>
              </w:tc>
              <w:tc>
                <w:tcPr>
                  <w:tcW w:w="758" w:type="dxa"/>
                  <w:vMerge w:val="continue"/>
                  <w:vAlign w:val="center"/>
                </w:tcPr>
                <w:p>
                  <w:pPr>
                    <w:pStyle w:val="30"/>
                    <w:spacing w:line="360" w:lineRule="exact"/>
                    <w:rPr>
                      <w:color w:val="auto"/>
                      <w:szCs w:val="21"/>
                    </w:rPr>
                  </w:pPr>
                </w:p>
              </w:tc>
              <w:tc>
                <w:tcPr>
                  <w:tcW w:w="1125" w:type="dxa"/>
                  <w:vAlign w:val="center"/>
                </w:tcPr>
                <w:p>
                  <w:pPr>
                    <w:pStyle w:val="30"/>
                    <w:spacing w:line="360" w:lineRule="exact"/>
                    <w:rPr>
                      <w:color w:val="auto"/>
                      <w:szCs w:val="21"/>
                    </w:rPr>
                  </w:pPr>
                  <w:r>
                    <w:rPr>
                      <w:color w:val="auto"/>
                      <w:szCs w:val="21"/>
                    </w:rPr>
                    <w:t>废旧洗衣机处理线</w:t>
                  </w:r>
                </w:p>
              </w:tc>
              <w:tc>
                <w:tcPr>
                  <w:tcW w:w="5273" w:type="dxa"/>
                  <w:vAlign w:val="center"/>
                </w:tcPr>
                <w:p>
                  <w:pPr>
                    <w:pStyle w:val="30"/>
                    <w:spacing w:line="360" w:lineRule="exact"/>
                    <w:ind w:firstLine="210" w:firstLineChars="100"/>
                    <w:jc w:val="both"/>
                    <w:rPr>
                      <w:color w:val="auto"/>
                      <w:szCs w:val="21"/>
                    </w:rPr>
                  </w:pPr>
                  <w:r>
                    <w:rPr>
                      <w:color w:val="auto"/>
                      <w:szCs w:val="21"/>
                    </w:rPr>
                    <w:t>项目废旧洗衣机处理线的占地面积约为900m²，废旧洗衣机处理线属于单工位拆解，即每个工位即可对每台废旧洗衣机主要组成结构进行拆解，目前项目已设置了6个拆解工位，拟新增6个拆解工位，合计设置12个拆解工位和1台液压杵；同时对其传输平台进行升级，并在现有危险废物贮存间上方设置一个塑料手工分选平台，将废旧洗衣机拆解的塑料进行分选出ABS、PS两大类塑料，并在厂房外围的大棚内设置两台破碎机，分别对ABS、PS两大类塑料进行破碎。废旧洗衣机处理线处理能力达到150台/h，该生产线工作制度为年生产250d，每天生产8h，可处理废旧洗衣机30万台/a。</w:t>
                  </w:r>
                </w:p>
                <w:p>
                  <w:pPr>
                    <w:pStyle w:val="30"/>
                    <w:spacing w:line="360" w:lineRule="exact"/>
                    <w:ind w:firstLine="210" w:firstLineChars="100"/>
                    <w:jc w:val="both"/>
                    <w:rPr>
                      <w:color w:val="auto"/>
                      <w:szCs w:val="21"/>
                    </w:rPr>
                  </w:pPr>
                  <w:r>
                    <w:rPr>
                      <w:color w:val="auto"/>
                      <w:szCs w:val="21"/>
                    </w:rPr>
                    <w:t>废旧洗衣机处理线产生的粉尘通过集气罩收集、管道运输后进入</w:t>
                  </w:r>
                  <w:r>
                    <w:rPr>
                      <w:rFonts w:hint="eastAsia"/>
                      <w:color w:val="auto"/>
                      <w:szCs w:val="21"/>
                    </w:rPr>
                    <w:t>3</w:t>
                  </w:r>
                  <w:r>
                    <w:rPr>
                      <w:color w:val="auto"/>
                      <w:szCs w:val="21"/>
                    </w:rPr>
                    <w:t>#脉冲除尘器处理后，单独通过DA00</w:t>
                  </w:r>
                  <w:r>
                    <w:rPr>
                      <w:rFonts w:hint="eastAsia"/>
                      <w:color w:val="auto"/>
                      <w:szCs w:val="21"/>
                    </w:rPr>
                    <w:t>3</w:t>
                  </w:r>
                  <w:r>
                    <w:rPr>
                      <w:color w:val="auto"/>
                      <w:szCs w:val="21"/>
                    </w:rPr>
                    <w:t>排气筒外排。</w:t>
                  </w:r>
                </w:p>
              </w:tc>
              <w:tc>
                <w:tcPr>
                  <w:tcW w:w="1118" w:type="dxa"/>
                  <w:vAlign w:val="center"/>
                </w:tcPr>
                <w:p>
                  <w:pPr>
                    <w:pStyle w:val="30"/>
                    <w:spacing w:line="360" w:lineRule="exact"/>
                    <w:ind w:firstLine="210" w:firstLineChars="100"/>
                    <w:jc w:val="both"/>
                    <w:rPr>
                      <w:color w:val="auto"/>
                      <w:szCs w:val="21"/>
                    </w:rPr>
                  </w:pPr>
                  <w:r>
                    <w:rPr>
                      <w:color w:val="auto"/>
                      <w:szCs w:val="21"/>
                    </w:rPr>
                    <w:t>本次技改线，未技改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0" w:type="dxa"/>
                  <w:vMerge w:val="continue"/>
                  <w:vAlign w:val="center"/>
                </w:tcPr>
                <w:p>
                  <w:pPr>
                    <w:pStyle w:val="30"/>
                    <w:spacing w:line="360" w:lineRule="exact"/>
                    <w:rPr>
                      <w:color w:val="auto"/>
                      <w:szCs w:val="21"/>
                    </w:rPr>
                  </w:pPr>
                </w:p>
              </w:tc>
              <w:tc>
                <w:tcPr>
                  <w:tcW w:w="758" w:type="dxa"/>
                  <w:vMerge w:val="continue"/>
                  <w:vAlign w:val="center"/>
                </w:tcPr>
                <w:p>
                  <w:pPr>
                    <w:pStyle w:val="30"/>
                    <w:spacing w:line="360" w:lineRule="exact"/>
                    <w:rPr>
                      <w:color w:val="auto"/>
                      <w:szCs w:val="21"/>
                    </w:rPr>
                  </w:pPr>
                </w:p>
              </w:tc>
              <w:tc>
                <w:tcPr>
                  <w:tcW w:w="1125" w:type="dxa"/>
                  <w:vAlign w:val="center"/>
                </w:tcPr>
                <w:p>
                  <w:pPr>
                    <w:pStyle w:val="30"/>
                    <w:spacing w:line="360" w:lineRule="exact"/>
                    <w:rPr>
                      <w:color w:val="auto"/>
                      <w:szCs w:val="21"/>
                    </w:rPr>
                  </w:pPr>
                  <w:r>
                    <w:rPr>
                      <w:color w:val="auto"/>
                      <w:szCs w:val="21"/>
                    </w:rPr>
                    <w:t>1号废旧电视机（液晶电视）处理线</w:t>
                  </w:r>
                </w:p>
              </w:tc>
              <w:tc>
                <w:tcPr>
                  <w:tcW w:w="5273" w:type="dxa"/>
                  <w:vAlign w:val="center"/>
                </w:tcPr>
                <w:p>
                  <w:pPr>
                    <w:pStyle w:val="30"/>
                    <w:spacing w:line="360" w:lineRule="exact"/>
                    <w:ind w:firstLine="210" w:firstLineChars="100"/>
                    <w:jc w:val="both"/>
                    <w:rPr>
                      <w:color w:val="auto"/>
                      <w:szCs w:val="21"/>
                    </w:rPr>
                  </w:pPr>
                  <w:r>
                    <w:rPr>
                      <w:color w:val="auto"/>
                      <w:szCs w:val="21"/>
                    </w:rPr>
                    <w:t>项目1号废旧电视机（液晶电视）处理线的占地面积约为800m²，1号废旧电视机（液晶电视）处理线属于单工位拆解，即每个工位即可对每台废旧电视机（液晶电视）主要组成结构进行拆解，目前项目已设置了6个拆解工位，此次技改拟增加2台荧光灯管背光模组负压拆解工作台及其环保设施，该生产线的工作制度为210d，每天生产24h，可处理废旧液晶电视（液晶显示器）45万台/a。</w:t>
                  </w:r>
                </w:p>
                <w:p>
                  <w:pPr>
                    <w:pStyle w:val="30"/>
                    <w:spacing w:line="360" w:lineRule="exact"/>
                    <w:ind w:firstLine="210" w:firstLineChars="100"/>
                    <w:jc w:val="both"/>
                    <w:rPr>
                      <w:color w:val="auto"/>
                      <w:szCs w:val="21"/>
                    </w:rPr>
                  </w:pPr>
                  <w:r>
                    <w:rPr>
                      <w:color w:val="auto"/>
                      <w:szCs w:val="21"/>
                    </w:rPr>
                    <w:t>正常情况下背光模组含汞灯管不会破碎，但为了防治含汞灯管破碎汞溢出，则将2台荧光灯管背光模组负压拆解工作台设置为密封式透明负压拆解工作台，人在负压拆解工作台外，手伸入负压工作台内对荧光灯管背光模组进行手工拆解；并配套设置汞及其化合物处理装置对汞及其化合物进行处理，处理后和该拆解线经集气罩收集的粉尘一起经管道运输后进入</w:t>
                  </w:r>
                  <w:r>
                    <w:rPr>
                      <w:rFonts w:hint="eastAsia"/>
                      <w:color w:val="auto"/>
                      <w:szCs w:val="21"/>
                    </w:rPr>
                    <w:t>4</w:t>
                  </w:r>
                  <w:r>
                    <w:rPr>
                      <w:color w:val="auto"/>
                      <w:szCs w:val="21"/>
                    </w:rPr>
                    <w:t>#脉冲除尘器处理后</w:t>
                  </w:r>
                  <w:r>
                    <w:rPr>
                      <w:rFonts w:hint="eastAsia"/>
                      <w:color w:val="auto"/>
                      <w:szCs w:val="21"/>
                    </w:rPr>
                    <w:t>，单独</w:t>
                  </w:r>
                  <w:r>
                    <w:rPr>
                      <w:color w:val="auto"/>
                      <w:szCs w:val="21"/>
                    </w:rPr>
                    <w:t>通过DA00</w:t>
                  </w:r>
                  <w:r>
                    <w:rPr>
                      <w:rFonts w:hint="eastAsia"/>
                      <w:color w:val="auto"/>
                      <w:szCs w:val="21"/>
                    </w:rPr>
                    <w:t>4</w:t>
                  </w:r>
                  <w:r>
                    <w:rPr>
                      <w:color w:val="auto"/>
                      <w:szCs w:val="21"/>
                    </w:rPr>
                    <w:t>排气筒外排。</w:t>
                  </w:r>
                </w:p>
              </w:tc>
              <w:tc>
                <w:tcPr>
                  <w:tcW w:w="1118" w:type="dxa"/>
                  <w:vAlign w:val="center"/>
                </w:tcPr>
                <w:p>
                  <w:pPr>
                    <w:pStyle w:val="30"/>
                    <w:spacing w:line="360" w:lineRule="exact"/>
                    <w:ind w:firstLine="210" w:firstLineChars="100"/>
                    <w:jc w:val="both"/>
                    <w:rPr>
                      <w:color w:val="auto"/>
                      <w:szCs w:val="21"/>
                    </w:rPr>
                  </w:pPr>
                  <w:r>
                    <w:rPr>
                      <w:color w:val="auto"/>
                      <w:szCs w:val="21"/>
                    </w:rPr>
                    <w:t>本次技改线，未技改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0" w:type="dxa"/>
                  <w:vMerge w:val="continue"/>
                  <w:vAlign w:val="center"/>
                </w:tcPr>
                <w:p>
                  <w:pPr>
                    <w:pStyle w:val="30"/>
                    <w:spacing w:line="360" w:lineRule="exact"/>
                    <w:rPr>
                      <w:color w:val="auto"/>
                      <w:szCs w:val="21"/>
                    </w:rPr>
                  </w:pPr>
                </w:p>
              </w:tc>
              <w:tc>
                <w:tcPr>
                  <w:tcW w:w="758" w:type="dxa"/>
                  <w:vMerge w:val="continue"/>
                  <w:vAlign w:val="center"/>
                </w:tcPr>
                <w:p>
                  <w:pPr>
                    <w:pStyle w:val="30"/>
                    <w:spacing w:line="360" w:lineRule="exact"/>
                    <w:rPr>
                      <w:color w:val="auto"/>
                      <w:szCs w:val="21"/>
                    </w:rPr>
                  </w:pPr>
                </w:p>
              </w:tc>
              <w:tc>
                <w:tcPr>
                  <w:tcW w:w="1125" w:type="dxa"/>
                  <w:vAlign w:val="center"/>
                </w:tcPr>
                <w:p>
                  <w:pPr>
                    <w:pStyle w:val="30"/>
                    <w:spacing w:line="360" w:lineRule="exact"/>
                    <w:rPr>
                      <w:color w:val="auto"/>
                      <w:szCs w:val="21"/>
                    </w:rPr>
                  </w:pPr>
                  <w:r>
                    <w:rPr>
                      <w:color w:val="auto"/>
                      <w:szCs w:val="21"/>
                    </w:rPr>
                    <w:t>2号废旧电视机（CRT）处理线</w:t>
                  </w:r>
                </w:p>
              </w:tc>
              <w:tc>
                <w:tcPr>
                  <w:tcW w:w="5273" w:type="dxa"/>
                  <w:vAlign w:val="center"/>
                </w:tcPr>
                <w:p>
                  <w:pPr>
                    <w:pStyle w:val="30"/>
                    <w:spacing w:line="360" w:lineRule="exact"/>
                    <w:ind w:firstLine="210" w:firstLineChars="100"/>
                    <w:jc w:val="both"/>
                    <w:rPr>
                      <w:color w:val="auto"/>
                      <w:szCs w:val="21"/>
                    </w:rPr>
                  </w:pPr>
                  <w:r>
                    <w:rPr>
                      <w:color w:val="auto"/>
                      <w:szCs w:val="21"/>
                    </w:rPr>
                    <w:t>项目2号废旧电视机（CRT）处理线的占地面积约为1000m²，2号废旧电视机（CRT）处理线配套设置有1个后壳拆除区、1个破碎区、2个人工喷吹室、1条人工拆解线工作台、1个防爆带切割区和1间阴极射线管（CRT）拆解区（含6个阴极射线管（CRT）拆解工作台），处理废旧CRT电视机90台/h，该生产线的工作制度为210d，每天生产24h，可处理废旧CRT电视机45万台/a。</w:t>
                  </w:r>
                </w:p>
                <w:p>
                  <w:pPr>
                    <w:pStyle w:val="30"/>
                    <w:spacing w:line="360" w:lineRule="exact"/>
                    <w:ind w:firstLine="210" w:firstLineChars="100"/>
                    <w:jc w:val="both"/>
                    <w:rPr>
                      <w:color w:val="auto"/>
                      <w:szCs w:val="21"/>
                    </w:rPr>
                  </w:pPr>
                  <w:r>
                    <w:rPr>
                      <w:color w:val="auto"/>
                      <w:szCs w:val="21"/>
                    </w:rPr>
                    <w:t>2号废旧电视机（CRT）处理线阴极射线管（CRT）拆解前端的粉尘为普通粉尘，通过集气罩收集、管道输送至5#脉冲除尘器处理后，单独通过DA005排气筒外排、而阴极射线管（CRT）拆解产生的粉尘为含铅粉尘单独经集气罩收集、管道输送至6#脉冲除尘器处理后，单独通过DA006排气筒外排。</w:t>
                  </w:r>
                </w:p>
                <w:p>
                  <w:pPr>
                    <w:pStyle w:val="30"/>
                    <w:spacing w:line="360" w:lineRule="exact"/>
                    <w:ind w:firstLine="210" w:firstLineChars="100"/>
                    <w:jc w:val="both"/>
                    <w:rPr>
                      <w:color w:val="auto"/>
                      <w:szCs w:val="21"/>
                    </w:rPr>
                  </w:pPr>
                  <w:r>
                    <w:rPr>
                      <w:color w:val="auto"/>
                      <w:szCs w:val="21"/>
                    </w:rPr>
                    <w:t>本次技改不涉及该生产线，该生产线环保手续齐全。</w:t>
                  </w:r>
                </w:p>
              </w:tc>
              <w:tc>
                <w:tcPr>
                  <w:tcW w:w="1118" w:type="dxa"/>
                  <w:vAlign w:val="center"/>
                </w:tcPr>
                <w:p>
                  <w:pPr>
                    <w:pStyle w:val="30"/>
                    <w:spacing w:line="360" w:lineRule="exact"/>
                    <w:ind w:firstLine="210" w:firstLineChars="100"/>
                    <w:jc w:val="both"/>
                    <w:rPr>
                      <w:color w:val="auto"/>
                      <w:szCs w:val="21"/>
                    </w:rPr>
                  </w:pPr>
                  <w:r>
                    <w:rPr>
                      <w:color w:val="auto"/>
                      <w:szCs w:val="21"/>
                    </w:rPr>
                    <w:t>已建成，正常运行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0" w:type="dxa"/>
                  <w:shd w:val="clear" w:color="auto" w:fill="auto"/>
                  <w:vAlign w:val="center"/>
                </w:tcPr>
                <w:p>
                  <w:pPr>
                    <w:pStyle w:val="30"/>
                    <w:spacing w:line="360" w:lineRule="exact"/>
                    <w:rPr>
                      <w:color w:val="auto"/>
                      <w:szCs w:val="21"/>
                    </w:rPr>
                  </w:pPr>
                  <w:r>
                    <w:rPr>
                      <w:color w:val="auto"/>
                      <w:szCs w:val="21"/>
                    </w:rPr>
                    <w:t>储运工程</w:t>
                  </w:r>
                </w:p>
              </w:tc>
              <w:tc>
                <w:tcPr>
                  <w:tcW w:w="1883" w:type="dxa"/>
                  <w:gridSpan w:val="2"/>
                  <w:vAlign w:val="center"/>
                </w:tcPr>
                <w:p>
                  <w:pPr>
                    <w:pStyle w:val="30"/>
                    <w:spacing w:line="360" w:lineRule="exact"/>
                    <w:rPr>
                      <w:color w:val="auto"/>
                      <w:szCs w:val="21"/>
                    </w:rPr>
                  </w:pPr>
                  <w:r>
                    <w:rPr>
                      <w:color w:val="auto"/>
                      <w:szCs w:val="21"/>
                    </w:rPr>
                    <w:t>仓储库房</w:t>
                  </w:r>
                </w:p>
              </w:tc>
              <w:tc>
                <w:tcPr>
                  <w:tcW w:w="5273" w:type="dxa"/>
                  <w:shd w:val="clear" w:color="auto" w:fill="auto"/>
                  <w:vAlign w:val="center"/>
                </w:tcPr>
                <w:p>
                  <w:pPr>
                    <w:pStyle w:val="30"/>
                    <w:spacing w:line="360" w:lineRule="exact"/>
                    <w:ind w:firstLine="210" w:firstLineChars="100"/>
                    <w:jc w:val="both"/>
                    <w:rPr>
                      <w:color w:val="auto"/>
                      <w:szCs w:val="21"/>
                    </w:rPr>
                  </w:pPr>
                  <w:r>
                    <w:rPr>
                      <w:color w:val="auto"/>
                      <w:szCs w:val="21"/>
                    </w:rPr>
                    <w:t>根据设计，该改扩建项目仅对生产线进行技改和扩建，不对储存仓库等设施进行改造，根据调查，项目目前已设置有7300m²的仓库已进行环评和竣工验收，可满足该改扩建项目的原料及拆解后的产品储存要求。</w:t>
                  </w:r>
                </w:p>
              </w:tc>
              <w:tc>
                <w:tcPr>
                  <w:tcW w:w="1118" w:type="dxa"/>
                  <w:vAlign w:val="center"/>
                </w:tcPr>
                <w:p>
                  <w:pPr>
                    <w:pStyle w:val="30"/>
                    <w:spacing w:line="360" w:lineRule="exact"/>
                    <w:ind w:firstLine="210" w:firstLineChars="100"/>
                    <w:jc w:val="both"/>
                    <w:rPr>
                      <w:color w:val="auto"/>
                      <w:szCs w:val="21"/>
                    </w:rPr>
                  </w:pPr>
                  <w:r>
                    <w:rPr>
                      <w:color w:val="auto"/>
                      <w:szCs w:val="21"/>
                    </w:rPr>
                    <w:t>沿用、满足要求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0" w:type="dxa"/>
                  <w:shd w:val="clear" w:color="auto" w:fill="auto"/>
                  <w:vAlign w:val="center"/>
                </w:tcPr>
                <w:p>
                  <w:pPr>
                    <w:pStyle w:val="30"/>
                    <w:spacing w:line="360" w:lineRule="exact"/>
                    <w:rPr>
                      <w:color w:val="auto"/>
                      <w:szCs w:val="21"/>
                    </w:rPr>
                  </w:pPr>
                  <w:r>
                    <w:rPr>
                      <w:color w:val="auto"/>
                      <w:szCs w:val="21"/>
                    </w:rPr>
                    <w:t>配套工程</w:t>
                  </w:r>
                </w:p>
              </w:tc>
              <w:tc>
                <w:tcPr>
                  <w:tcW w:w="1883" w:type="dxa"/>
                  <w:gridSpan w:val="2"/>
                  <w:vAlign w:val="center"/>
                </w:tcPr>
                <w:p>
                  <w:pPr>
                    <w:pStyle w:val="30"/>
                    <w:spacing w:line="360" w:lineRule="exact"/>
                    <w:rPr>
                      <w:color w:val="auto"/>
                      <w:szCs w:val="21"/>
                    </w:rPr>
                  </w:pPr>
                  <w:r>
                    <w:rPr>
                      <w:color w:val="auto"/>
                      <w:szCs w:val="21"/>
                    </w:rPr>
                    <w:t>办公生活设施</w:t>
                  </w:r>
                </w:p>
              </w:tc>
              <w:tc>
                <w:tcPr>
                  <w:tcW w:w="5273" w:type="dxa"/>
                  <w:shd w:val="clear" w:color="auto" w:fill="auto"/>
                  <w:vAlign w:val="center"/>
                </w:tcPr>
                <w:p>
                  <w:pPr>
                    <w:pStyle w:val="30"/>
                    <w:spacing w:line="360" w:lineRule="exact"/>
                    <w:ind w:firstLine="210" w:firstLineChars="100"/>
                    <w:jc w:val="both"/>
                    <w:rPr>
                      <w:color w:val="auto"/>
                      <w:szCs w:val="21"/>
                    </w:rPr>
                  </w:pPr>
                  <w:r>
                    <w:rPr>
                      <w:color w:val="auto"/>
                      <w:szCs w:val="21"/>
                    </w:rPr>
                    <w:t>根据设计，虽然该改扩建项目产能扩大，但项目现有员工可满足生产线的生产要求，因此项目生产线不新增员工，其办公生活设施依然沿用现有办公及生活设施，可满足使用要求。</w:t>
                  </w:r>
                </w:p>
              </w:tc>
              <w:tc>
                <w:tcPr>
                  <w:tcW w:w="1118" w:type="dxa"/>
                  <w:vAlign w:val="center"/>
                </w:tcPr>
                <w:p>
                  <w:pPr>
                    <w:pStyle w:val="30"/>
                    <w:spacing w:line="360" w:lineRule="exact"/>
                    <w:rPr>
                      <w:color w:val="auto"/>
                      <w:szCs w:val="21"/>
                    </w:rPr>
                  </w:pPr>
                  <w:r>
                    <w:rPr>
                      <w:color w:val="auto"/>
                      <w:szCs w:val="21"/>
                    </w:rPr>
                    <w:t>沿用、满足要求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0" w:type="dxa"/>
                  <w:vMerge w:val="restart"/>
                  <w:vAlign w:val="center"/>
                </w:tcPr>
                <w:p>
                  <w:pPr>
                    <w:pStyle w:val="30"/>
                    <w:spacing w:line="360" w:lineRule="exact"/>
                    <w:rPr>
                      <w:color w:val="auto"/>
                      <w:szCs w:val="21"/>
                    </w:rPr>
                  </w:pPr>
                  <w:r>
                    <w:rPr>
                      <w:color w:val="auto"/>
                      <w:szCs w:val="21"/>
                    </w:rPr>
                    <w:t>公用工程</w:t>
                  </w:r>
                </w:p>
              </w:tc>
              <w:tc>
                <w:tcPr>
                  <w:tcW w:w="1883" w:type="dxa"/>
                  <w:gridSpan w:val="2"/>
                  <w:vAlign w:val="center"/>
                </w:tcPr>
                <w:p>
                  <w:pPr>
                    <w:pStyle w:val="30"/>
                    <w:spacing w:line="360" w:lineRule="exact"/>
                    <w:rPr>
                      <w:color w:val="auto"/>
                      <w:szCs w:val="21"/>
                    </w:rPr>
                  </w:pPr>
                  <w:r>
                    <w:rPr>
                      <w:color w:val="auto"/>
                      <w:szCs w:val="21"/>
                    </w:rPr>
                    <w:t>供电</w:t>
                  </w:r>
                </w:p>
              </w:tc>
              <w:tc>
                <w:tcPr>
                  <w:tcW w:w="5273" w:type="dxa"/>
                  <w:vAlign w:val="center"/>
                </w:tcPr>
                <w:p>
                  <w:pPr>
                    <w:pStyle w:val="30"/>
                    <w:spacing w:line="360" w:lineRule="exact"/>
                    <w:ind w:firstLine="210" w:firstLineChars="100"/>
                    <w:jc w:val="both"/>
                    <w:rPr>
                      <w:color w:val="auto"/>
                      <w:szCs w:val="21"/>
                    </w:rPr>
                  </w:pPr>
                  <w:r>
                    <w:rPr>
                      <w:color w:val="auto"/>
                      <w:szCs w:val="21"/>
                    </w:rPr>
                    <w:t>该项目供电由昆明市东川区再就业特区天生桥特色产业园供电系统接入。</w:t>
                  </w:r>
                </w:p>
              </w:tc>
              <w:tc>
                <w:tcPr>
                  <w:tcW w:w="1118" w:type="dxa"/>
                  <w:vAlign w:val="center"/>
                </w:tcPr>
                <w:p>
                  <w:pPr>
                    <w:pStyle w:val="30"/>
                    <w:spacing w:line="360" w:lineRule="exact"/>
                    <w:rPr>
                      <w:color w:val="auto"/>
                      <w:szCs w:val="21"/>
                    </w:rPr>
                  </w:pP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0" w:type="dxa"/>
                  <w:vMerge w:val="continue"/>
                  <w:vAlign w:val="center"/>
                </w:tcPr>
                <w:p>
                  <w:pPr>
                    <w:pStyle w:val="30"/>
                    <w:spacing w:line="360" w:lineRule="exact"/>
                    <w:rPr>
                      <w:color w:val="auto"/>
                      <w:szCs w:val="21"/>
                    </w:rPr>
                  </w:pPr>
                </w:p>
              </w:tc>
              <w:tc>
                <w:tcPr>
                  <w:tcW w:w="1883" w:type="dxa"/>
                  <w:gridSpan w:val="2"/>
                  <w:vAlign w:val="center"/>
                </w:tcPr>
                <w:p>
                  <w:pPr>
                    <w:pStyle w:val="30"/>
                    <w:spacing w:line="360" w:lineRule="exact"/>
                    <w:rPr>
                      <w:color w:val="auto"/>
                      <w:szCs w:val="21"/>
                    </w:rPr>
                  </w:pPr>
                  <w:r>
                    <w:rPr>
                      <w:color w:val="auto"/>
                      <w:szCs w:val="21"/>
                    </w:rPr>
                    <w:t>给水</w:t>
                  </w:r>
                </w:p>
              </w:tc>
              <w:tc>
                <w:tcPr>
                  <w:tcW w:w="5273" w:type="dxa"/>
                  <w:vAlign w:val="center"/>
                </w:tcPr>
                <w:p>
                  <w:pPr>
                    <w:pStyle w:val="30"/>
                    <w:spacing w:line="360" w:lineRule="exact"/>
                    <w:ind w:firstLine="210" w:firstLineChars="100"/>
                    <w:jc w:val="both"/>
                    <w:rPr>
                      <w:color w:val="auto"/>
                      <w:szCs w:val="21"/>
                    </w:rPr>
                  </w:pPr>
                  <w:r>
                    <w:rPr>
                      <w:color w:val="auto"/>
                      <w:szCs w:val="21"/>
                    </w:rPr>
                    <w:t>（1）生产用水</w:t>
                  </w:r>
                </w:p>
                <w:p>
                  <w:pPr>
                    <w:pStyle w:val="30"/>
                    <w:spacing w:line="360" w:lineRule="exact"/>
                    <w:ind w:firstLine="210" w:firstLineChars="100"/>
                    <w:jc w:val="both"/>
                    <w:rPr>
                      <w:color w:val="auto"/>
                      <w:szCs w:val="21"/>
                    </w:rPr>
                  </w:pPr>
                  <w:r>
                    <w:rPr>
                      <w:color w:val="auto"/>
                      <w:szCs w:val="21"/>
                    </w:rPr>
                    <w:t>本次技改项目不使用生产用水。</w:t>
                  </w:r>
                </w:p>
                <w:p>
                  <w:pPr>
                    <w:pStyle w:val="30"/>
                    <w:spacing w:line="360" w:lineRule="exact"/>
                    <w:ind w:firstLine="210" w:firstLineChars="100"/>
                    <w:jc w:val="both"/>
                    <w:rPr>
                      <w:color w:val="auto"/>
                      <w:szCs w:val="21"/>
                    </w:rPr>
                  </w:pPr>
                  <w:r>
                    <w:rPr>
                      <w:color w:val="auto"/>
                      <w:szCs w:val="21"/>
                    </w:rPr>
                    <w:t>（2）生活用水</w:t>
                  </w:r>
                </w:p>
                <w:p>
                  <w:pPr>
                    <w:pStyle w:val="30"/>
                    <w:spacing w:line="360" w:lineRule="exact"/>
                    <w:ind w:firstLine="210" w:firstLineChars="100"/>
                    <w:jc w:val="both"/>
                    <w:rPr>
                      <w:color w:val="auto"/>
                      <w:szCs w:val="21"/>
                    </w:rPr>
                  </w:pPr>
                  <w:r>
                    <w:rPr>
                      <w:color w:val="auto"/>
                      <w:szCs w:val="21"/>
                    </w:rPr>
                    <w:t>生活用水沿用现生活设施使用，使用自来水。</w:t>
                  </w:r>
                </w:p>
              </w:tc>
              <w:tc>
                <w:tcPr>
                  <w:tcW w:w="1118" w:type="dxa"/>
                  <w:vAlign w:val="center"/>
                </w:tcPr>
                <w:p>
                  <w:pPr>
                    <w:pStyle w:val="30"/>
                    <w:spacing w:line="360" w:lineRule="exact"/>
                    <w:rPr>
                      <w:color w:val="auto"/>
                      <w:szCs w:val="21"/>
                    </w:rPr>
                  </w:pP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0" w:type="dxa"/>
                  <w:vMerge w:val="continue"/>
                  <w:vAlign w:val="center"/>
                </w:tcPr>
                <w:p>
                  <w:pPr>
                    <w:pStyle w:val="30"/>
                    <w:spacing w:line="360" w:lineRule="exact"/>
                    <w:rPr>
                      <w:color w:val="auto"/>
                      <w:szCs w:val="21"/>
                    </w:rPr>
                  </w:pPr>
                </w:p>
              </w:tc>
              <w:tc>
                <w:tcPr>
                  <w:tcW w:w="1883" w:type="dxa"/>
                  <w:gridSpan w:val="2"/>
                  <w:vAlign w:val="center"/>
                </w:tcPr>
                <w:p>
                  <w:pPr>
                    <w:pStyle w:val="30"/>
                    <w:spacing w:line="360" w:lineRule="exact"/>
                    <w:rPr>
                      <w:color w:val="auto"/>
                      <w:szCs w:val="21"/>
                    </w:rPr>
                  </w:pPr>
                  <w:r>
                    <w:rPr>
                      <w:color w:val="auto"/>
                      <w:szCs w:val="21"/>
                    </w:rPr>
                    <w:t>排水</w:t>
                  </w:r>
                </w:p>
              </w:tc>
              <w:tc>
                <w:tcPr>
                  <w:tcW w:w="5273" w:type="dxa"/>
                  <w:vAlign w:val="center"/>
                </w:tcPr>
                <w:p>
                  <w:pPr>
                    <w:pStyle w:val="30"/>
                    <w:spacing w:line="360" w:lineRule="exact"/>
                    <w:ind w:firstLine="210" w:firstLineChars="100"/>
                    <w:jc w:val="both"/>
                    <w:rPr>
                      <w:color w:val="auto"/>
                      <w:szCs w:val="21"/>
                    </w:rPr>
                  </w:pPr>
                  <w:r>
                    <w:rPr>
                      <w:color w:val="auto"/>
                      <w:szCs w:val="21"/>
                    </w:rPr>
                    <w:t>该项目采取雨污分流；根据调查，项目区标准厂房及生活办公区均已配套设置了雨水管网及污水管网，可满足雨污分流要求。</w:t>
                  </w:r>
                </w:p>
                <w:p>
                  <w:pPr>
                    <w:pStyle w:val="30"/>
                    <w:spacing w:line="360" w:lineRule="exact"/>
                    <w:ind w:firstLine="210" w:firstLineChars="100"/>
                    <w:jc w:val="both"/>
                    <w:rPr>
                      <w:color w:val="auto"/>
                      <w:szCs w:val="21"/>
                    </w:rPr>
                  </w:pPr>
                  <w:r>
                    <w:rPr>
                      <w:color w:val="auto"/>
                      <w:szCs w:val="21"/>
                    </w:rPr>
                    <w:t>（1）生活污水：根据调查，项目针对办公生活区，已配套设置了1个2m³的隔油池、3个5m³的化粪池和1个10m³/d的污水收集池对生活污水进行处理，处理后回用于绿化不外排；为满足项目区生活污水达标回用，现项目拟建设1套处理能力为30m³/d的一体化污水处理设施对生活污水进行处理。</w:t>
                  </w:r>
                </w:p>
                <w:p>
                  <w:pPr>
                    <w:pStyle w:val="30"/>
                    <w:spacing w:line="360" w:lineRule="exact"/>
                    <w:ind w:firstLine="210" w:firstLineChars="100"/>
                    <w:jc w:val="both"/>
                    <w:rPr>
                      <w:color w:val="auto"/>
                      <w:szCs w:val="21"/>
                    </w:rPr>
                  </w:pPr>
                  <w:r>
                    <w:rPr>
                      <w:color w:val="auto"/>
                      <w:szCs w:val="21"/>
                    </w:rPr>
                    <w:t>目前规划的东川再就业特区天生桥特色产业园污水处理厂还未建成，因此项目生活污水近期（园区污水处理厂建成前），项目产生的生活污水通过隔油池、化粪池和一体化污水处理设施处理后，达到《城市污水再生利用 城市杂用水水质》（GB/T18920-2020）城市绿化标准回用于绿化不外排；远期（园区污水处理厂建成后），项目产生的生活污水通过化粪池预处理达到《污水排入城镇下水道水质标准》（GB/T31962-2015）中B级标准后，进入东川再就业特区天生桥特色产业园污水处理厂集中处理；</w:t>
                  </w:r>
                </w:p>
                <w:p>
                  <w:pPr>
                    <w:pStyle w:val="30"/>
                    <w:spacing w:line="360" w:lineRule="exact"/>
                    <w:ind w:firstLine="210" w:firstLineChars="100"/>
                    <w:jc w:val="both"/>
                    <w:rPr>
                      <w:color w:val="auto"/>
                      <w:szCs w:val="21"/>
                    </w:rPr>
                  </w:pPr>
                  <w:r>
                    <w:rPr>
                      <w:color w:val="auto"/>
                      <w:szCs w:val="21"/>
                    </w:rPr>
                    <w:t>（2）生产废水：项目区主要生产废水为废旧洗衣机处理线全自动洗衣机拆解过程中产生的平衡盐水，根据建设单位实际统计，现有工程正常运行期平衡盐水产生量为0.15m³/月（0.005m³/d），改扩建后其产生量约为0.008m³/d，按1:8的比例稀释后，回用于绿化，不外排。</w:t>
                  </w:r>
                </w:p>
                <w:p>
                  <w:pPr>
                    <w:pStyle w:val="30"/>
                    <w:spacing w:line="360" w:lineRule="exact"/>
                    <w:ind w:firstLine="210" w:firstLineChars="100"/>
                    <w:jc w:val="both"/>
                    <w:rPr>
                      <w:color w:val="auto"/>
                      <w:szCs w:val="21"/>
                    </w:rPr>
                  </w:pPr>
                  <w:r>
                    <w:rPr>
                      <w:color w:val="auto"/>
                      <w:szCs w:val="21"/>
                    </w:rPr>
                    <w:t>（3）初期雨水：整改后拟建设1个30m³的初期雨水收集池，对厂区的初期雨水进行收集；收集沉淀处理后回用于项目区绿化，不外排。</w:t>
                  </w:r>
                </w:p>
              </w:tc>
              <w:tc>
                <w:tcPr>
                  <w:tcW w:w="1118" w:type="dxa"/>
                  <w:vAlign w:val="center"/>
                </w:tcPr>
                <w:p>
                  <w:pPr>
                    <w:pStyle w:val="30"/>
                    <w:spacing w:line="360" w:lineRule="exact"/>
                    <w:rPr>
                      <w:color w:val="auto"/>
                      <w:szCs w:val="21"/>
                    </w:rPr>
                  </w:pPr>
                  <w:r>
                    <w:rPr>
                      <w:color w:val="auto"/>
                      <w:szCs w:val="21"/>
                    </w:rPr>
                    <w:t>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0" w:type="dxa"/>
                  <w:vMerge w:val="restart"/>
                  <w:vAlign w:val="center"/>
                </w:tcPr>
                <w:p>
                  <w:pPr>
                    <w:pStyle w:val="30"/>
                    <w:spacing w:line="360" w:lineRule="exact"/>
                    <w:rPr>
                      <w:color w:val="auto"/>
                      <w:szCs w:val="21"/>
                    </w:rPr>
                  </w:pPr>
                  <w:r>
                    <w:rPr>
                      <w:color w:val="auto"/>
                      <w:szCs w:val="21"/>
                    </w:rPr>
                    <w:t>环保工程</w:t>
                  </w:r>
                </w:p>
              </w:tc>
              <w:tc>
                <w:tcPr>
                  <w:tcW w:w="758" w:type="dxa"/>
                  <w:vMerge w:val="restart"/>
                  <w:vAlign w:val="center"/>
                </w:tcPr>
                <w:p>
                  <w:pPr>
                    <w:pStyle w:val="30"/>
                    <w:spacing w:line="360" w:lineRule="exact"/>
                    <w:rPr>
                      <w:color w:val="auto"/>
                      <w:szCs w:val="21"/>
                    </w:rPr>
                  </w:pPr>
                  <w:r>
                    <w:rPr>
                      <w:color w:val="auto"/>
                      <w:szCs w:val="21"/>
                    </w:rPr>
                    <w:t>废气</w:t>
                  </w:r>
                </w:p>
              </w:tc>
              <w:tc>
                <w:tcPr>
                  <w:tcW w:w="1125" w:type="dxa"/>
                  <w:vAlign w:val="center"/>
                </w:tcPr>
                <w:p>
                  <w:pPr>
                    <w:pStyle w:val="30"/>
                    <w:spacing w:line="360" w:lineRule="exact"/>
                    <w:rPr>
                      <w:color w:val="auto"/>
                      <w:szCs w:val="21"/>
                    </w:rPr>
                  </w:pPr>
                  <w:r>
                    <w:rPr>
                      <w:color w:val="auto"/>
                      <w:szCs w:val="21"/>
                    </w:rPr>
                    <w:t>废旧冰箱处理线废气处理设施</w:t>
                  </w:r>
                </w:p>
              </w:tc>
              <w:tc>
                <w:tcPr>
                  <w:tcW w:w="5273" w:type="dxa"/>
                  <w:vAlign w:val="center"/>
                </w:tcPr>
                <w:p>
                  <w:pPr>
                    <w:pStyle w:val="30"/>
                    <w:spacing w:line="360" w:lineRule="exact"/>
                    <w:ind w:firstLine="210" w:firstLineChars="100"/>
                    <w:jc w:val="both"/>
                    <w:rPr>
                      <w:color w:val="auto"/>
                      <w:szCs w:val="21"/>
                    </w:rPr>
                  </w:pPr>
                  <w:r>
                    <w:rPr>
                      <w:color w:val="auto"/>
                      <w:szCs w:val="21"/>
                    </w:rPr>
                    <w:t>根据调查，废旧冰箱处理线产生的废气主要为非甲烷总烃和粉尘，针对废旧冰箱处理线废气，项目已设置集气效率不低于90%的集气罩、1套去除效率不低于70%的旋风除尘器、1套去除效率不低于95%的脉冲除尘器（3#）、1套去除效率不低于80%的有机废气处理装置（采用UV光氧裂解+活性炭吸附）对其进行处理，处理后通过1根Φ0.5m、高15m的排气筒（DA001）外排。废旧冰箱处理线废气风量为20000m³/h。</w:t>
                  </w:r>
                </w:p>
                <w:p>
                  <w:pPr>
                    <w:pStyle w:val="30"/>
                    <w:spacing w:line="360" w:lineRule="exact"/>
                    <w:ind w:firstLine="210" w:firstLineChars="100"/>
                    <w:jc w:val="both"/>
                    <w:rPr>
                      <w:color w:val="auto"/>
                      <w:szCs w:val="21"/>
                      <w:lang w:val="en-US"/>
                    </w:rPr>
                  </w:pPr>
                  <w:r>
                    <w:rPr>
                      <w:color w:val="auto"/>
                      <w:szCs w:val="21"/>
                    </w:rPr>
                    <w:t>此次技改不涉及。</w:t>
                  </w:r>
                </w:p>
              </w:tc>
              <w:tc>
                <w:tcPr>
                  <w:tcW w:w="1118" w:type="dxa"/>
                  <w:vAlign w:val="center"/>
                </w:tcPr>
                <w:p>
                  <w:pPr>
                    <w:pStyle w:val="30"/>
                    <w:spacing w:line="360" w:lineRule="exact"/>
                    <w:rPr>
                      <w:color w:val="auto"/>
                      <w:szCs w:val="21"/>
                    </w:rPr>
                  </w:pPr>
                  <w:r>
                    <w:rPr>
                      <w:color w:val="auto"/>
                      <w:szCs w:val="21"/>
                    </w:rPr>
                    <w:t>已验收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0" w:type="dxa"/>
                  <w:vMerge w:val="continue"/>
                  <w:vAlign w:val="center"/>
                </w:tcPr>
                <w:p>
                  <w:pPr>
                    <w:pStyle w:val="30"/>
                    <w:spacing w:line="360" w:lineRule="exact"/>
                    <w:rPr>
                      <w:color w:val="auto"/>
                      <w:szCs w:val="21"/>
                    </w:rPr>
                  </w:pPr>
                </w:p>
              </w:tc>
              <w:tc>
                <w:tcPr>
                  <w:tcW w:w="758" w:type="dxa"/>
                  <w:vMerge w:val="continue"/>
                  <w:vAlign w:val="center"/>
                </w:tcPr>
                <w:p>
                  <w:pPr>
                    <w:pStyle w:val="30"/>
                    <w:spacing w:line="360" w:lineRule="exact"/>
                    <w:rPr>
                      <w:color w:val="auto"/>
                      <w:szCs w:val="21"/>
                    </w:rPr>
                  </w:pPr>
                </w:p>
              </w:tc>
              <w:tc>
                <w:tcPr>
                  <w:tcW w:w="1125" w:type="dxa"/>
                  <w:vAlign w:val="center"/>
                </w:tcPr>
                <w:p>
                  <w:pPr>
                    <w:pStyle w:val="30"/>
                    <w:spacing w:line="360" w:lineRule="exact"/>
                    <w:rPr>
                      <w:color w:val="auto"/>
                      <w:szCs w:val="21"/>
                    </w:rPr>
                  </w:pPr>
                  <w:r>
                    <w:rPr>
                      <w:color w:val="auto"/>
                      <w:szCs w:val="21"/>
                    </w:rPr>
                    <w:t>空调/小家电/废手机及其视听设备消费电子产品处理线废气处理设施</w:t>
                  </w:r>
                </w:p>
              </w:tc>
              <w:tc>
                <w:tcPr>
                  <w:tcW w:w="5273" w:type="dxa"/>
                  <w:vAlign w:val="center"/>
                </w:tcPr>
                <w:p>
                  <w:pPr>
                    <w:pStyle w:val="30"/>
                    <w:spacing w:line="360" w:lineRule="exact"/>
                    <w:ind w:firstLine="210" w:firstLineChars="100"/>
                    <w:jc w:val="both"/>
                    <w:rPr>
                      <w:color w:val="auto"/>
                      <w:szCs w:val="21"/>
                    </w:rPr>
                  </w:pPr>
                  <w:r>
                    <w:rPr>
                      <w:color w:val="auto"/>
                      <w:szCs w:val="21"/>
                    </w:rPr>
                    <w:t>根据调查，空调/小家电/废手机及其视听设备消费电子产品处理线产生的废气主要在喷吹室，项目已对喷吹室进行密闭，设置1个集气罩对其进行收集，集气罩的集气效率不低于90%；集气罩风量为5000m³/h，收集后统一进入1个处理效率不低于95%的</w:t>
                  </w:r>
                  <w:r>
                    <w:rPr>
                      <w:rFonts w:hint="eastAsia"/>
                      <w:color w:val="auto"/>
                      <w:szCs w:val="21"/>
                    </w:rPr>
                    <w:t>2</w:t>
                  </w:r>
                  <w:r>
                    <w:rPr>
                      <w:color w:val="auto"/>
                      <w:szCs w:val="21"/>
                    </w:rPr>
                    <w:t>#脉冲除尘器对其进行处理后通过1根Φ0.74m、高15m的排气筒（DA00</w:t>
                  </w:r>
                  <w:r>
                    <w:rPr>
                      <w:rFonts w:hint="eastAsia"/>
                      <w:color w:val="auto"/>
                      <w:szCs w:val="21"/>
                    </w:rPr>
                    <w:t>2</w:t>
                  </w:r>
                  <w:r>
                    <w:rPr>
                      <w:color w:val="auto"/>
                      <w:szCs w:val="21"/>
                    </w:rPr>
                    <w:t>）外排。</w:t>
                  </w:r>
                </w:p>
              </w:tc>
              <w:tc>
                <w:tcPr>
                  <w:tcW w:w="1118" w:type="dxa"/>
                  <w:vAlign w:val="center"/>
                </w:tcPr>
                <w:p>
                  <w:pPr>
                    <w:pStyle w:val="30"/>
                    <w:spacing w:line="360" w:lineRule="exact"/>
                    <w:ind w:firstLine="210" w:firstLineChars="100"/>
                    <w:jc w:val="both"/>
                    <w:rPr>
                      <w:color w:val="auto"/>
                      <w:szCs w:val="21"/>
                    </w:rPr>
                  </w:pPr>
                  <w:r>
                    <w:rPr>
                      <w:color w:val="auto"/>
                      <w:szCs w:val="21"/>
                    </w:rPr>
                    <w:t>已验收，本次恢复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0" w:type="dxa"/>
                  <w:vMerge w:val="continue"/>
                  <w:vAlign w:val="center"/>
                </w:tcPr>
                <w:p>
                  <w:pPr>
                    <w:pStyle w:val="30"/>
                    <w:spacing w:line="360" w:lineRule="exact"/>
                    <w:rPr>
                      <w:color w:val="auto"/>
                      <w:szCs w:val="21"/>
                    </w:rPr>
                  </w:pPr>
                </w:p>
              </w:tc>
              <w:tc>
                <w:tcPr>
                  <w:tcW w:w="758" w:type="dxa"/>
                  <w:vMerge w:val="continue"/>
                  <w:vAlign w:val="center"/>
                </w:tcPr>
                <w:p>
                  <w:pPr>
                    <w:pStyle w:val="30"/>
                    <w:spacing w:line="360" w:lineRule="exact"/>
                    <w:rPr>
                      <w:color w:val="auto"/>
                      <w:szCs w:val="21"/>
                    </w:rPr>
                  </w:pPr>
                </w:p>
              </w:tc>
              <w:tc>
                <w:tcPr>
                  <w:tcW w:w="1125" w:type="dxa"/>
                  <w:vAlign w:val="center"/>
                </w:tcPr>
                <w:p>
                  <w:pPr>
                    <w:pStyle w:val="30"/>
                    <w:spacing w:line="360" w:lineRule="exact"/>
                    <w:rPr>
                      <w:color w:val="auto"/>
                      <w:szCs w:val="21"/>
                    </w:rPr>
                  </w:pPr>
                  <w:r>
                    <w:rPr>
                      <w:color w:val="auto"/>
                      <w:szCs w:val="21"/>
                    </w:rPr>
                    <w:t>废旧洗衣机处理线废气处理设施</w:t>
                  </w:r>
                </w:p>
              </w:tc>
              <w:tc>
                <w:tcPr>
                  <w:tcW w:w="5273" w:type="dxa"/>
                  <w:vAlign w:val="center"/>
                </w:tcPr>
                <w:p>
                  <w:pPr>
                    <w:pStyle w:val="30"/>
                    <w:spacing w:line="360" w:lineRule="exact"/>
                    <w:ind w:firstLine="210" w:firstLineChars="100"/>
                    <w:jc w:val="both"/>
                    <w:rPr>
                      <w:color w:val="auto"/>
                      <w:szCs w:val="21"/>
                    </w:rPr>
                  </w:pPr>
                  <w:r>
                    <w:rPr>
                      <w:color w:val="auto"/>
                      <w:szCs w:val="21"/>
                    </w:rPr>
                    <w:t>根据设计，废旧洗衣机处理线的主要废气为颗粒物，产生节点主要为12个拆解工位和两台破碎机，项目拟设置的措施如下：</w:t>
                  </w:r>
                </w:p>
                <w:p>
                  <w:pPr>
                    <w:pStyle w:val="30"/>
                    <w:spacing w:line="360" w:lineRule="exact"/>
                    <w:ind w:firstLine="210" w:firstLineChars="100"/>
                    <w:jc w:val="both"/>
                    <w:rPr>
                      <w:color w:val="auto"/>
                      <w:szCs w:val="21"/>
                    </w:rPr>
                  </w:pPr>
                  <w:r>
                    <w:rPr>
                      <w:color w:val="auto"/>
                      <w:szCs w:val="21"/>
                    </w:rPr>
                    <w:t>（1）集气罩</w:t>
                  </w:r>
                </w:p>
                <w:p>
                  <w:pPr>
                    <w:pStyle w:val="30"/>
                    <w:spacing w:line="360" w:lineRule="exact"/>
                    <w:ind w:firstLine="210" w:firstLineChars="100"/>
                    <w:jc w:val="both"/>
                    <w:rPr>
                      <w:color w:val="auto"/>
                      <w:szCs w:val="21"/>
                    </w:rPr>
                  </w:pPr>
                  <w:r>
                    <w:rPr>
                      <w:color w:val="auto"/>
                      <w:szCs w:val="21"/>
                    </w:rPr>
                    <w:t>项目分别对设置12个拆解工位和两台破碎机设置集气罩，集气罩的集气效率不低于90%；其中拆解工位的集气罩风量为1000m³/h·个，合计12个；两台破碎机集气罩的风量为5000m³/h·个，合计2个，则废旧洗衣机处理线合计风量为22000m³/h。</w:t>
                  </w:r>
                </w:p>
                <w:p>
                  <w:pPr>
                    <w:pStyle w:val="30"/>
                    <w:spacing w:line="360" w:lineRule="exact"/>
                    <w:ind w:firstLine="210" w:firstLineChars="100"/>
                    <w:jc w:val="both"/>
                    <w:rPr>
                      <w:color w:val="auto"/>
                      <w:szCs w:val="21"/>
                    </w:rPr>
                  </w:pPr>
                  <w:r>
                    <w:rPr>
                      <w:color w:val="auto"/>
                      <w:szCs w:val="21"/>
                    </w:rPr>
                    <w:t>（2）脉冲除尘</w:t>
                  </w:r>
                </w:p>
                <w:p>
                  <w:pPr>
                    <w:pStyle w:val="30"/>
                    <w:spacing w:line="360" w:lineRule="exact"/>
                    <w:ind w:firstLine="210" w:firstLineChars="100"/>
                    <w:jc w:val="both"/>
                    <w:rPr>
                      <w:color w:val="auto"/>
                      <w:szCs w:val="21"/>
                    </w:rPr>
                  </w:pPr>
                  <w:r>
                    <w:rPr>
                      <w:color w:val="auto"/>
                      <w:szCs w:val="21"/>
                    </w:rPr>
                    <w:t>项目拟设置1个处理效率不低于95%的</w:t>
                  </w:r>
                  <w:r>
                    <w:rPr>
                      <w:rFonts w:hint="eastAsia"/>
                      <w:color w:val="auto"/>
                      <w:szCs w:val="21"/>
                    </w:rPr>
                    <w:t>3</w:t>
                  </w:r>
                  <w:r>
                    <w:rPr>
                      <w:color w:val="auto"/>
                      <w:szCs w:val="21"/>
                    </w:rPr>
                    <w:t>#脉冲除尘器对废旧洗衣机处理线产生的废气进行处理。</w:t>
                  </w:r>
                </w:p>
                <w:p>
                  <w:pPr>
                    <w:pStyle w:val="30"/>
                    <w:spacing w:line="360" w:lineRule="exact"/>
                    <w:ind w:firstLine="210" w:firstLineChars="100"/>
                    <w:jc w:val="both"/>
                    <w:rPr>
                      <w:color w:val="auto"/>
                      <w:szCs w:val="21"/>
                    </w:rPr>
                  </w:pPr>
                  <w:r>
                    <w:rPr>
                      <w:color w:val="auto"/>
                      <w:szCs w:val="21"/>
                    </w:rPr>
                    <w:t>（3）排气筒（DA00</w:t>
                  </w:r>
                  <w:r>
                    <w:rPr>
                      <w:rFonts w:hint="eastAsia"/>
                      <w:color w:val="auto"/>
                      <w:szCs w:val="21"/>
                    </w:rPr>
                    <w:t>3</w:t>
                  </w:r>
                  <w:r>
                    <w:rPr>
                      <w:color w:val="auto"/>
                      <w:szCs w:val="21"/>
                    </w:rPr>
                    <w:t>）</w:t>
                  </w:r>
                </w:p>
                <w:p>
                  <w:pPr>
                    <w:pStyle w:val="30"/>
                    <w:spacing w:line="360" w:lineRule="exact"/>
                    <w:ind w:firstLine="210" w:firstLineChars="100"/>
                    <w:jc w:val="both"/>
                    <w:rPr>
                      <w:color w:val="auto"/>
                      <w:szCs w:val="21"/>
                    </w:rPr>
                  </w:pPr>
                  <w:r>
                    <w:rPr>
                      <w:color w:val="auto"/>
                      <w:szCs w:val="21"/>
                    </w:rPr>
                    <w:t>项目拟设置1根Φ0.84m、高15m的排气筒（DA003）外排。</w:t>
                  </w:r>
                </w:p>
              </w:tc>
              <w:tc>
                <w:tcPr>
                  <w:tcW w:w="1118" w:type="dxa"/>
                  <w:vAlign w:val="center"/>
                </w:tcPr>
                <w:p>
                  <w:pPr>
                    <w:pStyle w:val="30"/>
                    <w:spacing w:line="360" w:lineRule="exact"/>
                    <w:ind w:firstLine="210" w:firstLineChars="100"/>
                    <w:jc w:val="both"/>
                    <w:rPr>
                      <w:color w:val="auto"/>
                      <w:szCs w:val="21"/>
                    </w:rPr>
                  </w:pPr>
                  <w:r>
                    <w:rPr>
                      <w:color w:val="auto"/>
                      <w:szCs w:val="21"/>
                    </w:rPr>
                    <w:t>设计提出，对现有项目环保设施进行改造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0" w:type="dxa"/>
                  <w:vMerge w:val="continue"/>
                  <w:vAlign w:val="center"/>
                </w:tcPr>
                <w:p>
                  <w:pPr>
                    <w:pStyle w:val="30"/>
                    <w:spacing w:line="360" w:lineRule="exact"/>
                    <w:rPr>
                      <w:color w:val="auto"/>
                      <w:szCs w:val="21"/>
                    </w:rPr>
                  </w:pPr>
                </w:p>
              </w:tc>
              <w:tc>
                <w:tcPr>
                  <w:tcW w:w="758" w:type="dxa"/>
                  <w:vMerge w:val="continue"/>
                  <w:vAlign w:val="center"/>
                </w:tcPr>
                <w:p>
                  <w:pPr>
                    <w:pStyle w:val="30"/>
                    <w:spacing w:line="360" w:lineRule="exact"/>
                    <w:rPr>
                      <w:color w:val="auto"/>
                      <w:szCs w:val="21"/>
                    </w:rPr>
                  </w:pPr>
                </w:p>
              </w:tc>
              <w:tc>
                <w:tcPr>
                  <w:tcW w:w="1125" w:type="dxa"/>
                  <w:vAlign w:val="center"/>
                </w:tcPr>
                <w:p>
                  <w:pPr>
                    <w:pStyle w:val="30"/>
                    <w:spacing w:line="360" w:lineRule="exact"/>
                    <w:rPr>
                      <w:color w:val="auto"/>
                      <w:szCs w:val="21"/>
                    </w:rPr>
                  </w:pPr>
                  <w:r>
                    <w:rPr>
                      <w:color w:val="auto"/>
                      <w:szCs w:val="21"/>
                    </w:rPr>
                    <w:t>1号废旧电视机（液晶电视）处理线废气处理设施</w:t>
                  </w:r>
                </w:p>
              </w:tc>
              <w:tc>
                <w:tcPr>
                  <w:tcW w:w="5273" w:type="dxa"/>
                  <w:vAlign w:val="center"/>
                </w:tcPr>
                <w:p>
                  <w:pPr>
                    <w:pStyle w:val="30"/>
                    <w:spacing w:line="360" w:lineRule="exact"/>
                    <w:ind w:firstLine="210" w:firstLineChars="100"/>
                    <w:jc w:val="both"/>
                    <w:rPr>
                      <w:color w:val="auto"/>
                      <w:szCs w:val="21"/>
                    </w:rPr>
                  </w:pPr>
                  <w:r>
                    <w:rPr>
                      <w:color w:val="auto"/>
                      <w:szCs w:val="21"/>
                    </w:rPr>
                    <w:t>根据设计，1号废旧电视机（液晶电视）处理线产生的废气主要为粉尘，包括拆解工作台产生的粉尘和荧光灯管背光模组拆解过程产生的汞及其化合物。拟采取的措施如下：</w:t>
                  </w:r>
                </w:p>
                <w:p>
                  <w:pPr>
                    <w:pStyle w:val="30"/>
                    <w:spacing w:line="360" w:lineRule="exact"/>
                    <w:ind w:firstLine="210" w:firstLineChars="100"/>
                    <w:jc w:val="both"/>
                    <w:rPr>
                      <w:color w:val="auto"/>
                      <w:szCs w:val="21"/>
                    </w:rPr>
                  </w:pPr>
                  <w:r>
                    <w:rPr>
                      <w:color w:val="auto"/>
                      <w:szCs w:val="21"/>
                    </w:rPr>
                    <w:t>（1）普通粉尘处理措施</w:t>
                  </w:r>
                </w:p>
                <w:p>
                  <w:pPr>
                    <w:pStyle w:val="30"/>
                    <w:spacing w:line="360" w:lineRule="exact"/>
                    <w:ind w:firstLine="210" w:firstLineChars="100"/>
                    <w:jc w:val="both"/>
                    <w:rPr>
                      <w:color w:val="auto"/>
                      <w:szCs w:val="21"/>
                    </w:rPr>
                  </w:pPr>
                  <w:r>
                    <w:rPr>
                      <w:color w:val="auto"/>
                      <w:szCs w:val="21"/>
                    </w:rPr>
                    <w:t>项目1号废旧电视机（液晶电视）处理线已设置了6个拆解工位，拟对每个工位设置集气罩，集气效率不低于90%，集气罩风量为1000m³/h·个（合计6000m³/h）；收集后统一进入1个处理效率不低于95%的</w:t>
                  </w:r>
                  <w:r>
                    <w:rPr>
                      <w:rFonts w:hint="eastAsia"/>
                      <w:color w:val="auto"/>
                      <w:szCs w:val="21"/>
                    </w:rPr>
                    <w:t>4</w:t>
                  </w:r>
                  <w:r>
                    <w:rPr>
                      <w:color w:val="auto"/>
                      <w:szCs w:val="21"/>
                    </w:rPr>
                    <w:t>#脉冲除尘器对其进行处理后通过1根Φ0.</w:t>
                  </w:r>
                  <w:r>
                    <w:rPr>
                      <w:rFonts w:hint="eastAsia"/>
                      <w:color w:val="auto"/>
                      <w:szCs w:val="21"/>
                    </w:rPr>
                    <w:t>4</w:t>
                  </w:r>
                  <w:r>
                    <w:rPr>
                      <w:color w:val="auto"/>
                      <w:szCs w:val="21"/>
                    </w:rPr>
                    <w:t>4m、高15m的排气筒（DA00</w:t>
                  </w:r>
                  <w:r>
                    <w:rPr>
                      <w:rFonts w:hint="eastAsia"/>
                      <w:color w:val="auto"/>
                      <w:szCs w:val="21"/>
                    </w:rPr>
                    <w:t>4</w:t>
                  </w:r>
                  <w:r>
                    <w:rPr>
                      <w:color w:val="auto"/>
                      <w:szCs w:val="21"/>
                    </w:rPr>
                    <w:t>）外排。</w:t>
                  </w:r>
                </w:p>
                <w:p>
                  <w:pPr>
                    <w:pStyle w:val="30"/>
                    <w:spacing w:line="360" w:lineRule="exact"/>
                    <w:ind w:firstLine="210" w:firstLineChars="100"/>
                    <w:jc w:val="both"/>
                    <w:rPr>
                      <w:color w:val="auto"/>
                      <w:szCs w:val="21"/>
                    </w:rPr>
                  </w:pPr>
                  <w:r>
                    <w:rPr>
                      <w:color w:val="auto"/>
                      <w:szCs w:val="21"/>
                    </w:rPr>
                    <w:t>（2）汞及其化合物处理措施</w:t>
                  </w:r>
                </w:p>
                <w:p>
                  <w:pPr>
                    <w:pStyle w:val="30"/>
                    <w:spacing w:line="360" w:lineRule="exact"/>
                    <w:ind w:firstLine="210" w:firstLineChars="100"/>
                    <w:jc w:val="both"/>
                    <w:rPr>
                      <w:color w:val="auto"/>
                      <w:szCs w:val="21"/>
                    </w:rPr>
                  </w:pPr>
                  <w:r>
                    <w:rPr>
                      <w:color w:val="auto"/>
                      <w:szCs w:val="21"/>
                    </w:rPr>
                    <w:t>由于荧光灯管属于含汞灯管，正常情况下背光模组含汞灯管不会破碎，但为了防治含汞灯管破碎汞溢出，则将2台荧光灯管背光模组负压拆解工作台设置为密封式透明负压拆解工作台，人在负压拆解工作台外，手伸入负压工作台内对荧光灯管背光模组进行手工拆解；汞及其化合物经负压系统全部收集后，通过1套去除效率不低于80%的汞及其化合物处理装置（采用UV光氧裂解+载硫活性炭吸附）对其进行处理，处理后再统一进入1个处理效率不低于95%的</w:t>
                  </w:r>
                  <w:r>
                    <w:rPr>
                      <w:rFonts w:hint="eastAsia"/>
                      <w:color w:val="auto"/>
                      <w:szCs w:val="21"/>
                    </w:rPr>
                    <w:t>4</w:t>
                  </w:r>
                  <w:r>
                    <w:rPr>
                      <w:color w:val="auto"/>
                      <w:szCs w:val="21"/>
                    </w:rPr>
                    <w:t>#脉冲除尘器对其进行处理后通过1根Φ0.</w:t>
                  </w:r>
                  <w:r>
                    <w:rPr>
                      <w:rFonts w:hint="eastAsia"/>
                      <w:color w:val="auto"/>
                      <w:szCs w:val="21"/>
                    </w:rPr>
                    <w:t>4</w:t>
                  </w:r>
                  <w:r>
                    <w:rPr>
                      <w:color w:val="auto"/>
                      <w:szCs w:val="21"/>
                    </w:rPr>
                    <w:t>4m、高15m的排气筒（DA00</w:t>
                  </w:r>
                  <w:r>
                    <w:rPr>
                      <w:rFonts w:hint="eastAsia"/>
                      <w:color w:val="auto"/>
                      <w:szCs w:val="21"/>
                    </w:rPr>
                    <w:t>4</w:t>
                  </w:r>
                  <w:r>
                    <w:rPr>
                      <w:color w:val="auto"/>
                      <w:szCs w:val="21"/>
                    </w:rPr>
                    <w:t>）外排。</w:t>
                  </w:r>
                </w:p>
              </w:tc>
              <w:tc>
                <w:tcPr>
                  <w:tcW w:w="1118" w:type="dxa"/>
                  <w:vAlign w:val="center"/>
                </w:tcPr>
                <w:p>
                  <w:pPr>
                    <w:pStyle w:val="30"/>
                    <w:spacing w:line="360" w:lineRule="exact"/>
                    <w:ind w:firstLine="210" w:firstLineChars="100"/>
                    <w:jc w:val="both"/>
                    <w:rPr>
                      <w:color w:val="auto"/>
                      <w:szCs w:val="21"/>
                    </w:rPr>
                  </w:pPr>
                  <w:r>
                    <w:rPr>
                      <w:color w:val="auto"/>
                      <w:szCs w:val="21"/>
                    </w:rPr>
                    <w:t>设计提出，对现有项目环保设施进行改造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0" w:type="dxa"/>
                  <w:vMerge w:val="continue"/>
                  <w:vAlign w:val="center"/>
                </w:tcPr>
                <w:p>
                  <w:pPr>
                    <w:pStyle w:val="30"/>
                    <w:spacing w:line="360" w:lineRule="exact"/>
                    <w:rPr>
                      <w:color w:val="auto"/>
                      <w:szCs w:val="21"/>
                    </w:rPr>
                  </w:pPr>
                </w:p>
              </w:tc>
              <w:tc>
                <w:tcPr>
                  <w:tcW w:w="758" w:type="dxa"/>
                  <w:vMerge w:val="continue"/>
                  <w:vAlign w:val="center"/>
                </w:tcPr>
                <w:p>
                  <w:pPr>
                    <w:pStyle w:val="30"/>
                    <w:spacing w:line="360" w:lineRule="exact"/>
                    <w:rPr>
                      <w:color w:val="auto"/>
                      <w:szCs w:val="21"/>
                    </w:rPr>
                  </w:pPr>
                </w:p>
              </w:tc>
              <w:tc>
                <w:tcPr>
                  <w:tcW w:w="1125" w:type="dxa"/>
                  <w:vAlign w:val="center"/>
                </w:tcPr>
                <w:p>
                  <w:pPr>
                    <w:pStyle w:val="30"/>
                    <w:spacing w:line="360" w:lineRule="exact"/>
                    <w:rPr>
                      <w:color w:val="auto"/>
                      <w:szCs w:val="21"/>
                    </w:rPr>
                  </w:pPr>
                  <w:r>
                    <w:rPr>
                      <w:color w:val="auto"/>
                      <w:szCs w:val="21"/>
                    </w:rPr>
                    <w:t>2号废旧电视机（CRT）处理线废气处理设施</w:t>
                  </w:r>
                </w:p>
              </w:tc>
              <w:tc>
                <w:tcPr>
                  <w:tcW w:w="5273" w:type="dxa"/>
                  <w:vAlign w:val="center"/>
                </w:tcPr>
                <w:p>
                  <w:pPr>
                    <w:pStyle w:val="30"/>
                    <w:spacing w:line="360" w:lineRule="exact"/>
                    <w:ind w:firstLine="210" w:firstLineChars="100"/>
                    <w:jc w:val="both"/>
                    <w:rPr>
                      <w:color w:val="auto"/>
                      <w:szCs w:val="21"/>
                    </w:rPr>
                  </w:pPr>
                  <w:r>
                    <w:rPr>
                      <w:color w:val="auto"/>
                      <w:szCs w:val="21"/>
                    </w:rPr>
                    <w:t>根据调查，2号废旧电视机（CRT）处理线产生的废气主要为粉尘，包括阴极射线管（CRT）拆解前端的粉尘为普通粉尘和阴极射线管（CRT）拆解产生的含铅粉尘。项目已采取了下列措施：</w:t>
                  </w:r>
                </w:p>
                <w:p>
                  <w:pPr>
                    <w:pStyle w:val="30"/>
                    <w:spacing w:line="360" w:lineRule="exact"/>
                    <w:ind w:firstLine="210" w:firstLineChars="100"/>
                    <w:jc w:val="both"/>
                    <w:rPr>
                      <w:color w:val="auto"/>
                      <w:szCs w:val="21"/>
                    </w:rPr>
                  </w:pPr>
                  <w:r>
                    <w:rPr>
                      <w:color w:val="auto"/>
                      <w:szCs w:val="21"/>
                    </w:rPr>
                    <w:t>（1）普通粉尘处理措施</w:t>
                  </w:r>
                </w:p>
                <w:p>
                  <w:pPr>
                    <w:pStyle w:val="30"/>
                    <w:spacing w:line="360" w:lineRule="exact"/>
                    <w:ind w:firstLine="210" w:firstLineChars="100"/>
                    <w:jc w:val="both"/>
                    <w:rPr>
                      <w:color w:val="auto"/>
                      <w:szCs w:val="21"/>
                    </w:rPr>
                  </w:pPr>
                  <w:r>
                    <w:rPr>
                      <w:color w:val="auto"/>
                      <w:szCs w:val="21"/>
                    </w:rPr>
                    <w:t>根据调查，项目已分别在1个破碎区、2个人工喷吹室、1条人工拆解线工作台分别设置了集气效率不低于90%的集气罩，其中破碎区集气罩风量为5000m³/h；2个人工喷吹室集气罩风量为2000m³/h·个（合计4000m³/h·个）；人工拆解工作台设置4个集气罩，该集气罩的风量为2000m³/h·个（合计8000m³/h），合计2号废旧电视机（CRT）处理线风量为17000m³/h。收集后统一进入1个处理效率不低于95%的</w:t>
                  </w:r>
                  <w:r>
                    <w:rPr>
                      <w:rFonts w:hint="eastAsia"/>
                      <w:color w:val="auto"/>
                      <w:szCs w:val="21"/>
                    </w:rPr>
                    <w:t>5</w:t>
                  </w:r>
                  <w:r>
                    <w:rPr>
                      <w:color w:val="auto"/>
                      <w:szCs w:val="21"/>
                    </w:rPr>
                    <w:t>#脉冲除尘器对其进行处理后通过1根Φ0.74m、高15m的排气筒（DA00</w:t>
                  </w:r>
                  <w:r>
                    <w:rPr>
                      <w:rFonts w:hint="eastAsia"/>
                      <w:color w:val="auto"/>
                      <w:szCs w:val="21"/>
                    </w:rPr>
                    <w:t>5</w:t>
                  </w:r>
                  <w:r>
                    <w:rPr>
                      <w:color w:val="auto"/>
                      <w:szCs w:val="21"/>
                    </w:rPr>
                    <w:t>）外排。</w:t>
                  </w:r>
                </w:p>
                <w:p>
                  <w:pPr>
                    <w:pStyle w:val="30"/>
                    <w:spacing w:line="360" w:lineRule="exact"/>
                    <w:ind w:firstLine="210" w:firstLineChars="100"/>
                    <w:jc w:val="both"/>
                    <w:rPr>
                      <w:color w:val="auto"/>
                      <w:szCs w:val="21"/>
                    </w:rPr>
                  </w:pPr>
                  <w:r>
                    <w:rPr>
                      <w:color w:val="auto"/>
                      <w:szCs w:val="21"/>
                    </w:rPr>
                    <w:t>（2）含铅粉尘处理措施</w:t>
                  </w:r>
                </w:p>
                <w:p>
                  <w:pPr>
                    <w:pStyle w:val="30"/>
                    <w:spacing w:line="360" w:lineRule="exact"/>
                    <w:ind w:firstLine="210" w:firstLineChars="100"/>
                    <w:jc w:val="both"/>
                    <w:rPr>
                      <w:color w:val="auto"/>
                      <w:szCs w:val="21"/>
                    </w:rPr>
                  </w:pPr>
                  <w:r>
                    <w:rPr>
                      <w:color w:val="auto"/>
                      <w:szCs w:val="21"/>
                    </w:rPr>
                    <w:t>根据调查，1间阴极射线管（CRT）拆解区产生的粉尘为含铅粉尘，阴极射线管（CRT）拆解区为密闭式拆解区设置6个阴极射线管（CRT）拆解工作台，项目分别对6个阴极射线管（CRT）拆解工作台设置集气效率不低于95%的集气罩；集气罩风量为3000m³/h·个，合计风量为18000m³/h；收集后统一进入1个处理效率不低于95%的</w:t>
                  </w:r>
                  <w:r>
                    <w:rPr>
                      <w:rFonts w:hint="eastAsia"/>
                      <w:color w:val="auto"/>
                      <w:szCs w:val="21"/>
                    </w:rPr>
                    <w:t>6</w:t>
                  </w:r>
                  <w:r>
                    <w:rPr>
                      <w:color w:val="auto"/>
                      <w:szCs w:val="21"/>
                    </w:rPr>
                    <w:t>#脉冲除尘器对其进行处理，处理后通过1根Φ0.76m、高15m的排气筒（DA00</w:t>
                  </w:r>
                  <w:r>
                    <w:rPr>
                      <w:rFonts w:hint="eastAsia"/>
                      <w:color w:val="auto"/>
                      <w:szCs w:val="21"/>
                    </w:rPr>
                    <w:t>6</w:t>
                  </w:r>
                  <w:r>
                    <w:rPr>
                      <w:color w:val="auto"/>
                      <w:szCs w:val="21"/>
                    </w:rPr>
                    <w:t>）外排。</w:t>
                  </w:r>
                </w:p>
              </w:tc>
              <w:tc>
                <w:tcPr>
                  <w:tcW w:w="1118" w:type="dxa"/>
                  <w:vAlign w:val="center"/>
                </w:tcPr>
                <w:p>
                  <w:pPr>
                    <w:pStyle w:val="30"/>
                    <w:spacing w:line="360" w:lineRule="exact"/>
                    <w:rPr>
                      <w:color w:val="auto"/>
                      <w:szCs w:val="21"/>
                    </w:rPr>
                  </w:pPr>
                  <w:r>
                    <w:rPr>
                      <w:color w:val="auto"/>
                      <w:szCs w:val="21"/>
                    </w:rPr>
                    <w:t>已验收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0" w:type="dxa"/>
                  <w:vMerge w:val="continue"/>
                  <w:vAlign w:val="center"/>
                </w:tcPr>
                <w:p>
                  <w:pPr>
                    <w:pStyle w:val="30"/>
                    <w:spacing w:line="360" w:lineRule="exact"/>
                    <w:rPr>
                      <w:color w:val="auto"/>
                      <w:szCs w:val="21"/>
                    </w:rPr>
                  </w:pPr>
                </w:p>
              </w:tc>
              <w:tc>
                <w:tcPr>
                  <w:tcW w:w="1883" w:type="dxa"/>
                  <w:gridSpan w:val="2"/>
                  <w:vAlign w:val="center"/>
                </w:tcPr>
                <w:p>
                  <w:pPr>
                    <w:pStyle w:val="30"/>
                    <w:spacing w:line="360" w:lineRule="exact"/>
                    <w:rPr>
                      <w:color w:val="auto"/>
                      <w:szCs w:val="21"/>
                    </w:rPr>
                  </w:pPr>
                  <w:r>
                    <w:rPr>
                      <w:color w:val="auto"/>
                      <w:szCs w:val="21"/>
                    </w:rPr>
                    <w:t>雨污分流</w:t>
                  </w:r>
                </w:p>
              </w:tc>
              <w:tc>
                <w:tcPr>
                  <w:tcW w:w="5273" w:type="dxa"/>
                  <w:vAlign w:val="center"/>
                </w:tcPr>
                <w:p>
                  <w:pPr>
                    <w:pStyle w:val="30"/>
                    <w:spacing w:line="360" w:lineRule="exact"/>
                    <w:ind w:firstLine="210" w:firstLineChars="100"/>
                    <w:jc w:val="both"/>
                    <w:rPr>
                      <w:color w:val="auto"/>
                      <w:szCs w:val="21"/>
                    </w:rPr>
                  </w:pPr>
                  <w:r>
                    <w:rPr>
                      <w:color w:val="auto"/>
                      <w:szCs w:val="21"/>
                    </w:rPr>
                    <w:t>根据调查，项目区已设置了雨污分流设施。</w:t>
                  </w:r>
                </w:p>
              </w:tc>
              <w:tc>
                <w:tcPr>
                  <w:tcW w:w="1118" w:type="dxa"/>
                  <w:vAlign w:val="center"/>
                </w:tcPr>
                <w:p>
                  <w:pPr>
                    <w:pStyle w:val="30"/>
                    <w:spacing w:line="360" w:lineRule="exact"/>
                    <w:rPr>
                      <w:color w:val="auto"/>
                      <w:szCs w:val="21"/>
                    </w:rPr>
                  </w:pPr>
                  <w:r>
                    <w:rPr>
                      <w:color w:val="auto"/>
                      <w:szCs w:val="21"/>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0" w:type="dxa"/>
                  <w:vMerge w:val="continue"/>
                  <w:vAlign w:val="center"/>
                </w:tcPr>
                <w:p>
                  <w:pPr>
                    <w:pStyle w:val="30"/>
                    <w:spacing w:line="360" w:lineRule="exact"/>
                    <w:rPr>
                      <w:color w:val="auto"/>
                      <w:szCs w:val="21"/>
                    </w:rPr>
                  </w:pPr>
                </w:p>
              </w:tc>
              <w:tc>
                <w:tcPr>
                  <w:tcW w:w="758" w:type="dxa"/>
                  <w:vMerge w:val="restart"/>
                  <w:vAlign w:val="center"/>
                </w:tcPr>
                <w:p>
                  <w:pPr>
                    <w:pStyle w:val="30"/>
                    <w:spacing w:line="360" w:lineRule="exact"/>
                    <w:rPr>
                      <w:color w:val="auto"/>
                      <w:szCs w:val="21"/>
                    </w:rPr>
                  </w:pPr>
                  <w:r>
                    <w:rPr>
                      <w:color w:val="auto"/>
                      <w:szCs w:val="21"/>
                    </w:rPr>
                    <w:t>废水</w:t>
                  </w:r>
                </w:p>
              </w:tc>
              <w:tc>
                <w:tcPr>
                  <w:tcW w:w="1125" w:type="dxa"/>
                  <w:vAlign w:val="center"/>
                </w:tcPr>
                <w:p>
                  <w:pPr>
                    <w:pStyle w:val="30"/>
                    <w:spacing w:line="360" w:lineRule="exact"/>
                    <w:rPr>
                      <w:rFonts w:eastAsiaTheme="minorEastAsia"/>
                      <w:color w:val="auto"/>
                      <w:szCs w:val="21"/>
                    </w:rPr>
                  </w:pPr>
                  <w:r>
                    <w:rPr>
                      <w:rFonts w:eastAsiaTheme="minorEastAsia"/>
                      <w:color w:val="auto"/>
                      <w:szCs w:val="21"/>
                    </w:rPr>
                    <w:t>盐水缸</w:t>
                  </w:r>
                </w:p>
              </w:tc>
              <w:tc>
                <w:tcPr>
                  <w:tcW w:w="5273" w:type="dxa"/>
                  <w:vAlign w:val="center"/>
                </w:tcPr>
                <w:p>
                  <w:pPr>
                    <w:pStyle w:val="30"/>
                    <w:spacing w:line="360" w:lineRule="exact"/>
                    <w:ind w:firstLine="210" w:firstLineChars="100"/>
                    <w:jc w:val="both"/>
                    <w:rPr>
                      <w:color w:val="auto"/>
                      <w:szCs w:val="21"/>
                    </w:rPr>
                  </w:pPr>
                  <w:r>
                    <w:rPr>
                      <w:color w:val="auto"/>
                      <w:szCs w:val="21"/>
                    </w:rPr>
                    <w:t>根据调查，项目针对废旧洗衣机线拆解过程产生的平衡盐水，已设置了1个2m³的盐水缸对其进行收集，收集后的措施为经稀释用于厂区绿化，不外排。</w:t>
                  </w:r>
                </w:p>
              </w:tc>
              <w:tc>
                <w:tcPr>
                  <w:tcW w:w="1118" w:type="dxa"/>
                  <w:vAlign w:val="center"/>
                </w:tcPr>
                <w:p>
                  <w:pPr>
                    <w:pStyle w:val="30"/>
                    <w:spacing w:line="360" w:lineRule="exact"/>
                    <w:rPr>
                      <w:color w:val="auto"/>
                      <w:szCs w:val="21"/>
                    </w:rPr>
                  </w:pPr>
                  <w:r>
                    <w:rPr>
                      <w:color w:val="auto"/>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0" w:type="dxa"/>
                  <w:vMerge w:val="continue"/>
                  <w:vAlign w:val="center"/>
                </w:tcPr>
                <w:p>
                  <w:pPr>
                    <w:pStyle w:val="30"/>
                    <w:spacing w:line="360" w:lineRule="exact"/>
                    <w:rPr>
                      <w:color w:val="auto"/>
                      <w:szCs w:val="21"/>
                    </w:rPr>
                  </w:pPr>
                </w:p>
              </w:tc>
              <w:tc>
                <w:tcPr>
                  <w:tcW w:w="758" w:type="dxa"/>
                  <w:vMerge w:val="continue"/>
                  <w:vAlign w:val="center"/>
                </w:tcPr>
                <w:p>
                  <w:pPr>
                    <w:pStyle w:val="30"/>
                    <w:spacing w:line="360" w:lineRule="exact"/>
                    <w:rPr>
                      <w:color w:val="auto"/>
                      <w:szCs w:val="21"/>
                    </w:rPr>
                  </w:pPr>
                </w:p>
              </w:tc>
              <w:tc>
                <w:tcPr>
                  <w:tcW w:w="1125" w:type="dxa"/>
                  <w:vAlign w:val="center"/>
                </w:tcPr>
                <w:p>
                  <w:pPr>
                    <w:pStyle w:val="30"/>
                    <w:spacing w:line="360" w:lineRule="exact"/>
                    <w:rPr>
                      <w:rFonts w:eastAsiaTheme="minorEastAsia"/>
                      <w:color w:val="auto"/>
                      <w:szCs w:val="21"/>
                    </w:rPr>
                  </w:pPr>
                  <w:r>
                    <w:rPr>
                      <w:rFonts w:eastAsiaTheme="minorEastAsia"/>
                      <w:color w:val="auto"/>
                      <w:szCs w:val="21"/>
                    </w:rPr>
                    <w:t>隔油池</w:t>
                  </w:r>
                </w:p>
              </w:tc>
              <w:tc>
                <w:tcPr>
                  <w:tcW w:w="5273" w:type="dxa"/>
                  <w:vAlign w:val="center"/>
                </w:tcPr>
                <w:p>
                  <w:pPr>
                    <w:pStyle w:val="30"/>
                    <w:spacing w:line="360" w:lineRule="exact"/>
                    <w:ind w:firstLine="210" w:firstLineChars="100"/>
                    <w:jc w:val="both"/>
                    <w:rPr>
                      <w:color w:val="auto"/>
                      <w:szCs w:val="21"/>
                    </w:rPr>
                  </w:pPr>
                  <w:r>
                    <w:rPr>
                      <w:color w:val="auto"/>
                      <w:szCs w:val="21"/>
                    </w:rPr>
                    <w:t>根据调查，厂区内针对厨房废水，已配套设置了1个2m³的隔油池对厨房废水进行预处理。</w:t>
                  </w:r>
                </w:p>
              </w:tc>
              <w:tc>
                <w:tcPr>
                  <w:tcW w:w="1118" w:type="dxa"/>
                  <w:vAlign w:val="center"/>
                </w:tcPr>
                <w:p>
                  <w:pPr>
                    <w:pStyle w:val="30"/>
                    <w:spacing w:line="360" w:lineRule="exact"/>
                    <w:rPr>
                      <w:color w:val="auto"/>
                      <w:szCs w:val="21"/>
                    </w:rPr>
                  </w:pPr>
                  <w:r>
                    <w:rPr>
                      <w:color w:val="auto"/>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0" w:type="dxa"/>
                  <w:vMerge w:val="continue"/>
                  <w:vAlign w:val="center"/>
                </w:tcPr>
                <w:p>
                  <w:pPr>
                    <w:pStyle w:val="30"/>
                    <w:spacing w:line="360" w:lineRule="exact"/>
                    <w:rPr>
                      <w:color w:val="auto"/>
                      <w:szCs w:val="21"/>
                    </w:rPr>
                  </w:pPr>
                </w:p>
              </w:tc>
              <w:tc>
                <w:tcPr>
                  <w:tcW w:w="758" w:type="dxa"/>
                  <w:vMerge w:val="continue"/>
                  <w:vAlign w:val="center"/>
                </w:tcPr>
                <w:p>
                  <w:pPr>
                    <w:pStyle w:val="30"/>
                    <w:spacing w:line="360" w:lineRule="exact"/>
                    <w:rPr>
                      <w:color w:val="auto"/>
                      <w:szCs w:val="21"/>
                    </w:rPr>
                  </w:pPr>
                </w:p>
              </w:tc>
              <w:tc>
                <w:tcPr>
                  <w:tcW w:w="1125" w:type="dxa"/>
                  <w:vAlign w:val="center"/>
                </w:tcPr>
                <w:p>
                  <w:pPr>
                    <w:pStyle w:val="30"/>
                    <w:spacing w:line="360" w:lineRule="exact"/>
                    <w:rPr>
                      <w:rFonts w:eastAsiaTheme="minorEastAsia"/>
                      <w:color w:val="auto"/>
                      <w:szCs w:val="21"/>
                    </w:rPr>
                  </w:pPr>
                  <w:r>
                    <w:rPr>
                      <w:rFonts w:eastAsiaTheme="minorEastAsia"/>
                      <w:color w:val="auto"/>
                      <w:szCs w:val="21"/>
                    </w:rPr>
                    <w:t>化粪池</w:t>
                  </w:r>
                </w:p>
              </w:tc>
              <w:tc>
                <w:tcPr>
                  <w:tcW w:w="5273" w:type="dxa"/>
                  <w:vAlign w:val="center"/>
                </w:tcPr>
                <w:p>
                  <w:pPr>
                    <w:pStyle w:val="30"/>
                    <w:spacing w:line="360" w:lineRule="exact"/>
                    <w:ind w:firstLine="210" w:firstLineChars="100"/>
                    <w:jc w:val="both"/>
                    <w:rPr>
                      <w:color w:val="auto"/>
                      <w:szCs w:val="21"/>
                    </w:rPr>
                  </w:pPr>
                  <w:r>
                    <w:rPr>
                      <w:color w:val="auto"/>
                      <w:szCs w:val="21"/>
                    </w:rPr>
                    <w:t>根据调查，项目针对办公生活区，已配套设置了3个5m³的化粪池对生活污水进行处理。</w:t>
                  </w:r>
                </w:p>
              </w:tc>
              <w:tc>
                <w:tcPr>
                  <w:tcW w:w="1118" w:type="dxa"/>
                  <w:vAlign w:val="center"/>
                </w:tcPr>
                <w:p>
                  <w:pPr>
                    <w:pStyle w:val="30"/>
                    <w:spacing w:line="360" w:lineRule="exact"/>
                    <w:rPr>
                      <w:color w:val="auto"/>
                      <w:szCs w:val="21"/>
                    </w:rPr>
                  </w:pPr>
                  <w:r>
                    <w:rPr>
                      <w:color w:val="auto"/>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0" w:type="dxa"/>
                  <w:vMerge w:val="continue"/>
                  <w:vAlign w:val="center"/>
                </w:tcPr>
                <w:p>
                  <w:pPr>
                    <w:pStyle w:val="30"/>
                    <w:spacing w:line="360" w:lineRule="exact"/>
                    <w:rPr>
                      <w:color w:val="auto"/>
                      <w:szCs w:val="21"/>
                    </w:rPr>
                  </w:pPr>
                </w:p>
              </w:tc>
              <w:tc>
                <w:tcPr>
                  <w:tcW w:w="758" w:type="dxa"/>
                  <w:vMerge w:val="continue"/>
                  <w:vAlign w:val="center"/>
                </w:tcPr>
                <w:p>
                  <w:pPr>
                    <w:pStyle w:val="30"/>
                    <w:spacing w:line="360" w:lineRule="exact"/>
                    <w:rPr>
                      <w:color w:val="auto"/>
                      <w:szCs w:val="21"/>
                    </w:rPr>
                  </w:pPr>
                </w:p>
              </w:tc>
              <w:tc>
                <w:tcPr>
                  <w:tcW w:w="1125" w:type="dxa"/>
                  <w:vAlign w:val="center"/>
                </w:tcPr>
                <w:p>
                  <w:pPr>
                    <w:pStyle w:val="30"/>
                    <w:spacing w:line="360" w:lineRule="exact"/>
                    <w:rPr>
                      <w:rFonts w:eastAsiaTheme="minorEastAsia"/>
                      <w:color w:val="auto"/>
                      <w:szCs w:val="21"/>
                    </w:rPr>
                  </w:pPr>
                  <w:r>
                    <w:rPr>
                      <w:rFonts w:eastAsiaTheme="minorEastAsia"/>
                      <w:color w:val="auto"/>
                      <w:szCs w:val="21"/>
                    </w:rPr>
                    <w:t>一体化污水处理设施</w:t>
                  </w:r>
                </w:p>
              </w:tc>
              <w:tc>
                <w:tcPr>
                  <w:tcW w:w="5273" w:type="dxa"/>
                  <w:vAlign w:val="center"/>
                </w:tcPr>
                <w:p>
                  <w:pPr>
                    <w:pStyle w:val="30"/>
                    <w:spacing w:line="360" w:lineRule="exact"/>
                    <w:ind w:firstLine="210" w:firstLineChars="100"/>
                    <w:jc w:val="both"/>
                    <w:rPr>
                      <w:color w:val="auto"/>
                      <w:szCs w:val="21"/>
                    </w:rPr>
                  </w:pPr>
                  <w:r>
                    <w:rPr>
                      <w:color w:val="auto"/>
                      <w:szCs w:val="21"/>
                    </w:rPr>
                    <w:t>根据调查，项目已设置了1个10m³/d的污水收集池对生活污水进行处理，处理后回用于绿化不外排；但建设单位为了使项目生活污水达标回用，拟建设1套处理能力为30m³/d的一体化污水处理设施对生活污水进行处理。</w:t>
                  </w:r>
                </w:p>
              </w:tc>
              <w:tc>
                <w:tcPr>
                  <w:tcW w:w="1118" w:type="dxa"/>
                  <w:vAlign w:val="center"/>
                </w:tcPr>
                <w:p>
                  <w:pPr>
                    <w:pStyle w:val="30"/>
                    <w:spacing w:line="360" w:lineRule="exact"/>
                    <w:rPr>
                      <w:color w:val="auto"/>
                      <w:szCs w:val="21"/>
                    </w:rPr>
                  </w:pPr>
                  <w:r>
                    <w:rPr>
                      <w:color w:val="auto"/>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0" w:type="dxa"/>
                  <w:vMerge w:val="continue"/>
                  <w:vAlign w:val="center"/>
                </w:tcPr>
                <w:p>
                  <w:pPr>
                    <w:pStyle w:val="30"/>
                    <w:spacing w:line="360" w:lineRule="exact"/>
                    <w:rPr>
                      <w:color w:val="auto"/>
                      <w:szCs w:val="21"/>
                    </w:rPr>
                  </w:pPr>
                </w:p>
              </w:tc>
              <w:tc>
                <w:tcPr>
                  <w:tcW w:w="758" w:type="dxa"/>
                  <w:vMerge w:val="continue"/>
                  <w:vAlign w:val="center"/>
                </w:tcPr>
                <w:p>
                  <w:pPr>
                    <w:pStyle w:val="30"/>
                    <w:spacing w:line="360" w:lineRule="exact"/>
                    <w:rPr>
                      <w:color w:val="auto"/>
                      <w:szCs w:val="21"/>
                    </w:rPr>
                  </w:pPr>
                </w:p>
              </w:tc>
              <w:tc>
                <w:tcPr>
                  <w:tcW w:w="1125" w:type="dxa"/>
                  <w:vAlign w:val="center"/>
                </w:tcPr>
                <w:p>
                  <w:pPr>
                    <w:pStyle w:val="30"/>
                    <w:spacing w:line="360" w:lineRule="exact"/>
                    <w:rPr>
                      <w:rFonts w:eastAsiaTheme="minorEastAsia"/>
                      <w:color w:val="auto"/>
                      <w:szCs w:val="21"/>
                    </w:rPr>
                  </w:pPr>
                  <w:r>
                    <w:rPr>
                      <w:rFonts w:eastAsiaTheme="minorEastAsia"/>
                      <w:color w:val="auto"/>
                      <w:szCs w:val="21"/>
                    </w:rPr>
                    <w:t>清水池</w:t>
                  </w:r>
                </w:p>
              </w:tc>
              <w:tc>
                <w:tcPr>
                  <w:tcW w:w="5273" w:type="dxa"/>
                  <w:vAlign w:val="center"/>
                </w:tcPr>
                <w:p>
                  <w:pPr>
                    <w:pStyle w:val="30"/>
                    <w:spacing w:line="360" w:lineRule="exact"/>
                    <w:ind w:firstLine="210" w:firstLineChars="100"/>
                    <w:jc w:val="both"/>
                    <w:rPr>
                      <w:color w:val="auto"/>
                      <w:szCs w:val="21"/>
                    </w:rPr>
                  </w:pPr>
                  <w:r>
                    <w:rPr>
                      <w:color w:val="auto"/>
                      <w:szCs w:val="21"/>
                    </w:rPr>
                    <w:t>根据设计，生活污水经处理后将回用于绿化，为满足雨天等特殊情况，处理后生活污水的暂存要求，项目拟配套设置1个有效容积为30m³的清水池对处理后的生活污水进行暂存。</w:t>
                  </w:r>
                </w:p>
              </w:tc>
              <w:tc>
                <w:tcPr>
                  <w:tcW w:w="1118" w:type="dxa"/>
                  <w:vAlign w:val="center"/>
                </w:tcPr>
                <w:p>
                  <w:pPr>
                    <w:pStyle w:val="30"/>
                    <w:spacing w:line="360" w:lineRule="exact"/>
                    <w:rPr>
                      <w:color w:val="auto"/>
                      <w:szCs w:val="21"/>
                    </w:rPr>
                  </w:pPr>
                  <w:r>
                    <w:rPr>
                      <w:color w:val="auto"/>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0" w:type="dxa"/>
                  <w:vMerge w:val="continue"/>
                  <w:vAlign w:val="center"/>
                </w:tcPr>
                <w:p>
                  <w:pPr>
                    <w:pStyle w:val="30"/>
                    <w:spacing w:line="360" w:lineRule="exact"/>
                    <w:rPr>
                      <w:color w:val="auto"/>
                      <w:szCs w:val="21"/>
                    </w:rPr>
                  </w:pPr>
                </w:p>
              </w:tc>
              <w:tc>
                <w:tcPr>
                  <w:tcW w:w="758" w:type="dxa"/>
                  <w:vMerge w:val="continue"/>
                  <w:vAlign w:val="center"/>
                </w:tcPr>
                <w:p>
                  <w:pPr>
                    <w:pStyle w:val="30"/>
                    <w:spacing w:line="360" w:lineRule="exact"/>
                    <w:rPr>
                      <w:color w:val="auto"/>
                      <w:szCs w:val="21"/>
                    </w:rPr>
                  </w:pPr>
                </w:p>
              </w:tc>
              <w:tc>
                <w:tcPr>
                  <w:tcW w:w="1125" w:type="dxa"/>
                  <w:vAlign w:val="center"/>
                </w:tcPr>
                <w:p>
                  <w:pPr>
                    <w:pStyle w:val="30"/>
                    <w:spacing w:line="360" w:lineRule="exact"/>
                    <w:rPr>
                      <w:rFonts w:eastAsiaTheme="minorEastAsia"/>
                      <w:color w:val="auto"/>
                      <w:szCs w:val="21"/>
                    </w:rPr>
                  </w:pPr>
                  <w:r>
                    <w:rPr>
                      <w:rFonts w:eastAsiaTheme="minorEastAsia"/>
                      <w:color w:val="auto"/>
                      <w:szCs w:val="21"/>
                    </w:rPr>
                    <w:t>初期雨水收集池</w:t>
                  </w:r>
                </w:p>
              </w:tc>
              <w:tc>
                <w:tcPr>
                  <w:tcW w:w="5273" w:type="dxa"/>
                  <w:vAlign w:val="center"/>
                </w:tcPr>
                <w:p>
                  <w:pPr>
                    <w:pStyle w:val="30"/>
                    <w:spacing w:line="360" w:lineRule="exact"/>
                    <w:ind w:firstLine="210" w:firstLineChars="100"/>
                    <w:jc w:val="both"/>
                    <w:rPr>
                      <w:color w:val="auto"/>
                      <w:szCs w:val="21"/>
                    </w:rPr>
                  </w:pPr>
                  <w:r>
                    <w:rPr>
                      <w:color w:val="auto"/>
                      <w:szCs w:val="21"/>
                    </w:rPr>
                    <w:t>根据调查，原环评未提出建设初期雨水收集设施，但建设单位为进一步完善厂区雨污分流，拟建设1个30m³的初期雨水收集池，对厂区的初期雨水进行收集；收集沉淀处理后回用于项目区绿化，不外排。</w:t>
                  </w:r>
                </w:p>
              </w:tc>
              <w:tc>
                <w:tcPr>
                  <w:tcW w:w="1118" w:type="dxa"/>
                  <w:vAlign w:val="center"/>
                </w:tcPr>
                <w:p>
                  <w:pPr>
                    <w:pStyle w:val="30"/>
                    <w:spacing w:line="360" w:lineRule="exact"/>
                    <w:rPr>
                      <w:color w:val="auto"/>
                      <w:szCs w:val="21"/>
                    </w:rPr>
                  </w:pPr>
                  <w:r>
                    <w:rPr>
                      <w:color w:val="auto"/>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0" w:type="dxa"/>
                  <w:vMerge w:val="continue"/>
                  <w:vAlign w:val="center"/>
                </w:tcPr>
                <w:p>
                  <w:pPr>
                    <w:pStyle w:val="30"/>
                    <w:spacing w:line="360" w:lineRule="exact"/>
                    <w:rPr>
                      <w:color w:val="auto"/>
                      <w:szCs w:val="21"/>
                    </w:rPr>
                  </w:pPr>
                </w:p>
              </w:tc>
              <w:tc>
                <w:tcPr>
                  <w:tcW w:w="758" w:type="dxa"/>
                  <w:vMerge w:val="restart"/>
                  <w:vAlign w:val="center"/>
                </w:tcPr>
                <w:p>
                  <w:pPr>
                    <w:pStyle w:val="30"/>
                    <w:spacing w:line="360" w:lineRule="exact"/>
                    <w:rPr>
                      <w:color w:val="auto"/>
                      <w:szCs w:val="21"/>
                    </w:rPr>
                  </w:pPr>
                  <w:r>
                    <w:rPr>
                      <w:color w:val="auto"/>
                      <w:szCs w:val="21"/>
                    </w:rPr>
                    <w:t>地下水防渗</w:t>
                  </w:r>
                </w:p>
              </w:tc>
              <w:tc>
                <w:tcPr>
                  <w:tcW w:w="1125" w:type="dxa"/>
                  <w:vAlign w:val="center"/>
                </w:tcPr>
                <w:p>
                  <w:pPr>
                    <w:pStyle w:val="30"/>
                    <w:spacing w:line="360" w:lineRule="exact"/>
                    <w:rPr>
                      <w:color w:val="auto"/>
                      <w:szCs w:val="21"/>
                    </w:rPr>
                  </w:pPr>
                  <w:r>
                    <w:rPr>
                      <w:color w:val="auto"/>
                      <w:szCs w:val="21"/>
                    </w:rPr>
                    <w:t>重点防渗区</w:t>
                  </w:r>
                </w:p>
              </w:tc>
              <w:tc>
                <w:tcPr>
                  <w:tcW w:w="5273" w:type="dxa"/>
                  <w:vAlign w:val="center"/>
                </w:tcPr>
                <w:p>
                  <w:pPr>
                    <w:pStyle w:val="30"/>
                    <w:spacing w:line="360" w:lineRule="exact"/>
                    <w:ind w:firstLine="210" w:firstLineChars="100"/>
                    <w:jc w:val="both"/>
                    <w:rPr>
                      <w:color w:val="auto"/>
                      <w:szCs w:val="21"/>
                    </w:rPr>
                  </w:pPr>
                  <w:r>
                    <w:rPr>
                      <w:color w:val="auto"/>
                      <w:szCs w:val="21"/>
                    </w:rPr>
                    <w:t>根据调查，项目重点防渗区为废电路板暂存区、4个危险废物贮存间；其地面和裙墙均已采用环氧树脂等防渗漆进行防渗其渗透系数≤10</w:t>
                  </w:r>
                  <w:r>
                    <w:rPr>
                      <w:color w:val="auto"/>
                      <w:szCs w:val="21"/>
                      <w:vertAlign w:val="superscript"/>
                    </w:rPr>
                    <w:t>-10</w:t>
                  </w:r>
                  <w:r>
                    <w:rPr>
                      <w:color w:val="auto"/>
                      <w:szCs w:val="21"/>
                    </w:rPr>
                    <w:t>cm/s；</w:t>
                  </w:r>
                </w:p>
              </w:tc>
              <w:tc>
                <w:tcPr>
                  <w:tcW w:w="1118" w:type="dxa"/>
                  <w:vAlign w:val="center"/>
                </w:tcPr>
                <w:p>
                  <w:pPr>
                    <w:pStyle w:val="30"/>
                    <w:spacing w:line="360" w:lineRule="exact"/>
                    <w:rPr>
                      <w:color w:val="auto"/>
                      <w:szCs w:val="21"/>
                    </w:rPr>
                  </w:pPr>
                  <w:r>
                    <w:rPr>
                      <w:color w:val="auto"/>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0" w:type="dxa"/>
                  <w:vMerge w:val="continue"/>
                  <w:vAlign w:val="center"/>
                </w:tcPr>
                <w:p>
                  <w:pPr>
                    <w:pStyle w:val="30"/>
                    <w:spacing w:line="360" w:lineRule="exact"/>
                    <w:rPr>
                      <w:color w:val="auto"/>
                      <w:szCs w:val="21"/>
                    </w:rPr>
                  </w:pPr>
                </w:p>
              </w:tc>
              <w:tc>
                <w:tcPr>
                  <w:tcW w:w="758" w:type="dxa"/>
                  <w:vMerge w:val="continue"/>
                  <w:vAlign w:val="center"/>
                </w:tcPr>
                <w:p>
                  <w:pPr>
                    <w:pStyle w:val="30"/>
                    <w:spacing w:line="360" w:lineRule="exact"/>
                    <w:rPr>
                      <w:color w:val="auto"/>
                      <w:szCs w:val="21"/>
                    </w:rPr>
                  </w:pPr>
                </w:p>
              </w:tc>
              <w:tc>
                <w:tcPr>
                  <w:tcW w:w="1125" w:type="dxa"/>
                  <w:vAlign w:val="center"/>
                </w:tcPr>
                <w:p>
                  <w:pPr>
                    <w:pStyle w:val="30"/>
                    <w:spacing w:line="360" w:lineRule="exact"/>
                    <w:rPr>
                      <w:color w:val="auto"/>
                      <w:szCs w:val="21"/>
                    </w:rPr>
                  </w:pPr>
                  <w:r>
                    <w:rPr>
                      <w:color w:val="auto"/>
                      <w:szCs w:val="21"/>
                    </w:rPr>
                    <w:t>一般防渗区</w:t>
                  </w:r>
                </w:p>
              </w:tc>
              <w:tc>
                <w:tcPr>
                  <w:tcW w:w="5273" w:type="dxa"/>
                  <w:vAlign w:val="center"/>
                </w:tcPr>
                <w:p>
                  <w:pPr>
                    <w:pStyle w:val="30"/>
                    <w:spacing w:line="360" w:lineRule="exact"/>
                    <w:ind w:firstLine="210" w:firstLineChars="100"/>
                    <w:jc w:val="both"/>
                    <w:rPr>
                      <w:color w:val="auto"/>
                      <w:szCs w:val="21"/>
                    </w:rPr>
                  </w:pPr>
                  <w:r>
                    <w:rPr>
                      <w:color w:val="auto"/>
                      <w:szCs w:val="21"/>
                    </w:rPr>
                    <w:t>根据调查，项目生产车间和仓库均属于一般防渗区，一般防渗区措施地面采取粘土铺底，并在上层铺30cm的混凝土进行硬化。其渗透系数≤1.0×10</w:t>
                  </w:r>
                  <w:r>
                    <w:rPr>
                      <w:color w:val="auto"/>
                      <w:szCs w:val="21"/>
                      <w:vertAlign w:val="superscript"/>
                    </w:rPr>
                    <w:t>-7</w:t>
                  </w:r>
                  <w:r>
                    <w:rPr>
                      <w:color w:val="auto"/>
                      <w:szCs w:val="21"/>
                    </w:rPr>
                    <w:t>cm/s。</w:t>
                  </w:r>
                </w:p>
              </w:tc>
              <w:tc>
                <w:tcPr>
                  <w:tcW w:w="1118" w:type="dxa"/>
                  <w:vAlign w:val="center"/>
                </w:tcPr>
                <w:p>
                  <w:pPr>
                    <w:pStyle w:val="30"/>
                    <w:spacing w:line="360" w:lineRule="exact"/>
                    <w:rPr>
                      <w:color w:val="auto"/>
                      <w:szCs w:val="21"/>
                    </w:rPr>
                  </w:pPr>
                  <w:r>
                    <w:rPr>
                      <w:color w:val="auto"/>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0" w:type="dxa"/>
                  <w:vMerge w:val="continue"/>
                  <w:vAlign w:val="center"/>
                </w:tcPr>
                <w:p>
                  <w:pPr>
                    <w:pStyle w:val="30"/>
                    <w:spacing w:line="360" w:lineRule="exact"/>
                    <w:rPr>
                      <w:color w:val="auto"/>
                      <w:szCs w:val="21"/>
                    </w:rPr>
                  </w:pPr>
                </w:p>
              </w:tc>
              <w:tc>
                <w:tcPr>
                  <w:tcW w:w="758" w:type="dxa"/>
                  <w:vAlign w:val="center"/>
                </w:tcPr>
                <w:p>
                  <w:pPr>
                    <w:pStyle w:val="30"/>
                    <w:spacing w:line="360" w:lineRule="exact"/>
                    <w:rPr>
                      <w:color w:val="auto"/>
                      <w:szCs w:val="21"/>
                    </w:rPr>
                  </w:pPr>
                  <w:r>
                    <w:rPr>
                      <w:color w:val="auto"/>
                      <w:szCs w:val="21"/>
                    </w:rPr>
                    <w:t>噪声</w:t>
                  </w:r>
                </w:p>
              </w:tc>
              <w:tc>
                <w:tcPr>
                  <w:tcW w:w="1125" w:type="dxa"/>
                  <w:vAlign w:val="center"/>
                </w:tcPr>
                <w:p>
                  <w:pPr>
                    <w:pStyle w:val="30"/>
                    <w:spacing w:line="360" w:lineRule="exact"/>
                    <w:rPr>
                      <w:color w:val="auto"/>
                      <w:szCs w:val="21"/>
                    </w:rPr>
                  </w:pPr>
                  <w:r>
                    <w:rPr>
                      <w:color w:val="auto"/>
                      <w:szCs w:val="21"/>
                    </w:rPr>
                    <w:t>设备噪声</w:t>
                  </w:r>
                </w:p>
              </w:tc>
              <w:tc>
                <w:tcPr>
                  <w:tcW w:w="5273" w:type="dxa"/>
                  <w:vAlign w:val="center"/>
                </w:tcPr>
                <w:p>
                  <w:pPr>
                    <w:pStyle w:val="30"/>
                    <w:spacing w:line="360" w:lineRule="exact"/>
                    <w:ind w:firstLine="210" w:firstLineChars="100"/>
                    <w:jc w:val="both"/>
                    <w:rPr>
                      <w:color w:val="auto"/>
                      <w:szCs w:val="21"/>
                    </w:rPr>
                  </w:pPr>
                  <w:r>
                    <w:rPr>
                      <w:color w:val="auto"/>
                      <w:szCs w:val="21"/>
                    </w:rPr>
                    <w:t>设备基础加装减震垫、消声器等。</w:t>
                  </w:r>
                </w:p>
              </w:tc>
              <w:tc>
                <w:tcPr>
                  <w:tcW w:w="1118" w:type="dxa"/>
                  <w:vAlign w:val="center"/>
                </w:tcPr>
                <w:p>
                  <w:pPr>
                    <w:pStyle w:val="30"/>
                    <w:spacing w:line="360" w:lineRule="exact"/>
                    <w:rPr>
                      <w:color w:val="auto"/>
                      <w:szCs w:val="21"/>
                    </w:rPr>
                  </w:pPr>
                  <w:r>
                    <w:rPr>
                      <w:color w:val="auto"/>
                      <w:szCs w:val="21"/>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0" w:type="dxa"/>
                  <w:vMerge w:val="continue"/>
                  <w:vAlign w:val="center"/>
                </w:tcPr>
                <w:p>
                  <w:pPr>
                    <w:pStyle w:val="30"/>
                    <w:spacing w:line="360" w:lineRule="exact"/>
                    <w:rPr>
                      <w:color w:val="auto"/>
                      <w:szCs w:val="21"/>
                    </w:rPr>
                  </w:pPr>
                </w:p>
              </w:tc>
              <w:tc>
                <w:tcPr>
                  <w:tcW w:w="758" w:type="dxa"/>
                  <w:vMerge w:val="restart"/>
                  <w:vAlign w:val="center"/>
                </w:tcPr>
                <w:p>
                  <w:pPr>
                    <w:pStyle w:val="30"/>
                    <w:spacing w:line="360" w:lineRule="exact"/>
                    <w:rPr>
                      <w:color w:val="auto"/>
                      <w:szCs w:val="21"/>
                    </w:rPr>
                  </w:pPr>
                  <w:r>
                    <w:rPr>
                      <w:color w:val="auto"/>
                      <w:szCs w:val="21"/>
                    </w:rPr>
                    <w:t>固废</w:t>
                  </w:r>
                </w:p>
              </w:tc>
              <w:tc>
                <w:tcPr>
                  <w:tcW w:w="1125" w:type="dxa"/>
                  <w:vAlign w:val="center"/>
                </w:tcPr>
                <w:p>
                  <w:pPr>
                    <w:pStyle w:val="30"/>
                    <w:spacing w:line="360" w:lineRule="exact"/>
                    <w:rPr>
                      <w:color w:val="auto"/>
                      <w:szCs w:val="21"/>
                    </w:rPr>
                  </w:pPr>
                  <w:r>
                    <w:rPr>
                      <w:color w:val="auto"/>
                      <w:szCs w:val="21"/>
                    </w:rPr>
                    <w:t>危险废物贮存间</w:t>
                  </w:r>
                </w:p>
              </w:tc>
              <w:tc>
                <w:tcPr>
                  <w:tcW w:w="5273" w:type="dxa"/>
                  <w:vAlign w:val="center"/>
                </w:tcPr>
                <w:p>
                  <w:pPr>
                    <w:pStyle w:val="30"/>
                    <w:spacing w:line="360" w:lineRule="exact"/>
                    <w:ind w:firstLine="210" w:firstLineChars="100"/>
                    <w:jc w:val="both"/>
                    <w:rPr>
                      <w:color w:val="auto"/>
                      <w:szCs w:val="21"/>
                    </w:rPr>
                  </w:pPr>
                  <w:r>
                    <w:rPr>
                      <w:color w:val="auto"/>
                      <w:szCs w:val="21"/>
                    </w:rPr>
                    <w:t>根据项目实际情况，该改扩建项目改扩建后其产生的危险废物种类未发生变化，仅为数量增加，根据调查，项目已设置了面积约200m²的废电路板暂存区、面积约100m²的阴极射线管（锥玻璃）含铅贮存区、4个面积分别约为30m²危险废物贮存间，对各类危险废物和制冷剂进行分类暂存，根据实际暂存情况，项目现有的危险废物贮存间可满足项目改扩建后的危险废物贮存需求；各危险废物及制冷剂贮存后，分别委托有资质的单位进行处置。</w:t>
                  </w:r>
                </w:p>
              </w:tc>
              <w:tc>
                <w:tcPr>
                  <w:tcW w:w="1118" w:type="dxa"/>
                  <w:vAlign w:val="center"/>
                </w:tcPr>
                <w:p>
                  <w:pPr>
                    <w:pStyle w:val="30"/>
                    <w:spacing w:line="360" w:lineRule="exact"/>
                    <w:rPr>
                      <w:color w:val="auto"/>
                      <w:szCs w:val="21"/>
                    </w:rPr>
                  </w:pPr>
                  <w:r>
                    <w:rPr>
                      <w:color w:val="auto"/>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0" w:type="dxa"/>
                  <w:vMerge w:val="continue"/>
                  <w:vAlign w:val="center"/>
                </w:tcPr>
                <w:p>
                  <w:pPr>
                    <w:pStyle w:val="30"/>
                    <w:spacing w:line="360" w:lineRule="exact"/>
                    <w:rPr>
                      <w:color w:val="auto"/>
                      <w:szCs w:val="21"/>
                    </w:rPr>
                  </w:pPr>
                </w:p>
              </w:tc>
              <w:tc>
                <w:tcPr>
                  <w:tcW w:w="758" w:type="dxa"/>
                  <w:vMerge w:val="continue"/>
                  <w:vAlign w:val="center"/>
                </w:tcPr>
                <w:p>
                  <w:pPr>
                    <w:pStyle w:val="30"/>
                    <w:spacing w:line="360" w:lineRule="exact"/>
                    <w:rPr>
                      <w:color w:val="auto"/>
                      <w:szCs w:val="21"/>
                    </w:rPr>
                  </w:pPr>
                </w:p>
              </w:tc>
              <w:tc>
                <w:tcPr>
                  <w:tcW w:w="1125" w:type="dxa"/>
                  <w:vAlign w:val="center"/>
                </w:tcPr>
                <w:p>
                  <w:pPr>
                    <w:pStyle w:val="30"/>
                    <w:spacing w:line="360" w:lineRule="exact"/>
                    <w:rPr>
                      <w:color w:val="auto"/>
                      <w:szCs w:val="21"/>
                    </w:rPr>
                  </w:pPr>
                  <w:r>
                    <w:rPr>
                      <w:color w:val="auto"/>
                      <w:szCs w:val="21"/>
                    </w:rPr>
                    <w:t>生活垃圾桶</w:t>
                  </w:r>
                </w:p>
              </w:tc>
              <w:tc>
                <w:tcPr>
                  <w:tcW w:w="5273" w:type="dxa"/>
                  <w:vAlign w:val="center"/>
                </w:tcPr>
                <w:p>
                  <w:pPr>
                    <w:pStyle w:val="30"/>
                    <w:spacing w:line="360" w:lineRule="exact"/>
                    <w:ind w:firstLine="210" w:firstLineChars="100"/>
                    <w:jc w:val="both"/>
                    <w:rPr>
                      <w:color w:val="auto"/>
                    </w:rPr>
                  </w:pPr>
                  <w:r>
                    <w:rPr>
                      <w:color w:val="auto"/>
                    </w:rPr>
                    <w:t>项目已设置生活垃圾桶，对生活垃圾收集后委托环卫部门进行处理。</w:t>
                  </w:r>
                </w:p>
              </w:tc>
              <w:tc>
                <w:tcPr>
                  <w:tcW w:w="1118" w:type="dxa"/>
                  <w:vAlign w:val="center"/>
                </w:tcPr>
                <w:p>
                  <w:pPr>
                    <w:pStyle w:val="30"/>
                    <w:spacing w:line="360" w:lineRule="exact"/>
                    <w:rPr>
                      <w:color w:val="auto"/>
                      <w:szCs w:val="21"/>
                    </w:rPr>
                  </w:pPr>
                  <w:r>
                    <w:rPr>
                      <w:color w:val="auto"/>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0" w:type="dxa"/>
                  <w:vMerge w:val="continue"/>
                  <w:vAlign w:val="center"/>
                </w:tcPr>
                <w:p>
                  <w:pPr>
                    <w:pStyle w:val="30"/>
                    <w:spacing w:line="360" w:lineRule="exact"/>
                    <w:rPr>
                      <w:color w:val="auto"/>
                      <w:szCs w:val="21"/>
                    </w:rPr>
                  </w:pPr>
                </w:p>
              </w:tc>
              <w:tc>
                <w:tcPr>
                  <w:tcW w:w="758" w:type="dxa"/>
                  <w:vMerge w:val="restart"/>
                  <w:vAlign w:val="center"/>
                </w:tcPr>
                <w:p>
                  <w:pPr>
                    <w:pStyle w:val="30"/>
                    <w:spacing w:line="360" w:lineRule="exact"/>
                    <w:rPr>
                      <w:color w:val="auto"/>
                      <w:szCs w:val="21"/>
                    </w:rPr>
                  </w:pPr>
                  <w:r>
                    <w:rPr>
                      <w:color w:val="auto"/>
                      <w:szCs w:val="21"/>
                    </w:rPr>
                    <w:t>其他</w:t>
                  </w:r>
                </w:p>
              </w:tc>
              <w:tc>
                <w:tcPr>
                  <w:tcW w:w="1125" w:type="dxa"/>
                  <w:vAlign w:val="center"/>
                </w:tcPr>
                <w:p>
                  <w:pPr>
                    <w:pStyle w:val="30"/>
                    <w:spacing w:line="360" w:lineRule="exact"/>
                    <w:rPr>
                      <w:color w:val="auto"/>
                      <w:szCs w:val="21"/>
                    </w:rPr>
                  </w:pPr>
                  <w:r>
                    <w:rPr>
                      <w:color w:val="auto"/>
                      <w:szCs w:val="21"/>
                    </w:rPr>
                    <w:t>标识牌</w:t>
                  </w:r>
                </w:p>
              </w:tc>
              <w:tc>
                <w:tcPr>
                  <w:tcW w:w="5273" w:type="dxa"/>
                  <w:vAlign w:val="center"/>
                </w:tcPr>
                <w:p>
                  <w:pPr>
                    <w:pStyle w:val="30"/>
                    <w:spacing w:line="360" w:lineRule="exact"/>
                    <w:ind w:firstLine="210" w:firstLineChars="100"/>
                    <w:jc w:val="both"/>
                    <w:rPr>
                      <w:color w:val="auto"/>
                      <w:szCs w:val="21"/>
                    </w:rPr>
                  </w:pPr>
                  <w:r>
                    <w:rPr>
                      <w:color w:val="auto"/>
                      <w:szCs w:val="21"/>
                    </w:rPr>
                    <w:t>建设单位按照危险废物管理的规范要求，设置危险废物识别标志、环境保护图形标志。</w:t>
                  </w:r>
                </w:p>
              </w:tc>
              <w:tc>
                <w:tcPr>
                  <w:tcW w:w="1118" w:type="dxa"/>
                  <w:vAlign w:val="center"/>
                </w:tcPr>
                <w:p>
                  <w:pPr>
                    <w:pStyle w:val="30"/>
                    <w:spacing w:line="360" w:lineRule="exact"/>
                    <w:rPr>
                      <w:color w:val="auto"/>
                      <w:szCs w:val="21"/>
                    </w:rPr>
                  </w:pPr>
                  <w:r>
                    <w:rPr>
                      <w:color w:val="auto"/>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0" w:type="dxa"/>
                  <w:vMerge w:val="continue"/>
                  <w:vAlign w:val="center"/>
                </w:tcPr>
                <w:p>
                  <w:pPr>
                    <w:pStyle w:val="30"/>
                    <w:spacing w:line="360" w:lineRule="exact"/>
                    <w:rPr>
                      <w:color w:val="auto"/>
                      <w:szCs w:val="21"/>
                    </w:rPr>
                  </w:pPr>
                </w:p>
              </w:tc>
              <w:tc>
                <w:tcPr>
                  <w:tcW w:w="758" w:type="dxa"/>
                  <w:vMerge w:val="continue"/>
                  <w:vAlign w:val="center"/>
                </w:tcPr>
                <w:p>
                  <w:pPr>
                    <w:pStyle w:val="30"/>
                    <w:spacing w:line="360" w:lineRule="exact"/>
                    <w:rPr>
                      <w:color w:val="auto"/>
                      <w:szCs w:val="21"/>
                    </w:rPr>
                  </w:pPr>
                </w:p>
              </w:tc>
              <w:tc>
                <w:tcPr>
                  <w:tcW w:w="1125" w:type="dxa"/>
                  <w:vAlign w:val="center"/>
                </w:tcPr>
                <w:p>
                  <w:pPr>
                    <w:pStyle w:val="30"/>
                    <w:spacing w:line="360" w:lineRule="exact"/>
                    <w:rPr>
                      <w:color w:val="auto"/>
                      <w:szCs w:val="21"/>
                    </w:rPr>
                  </w:pPr>
                  <w:r>
                    <w:rPr>
                      <w:color w:val="auto"/>
                      <w:szCs w:val="21"/>
                    </w:rPr>
                    <w:t>绿化</w:t>
                  </w:r>
                </w:p>
              </w:tc>
              <w:tc>
                <w:tcPr>
                  <w:tcW w:w="5273" w:type="dxa"/>
                  <w:vAlign w:val="center"/>
                </w:tcPr>
                <w:p>
                  <w:pPr>
                    <w:pStyle w:val="30"/>
                    <w:spacing w:line="360" w:lineRule="exact"/>
                    <w:ind w:firstLine="210" w:firstLineChars="100"/>
                    <w:jc w:val="both"/>
                    <w:rPr>
                      <w:color w:val="auto"/>
                      <w:szCs w:val="21"/>
                    </w:rPr>
                  </w:pPr>
                  <w:r>
                    <w:rPr>
                      <w:color w:val="auto"/>
                      <w:szCs w:val="21"/>
                    </w:rPr>
                    <w:t>根据设计，项目区将设置6348m³</w:t>
                  </w:r>
                  <w:r>
                    <w:rPr>
                      <w:color w:val="auto"/>
                    </w:rPr>
                    <w:t>的绿化区域。</w:t>
                  </w:r>
                </w:p>
              </w:tc>
              <w:tc>
                <w:tcPr>
                  <w:tcW w:w="1118" w:type="dxa"/>
                  <w:vAlign w:val="center"/>
                </w:tcPr>
                <w:p>
                  <w:pPr>
                    <w:pStyle w:val="30"/>
                    <w:spacing w:line="360" w:lineRule="exact"/>
                    <w:rPr>
                      <w:color w:val="auto"/>
                      <w:szCs w:val="21"/>
                    </w:rPr>
                  </w:pPr>
                  <w:r>
                    <w:rPr>
                      <w:color w:val="auto"/>
                      <w:szCs w:val="21"/>
                    </w:rPr>
                    <w:t>已建</w:t>
                  </w:r>
                </w:p>
              </w:tc>
            </w:tr>
          </w:tbl>
          <w:p>
            <w:pPr>
              <w:autoSpaceDE w:val="0"/>
              <w:autoSpaceDN w:val="0"/>
              <w:spacing w:beforeLines="50" w:line="360" w:lineRule="auto"/>
              <w:ind w:firstLine="241" w:firstLineChars="100"/>
              <w:rPr>
                <w:rFonts w:ascii="Times New Roman" w:hAnsi="Times New Roman" w:cs="Times New Roman"/>
                <w:b/>
                <w:color w:val="auto"/>
                <w:sz w:val="24"/>
                <w:szCs w:val="24"/>
              </w:rPr>
            </w:pPr>
            <w:bookmarkStart w:id="0" w:name="_Toc433544969"/>
            <w:bookmarkStart w:id="1" w:name="_Toc493693536"/>
            <w:r>
              <w:rPr>
                <w:rFonts w:ascii="Times New Roman" w:hAnsi="Times New Roman" w:cs="Times New Roman"/>
                <w:b/>
                <w:color w:val="auto"/>
                <w:sz w:val="24"/>
                <w:szCs w:val="24"/>
              </w:rPr>
              <w:t>2.2 总平面布置</w:t>
            </w:r>
            <w:bookmarkEnd w:id="0"/>
            <w:bookmarkEnd w:id="1"/>
            <w:r>
              <w:rPr>
                <w:rFonts w:ascii="Times New Roman" w:hAnsi="Times New Roman" w:cs="Times New Roman"/>
                <w:b/>
                <w:color w:val="auto"/>
                <w:sz w:val="24"/>
                <w:szCs w:val="24"/>
              </w:rPr>
              <w:t>及其合理性</w:t>
            </w:r>
          </w:p>
          <w:p>
            <w:pPr>
              <w:autoSpaceDE w:val="0"/>
              <w:autoSpaceDN w:val="0"/>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2.2.1 项目与厂区的位置关系</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根据设计，该改扩建项目在原址不改变现有设备的基础上新增局部设备，其主要建设区域和现有生产线位置未发生变化。其位置关系详见附图2  本项目所在厂区位置示意图。</w:t>
            </w:r>
          </w:p>
          <w:p>
            <w:pPr>
              <w:autoSpaceDE w:val="0"/>
              <w:autoSpaceDN w:val="0"/>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2.2.2 项目平面布置</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设计，该改扩建项目的平面布置和现有项目的布置基本一致，具体为从北至南依次为废旧冰箱处理线、空调/小家电/废手机及其视听设备消费电子产品处理线和废旧洗衣机处理线、1号废旧电视机（液晶电视）处理线、2号废旧电视机（CRT）处理线；其中空调/小家电/废手机及其视听设备消费电子产品处理线和废旧洗衣机处理线处于同一线上，各生产线生产工序均从东往西布置。废旧洗衣机处理线的新建的塑料分选平台位于危险废物贮存间上方，两台破碎机位于厂房外围的大棚内。该改扩建项目主要为新增局部设备，因此其平面布置较现有项目的平面布置区别不大，布置合理。</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项目平面布置图详见附图3 项目区平面布置示意图。</w:t>
            </w:r>
          </w:p>
          <w:p>
            <w:pPr>
              <w:autoSpaceDE w:val="0"/>
              <w:autoSpaceDN w:val="0"/>
              <w:spacing w:line="360" w:lineRule="auto"/>
              <w:ind w:firstLine="241" w:firstLineChars="100"/>
              <w:rPr>
                <w:rFonts w:ascii="Times New Roman" w:hAnsi="Times New Roman" w:cs="Times New Roman"/>
                <w:b/>
                <w:color w:val="auto"/>
                <w:sz w:val="24"/>
                <w:szCs w:val="24"/>
              </w:rPr>
            </w:pPr>
            <w:r>
              <w:rPr>
                <w:rFonts w:ascii="Times New Roman" w:hAnsi="Times New Roman" w:cs="Times New Roman"/>
                <w:b/>
                <w:color w:val="auto"/>
                <w:sz w:val="24"/>
                <w:szCs w:val="24"/>
              </w:rPr>
              <w:t>2.3 主要产品及产能</w:t>
            </w:r>
          </w:p>
          <w:p>
            <w:pPr>
              <w:autoSpaceDE w:val="0"/>
              <w:autoSpaceDN w:val="0"/>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2.3.1 主要产品及产能</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项目特点，本项目主要对废旧冰箱、电脑小家电、废旧洗衣机、CRT电视机和液晶电视机进行物料拆解，拆解后的产物均纳入固体废物的管理。拆解后产生的一般工业固体废物委托相关单位进行处置，而产生的危险废物委托有资质的单位处置。</w:t>
            </w:r>
          </w:p>
          <w:p>
            <w:pPr>
              <w:autoSpaceDE w:val="0"/>
              <w:autoSpaceDN w:val="0"/>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2.3.2 产品的变化情况</w:t>
            </w:r>
          </w:p>
          <w:p>
            <w:pPr>
              <w:spacing w:line="360" w:lineRule="auto"/>
              <w:ind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项目</w:t>
            </w:r>
            <w:r>
              <w:rPr>
                <w:rFonts w:ascii="Times New Roman" w:hAnsi="Times New Roman" w:cs="Times New Roman"/>
                <w:color w:val="auto"/>
                <w:sz w:val="24"/>
                <w:szCs w:val="24"/>
              </w:rPr>
              <w:t>拆解后的产物均纳入固体废物的管理。本次技改项目完成后，较原环评仅为废旧洗衣机线拆解量发生变化，相应其产生的固体废物增加。</w:t>
            </w:r>
          </w:p>
          <w:p>
            <w:pPr>
              <w:autoSpaceDE w:val="0"/>
              <w:autoSpaceDN w:val="0"/>
              <w:spacing w:line="360" w:lineRule="auto"/>
              <w:ind w:firstLine="241" w:firstLineChars="100"/>
              <w:rPr>
                <w:rFonts w:ascii="Times New Roman" w:hAnsi="Times New Roman" w:cs="Times New Roman"/>
                <w:b/>
                <w:color w:val="auto"/>
                <w:sz w:val="24"/>
                <w:szCs w:val="24"/>
              </w:rPr>
            </w:pPr>
            <w:r>
              <w:rPr>
                <w:rFonts w:ascii="Times New Roman" w:hAnsi="Times New Roman" w:cs="Times New Roman"/>
                <w:b/>
                <w:color w:val="auto"/>
                <w:sz w:val="24"/>
                <w:szCs w:val="24"/>
              </w:rPr>
              <w:t>2.4 主要生产单元、主要工艺、生产设施及设施参数</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设计，本项目共设置有5条生产线，技改后仅废旧冰箱处理线和1号废旧电视机（液晶电视）处理线设备增加，其他生产线设备较原环评无变化，项目主要生产单元、主要工艺、生产设施及设施参数如下表所示。</w:t>
            </w:r>
          </w:p>
          <w:p>
            <w:pPr>
              <w:pStyle w:val="32"/>
              <w:widowControl/>
              <w:tabs>
                <w:tab w:val="left" w:pos="540"/>
                <w:tab w:val="left" w:pos="851"/>
                <w:tab w:val="left" w:pos="994"/>
                <w:tab w:val="left" w:pos="1260"/>
                <w:tab w:val="left" w:pos="3108"/>
                <w:tab w:val="left" w:pos="3150"/>
              </w:tabs>
              <w:snapToGrid/>
              <w:spacing w:beforeLines="0"/>
              <w:textAlignment w:val="auto"/>
              <w:rPr>
                <w:rFonts w:hAnsi="Times New Roman" w:eastAsiaTheme="minorEastAsia"/>
                <w:bCs/>
                <w:snapToGrid w:val="0"/>
                <w:color w:val="auto"/>
                <w:sz w:val="21"/>
                <w:szCs w:val="21"/>
              </w:rPr>
            </w:pPr>
            <w:r>
              <w:rPr>
                <w:rFonts w:hAnsi="Times New Roman" w:eastAsiaTheme="minorEastAsia"/>
                <w:bCs/>
                <w:snapToGrid w:val="0"/>
                <w:color w:val="auto"/>
                <w:sz w:val="21"/>
                <w:szCs w:val="21"/>
              </w:rPr>
              <w:t>表2.4-1 主要生产单元、主要工艺、生产设施及设施参数表</w:t>
            </w:r>
          </w:p>
          <w:tbl>
            <w:tblPr>
              <w:tblStyle w:val="20"/>
              <w:tblW w:w="9044"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72"/>
              <w:gridCol w:w="1012"/>
              <w:gridCol w:w="992"/>
              <w:gridCol w:w="1701"/>
              <w:gridCol w:w="1843"/>
              <w:gridCol w:w="992"/>
              <w:gridCol w:w="851"/>
              <w:gridCol w:w="88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97" w:hRule="atLeast"/>
                <w:jc w:val="center"/>
              </w:trPr>
              <w:tc>
                <w:tcPr>
                  <w:tcW w:w="77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主要生产单元</w:t>
                  </w:r>
                </w:p>
              </w:tc>
              <w:tc>
                <w:tcPr>
                  <w:tcW w:w="101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主要工艺</w:t>
                  </w:r>
                </w:p>
              </w:tc>
              <w:tc>
                <w:tcPr>
                  <w:tcW w:w="2693" w:type="dxa"/>
                  <w:gridSpan w:val="2"/>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生产设施</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型号规格</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设施参数</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数量</w:t>
                  </w:r>
                </w:p>
              </w:tc>
              <w:tc>
                <w:tcPr>
                  <w:tcW w:w="881"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restart"/>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主体工程</w:t>
                  </w:r>
                </w:p>
              </w:tc>
              <w:tc>
                <w:tcPr>
                  <w:tcW w:w="1012" w:type="dxa"/>
                  <w:vMerge w:val="restart"/>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废旧冰箱处理线</w:t>
                  </w:r>
                </w:p>
              </w:tc>
              <w:tc>
                <w:tcPr>
                  <w:tcW w:w="992" w:type="dxa"/>
                  <w:vMerge w:val="restart"/>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冷媒抽取+拆解</w:t>
                  </w: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手工拆解台</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L24000*W1200mm</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100台/h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1个</w:t>
                  </w:r>
                </w:p>
              </w:tc>
              <w:tc>
                <w:tcPr>
                  <w:tcW w:w="881" w:type="dxa"/>
                  <w:vMerge w:val="restart"/>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原有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冷媒回收机</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100台/h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抽氟机</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100台/h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提升机</w:t>
                  </w:r>
                </w:p>
              </w:tc>
              <w:tc>
                <w:tcPr>
                  <w:tcW w:w="1843" w:type="dxa"/>
                  <w:tcBorders>
                    <w:left w:val="single" w:color="auto" w:sz="4" w:space="0"/>
                    <w:bottom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L2000*W1200mm</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50台/h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2条</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破碎机RS150-4-S</w:t>
                  </w:r>
                </w:p>
              </w:tc>
              <w:tc>
                <w:tcPr>
                  <w:tcW w:w="1843" w:type="dxa"/>
                  <w:tcBorders>
                    <w:left w:val="single" w:color="auto" w:sz="4" w:space="0"/>
                    <w:bottom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3.6t/h（100台/h）</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50台/h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2台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出料螺旋输送机</w:t>
                  </w:r>
                </w:p>
              </w:tc>
              <w:tc>
                <w:tcPr>
                  <w:tcW w:w="1843" w:type="dxa"/>
                  <w:tcBorders>
                    <w:left w:val="single" w:color="auto" w:sz="4" w:space="0"/>
                    <w:bottom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5.5kw 螺杆直径300mm</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100台/h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铁/泡棉分选机</w:t>
                  </w:r>
                </w:p>
              </w:tc>
              <w:tc>
                <w:tcPr>
                  <w:tcW w:w="1843" w:type="dxa"/>
                  <w:tcBorders>
                    <w:left w:val="single" w:color="auto" w:sz="4" w:space="0"/>
                    <w:bottom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磁体尺寸： 1450*600*250mm</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100台/h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泡棉风机</w:t>
                  </w:r>
                </w:p>
              </w:tc>
              <w:tc>
                <w:tcPr>
                  <w:tcW w:w="1843" w:type="dxa"/>
                  <w:tcBorders>
                    <w:left w:val="single" w:color="auto" w:sz="4" w:space="0"/>
                    <w:bottom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11kw</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100台/h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泡棉压块机</w:t>
                  </w:r>
                </w:p>
              </w:tc>
              <w:tc>
                <w:tcPr>
                  <w:tcW w:w="1843" w:type="dxa"/>
                  <w:tcBorders>
                    <w:left w:val="single" w:color="auto" w:sz="4" w:space="0"/>
                    <w:bottom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35kw</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100台/h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2台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top w:val="single" w:color="auto" w:sz="4" w:space="0"/>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涡电流分选机</w:t>
                  </w:r>
                </w:p>
              </w:tc>
              <w:tc>
                <w:tcPr>
                  <w:tcW w:w="1843" w:type="dxa"/>
                  <w:tcBorders>
                    <w:top w:val="single" w:color="auto" w:sz="4" w:space="0"/>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8kw</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100台/h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top w:val="single" w:color="auto" w:sz="4" w:space="0"/>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锤磨机</w:t>
                  </w:r>
                </w:p>
              </w:tc>
              <w:tc>
                <w:tcPr>
                  <w:tcW w:w="1843" w:type="dxa"/>
                  <w:tcBorders>
                    <w:top w:val="single" w:color="auto" w:sz="4" w:space="0"/>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18.5KW</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100台/h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top w:val="single" w:color="auto" w:sz="4" w:space="0"/>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铜铝分选机</w:t>
                  </w:r>
                </w:p>
              </w:tc>
              <w:tc>
                <w:tcPr>
                  <w:tcW w:w="1843" w:type="dxa"/>
                  <w:tcBorders>
                    <w:top w:val="single" w:color="auto" w:sz="4" w:space="0"/>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4kw</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100台/h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top w:val="single" w:color="auto" w:sz="4" w:space="0"/>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出料传输线</w:t>
                  </w:r>
                </w:p>
              </w:tc>
              <w:tc>
                <w:tcPr>
                  <w:tcW w:w="1843" w:type="dxa"/>
                  <w:tcBorders>
                    <w:top w:val="single" w:color="auto" w:sz="4" w:space="0"/>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5.5kw 螺杆直径300mm</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100台/h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1条</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top w:val="single" w:color="auto" w:sz="4" w:space="0"/>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三通道塑料分选机</w:t>
                  </w:r>
                </w:p>
              </w:tc>
              <w:tc>
                <w:tcPr>
                  <w:tcW w:w="1843" w:type="dxa"/>
                  <w:tcBorders>
                    <w:top w:val="single" w:color="auto" w:sz="4" w:space="0"/>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100台/h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top w:val="single" w:color="auto" w:sz="4" w:space="0"/>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循环及传输系统</w:t>
                  </w:r>
                </w:p>
              </w:tc>
              <w:tc>
                <w:tcPr>
                  <w:tcW w:w="1843" w:type="dxa"/>
                  <w:tcBorders>
                    <w:top w:val="single" w:color="auto" w:sz="4" w:space="0"/>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100台/h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1套</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手工平台</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100台/h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1个</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restart"/>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空调/小家电/废手机及其视听设备消费电子产品处理线</w:t>
                  </w:r>
                </w:p>
              </w:tc>
              <w:tc>
                <w:tcPr>
                  <w:tcW w:w="992" w:type="dxa"/>
                  <w:vMerge w:val="restart"/>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冷媒抽取+拆解</w:t>
                  </w: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钢板上料台</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150台/h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1个</w:t>
                  </w:r>
                </w:p>
              </w:tc>
              <w:tc>
                <w:tcPr>
                  <w:tcW w:w="881" w:type="dxa"/>
                  <w:vMerge w:val="restart"/>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原有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喷吹配套除尘系统</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150台/h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1套</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动力辊传送线</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HXPS-02</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150台/h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1套</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万向球工作台</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150台/h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1个</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冷媒回收机</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50台/h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抽氟机</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50台/h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回收钳</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150台/h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2台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皮带输送机</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150台/h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2套</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restart"/>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废旧洗衣机处理线</w:t>
                  </w:r>
                </w:p>
              </w:tc>
              <w:tc>
                <w:tcPr>
                  <w:tcW w:w="992" w:type="dxa"/>
                  <w:vMerge w:val="restart"/>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拆解</w:t>
                  </w: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钢板上料台</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HXWL-01</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150台/h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1套</w:t>
                  </w:r>
                </w:p>
              </w:tc>
              <w:tc>
                <w:tcPr>
                  <w:tcW w:w="881"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升级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无动力辊道</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150台/h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1台</w:t>
                  </w:r>
                </w:p>
              </w:tc>
              <w:tc>
                <w:tcPr>
                  <w:tcW w:w="881"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升级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单工位工作台</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18台/h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12个</w:t>
                  </w:r>
                </w:p>
              </w:tc>
              <w:tc>
                <w:tcPr>
                  <w:tcW w:w="881"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新增6个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皮带传送机</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75台/h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2台</w:t>
                  </w:r>
                </w:p>
              </w:tc>
              <w:tc>
                <w:tcPr>
                  <w:tcW w:w="881"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升级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单柱液压机</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150台/h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1台</w:t>
                  </w:r>
                </w:p>
              </w:tc>
              <w:tc>
                <w:tcPr>
                  <w:tcW w:w="881"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原有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盐水缸</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2m³</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150台/h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1个</w:t>
                  </w:r>
                </w:p>
              </w:tc>
              <w:tc>
                <w:tcPr>
                  <w:tcW w:w="881"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原有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破碎机</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75台/h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2套</w:t>
                  </w:r>
                </w:p>
              </w:tc>
              <w:tc>
                <w:tcPr>
                  <w:tcW w:w="881"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新增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restart"/>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1号废旧电视机（液晶电视）处理线</w:t>
                  </w:r>
                </w:p>
              </w:tc>
              <w:tc>
                <w:tcPr>
                  <w:tcW w:w="992" w:type="dxa"/>
                  <w:vMerge w:val="restart"/>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拆解</w:t>
                  </w: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钢板上料台</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HXWL-01</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90台/h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1套</w:t>
                  </w:r>
                </w:p>
              </w:tc>
              <w:tc>
                <w:tcPr>
                  <w:tcW w:w="881" w:type="dxa"/>
                  <w:vMerge w:val="restart"/>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原有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无动力辊道</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90台/h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单工位工作台</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15台/h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6个</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皮带传送机</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90台/h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1台</w:t>
                  </w:r>
                </w:p>
              </w:tc>
              <w:tc>
                <w:tcPr>
                  <w:tcW w:w="881" w:type="dxa"/>
                  <w:vMerge w:val="continue"/>
                  <w:tcBorders>
                    <w:left w:val="single" w:color="auto" w:sz="4" w:space="0"/>
                    <w:bottom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荧光灯管背光模组负压拆解工作台</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45台/h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2台</w:t>
                  </w:r>
                </w:p>
              </w:tc>
              <w:tc>
                <w:tcPr>
                  <w:tcW w:w="881" w:type="dxa"/>
                  <w:tcBorders>
                    <w:top w:val="single" w:color="auto" w:sz="4" w:space="0"/>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新增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 w:hRule="atLeast"/>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restart"/>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2号废旧电视机（CRT）处理线</w:t>
                  </w:r>
                </w:p>
              </w:tc>
              <w:tc>
                <w:tcPr>
                  <w:tcW w:w="992" w:type="dxa"/>
                  <w:vMerge w:val="restart"/>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切割+拆解</w:t>
                  </w: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CRT除胶机</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HXD-03</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22.5台/h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4台</w:t>
                  </w:r>
                </w:p>
              </w:tc>
              <w:tc>
                <w:tcPr>
                  <w:tcW w:w="881" w:type="dxa"/>
                  <w:vMerge w:val="restart"/>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原有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 w:hRule="atLeast"/>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后续输送机</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45台/h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2台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 w:hRule="atLeast"/>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喷吹配套除尘系统</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45台/h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2套</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 w:hRule="atLeast"/>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万向工作台</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22.5台/h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4个</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 w:hRule="atLeast"/>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角磨机</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90台/h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 w:hRule="atLeast"/>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切屏机</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13台/h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 w:hRule="atLeast"/>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取消钉包装架</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16台/h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5个</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玻璃干洗设备</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90台/h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荧光粉吸收器</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22.5台/h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2个</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7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储运工程</w:t>
                  </w:r>
                </w:p>
              </w:tc>
              <w:tc>
                <w:tcPr>
                  <w:tcW w:w="2004" w:type="dxa"/>
                  <w:gridSpan w:val="2"/>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储运</w:t>
                  </w: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叉车</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hint="eastAsia" w:ascii="Times New Roman" w:hAnsi="Times New Roman" w:eastAsia="宋体" w:cs="Times New Roman"/>
                      <w:bCs/>
                      <w:snapToGrid w:val="0"/>
                      <w:color w:val="auto"/>
                      <w:kern w:val="32"/>
                      <w:lang w:val="zh-CN"/>
                    </w:rPr>
                    <w:t>10台</w:t>
                  </w:r>
                </w:p>
              </w:tc>
              <w:tc>
                <w:tcPr>
                  <w:tcW w:w="881"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原有</w:t>
                  </w:r>
                </w:p>
              </w:tc>
            </w:tr>
          </w:tbl>
          <w:p>
            <w:pPr>
              <w:autoSpaceDE w:val="0"/>
              <w:autoSpaceDN w:val="0"/>
              <w:spacing w:beforeLines="50"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2.5 原辅料来源及性质</w:t>
            </w:r>
          </w:p>
          <w:p>
            <w:pPr>
              <w:autoSpaceDE w:val="0"/>
              <w:autoSpaceDN w:val="0"/>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2.5.1 废旧产品拆解量</w:t>
            </w:r>
          </w:p>
          <w:p>
            <w:pPr>
              <w:spacing w:line="360" w:lineRule="auto"/>
              <w:ind w:firstLine="480" w:firstLineChars="200"/>
              <w:rPr>
                <w:rFonts w:hint="eastAsia" w:ascii="Times New Roman" w:hAnsi="Times New Roman" w:cs="Times New Roman"/>
                <w:color w:val="auto"/>
                <w:sz w:val="24"/>
                <w:szCs w:val="24"/>
              </w:rPr>
            </w:pPr>
            <w:r>
              <w:rPr>
                <w:rFonts w:ascii="Times New Roman" w:hAnsi="Times New Roman" w:cs="Times New Roman"/>
                <w:color w:val="auto"/>
                <w:sz w:val="24"/>
                <w:szCs w:val="24"/>
              </w:rPr>
              <w:t>根据调查，本项目拆解及变化量如下表所示。</w:t>
            </w:r>
          </w:p>
          <w:p>
            <w:pPr>
              <w:spacing w:line="360" w:lineRule="auto"/>
              <w:ind w:firstLine="480" w:firstLineChars="200"/>
              <w:rPr>
                <w:rFonts w:hint="eastAsia"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jc w:val="center"/>
              <w:rPr>
                <w:rFonts w:ascii="Times New Roman" w:hAnsi="Times New Roman" w:cs="Times New Roman"/>
                <w:b/>
                <w:color w:val="auto"/>
                <w:szCs w:val="24"/>
              </w:rPr>
            </w:pPr>
            <w:r>
              <w:rPr>
                <w:rFonts w:ascii="Times New Roman" w:hAnsi="Times New Roman" w:cs="Times New Roman"/>
                <w:b/>
                <w:color w:val="auto"/>
                <w:szCs w:val="24"/>
              </w:rPr>
              <w:t>表2.5-1 原辅料的变化情况一览表</w:t>
            </w:r>
          </w:p>
          <w:tbl>
            <w:tblPr>
              <w:tblStyle w:val="19"/>
              <w:tblW w:w="90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2366"/>
              <w:gridCol w:w="1417"/>
              <w:gridCol w:w="1701"/>
              <w:gridCol w:w="1701"/>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vMerge w:val="restart"/>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序号</w:t>
                  </w:r>
                </w:p>
              </w:tc>
              <w:tc>
                <w:tcPr>
                  <w:tcW w:w="2366" w:type="dxa"/>
                  <w:vMerge w:val="restart"/>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原辅料种类</w:t>
                  </w:r>
                </w:p>
              </w:tc>
              <w:tc>
                <w:tcPr>
                  <w:tcW w:w="3118" w:type="dxa"/>
                  <w:gridSpan w:val="2"/>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原辅料使用量</w:t>
                  </w:r>
                </w:p>
              </w:tc>
              <w:tc>
                <w:tcPr>
                  <w:tcW w:w="1701" w:type="dxa"/>
                  <w:vMerge w:val="restart"/>
                  <w:vAlign w:val="center"/>
                </w:tcPr>
                <w:p>
                  <w:pPr>
                    <w:spacing w:line="360" w:lineRule="exact"/>
                    <w:ind w:firstLine="210" w:firstLineChars="100"/>
                    <w:jc w:val="left"/>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变化情况</w:t>
                  </w:r>
                </w:p>
              </w:tc>
              <w:tc>
                <w:tcPr>
                  <w:tcW w:w="1165" w:type="dxa"/>
                  <w:vMerge w:val="restart"/>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2366"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417"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现有工程</w:t>
                  </w:r>
                </w:p>
              </w:tc>
              <w:tc>
                <w:tcPr>
                  <w:tcW w:w="1701"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本次改扩建项目</w:t>
                  </w:r>
                </w:p>
              </w:tc>
              <w:tc>
                <w:tcPr>
                  <w:tcW w:w="1701" w:type="dxa"/>
                  <w:vMerge w:val="continue"/>
                  <w:vAlign w:val="center"/>
                </w:tcPr>
                <w:p>
                  <w:pPr>
                    <w:spacing w:line="360" w:lineRule="exact"/>
                    <w:ind w:firstLine="210" w:firstLineChars="100"/>
                    <w:jc w:val="left"/>
                    <w:rPr>
                      <w:rFonts w:ascii="Times New Roman" w:hAnsi="Times New Roman" w:eastAsia="宋体" w:cs="Times New Roman"/>
                      <w:bCs/>
                      <w:snapToGrid w:val="0"/>
                      <w:color w:val="auto"/>
                      <w:kern w:val="32"/>
                      <w:lang w:val="zh-CN"/>
                    </w:rPr>
                  </w:pPr>
                </w:p>
              </w:tc>
              <w:tc>
                <w:tcPr>
                  <w:tcW w:w="1165"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w:t>
                  </w:r>
                </w:p>
              </w:tc>
              <w:tc>
                <w:tcPr>
                  <w:tcW w:w="2366"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废旧冰箱</w:t>
                  </w:r>
                </w:p>
              </w:tc>
              <w:tc>
                <w:tcPr>
                  <w:tcW w:w="1417"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30万台/a</w:t>
                  </w:r>
                </w:p>
              </w:tc>
              <w:tc>
                <w:tcPr>
                  <w:tcW w:w="1701"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30万台/a</w:t>
                  </w:r>
                </w:p>
              </w:tc>
              <w:tc>
                <w:tcPr>
                  <w:tcW w:w="1701" w:type="dxa"/>
                  <w:vAlign w:val="center"/>
                </w:tcPr>
                <w:p>
                  <w:pPr>
                    <w:spacing w:line="360" w:lineRule="exact"/>
                    <w:ind w:firstLine="210" w:firstLineChars="100"/>
                    <w:jc w:val="left"/>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不变</w:t>
                  </w:r>
                </w:p>
              </w:tc>
              <w:tc>
                <w:tcPr>
                  <w:tcW w:w="1165" w:type="dxa"/>
                  <w:vMerge w:val="restart"/>
                  <w:vAlign w:val="center"/>
                </w:tcPr>
                <w:p>
                  <w:pPr>
                    <w:pStyle w:val="30"/>
                    <w:spacing w:line="360" w:lineRule="exact"/>
                    <w:ind w:firstLine="210" w:firstLineChars="100"/>
                    <w:jc w:val="both"/>
                    <w:rPr>
                      <w:bCs w:val="0"/>
                      <w:color w:val="auto"/>
                    </w:rPr>
                  </w:pPr>
                  <w:r>
                    <w:rPr>
                      <w:color w:val="auto"/>
                      <w:szCs w:val="21"/>
                    </w:rPr>
                    <w:t>采购部统一收购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vMerge w:val="restart"/>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2</w:t>
                  </w:r>
                </w:p>
              </w:tc>
              <w:tc>
                <w:tcPr>
                  <w:tcW w:w="2366"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废旧空调</w:t>
                  </w:r>
                </w:p>
              </w:tc>
              <w:tc>
                <w:tcPr>
                  <w:tcW w:w="1417"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20万台/a</w:t>
                  </w:r>
                </w:p>
              </w:tc>
              <w:tc>
                <w:tcPr>
                  <w:tcW w:w="1701"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20万台/a</w:t>
                  </w:r>
                </w:p>
              </w:tc>
              <w:tc>
                <w:tcPr>
                  <w:tcW w:w="1701" w:type="dxa"/>
                  <w:vAlign w:val="center"/>
                </w:tcPr>
                <w:p>
                  <w:pPr>
                    <w:spacing w:line="360" w:lineRule="exact"/>
                    <w:ind w:firstLine="210" w:firstLineChars="100"/>
                    <w:jc w:val="left"/>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不变</w:t>
                  </w:r>
                </w:p>
              </w:tc>
              <w:tc>
                <w:tcPr>
                  <w:tcW w:w="1165" w:type="dxa"/>
                  <w:vMerge w:val="continue"/>
                  <w:vAlign w:val="center"/>
                </w:tcPr>
                <w:p>
                  <w:pPr>
                    <w:pStyle w:val="30"/>
                    <w:spacing w:line="360" w:lineRule="exact"/>
                    <w:ind w:firstLine="210" w:firstLineChars="100"/>
                    <w:jc w:val="both"/>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2366"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废旧电脑主机</w:t>
                  </w:r>
                </w:p>
              </w:tc>
              <w:tc>
                <w:tcPr>
                  <w:tcW w:w="1417"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20万台/a</w:t>
                  </w:r>
                </w:p>
              </w:tc>
              <w:tc>
                <w:tcPr>
                  <w:tcW w:w="1701"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20万台/a</w:t>
                  </w:r>
                </w:p>
              </w:tc>
              <w:tc>
                <w:tcPr>
                  <w:tcW w:w="1701" w:type="dxa"/>
                  <w:vAlign w:val="center"/>
                </w:tcPr>
                <w:p>
                  <w:pPr>
                    <w:spacing w:line="360" w:lineRule="exact"/>
                    <w:ind w:firstLine="210" w:firstLineChars="100"/>
                    <w:jc w:val="left"/>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不变</w:t>
                  </w:r>
                </w:p>
              </w:tc>
              <w:tc>
                <w:tcPr>
                  <w:tcW w:w="1165" w:type="dxa"/>
                  <w:vMerge w:val="continue"/>
                  <w:vAlign w:val="center"/>
                </w:tcPr>
                <w:p>
                  <w:pPr>
                    <w:pStyle w:val="30"/>
                    <w:spacing w:line="360" w:lineRule="exact"/>
                    <w:ind w:firstLine="210" w:firstLineChars="100"/>
                    <w:jc w:val="both"/>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2366"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废旧手机及其视听设备电子产品</w:t>
                  </w:r>
                </w:p>
              </w:tc>
              <w:tc>
                <w:tcPr>
                  <w:tcW w:w="1417"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20万台/a</w:t>
                  </w:r>
                </w:p>
              </w:tc>
              <w:tc>
                <w:tcPr>
                  <w:tcW w:w="1701"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20万台/a</w:t>
                  </w:r>
                </w:p>
              </w:tc>
              <w:tc>
                <w:tcPr>
                  <w:tcW w:w="1701" w:type="dxa"/>
                  <w:vAlign w:val="center"/>
                </w:tcPr>
                <w:p>
                  <w:pPr>
                    <w:spacing w:line="360" w:lineRule="exact"/>
                    <w:ind w:firstLine="210" w:firstLineChars="100"/>
                    <w:jc w:val="left"/>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不变</w:t>
                  </w:r>
                </w:p>
              </w:tc>
              <w:tc>
                <w:tcPr>
                  <w:tcW w:w="1165" w:type="dxa"/>
                  <w:vMerge w:val="continue"/>
                  <w:vAlign w:val="center"/>
                </w:tcPr>
                <w:p>
                  <w:pPr>
                    <w:pStyle w:val="30"/>
                    <w:spacing w:line="360" w:lineRule="exact"/>
                    <w:ind w:firstLine="210" w:firstLineChars="100"/>
                    <w:jc w:val="both"/>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3</w:t>
                  </w:r>
                </w:p>
              </w:tc>
              <w:tc>
                <w:tcPr>
                  <w:tcW w:w="2366"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废旧洗衣机</w:t>
                  </w:r>
                </w:p>
              </w:tc>
              <w:tc>
                <w:tcPr>
                  <w:tcW w:w="1417"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18万台/a</w:t>
                  </w:r>
                </w:p>
              </w:tc>
              <w:tc>
                <w:tcPr>
                  <w:tcW w:w="1701"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30万台/a</w:t>
                  </w:r>
                </w:p>
              </w:tc>
              <w:tc>
                <w:tcPr>
                  <w:tcW w:w="1701" w:type="dxa"/>
                  <w:vAlign w:val="center"/>
                </w:tcPr>
                <w:p>
                  <w:pPr>
                    <w:spacing w:line="360" w:lineRule="exact"/>
                    <w:ind w:firstLine="210" w:firstLineChars="100"/>
                    <w:jc w:val="left"/>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增加12万台/a</w:t>
                  </w:r>
                </w:p>
              </w:tc>
              <w:tc>
                <w:tcPr>
                  <w:tcW w:w="1165" w:type="dxa"/>
                  <w:vMerge w:val="continue"/>
                  <w:vAlign w:val="center"/>
                </w:tcPr>
                <w:p>
                  <w:pPr>
                    <w:spacing w:line="360" w:lineRule="exact"/>
                    <w:ind w:firstLine="210" w:firstLineChars="100"/>
                    <w:jc w:val="left"/>
                    <w:rPr>
                      <w:rFonts w:ascii="Times New Roman" w:hAnsi="Times New Roman" w:eastAsia="宋体" w:cs="Times New Roman"/>
                      <w:bCs/>
                      <w:snapToGrid w:val="0"/>
                      <w:color w:val="auto"/>
                      <w:kern w:val="3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4</w:t>
                  </w:r>
                </w:p>
              </w:tc>
              <w:tc>
                <w:tcPr>
                  <w:tcW w:w="2366"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废旧液晶电视（显示器）</w:t>
                  </w:r>
                </w:p>
              </w:tc>
              <w:tc>
                <w:tcPr>
                  <w:tcW w:w="1417"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45万台/a</w:t>
                  </w:r>
                </w:p>
              </w:tc>
              <w:tc>
                <w:tcPr>
                  <w:tcW w:w="1701"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45万台/a</w:t>
                  </w:r>
                </w:p>
              </w:tc>
              <w:tc>
                <w:tcPr>
                  <w:tcW w:w="1701" w:type="dxa"/>
                  <w:vAlign w:val="center"/>
                </w:tcPr>
                <w:p>
                  <w:pPr>
                    <w:spacing w:line="360" w:lineRule="exact"/>
                    <w:ind w:firstLine="210" w:firstLineChars="100"/>
                    <w:jc w:val="left"/>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不变</w:t>
                  </w:r>
                </w:p>
              </w:tc>
              <w:tc>
                <w:tcPr>
                  <w:tcW w:w="1165" w:type="dxa"/>
                  <w:vMerge w:val="continue"/>
                  <w:vAlign w:val="center"/>
                </w:tcPr>
                <w:p>
                  <w:pPr>
                    <w:spacing w:line="360" w:lineRule="exact"/>
                    <w:ind w:firstLine="210" w:firstLineChars="100"/>
                    <w:jc w:val="left"/>
                    <w:rPr>
                      <w:rFonts w:ascii="Times New Roman" w:hAnsi="Times New Roman" w:eastAsia="宋体" w:cs="Times New Roman"/>
                      <w:bCs/>
                      <w:snapToGrid w:val="0"/>
                      <w:color w:val="auto"/>
                      <w:kern w:val="3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5</w:t>
                  </w:r>
                </w:p>
              </w:tc>
              <w:tc>
                <w:tcPr>
                  <w:tcW w:w="2366"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废旧CRT电视机</w:t>
                  </w:r>
                </w:p>
              </w:tc>
              <w:tc>
                <w:tcPr>
                  <w:tcW w:w="1417"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45万台/a</w:t>
                  </w:r>
                </w:p>
              </w:tc>
              <w:tc>
                <w:tcPr>
                  <w:tcW w:w="1701"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45万台/a</w:t>
                  </w:r>
                </w:p>
              </w:tc>
              <w:tc>
                <w:tcPr>
                  <w:tcW w:w="1701" w:type="dxa"/>
                  <w:vAlign w:val="center"/>
                </w:tcPr>
                <w:p>
                  <w:pPr>
                    <w:spacing w:line="360" w:lineRule="exact"/>
                    <w:ind w:firstLine="210" w:firstLineChars="100"/>
                    <w:jc w:val="left"/>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不变</w:t>
                  </w:r>
                </w:p>
              </w:tc>
              <w:tc>
                <w:tcPr>
                  <w:tcW w:w="1165" w:type="dxa"/>
                  <w:vMerge w:val="continue"/>
                  <w:vAlign w:val="center"/>
                </w:tcPr>
                <w:p>
                  <w:pPr>
                    <w:spacing w:line="360" w:lineRule="exact"/>
                    <w:ind w:firstLine="210" w:firstLineChars="100"/>
                    <w:jc w:val="left"/>
                    <w:rPr>
                      <w:rFonts w:ascii="Times New Roman" w:hAnsi="Times New Roman" w:eastAsia="宋体" w:cs="Times New Roman"/>
                      <w:bCs/>
                      <w:snapToGrid w:val="0"/>
                      <w:color w:val="auto"/>
                      <w:kern w:val="32"/>
                      <w:lang w:val="zh-CN"/>
                    </w:rPr>
                  </w:pPr>
                </w:p>
              </w:tc>
            </w:tr>
          </w:tbl>
          <w:p>
            <w:pPr>
              <w:autoSpaceDE w:val="0"/>
              <w:autoSpaceDN w:val="0"/>
              <w:spacing w:beforeLines="50"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2.5.3 能源</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项目使用能源主要电能。</w:t>
            </w:r>
          </w:p>
          <w:p>
            <w:pPr>
              <w:autoSpaceDE w:val="0"/>
              <w:autoSpaceDN w:val="0"/>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2.6 劳动定员及工作制度</w:t>
            </w:r>
          </w:p>
          <w:p>
            <w:pPr>
              <w:autoSpaceDE w:val="0"/>
              <w:autoSpaceDN w:val="0"/>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2.6.1 劳动定员</w:t>
            </w:r>
          </w:p>
          <w:p>
            <w:pPr>
              <w:spacing w:line="360" w:lineRule="auto"/>
              <w:ind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现有工程劳动定员为82人，根据项目实际情况，此次改扩建完成后，不新增劳动定员依然可满足生产要求。所有员工均在厂区吃饭，但住宿人数约为32人，其余50人回家住宿。</w:t>
            </w:r>
          </w:p>
          <w:p>
            <w:pPr>
              <w:autoSpaceDE w:val="0"/>
              <w:autoSpaceDN w:val="0"/>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2.6.2 工作制度</w:t>
            </w:r>
          </w:p>
          <w:p>
            <w:pPr>
              <w:spacing w:line="360" w:lineRule="auto"/>
              <w:ind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年工作300d，管理人员一班8h工作制，生产线一线工作人员三班24h工作制；全年生产天数为300d。而每条生产线的工作制度不尽相同，具体如下：</w:t>
            </w:r>
          </w:p>
          <w:p>
            <w:pPr>
              <w:spacing w:line="360" w:lineRule="auto"/>
              <w:ind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①废旧冰箱处理线年生产300d，每天生产10h，废旧冰箱拆解能力为100台/h，合计拆解能力为30万台/a。</w:t>
            </w:r>
          </w:p>
          <w:p>
            <w:pPr>
              <w:spacing w:line="360" w:lineRule="auto"/>
              <w:ind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②空调/小家电/废手机及其视听设备消费电子产品处理线年生产250d，每天生产16h，空调、废旧电脑主机和废旧手机及其视听设备消费电子产品的拆解能力均为50台/h，合计空调、废旧电脑主机和废旧手机及其视听设备消费电子产品拆解能力各为20万台/a。</w:t>
            </w:r>
          </w:p>
          <w:p>
            <w:pPr>
              <w:spacing w:line="360" w:lineRule="auto"/>
              <w:ind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③废旧洗衣机处理线年生产250d，每天生产8h，废旧洗衣机拆解能力为150台/h，合计拆解能力为30万台/a。</w:t>
            </w:r>
          </w:p>
          <w:p>
            <w:pPr>
              <w:spacing w:line="360" w:lineRule="auto"/>
              <w:ind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④1号废旧电视机（液晶电视）处理线年生产210d，每天生产24h，废旧电视机（液晶电视）拆解能力为90台/h，合计拆解能力为45万台/a。</w:t>
            </w:r>
          </w:p>
          <w:p>
            <w:pPr>
              <w:spacing w:line="360" w:lineRule="auto"/>
              <w:ind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⑤2号废旧电视机（CRT）处理线年生产210d，每天生产24h，废旧电视机（CRT）拆解能力为90台/h，合计拆解能力为45万台/a。</w:t>
            </w:r>
          </w:p>
          <w:p>
            <w:pPr>
              <w:spacing w:line="360" w:lineRule="auto"/>
              <w:ind w:firstLine="482" w:firstLineChars="200"/>
              <w:rPr>
                <w:rFonts w:ascii="Times New Roman" w:hAnsi="Times New Roman" w:eastAsia="宋体" w:cs="Times New Roman"/>
                <w:b/>
                <w:color w:val="auto"/>
                <w:sz w:val="24"/>
              </w:rPr>
            </w:pPr>
            <w:r>
              <w:rPr>
                <w:rFonts w:hint="eastAsia" w:ascii="Times New Roman" w:hAnsi="Times New Roman" w:eastAsia="宋体" w:cs="Times New Roman"/>
                <w:b/>
                <w:color w:val="auto"/>
                <w:sz w:val="24"/>
              </w:rPr>
              <w:t>2.7 水平衡</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根据调查，项目技改后废水种类未发生变化，主要为废旧洗衣机处理线产生的平衡盐水和员工生活污水；但现有项目未核算初期雨水，本次环评拟对初期雨水进行核算。具体如下。</w:t>
            </w:r>
          </w:p>
          <w:p>
            <w:pPr>
              <w:spacing w:line="360" w:lineRule="auto"/>
              <w:ind w:firstLine="482" w:firstLineChars="200"/>
              <w:rPr>
                <w:rFonts w:ascii="Times New Roman" w:hAnsi="Times New Roman" w:eastAsia="宋体" w:cs="Times New Roman"/>
                <w:b/>
                <w:color w:val="auto"/>
                <w:sz w:val="24"/>
              </w:rPr>
            </w:pPr>
            <w:r>
              <w:rPr>
                <w:rFonts w:ascii="Times New Roman" w:hAnsi="Times New Roman" w:eastAsia="宋体" w:cs="Times New Roman"/>
                <w:b/>
                <w:color w:val="auto"/>
                <w:sz w:val="24"/>
              </w:rPr>
              <w:t>①平衡盐水</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调查，项目区主要生产废水为废旧洗衣机处理线全自动洗衣机拆解过程中产生的平衡盐水，根据建设单位实际统计，技改项目将废旧洗衣机的处理能力由18万台/a提升至30万台/a；根据实际运营情况，现有工程正常运行期平衡盐水产生量为0.15m³/月（0.005m³/d），则改扩建后其产生量约为0.008m³/d，已设置了1个2m³的盐水缸对其进行收集，按1：8的比例稀释后回用于绿化，不外排。</w:t>
            </w:r>
          </w:p>
          <w:p>
            <w:pPr>
              <w:spacing w:line="360" w:lineRule="auto"/>
              <w:ind w:firstLine="482" w:firstLineChars="200"/>
              <w:rPr>
                <w:rFonts w:ascii="Times New Roman" w:hAnsi="Times New Roman" w:eastAsia="宋体" w:cs="Times New Roman"/>
                <w:b/>
                <w:color w:val="auto"/>
                <w:sz w:val="24"/>
              </w:rPr>
            </w:pPr>
            <w:r>
              <w:rPr>
                <w:rFonts w:ascii="Times New Roman" w:hAnsi="Times New Roman" w:eastAsia="宋体" w:cs="Times New Roman"/>
                <w:b/>
                <w:color w:val="auto"/>
                <w:sz w:val="24"/>
              </w:rPr>
              <w:t>②生活污水</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技改项目劳动定员和工作制度较现有工程为发生变化，则其生活污水产生量未发生变化，根据现有工程分析，项目生活用水量6.2m³/d，合计为1860m³/a；废水率按80%计，则废水量为4.96m³/d，合计为1488m³/a；其中食堂废水约为2.48m³/d，合计为744m³/a。根据现有工程分析，生活污水水质如下表所示。</w:t>
            </w:r>
          </w:p>
          <w:p>
            <w:pPr>
              <w:jc w:val="center"/>
              <w:rPr>
                <w:rFonts w:ascii="Times New Roman" w:hAnsi="Times New Roman" w:cs="Times New Roman"/>
                <w:b/>
                <w:bCs/>
                <w:color w:val="auto"/>
                <w:kern w:val="0"/>
              </w:rPr>
            </w:pPr>
            <w:r>
              <w:rPr>
                <w:rFonts w:ascii="Times New Roman" w:hAnsi="Times New Roman" w:cs="Times New Roman"/>
                <w:b/>
                <w:bCs/>
                <w:color w:val="auto"/>
                <w:kern w:val="0"/>
              </w:rPr>
              <w:t>表</w:t>
            </w:r>
            <w:r>
              <w:rPr>
                <w:rFonts w:hint="eastAsia" w:ascii="Times New Roman" w:hAnsi="Times New Roman" w:cs="Times New Roman"/>
                <w:b/>
                <w:bCs/>
                <w:color w:val="auto"/>
                <w:kern w:val="0"/>
              </w:rPr>
              <w:t>2.7</w:t>
            </w:r>
            <w:r>
              <w:rPr>
                <w:rFonts w:ascii="Times New Roman" w:hAnsi="Times New Roman" w:cs="Times New Roman"/>
                <w:b/>
                <w:bCs/>
                <w:color w:val="auto"/>
                <w:kern w:val="0"/>
              </w:rPr>
              <w:t>-1 生活污水水质指标一览表 mg/L</w:t>
            </w:r>
          </w:p>
          <w:tbl>
            <w:tblPr>
              <w:tblStyle w:val="19"/>
              <w:tblW w:w="9039" w:type="dxa"/>
              <w:jc w:val="center"/>
              <w:tblInd w:w="0" w:type="dxa"/>
              <w:tblLayout w:type="fixed"/>
              <w:tblCellMar>
                <w:top w:w="0" w:type="dxa"/>
                <w:left w:w="108" w:type="dxa"/>
                <w:bottom w:w="0" w:type="dxa"/>
                <w:right w:w="108" w:type="dxa"/>
              </w:tblCellMar>
            </w:tblPr>
            <w:tblGrid>
              <w:gridCol w:w="770"/>
              <w:gridCol w:w="807"/>
              <w:gridCol w:w="883"/>
              <w:gridCol w:w="839"/>
              <w:gridCol w:w="661"/>
              <w:gridCol w:w="852"/>
              <w:gridCol w:w="613"/>
              <w:gridCol w:w="549"/>
              <w:gridCol w:w="837"/>
              <w:gridCol w:w="965"/>
              <w:gridCol w:w="1263"/>
            </w:tblGrid>
            <w:tr>
              <w:tblPrEx>
                <w:tblLayout w:type="fixed"/>
                <w:tblCellMar>
                  <w:top w:w="0" w:type="dxa"/>
                  <w:left w:w="108" w:type="dxa"/>
                  <w:bottom w:w="0" w:type="dxa"/>
                  <w:right w:w="108" w:type="dxa"/>
                </w:tblCellMar>
              </w:tblPrEx>
              <w:trPr>
                <w:trHeight w:val="285" w:hRule="atLeast"/>
                <w:jc w:val="center"/>
              </w:trPr>
              <w:tc>
                <w:tcPr>
                  <w:tcW w:w="770" w:type="dxa"/>
                  <w:tcBorders>
                    <w:top w:val="single" w:color="auto" w:sz="4" w:space="0"/>
                    <w:left w:val="single" w:color="auto" w:sz="8" w:space="0"/>
                    <w:bottom w:val="single" w:color="000000" w:sz="8" w:space="0"/>
                    <w:right w:val="single" w:color="auto" w:sz="8" w:space="0"/>
                  </w:tcBorders>
                  <w:vAlign w:val="center"/>
                </w:tcPr>
                <w:p>
                  <w:pPr>
                    <w:pStyle w:val="30"/>
                    <w:spacing w:line="360" w:lineRule="exact"/>
                    <w:rPr>
                      <w:rFonts w:eastAsiaTheme="minorEastAsia"/>
                      <w:color w:val="auto"/>
                      <w:szCs w:val="21"/>
                    </w:rPr>
                  </w:pPr>
                  <w:r>
                    <w:rPr>
                      <w:rFonts w:eastAsiaTheme="minorEastAsia"/>
                      <w:color w:val="auto"/>
                      <w:szCs w:val="21"/>
                    </w:rPr>
                    <w:t>污染物</w:t>
                  </w:r>
                </w:p>
              </w:tc>
              <w:tc>
                <w:tcPr>
                  <w:tcW w:w="807" w:type="dxa"/>
                  <w:tcBorders>
                    <w:top w:val="single" w:color="auto" w:sz="4" w:space="0"/>
                    <w:left w:val="nil"/>
                    <w:bottom w:val="single" w:color="auto" w:sz="8" w:space="0"/>
                    <w:right w:val="single" w:color="auto" w:sz="8" w:space="0"/>
                  </w:tcBorders>
                  <w:vAlign w:val="center"/>
                </w:tcPr>
                <w:p>
                  <w:pPr>
                    <w:pStyle w:val="30"/>
                    <w:spacing w:line="360" w:lineRule="exact"/>
                    <w:rPr>
                      <w:rFonts w:eastAsiaTheme="minorEastAsia"/>
                      <w:color w:val="auto"/>
                      <w:szCs w:val="21"/>
                    </w:rPr>
                  </w:pPr>
                  <w:r>
                    <w:rPr>
                      <w:rFonts w:eastAsiaTheme="minorEastAsia"/>
                      <w:color w:val="auto"/>
                      <w:szCs w:val="21"/>
                    </w:rPr>
                    <w:t>pH</w:t>
                  </w:r>
                </w:p>
              </w:tc>
              <w:tc>
                <w:tcPr>
                  <w:tcW w:w="883" w:type="dxa"/>
                  <w:tcBorders>
                    <w:top w:val="single" w:color="auto" w:sz="4" w:space="0"/>
                    <w:left w:val="nil"/>
                    <w:bottom w:val="single" w:color="auto" w:sz="8" w:space="0"/>
                    <w:right w:val="single" w:color="auto" w:sz="8" w:space="0"/>
                  </w:tcBorders>
                  <w:vAlign w:val="center"/>
                </w:tcPr>
                <w:p>
                  <w:pPr>
                    <w:pStyle w:val="30"/>
                    <w:spacing w:line="360" w:lineRule="exact"/>
                    <w:rPr>
                      <w:rFonts w:eastAsiaTheme="minorEastAsia"/>
                      <w:color w:val="auto"/>
                      <w:szCs w:val="21"/>
                    </w:rPr>
                  </w:pPr>
                  <w:r>
                    <w:rPr>
                      <w:rFonts w:eastAsiaTheme="minorEastAsia"/>
                      <w:color w:val="auto"/>
                      <w:szCs w:val="21"/>
                    </w:rPr>
                    <w:t>CODcr</w:t>
                  </w:r>
                </w:p>
              </w:tc>
              <w:tc>
                <w:tcPr>
                  <w:tcW w:w="839" w:type="dxa"/>
                  <w:tcBorders>
                    <w:top w:val="single" w:color="auto" w:sz="4" w:space="0"/>
                    <w:left w:val="nil"/>
                    <w:bottom w:val="single" w:color="auto" w:sz="8" w:space="0"/>
                    <w:right w:val="single" w:color="auto" w:sz="8" w:space="0"/>
                  </w:tcBorders>
                  <w:vAlign w:val="center"/>
                </w:tcPr>
                <w:p>
                  <w:pPr>
                    <w:pStyle w:val="30"/>
                    <w:spacing w:line="360" w:lineRule="exact"/>
                    <w:rPr>
                      <w:rFonts w:eastAsiaTheme="minorEastAsia"/>
                      <w:color w:val="auto"/>
                      <w:szCs w:val="21"/>
                    </w:rPr>
                  </w:pPr>
                  <w:r>
                    <w:rPr>
                      <w:rFonts w:eastAsiaTheme="minorEastAsia"/>
                      <w:color w:val="auto"/>
                      <w:szCs w:val="21"/>
                    </w:rPr>
                    <w:t>BOD</w:t>
                  </w:r>
                  <w:r>
                    <w:rPr>
                      <w:rFonts w:eastAsiaTheme="minorEastAsia"/>
                      <w:color w:val="auto"/>
                      <w:szCs w:val="21"/>
                      <w:vertAlign w:val="subscript"/>
                    </w:rPr>
                    <w:t>5</w:t>
                  </w:r>
                </w:p>
              </w:tc>
              <w:tc>
                <w:tcPr>
                  <w:tcW w:w="661" w:type="dxa"/>
                  <w:tcBorders>
                    <w:top w:val="single" w:color="auto" w:sz="4" w:space="0"/>
                    <w:left w:val="nil"/>
                    <w:bottom w:val="single" w:color="auto" w:sz="8" w:space="0"/>
                    <w:right w:val="single" w:color="auto" w:sz="8" w:space="0"/>
                  </w:tcBorders>
                  <w:vAlign w:val="center"/>
                </w:tcPr>
                <w:p>
                  <w:pPr>
                    <w:pStyle w:val="30"/>
                    <w:spacing w:line="360" w:lineRule="exact"/>
                    <w:rPr>
                      <w:rFonts w:eastAsiaTheme="minorEastAsia"/>
                      <w:color w:val="auto"/>
                      <w:szCs w:val="21"/>
                    </w:rPr>
                  </w:pPr>
                  <w:r>
                    <w:rPr>
                      <w:rFonts w:eastAsiaTheme="minorEastAsia"/>
                      <w:color w:val="auto"/>
                      <w:szCs w:val="21"/>
                    </w:rPr>
                    <w:t>SS</w:t>
                  </w:r>
                </w:p>
              </w:tc>
              <w:tc>
                <w:tcPr>
                  <w:tcW w:w="852" w:type="dxa"/>
                  <w:tcBorders>
                    <w:top w:val="single" w:color="auto" w:sz="4" w:space="0"/>
                    <w:left w:val="nil"/>
                    <w:bottom w:val="single" w:color="auto" w:sz="8" w:space="0"/>
                    <w:right w:val="single" w:color="auto" w:sz="8" w:space="0"/>
                  </w:tcBorders>
                  <w:vAlign w:val="center"/>
                </w:tcPr>
                <w:p>
                  <w:pPr>
                    <w:pStyle w:val="30"/>
                    <w:spacing w:line="360" w:lineRule="exact"/>
                    <w:rPr>
                      <w:rFonts w:eastAsiaTheme="minorEastAsia"/>
                      <w:color w:val="auto"/>
                      <w:szCs w:val="21"/>
                    </w:rPr>
                  </w:pPr>
                  <w:r>
                    <w:rPr>
                      <w:rFonts w:eastAsiaTheme="minorEastAsia"/>
                      <w:color w:val="auto"/>
                      <w:szCs w:val="21"/>
                    </w:rPr>
                    <w:t>NH</w:t>
                  </w:r>
                  <w:r>
                    <w:rPr>
                      <w:rFonts w:eastAsiaTheme="minorEastAsia"/>
                      <w:color w:val="auto"/>
                      <w:szCs w:val="21"/>
                      <w:vertAlign w:val="subscript"/>
                    </w:rPr>
                    <w:t>3</w:t>
                  </w:r>
                  <w:r>
                    <w:rPr>
                      <w:rFonts w:eastAsiaTheme="minorEastAsia"/>
                      <w:color w:val="auto"/>
                      <w:szCs w:val="21"/>
                    </w:rPr>
                    <w:t>-N</w:t>
                  </w:r>
                </w:p>
              </w:tc>
              <w:tc>
                <w:tcPr>
                  <w:tcW w:w="613" w:type="dxa"/>
                  <w:tcBorders>
                    <w:top w:val="single" w:color="auto" w:sz="4" w:space="0"/>
                    <w:left w:val="nil"/>
                    <w:bottom w:val="single" w:color="auto" w:sz="8" w:space="0"/>
                    <w:right w:val="single" w:color="auto" w:sz="8" w:space="0"/>
                  </w:tcBorders>
                  <w:vAlign w:val="center"/>
                </w:tcPr>
                <w:p>
                  <w:pPr>
                    <w:pStyle w:val="30"/>
                    <w:spacing w:line="360" w:lineRule="exact"/>
                    <w:rPr>
                      <w:rFonts w:eastAsiaTheme="minorEastAsia"/>
                      <w:color w:val="auto"/>
                      <w:szCs w:val="21"/>
                    </w:rPr>
                  </w:pPr>
                  <w:r>
                    <w:rPr>
                      <w:rFonts w:eastAsiaTheme="minorEastAsia"/>
                      <w:color w:val="auto"/>
                      <w:szCs w:val="21"/>
                    </w:rPr>
                    <w:t>TN</w:t>
                  </w:r>
                </w:p>
              </w:tc>
              <w:tc>
                <w:tcPr>
                  <w:tcW w:w="549" w:type="dxa"/>
                  <w:tcBorders>
                    <w:top w:val="single" w:color="auto" w:sz="4" w:space="0"/>
                    <w:left w:val="nil"/>
                    <w:bottom w:val="single" w:color="auto" w:sz="8" w:space="0"/>
                    <w:right w:val="single" w:color="auto" w:sz="8" w:space="0"/>
                  </w:tcBorders>
                  <w:vAlign w:val="center"/>
                </w:tcPr>
                <w:p>
                  <w:pPr>
                    <w:pStyle w:val="30"/>
                    <w:spacing w:line="360" w:lineRule="exact"/>
                    <w:rPr>
                      <w:rFonts w:eastAsiaTheme="minorEastAsia"/>
                      <w:color w:val="auto"/>
                      <w:szCs w:val="21"/>
                    </w:rPr>
                  </w:pPr>
                  <w:r>
                    <w:rPr>
                      <w:rFonts w:eastAsiaTheme="minorEastAsia"/>
                      <w:color w:val="auto"/>
                      <w:szCs w:val="21"/>
                    </w:rPr>
                    <w:t>TP</w:t>
                  </w:r>
                </w:p>
              </w:tc>
              <w:tc>
                <w:tcPr>
                  <w:tcW w:w="837" w:type="dxa"/>
                  <w:tcBorders>
                    <w:top w:val="single" w:color="auto" w:sz="4" w:space="0"/>
                    <w:left w:val="nil"/>
                    <w:bottom w:val="single" w:color="auto" w:sz="8" w:space="0"/>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动植物油</w:t>
                  </w:r>
                </w:p>
              </w:tc>
              <w:tc>
                <w:tcPr>
                  <w:tcW w:w="965" w:type="dxa"/>
                  <w:tcBorders>
                    <w:top w:val="single" w:color="auto" w:sz="4" w:space="0"/>
                    <w:left w:val="nil"/>
                    <w:bottom w:val="single" w:color="auto" w:sz="8" w:space="0"/>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阴离子表面活性剂</w:t>
                  </w:r>
                </w:p>
              </w:tc>
              <w:tc>
                <w:tcPr>
                  <w:tcW w:w="1263" w:type="dxa"/>
                  <w:tcBorders>
                    <w:top w:val="single" w:color="auto" w:sz="4" w:space="0"/>
                    <w:left w:val="nil"/>
                    <w:bottom w:val="single" w:color="auto" w:sz="8" w:space="0"/>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粪大肠菌群数（MPN/L）</w:t>
                  </w:r>
                </w:p>
              </w:tc>
            </w:tr>
            <w:tr>
              <w:tblPrEx>
                <w:tblLayout w:type="fixed"/>
                <w:tblCellMar>
                  <w:top w:w="0" w:type="dxa"/>
                  <w:left w:w="108" w:type="dxa"/>
                  <w:bottom w:w="0" w:type="dxa"/>
                  <w:right w:w="108" w:type="dxa"/>
                </w:tblCellMar>
              </w:tblPrEx>
              <w:trPr>
                <w:trHeight w:val="300" w:hRule="atLeast"/>
                <w:jc w:val="center"/>
              </w:trPr>
              <w:tc>
                <w:tcPr>
                  <w:tcW w:w="770" w:type="dxa"/>
                  <w:tcBorders>
                    <w:top w:val="nil"/>
                    <w:left w:val="single" w:color="auto" w:sz="8" w:space="0"/>
                    <w:bottom w:val="single" w:color="auto" w:sz="8" w:space="0"/>
                    <w:right w:val="single" w:color="auto" w:sz="8" w:space="0"/>
                  </w:tcBorders>
                  <w:vAlign w:val="center"/>
                </w:tcPr>
                <w:p>
                  <w:pPr>
                    <w:pStyle w:val="30"/>
                    <w:spacing w:line="360" w:lineRule="exact"/>
                    <w:rPr>
                      <w:rFonts w:eastAsiaTheme="minorEastAsia"/>
                      <w:color w:val="auto"/>
                      <w:szCs w:val="21"/>
                    </w:rPr>
                  </w:pPr>
                  <w:r>
                    <w:rPr>
                      <w:rFonts w:eastAsiaTheme="minorEastAsia"/>
                      <w:color w:val="auto"/>
                      <w:szCs w:val="21"/>
                    </w:rPr>
                    <w:t>生活污水</w:t>
                  </w:r>
                </w:p>
              </w:tc>
              <w:tc>
                <w:tcPr>
                  <w:tcW w:w="807" w:type="dxa"/>
                  <w:tcBorders>
                    <w:top w:val="nil"/>
                    <w:left w:val="nil"/>
                    <w:bottom w:val="single" w:color="auto" w:sz="8" w:space="0"/>
                    <w:right w:val="single" w:color="auto" w:sz="8" w:space="0"/>
                  </w:tcBorders>
                  <w:vAlign w:val="center"/>
                </w:tcPr>
                <w:p>
                  <w:pPr>
                    <w:pStyle w:val="30"/>
                    <w:spacing w:line="360" w:lineRule="exact"/>
                    <w:rPr>
                      <w:rFonts w:eastAsiaTheme="minorEastAsia"/>
                      <w:color w:val="auto"/>
                      <w:szCs w:val="21"/>
                    </w:rPr>
                  </w:pPr>
                  <w:r>
                    <w:rPr>
                      <w:rFonts w:eastAsiaTheme="minorEastAsia"/>
                      <w:color w:val="auto"/>
                      <w:szCs w:val="21"/>
                    </w:rPr>
                    <w:t>6-9</w:t>
                  </w:r>
                </w:p>
              </w:tc>
              <w:tc>
                <w:tcPr>
                  <w:tcW w:w="883" w:type="dxa"/>
                  <w:tcBorders>
                    <w:top w:val="nil"/>
                    <w:left w:val="nil"/>
                    <w:bottom w:val="single" w:color="auto" w:sz="8" w:space="0"/>
                    <w:right w:val="single" w:color="auto" w:sz="8" w:space="0"/>
                  </w:tcBorders>
                  <w:vAlign w:val="center"/>
                </w:tcPr>
                <w:p>
                  <w:pPr>
                    <w:pStyle w:val="30"/>
                    <w:spacing w:line="360" w:lineRule="exact"/>
                    <w:rPr>
                      <w:rFonts w:eastAsiaTheme="minorEastAsia"/>
                      <w:color w:val="auto"/>
                      <w:szCs w:val="21"/>
                    </w:rPr>
                  </w:pPr>
                  <w:r>
                    <w:rPr>
                      <w:rFonts w:eastAsiaTheme="minorEastAsia"/>
                      <w:color w:val="auto"/>
                      <w:szCs w:val="21"/>
                    </w:rPr>
                    <w:t>350</w:t>
                  </w:r>
                </w:p>
              </w:tc>
              <w:tc>
                <w:tcPr>
                  <w:tcW w:w="839" w:type="dxa"/>
                  <w:tcBorders>
                    <w:top w:val="nil"/>
                    <w:left w:val="nil"/>
                    <w:bottom w:val="single" w:color="auto" w:sz="8" w:space="0"/>
                    <w:right w:val="single" w:color="auto" w:sz="8" w:space="0"/>
                  </w:tcBorders>
                  <w:vAlign w:val="center"/>
                </w:tcPr>
                <w:p>
                  <w:pPr>
                    <w:pStyle w:val="30"/>
                    <w:spacing w:line="360" w:lineRule="exact"/>
                    <w:rPr>
                      <w:rFonts w:eastAsiaTheme="minorEastAsia"/>
                      <w:color w:val="auto"/>
                      <w:szCs w:val="21"/>
                    </w:rPr>
                  </w:pPr>
                  <w:r>
                    <w:rPr>
                      <w:rFonts w:eastAsiaTheme="minorEastAsia"/>
                      <w:color w:val="auto"/>
                      <w:szCs w:val="21"/>
                    </w:rPr>
                    <w:t>220</w:t>
                  </w:r>
                </w:p>
              </w:tc>
              <w:tc>
                <w:tcPr>
                  <w:tcW w:w="661" w:type="dxa"/>
                  <w:tcBorders>
                    <w:top w:val="nil"/>
                    <w:left w:val="nil"/>
                    <w:bottom w:val="single" w:color="auto" w:sz="8" w:space="0"/>
                    <w:right w:val="single" w:color="auto" w:sz="8" w:space="0"/>
                  </w:tcBorders>
                  <w:vAlign w:val="center"/>
                </w:tcPr>
                <w:p>
                  <w:pPr>
                    <w:pStyle w:val="30"/>
                    <w:spacing w:line="360" w:lineRule="exact"/>
                    <w:rPr>
                      <w:rFonts w:eastAsiaTheme="minorEastAsia"/>
                      <w:color w:val="auto"/>
                      <w:szCs w:val="21"/>
                    </w:rPr>
                  </w:pPr>
                  <w:r>
                    <w:rPr>
                      <w:rFonts w:eastAsiaTheme="minorEastAsia"/>
                      <w:color w:val="auto"/>
                      <w:szCs w:val="21"/>
                    </w:rPr>
                    <w:t>300</w:t>
                  </w:r>
                </w:p>
              </w:tc>
              <w:tc>
                <w:tcPr>
                  <w:tcW w:w="852" w:type="dxa"/>
                  <w:tcBorders>
                    <w:top w:val="nil"/>
                    <w:left w:val="nil"/>
                    <w:bottom w:val="single" w:color="auto" w:sz="8" w:space="0"/>
                    <w:right w:val="single" w:color="auto" w:sz="8" w:space="0"/>
                  </w:tcBorders>
                  <w:vAlign w:val="center"/>
                </w:tcPr>
                <w:p>
                  <w:pPr>
                    <w:pStyle w:val="30"/>
                    <w:spacing w:line="360" w:lineRule="exact"/>
                    <w:rPr>
                      <w:rFonts w:eastAsiaTheme="minorEastAsia"/>
                      <w:color w:val="auto"/>
                      <w:szCs w:val="21"/>
                    </w:rPr>
                  </w:pPr>
                  <w:r>
                    <w:rPr>
                      <w:rFonts w:eastAsiaTheme="minorEastAsia"/>
                      <w:color w:val="auto"/>
                      <w:szCs w:val="21"/>
                    </w:rPr>
                    <w:t>38</w:t>
                  </w:r>
                </w:p>
              </w:tc>
              <w:tc>
                <w:tcPr>
                  <w:tcW w:w="613" w:type="dxa"/>
                  <w:tcBorders>
                    <w:top w:val="nil"/>
                    <w:left w:val="nil"/>
                    <w:bottom w:val="single" w:color="auto" w:sz="8" w:space="0"/>
                    <w:right w:val="single" w:color="auto" w:sz="8" w:space="0"/>
                  </w:tcBorders>
                  <w:vAlign w:val="center"/>
                </w:tcPr>
                <w:p>
                  <w:pPr>
                    <w:pStyle w:val="30"/>
                    <w:spacing w:line="360" w:lineRule="exact"/>
                    <w:rPr>
                      <w:rFonts w:eastAsiaTheme="minorEastAsia"/>
                      <w:color w:val="auto"/>
                      <w:szCs w:val="21"/>
                    </w:rPr>
                  </w:pPr>
                  <w:r>
                    <w:rPr>
                      <w:rFonts w:eastAsiaTheme="minorEastAsia"/>
                      <w:color w:val="auto"/>
                      <w:szCs w:val="21"/>
                    </w:rPr>
                    <w:t>45</w:t>
                  </w:r>
                </w:p>
              </w:tc>
              <w:tc>
                <w:tcPr>
                  <w:tcW w:w="549" w:type="dxa"/>
                  <w:tcBorders>
                    <w:top w:val="nil"/>
                    <w:left w:val="nil"/>
                    <w:bottom w:val="single" w:color="auto" w:sz="8" w:space="0"/>
                    <w:right w:val="single" w:color="auto" w:sz="8" w:space="0"/>
                  </w:tcBorders>
                  <w:vAlign w:val="center"/>
                </w:tcPr>
                <w:p>
                  <w:pPr>
                    <w:pStyle w:val="30"/>
                    <w:spacing w:line="360" w:lineRule="exact"/>
                    <w:rPr>
                      <w:rFonts w:eastAsiaTheme="minorEastAsia"/>
                      <w:color w:val="auto"/>
                      <w:szCs w:val="21"/>
                    </w:rPr>
                  </w:pPr>
                  <w:r>
                    <w:rPr>
                      <w:rFonts w:eastAsiaTheme="minorEastAsia"/>
                      <w:color w:val="auto"/>
                      <w:szCs w:val="21"/>
                    </w:rPr>
                    <w:t>8</w:t>
                  </w:r>
                </w:p>
              </w:tc>
              <w:tc>
                <w:tcPr>
                  <w:tcW w:w="837" w:type="dxa"/>
                  <w:tcBorders>
                    <w:top w:val="nil"/>
                    <w:left w:val="nil"/>
                    <w:bottom w:val="single" w:color="auto" w:sz="8" w:space="0"/>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100</w:t>
                  </w:r>
                </w:p>
              </w:tc>
              <w:tc>
                <w:tcPr>
                  <w:tcW w:w="965" w:type="dxa"/>
                  <w:tcBorders>
                    <w:top w:val="nil"/>
                    <w:left w:val="nil"/>
                    <w:bottom w:val="single" w:color="auto" w:sz="8" w:space="0"/>
                    <w:right w:val="single" w:color="auto" w:sz="4" w:space="0"/>
                  </w:tcBorders>
                  <w:vAlign w:val="center"/>
                </w:tcPr>
                <w:p>
                  <w:pPr>
                    <w:spacing w:line="360" w:lineRule="exact"/>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16</w:t>
                  </w:r>
                </w:p>
              </w:tc>
              <w:tc>
                <w:tcPr>
                  <w:tcW w:w="1263" w:type="dxa"/>
                  <w:tcBorders>
                    <w:top w:val="nil"/>
                    <w:left w:val="nil"/>
                    <w:bottom w:val="single" w:color="auto" w:sz="8" w:space="0"/>
                    <w:right w:val="single" w:color="auto" w:sz="4" w:space="0"/>
                  </w:tcBorders>
                  <w:vAlign w:val="center"/>
                </w:tcPr>
                <w:p>
                  <w:pPr>
                    <w:spacing w:line="360" w:lineRule="exact"/>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16000</w:t>
                  </w:r>
                </w:p>
              </w:tc>
            </w:tr>
          </w:tbl>
          <w:p>
            <w:pPr>
              <w:spacing w:beforeLines="50"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③初期雨水产排核算</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rPr>
              <w:t>项目区初期雨水产生量按下述公式进行计算：</w:t>
            </w:r>
          </w:p>
          <w:p>
            <w:pPr>
              <w:spacing w:line="360" w:lineRule="auto"/>
              <w:jc w:val="center"/>
              <w:rPr>
                <w:rFonts w:ascii="Times New Roman" w:hAnsi="Times New Roman" w:cs="Times New Roman"/>
                <w:color w:val="auto"/>
                <w:sz w:val="24"/>
              </w:rPr>
            </w:pPr>
            <w:r>
              <w:rPr>
                <w:rFonts w:ascii="Times New Roman" w:hAnsi="Times New Roman" w:cs="Times New Roman"/>
                <w:color w:val="auto"/>
                <w:sz w:val="24"/>
              </w:rPr>
              <w:t>Qm=F·Hm·Ψ÷1000</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式中：Qm：最大径流量（m³）；</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 xml:space="preserve">      F：汇水面积（m²）；</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 xml:space="preserve">      Hm：降雨量（mm）；</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 xml:space="preserve">      Ψ：径流系数，取0.6；</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汇水面积取雨水直接落到地面上的占地面积，根据调查，本项目生产区域可能受污染区的占地面积约6000m²，考虑到项目区场地的硬化程度，径流系数取0.6。该区30年一遇最大日降雨量153.3mm，经计算项目区最大日雨水量为551.88m³，初期雨水主要产生于暴雨前30min，经计算，项目初期雨水产生量约为11.50m³/次，初期雨水的主要污染物为CODcr和SS，CODcr产生浓度约60mg/L、SS产生浓度约400mg/L。</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④绿化用水</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工程内容可知，项目拟设置面积约为6348m³绿化区；根据《云南省地方标准用水定额》（DB53/T168-2019），绿化用水定额约为3L/（m²·次），则绿化用水量约为19.04m³/次，其中雨天不浇灌，非雨天1天1次，项目区域非雨天以255d计，则绿化用水量为（19.04m³/d）4855.2m³/a。</w:t>
            </w:r>
          </w:p>
          <w:p>
            <w:pPr>
              <w:pStyle w:val="38"/>
              <w:ind w:firstLine="480"/>
              <w:rPr>
                <w:rFonts w:eastAsiaTheme="minorEastAsia"/>
                <w:color w:val="auto"/>
                <w:szCs w:val="24"/>
              </w:rPr>
            </w:pPr>
            <w:r>
              <w:rPr>
                <w:rFonts w:eastAsiaTheme="minorEastAsia"/>
                <w:color w:val="auto"/>
                <w:szCs w:val="24"/>
              </w:rPr>
              <w:t>通过核算，本项目用排水情况详见下表。</w:t>
            </w:r>
          </w:p>
          <w:p>
            <w:pPr>
              <w:jc w:val="center"/>
              <w:rPr>
                <w:rFonts w:ascii="Times New Roman" w:hAnsi="Times New Roman" w:cs="Times New Roman"/>
                <w:b/>
                <w:bCs/>
                <w:color w:val="auto"/>
                <w:kern w:val="0"/>
              </w:rPr>
            </w:pPr>
            <w:r>
              <w:rPr>
                <w:rFonts w:ascii="Times New Roman" w:hAnsi="Times New Roman" w:cs="Times New Roman"/>
                <w:b/>
                <w:bCs/>
                <w:color w:val="auto"/>
                <w:kern w:val="0"/>
              </w:rPr>
              <w:t>表</w:t>
            </w:r>
            <w:r>
              <w:rPr>
                <w:rFonts w:hint="eastAsia" w:ascii="Times New Roman" w:hAnsi="Times New Roman" w:cs="Times New Roman"/>
                <w:b/>
                <w:bCs/>
                <w:color w:val="auto"/>
                <w:kern w:val="0"/>
              </w:rPr>
              <w:t>2.7-2</w:t>
            </w:r>
            <w:r>
              <w:rPr>
                <w:rFonts w:ascii="Times New Roman" w:hAnsi="Times New Roman" w:cs="Times New Roman"/>
                <w:b/>
                <w:bCs/>
                <w:color w:val="auto"/>
                <w:kern w:val="0"/>
              </w:rPr>
              <w:t xml:space="preserve">  项目供排水情况一览表</w:t>
            </w:r>
          </w:p>
          <w:tbl>
            <w:tblPr>
              <w:tblStyle w:val="19"/>
              <w:tblW w:w="9034" w:type="dxa"/>
              <w:jc w:val="center"/>
              <w:tblInd w:w="0" w:type="dxa"/>
              <w:tblLayout w:type="fixed"/>
              <w:tblCellMar>
                <w:top w:w="0" w:type="dxa"/>
                <w:left w:w="108" w:type="dxa"/>
                <w:bottom w:w="0" w:type="dxa"/>
                <w:right w:w="108" w:type="dxa"/>
              </w:tblCellMar>
            </w:tblPr>
            <w:tblGrid>
              <w:gridCol w:w="1599"/>
              <w:gridCol w:w="1554"/>
              <w:gridCol w:w="1407"/>
              <w:gridCol w:w="1118"/>
              <w:gridCol w:w="1062"/>
              <w:gridCol w:w="1276"/>
              <w:gridCol w:w="1018"/>
            </w:tblGrid>
            <w:tr>
              <w:tblPrEx>
                <w:tblLayout w:type="fixed"/>
                <w:tblCellMar>
                  <w:top w:w="0" w:type="dxa"/>
                  <w:left w:w="108" w:type="dxa"/>
                  <w:bottom w:w="0" w:type="dxa"/>
                  <w:right w:w="108" w:type="dxa"/>
                </w:tblCellMar>
              </w:tblPrEx>
              <w:trPr>
                <w:trHeight w:val="67" w:hRule="atLeast"/>
                <w:jc w:val="center"/>
              </w:trPr>
              <w:tc>
                <w:tcPr>
                  <w:tcW w:w="1599" w:type="dxa"/>
                  <w:vMerge w:val="restart"/>
                  <w:tcBorders>
                    <w:top w:val="single" w:color="auto" w:sz="8" w:space="0"/>
                    <w:left w:val="single" w:color="auto" w:sz="8" w:space="0"/>
                    <w:bottom w:val="single" w:color="000000" w:sz="8" w:space="0"/>
                    <w:right w:val="single" w:color="000000" w:sz="8" w:space="0"/>
                  </w:tcBorders>
                  <w:shd w:val="clear" w:color="auto" w:fill="auto"/>
                  <w:vAlign w:val="center"/>
                </w:tcPr>
                <w:p>
                  <w:pPr>
                    <w:pStyle w:val="30"/>
                    <w:spacing w:line="360" w:lineRule="exact"/>
                    <w:rPr>
                      <w:rFonts w:eastAsiaTheme="minorEastAsia"/>
                      <w:color w:val="auto"/>
                    </w:rPr>
                  </w:pPr>
                  <w:r>
                    <w:rPr>
                      <w:rFonts w:eastAsiaTheme="minorEastAsia"/>
                      <w:color w:val="auto"/>
                    </w:rPr>
                    <w:t>用水单元</w:t>
                  </w:r>
                </w:p>
              </w:tc>
              <w:tc>
                <w:tcPr>
                  <w:tcW w:w="1554"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规模</w:t>
                  </w:r>
                </w:p>
              </w:tc>
              <w:tc>
                <w:tcPr>
                  <w:tcW w:w="1407"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用水定额</w:t>
                  </w:r>
                </w:p>
              </w:tc>
              <w:tc>
                <w:tcPr>
                  <w:tcW w:w="218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rFonts w:eastAsiaTheme="minorEastAsia"/>
                      <w:color w:val="auto"/>
                    </w:rPr>
                  </w:pPr>
                  <w:r>
                    <w:rPr>
                      <w:rFonts w:eastAsiaTheme="minorEastAsia"/>
                      <w:color w:val="auto"/>
                    </w:rPr>
                    <w:t>用水量</w:t>
                  </w:r>
                </w:p>
              </w:tc>
              <w:tc>
                <w:tcPr>
                  <w:tcW w:w="2294"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rFonts w:eastAsiaTheme="minorEastAsia"/>
                      <w:color w:val="auto"/>
                    </w:rPr>
                  </w:pPr>
                  <w:r>
                    <w:rPr>
                      <w:rFonts w:eastAsiaTheme="minorEastAsia"/>
                      <w:color w:val="auto"/>
                    </w:rPr>
                    <w:t>废水量</w:t>
                  </w:r>
                </w:p>
              </w:tc>
            </w:tr>
            <w:tr>
              <w:tblPrEx>
                <w:tblLayout w:type="fixed"/>
                <w:tblCellMar>
                  <w:top w:w="0" w:type="dxa"/>
                  <w:left w:w="108" w:type="dxa"/>
                  <w:bottom w:w="0" w:type="dxa"/>
                  <w:right w:w="108" w:type="dxa"/>
                </w:tblCellMar>
              </w:tblPrEx>
              <w:trPr>
                <w:trHeight w:val="285" w:hRule="atLeast"/>
                <w:jc w:val="center"/>
              </w:trPr>
              <w:tc>
                <w:tcPr>
                  <w:tcW w:w="1599" w:type="dxa"/>
                  <w:vMerge w:val="continue"/>
                  <w:tcBorders>
                    <w:top w:val="single" w:color="auto" w:sz="8" w:space="0"/>
                    <w:left w:val="single" w:color="auto" w:sz="8" w:space="0"/>
                    <w:bottom w:val="single" w:color="000000" w:sz="8" w:space="0"/>
                    <w:right w:val="single" w:color="000000" w:sz="8" w:space="0"/>
                  </w:tcBorders>
                  <w:vAlign w:val="center"/>
                </w:tcPr>
                <w:p>
                  <w:pPr>
                    <w:pStyle w:val="30"/>
                    <w:spacing w:line="360" w:lineRule="exact"/>
                    <w:rPr>
                      <w:rFonts w:eastAsiaTheme="minorEastAsia"/>
                      <w:color w:val="auto"/>
                    </w:rPr>
                  </w:pPr>
                </w:p>
              </w:tc>
              <w:tc>
                <w:tcPr>
                  <w:tcW w:w="1554"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rFonts w:eastAsiaTheme="minorEastAsia"/>
                      <w:color w:val="auto"/>
                    </w:rPr>
                  </w:pPr>
                </w:p>
              </w:tc>
              <w:tc>
                <w:tcPr>
                  <w:tcW w:w="1407"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rFonts w:eastAsiaTheme="minorEastAsia"/>
                      <w:color w:val="auto"/>
                    </w:rPr>
                  </w:pPr>
                </w:p>
              </w:tc>
              <w:tc>
                <w:tcPr>
                  <w:tcW w:w="1118"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m³/d</w:t>
                  </w:r>
                </w:p>
              </w:tc>
              <w:tc>
                <w:tcPr>
                  <w:tcW w:w="106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m³/a</w:t>
                  </w:r>
                </w:p>
              </w:tc>
              <w:tc>
                <w:tcPr>
                  <w:tcW w:w="1276"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m³/d</w:t>
                  </w:r>
                </w:p>
              </w:tc>
              <w:tc>
                <w:tcPr>
                  <w:tcW w:w="1018"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m³/a</w:t>
                  </w:r>
                </w:p>
              </w:tc>
            </w:tr>
            <w:tr>
              <w:tblPrEx>
                <w:tblLayout w:type="fixed"/>
                <w:tblCellMar>
                  <w:top w:w="0" w:type="dxa"/>
                  <w:left w:w="108" w:type="dxa"/>
                  <w:bottom w:w="0" w:type="dxa"/>
                  <w:right w:w="108" w:type="dxa"/>
                </w:tblCellMar>
              </w:tblPrEx>
              <w:trPr>
                <w:trHeight w:val="285" w:hRule="atLeast"/>
                <w:jc w:val="center"/>
              </w:trPr>
              <w:tc>
                <w:tcPr>
                  <w:tcW w:w="1599" w:type="dxa"/>
                  <w:tcBorders>
                    <w:top w:val="single" w:color="auto" w:sz="8" w:space="0"/>
                    <w:left w:val="single" w:color="auto" w:sz="8" w:space="0"/>
                    <w:bottom w:val="single" w:color="000000" w:sz="8" w:space="0"/>
                    <w:right w:val="single" w:color="000000" w:sz="8" w:space="0"/>
                  </w:tcBorders>
                  <w:vAlign w:val="center"/>
                </w:tcPr>
                <w:p>
                  <w:pPr>
                    <w:pStyle w:val="30"/>
                    <w:spacing w:line="360" w:lineRule="exact"/>
                    <w:rPr>
                      <w:rFonts w:eastAsiaTheme="minorEastAsia"/>
                      <w:color w:val="auto"/>
                    </w:rPr>
                  </w:pPr>
                  <w:r>
                    <w:rPr>
                      <w:rFonts w:eastAsiaTheme="minorEastAsia"/>
                      <w:color w:val="auto"/>
                    </w:rPr>
                    <w:t>平衡盐水</w:t>
                  </w:r>
                </w:p>
              </w:tc>
              <w:tc>
                <w:tcPr>
                  <w:tcW w:w="1554" w:type="dxa"/>
                  <w:tcBorders>
                    <w:top w:val="single" w:color="auto" w:sz="8" w:space="0"/>
                    <w:left w:val="single" w:color="auto" w:sz="8" w:space="0"/>
                    <w:bottom w:val="single" w:color="000000" w:sz="8" w:space="0"/>
                    <w:right w:val="single" w:color="auto" w:sz="8" w:space="0"/>
                  </w:tcBorders>
                  <w:vAlign w:val="center"/>
                </w:tcPr>
                <w:p>
                  <w:pPr>
                    <w:pStyle w:val="30"/>
                    <w:spacing w:line="360" w:lineRule="exact"/>
                    <w:rPr>
                      <w:rFonts w:eastAsiaTheme="minorEastAsia"/>
                      <w:color w:val="auto"/>
                    </w:rPr>
                  </w:pPr>
                  <w:r>
                    <w:rPr>
                      <w:rFonts w:eastAsiaTheme="minorEastAsia"/>
                      <w:color w:val="auto"/>
                    </w:rPr>
                    <w:t>--</w:t>
                  </w:r>
                </w:p>
              </w:tc>
              <w:tc>
                <w:tcPr>
                  <w:tcW w:w="1407" w:type="dxa"/>
                  <w:tcBorders>
                    <w:top w:val="single" w:color="auto" w:sz="8" w:space="0"/>
                    <w:left w:val="single" w:color="auto" w:sz="8" w:space="0"/>
                    <w:bottom w:val="single" w:color="000000" w:sz="8" w:space="0"/>
                    <w:right w:val="single" w:color="auto" w:sz="8" w:space="0"/>
                  </w:tcBorders>
                  <w:vAlign w:val="center"/>
                </w:tcPr>
                <w:p>
                  <w:pPr>
                    <w:pStyle w:val="30"/>
                    <w:spacing w:line="360" w:lineRule="exact"/>
                    <w:rPr>
                      <w:rFonts w:eastAsiaTheme="minorEastAsia"/>
                      <w:color w:val="auto"/>
                    </w:rPr>
                  </w:pPr>
                  <w:r>
                    <w:rPr>
                      <w:rFonts w:eastAsiaTheme="minorEastAsia"/>
                      <w:color w:val="auto"/>
                    </w:rPr>
                    <w:t>--</w:t>
                  </w:r>
                </w:p>
              </w:tc>
              <w:tc>
                <w:tcPr>
                  <w:tcW w:w="1118"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w:t>
                  </w:r>
                </w:p>
              </w:tc>
              <w:tc>
                <w:tcPr>
                  <w:tcW w:w="106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w:t>
                  </w:r>
                </w:p>
              </w:tc>
              <w:tc>
                <w:tcPr>
                  <w:tcW w:w="1276"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0.008</w:t>
                  </w:r>
                </w:p>
              </w:tc>
              <w:tc>
                <w:tcPr>
                  <w:tcW w:w="1018"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2.4</w:t>
                  </w:r>
                </w:p>
              </w:tc>
            </w:tr>
            <w:tr>
              <w:tblPrEx>
                <w:tblLayout w:type="fixed"/>
                <w:tblCellMar>
                  <w:top w:w="0" w:type="dxa"/>
                  <w:left w:w="108" w:type="dxa"/>
                  <w:bottom w:w="0" w:type="dxa"/>
                  <w:right w:w="108" w:type="dxa"/>
                </w:tblCellMar>
              </w:tblPrEx>
              <w:trPr>
                <w:trHeight w:val="285" w:hRule="atLeast"/>
                <w:jc w:val="center"/>
              </w:trPr>
              <w:tc>
                <w:tcPr>
                  <w:tcW w:w="1599" w:type="dxa"/>
                  <w:tcBorders>
                    <w:top w:val="single" w:color="auto" w:sz="8" w:space="0"/>
                    <w:left w:val="single" w:color="auto" w:sz="8" w:space="0"/>
                    <w:bottom w:val="single" w:color="000000" w:sz="8" w:space="0"/>
                    <w:right w:val="single" w:color="000000" w:sz="8" w:space="0"/>
                  </w:tcBorders>
                  <w:vAlign w:val="center"/>
                </w:tcPr>
                <w:p>
                  <w:pPr>
                    <w:pStyle w:val="30"/>
                    <w:spacing w:line="360" w:lineRule="exact"/>
                    <w:rPr>
                      <w:rFonts w:eastAsiaTheme="minorEastAsia"/>
                      <w:color w:val="auto"/>
                    </w:rPr>
                  </w:pPr>
                  <w:r>
                    <w:rPr>
                      <w:rFonts w:eastAsiaTheme="minorEastAsia"/>
                      <w:color w:val="auto"/>
                    </w:rPr>
                    <w:t>绿化用水</w:t>
                  </w:r>
                </w:p>
              </w:tc>
              <w:tc>
                <w:tcPr>
                  <w:tcW w:w="1554" w:type="dxa"/>
                  <w:tcBorders>
                    <w:top w:val="single" w:color="auto" w:sz="8" w:space="0"/>
                    <w:left w:val="single" w:color="auto" w:sz="8" w:space="0"/>
                    <w:bottom w:val="single" w:color="000000" w:sz="8" w:space="0"/>
                    <w:right w:val="single" w:color="auto" w:sz="8" w:space="0"/>
                  </w:tcBorders>
                  <w:vAlign w:val="center"/>
                </w:tcPr>
                <w:p>
                  <w:pPr>
                    <w:pStyle w:val="30"/>
                    <w:spacing w:line="360" w:lineRule="exact"/>
                    <w:rPr>
                      <w:rFonts w:eastAsiaTheme="minorEastAsia"/>
                      <w:color w:val="auto"/>
                    </w:rPr>
                  </w:pPr>
                  <w:r>
                    <w:rPr>
                      <w:rFonts w:eastAsiaTheme="minorEastAsia"/>
                      <w:color w:val="auto"/>
                    </w:rPr>
                    <w:t>6348m³</w:t>
                  </w:r>
                </w:p>
              </w:tc>
              <w:tc>
                <w:tcPr>
                  <w:tcW w:w="1407" w:type="dxa"/>
                  <w:tcBorders>
                    <w:top w:val="single" w:color="auto" w:sz="8" w:space="0"/>
                    <w:left w:val="single" w:color="auto" w:sz="8" w:space="0"/>
                    <w:bottom w:val="single" w:color="000000" w:sz="8" w:space="0"/>
                    <w:right w:val="single" w:color="auto" w:sz="8" w:space="0"/>
                  </w:tcBorders>
                  <w:vAlign w:val="center"/>
                </w:tcPr>
                <w:p>
                  <w:pPr>
                    <w:pStyle w:val="30"/>
                    <w:spacing w:line="360" w:lineRule="exact"/>
                    <w:rPr>
                      <w:rFonts w:eastAsiaTheme="minorEastAsia"/>
                      <w:color w:val="auto"/>
                    </w:rPr>
                  </w:pPr>
                  <w:r>
                    <w:rPr>
                      <w:rFonts w:eastAsiaTheme="minorEastAsia"/>
                      <w:color w:val="auto"/>
                    </w:rPr>
                    <w:t>3L/（m²·次）</w:t>
                  </w:r>
                </w:p>
              </w:tc>
              <w:tc>
                <w:tcPr>
                  <w:tcW w:w="1118"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19.04</w:t>
                  </w:r>
                </w:p>
              </w:tc>
              <w:tc>
                <w:tcPr>
                  <w:tcW w:w="106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4855.2</w:t>
                  </w:r>
                </w:p>
              </w:tc>
              <w:tc>
                <w:tcPr>
                  <w:tcW w:w="1276"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0</w:t>
                  </w:r>
                </w:p>
              </w:tc>
              <w:tc>
                <w:tcPr>
                  <w:tcW w:w="1018"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0</w:t>
                  </w:r>
                </w:p>
              </w:tc>
            </w:tr>
            <w:tr>
              <w:tblPrEx>
                <w:tblLayout w:type="fixed"/>
                <w:tblCellMar>
                  <w:top w:w="0" w:type="dxa"/>
                  <w:left w:w="108" w:type="dxa"/>
                  <w:bottom w:w="0" w:type="dxa"/>
                  <w:right w:w="108" w:type="dxa"/>
                </w:tblCellMar>
              </w:tblPrEx>
              <w:trPr>
                <w:trHeight w:val="285" w:hRule="atLeast"/>
                <w:jc w:val="center"/>
              </w:trPr>
              <w:tc>
                <w:tcPr>
                  <w:tcW w:w="1599" w:type="dxa"/>
                  <w:vMerge w:val="restart"/>
                  <w:tcBorders>
                    <w:top w:val="single" w:color="auto" w:sz="8" w:space="0"/>
                    <w:left w:val="single" w:color="auto" w:sz="8" w:space="0"/>
                    <w:right w:val="single" w:color="000000" w:sz="8" w:space="0"/>
                  </w:tcBorders>
                  <w:shd w:val="clear" w:color="auto" w:fill="auto"/>
                  <w:vAlign w:val="center"/>
                </w:tcPr>
                <w:p>
                  <w:pPr>
                    <w:pStyle w:val="30"/>
                    <w:spacing w:line="360" w:lineRule="exact"/>
                    <w:rPr>
                      <w:rFonts w:eastAsiaTheme="minorEastAsia"/>
                      <w:color w:val="auto"/>
                    </w:rPr>
                  </w:pPr>
                  <w:r>
                    <w:rPr>
                      <w:rFonts w:eastAsiaTheme="minorEastAsia"/>
                      <w:color w:val="auto"/>
                    </w:rPr>
                    <w:t>生活用水</w:t>
                  </w:r>
                </w:p>
              </w:tc>
              <w:tc>
                <w:tcPr>
                  <w:tcW w:w="155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32人</w:t>
                  </w:r>
                </w:p>
              </w:tc>
              <w:tc>
                <w:tcPr>
                  <w:tcW w:w="1407"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100L/d·人</w:t>
                  </w:r>
                </w:p>
              </w:tc>
              <w:tc>
                <w:tcPr>
                  <w:tcW w:w="1118" w:type="dxa"/>
                  <w:vMerge w:val="restart"/>
                  <w:tcBorders>
                    <w:top w:val="nil"/>
                    <w:left w:val="nil"/>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6.2</w:t>
                  </w:r>
                </w:p>
              </w:tc>
              <w:tc>
                <w:tcPr>
                  <w:tcW w:w="1062" w:type="dxa"/>
                  <w:vMerge w:val="restart"/>
                  <w:tcBorders>
                    <w:top w:val="nil"/>
                    <w:left w:val="nil"/>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1860</w:t>
                  </w:r>
                </w:p>
              </w:tc>
              <w:tc>
                <w:tcPr>
                  <w:tcW w:w="1276" w:type="dxa"/>
                  <w:vMerge w:val="restart"/>
                  <w:tcBorders>
                    <w:top w:val="nil"/>
                    <w:left w:val="nil"/>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4.96</w:t>
                  </w:r>
                </w:p>
              </w:tc>
              <w:tc>
                <w:tcPr>
                  <w:tcW w:w="1018" w:type="dxa"/>
                  <w:vMerge w:val="restart"/>
                  <w:tcBorders>
                    <w:top w:val="nil"/>
                    <w:left w:val="nil"/>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1488</w:t>
                  </w:r>
                </w:p>
              </w:tc>
            </w:tr>
            <w:tr>
              <w:tblPrEx>
                <w:tblLayout w:type="fixed"/>
                <w:tblCellMar>
                  <w:top w:w="0" w:type="dxa"/>
                  <w:left w:w="108" w:type="dxa"/>
                  <w:bottom w:w="0" w:type="dxa"/>
                  <w:right w:w="108" w:type="dxa"/>
                </w:tblCellMar>
              </w:tblPrEx>
              <w:trPr>
                <w:trHeight w:val="285" w:hRule="atLeast"/>
                <w:jc w:val="center"/>
              </w:trPr>
              <w:tc>
                <w:tcPr>
                  <w:tcW w:w="1599" w:type="dxa"/>
                  <w:vMerge w:val="continue"/>
                  <w:tcBorders>
                    <w:left w:val="single" w:color="auto" w:sz="8" w:space="0"/>
                    <w:bottom w:val="single" w:color="auto" w:sz="4" w:space="0"/>
                    <w:right w:val="single" w:color="000000" w:sz="8" w:space="0"/>
                  </w:tcBorders>
                  <w:shd w:val="clear" w:color="auto" w:fill="auto"/>
                  <w:vAlign w:val="center"/>
                </w:tcPr>
                <w:p>
                  <w:pPr>
                    <w:pStyle w:val="30"/>
                    <w:spacing w:line="360" w:lineRule="exact"/>
                    <w:rPr>
                      <w:rFonts w:eastAsiaTheme="minorEastAsia"/>
                      <w:color w:val="auto"/>
                    </w:rPr>
                  </w:pPr>
                </w:p>
              </w:tc>
              <w:tc>
                <w:tcPr>
                  <w:tcW w:w="155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50人</w:t>
                  </w:r>
                </w:p>
              </w:tc>
              <w:tc>
                <w:tcPr>
                  <w:tcW w:w="1407"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60L/d·人</w:t>
                  </w:r>
                </w:p>
              </w:tc>
              <w:tc>
                <w:tcPr>
                  <w:tcW w:w="1118" w:type="dxa"/>
                  <w:vMerge w:val="continue"/>
                  <w:tcBorders>
                    <w:left w:val="nil"/>
                    <w:bottom w:val="single" w:color="auto" w:sz="4" w:space="0"/>
                    <w:right w:val="single" w:color="auto" w:sz="8" w:space="0"/>
                  </w:tcBorders>
                  <w:shd w:val="clear" w:color="auto" w:fill="auto"/>
                  <w:vAlign w:val="center"/>
                </w:tcPr>
                <w:p>
                  <w:pPr>
                    <w:pStyle w:val="30"/>
                    <w:spacing w:line="360" w:lineRule="exact"/>
                    <w:rPr>
                      <w:rFonts w:eastAsiaTheme="minorEastAsia"/>
                      <w:color w:val="auto"/>
                    </w:rPr>
                  </w:pPr>
                </w:p>
              </w:tc>
              <w:tc>
                <w:tcPr>
                  <w:tcW w:w="1062" w:type="dxa"/>
                  <w:vMerge w:val="continue"/>
                  <w:tcBorders>
                    <w:left w:val="nil"/>
                    <w:bottom w:val="single" w:color="auto" w:sz="4" w:space="0"/>
                    <w:right w:val="single" w:color="auto" w:sz="8" w:space="0"/>
                  </w:tcBorders>
                  <w:shd w:val="clear" w:color="auto" w:fill="auto"/>
                  <w:vAlign w:val="center"/>
                </w:tcPr>
                <w:p>
                  <w:pPr>
                    <w:pStyle w:val="30"/>
                    <w:spacing w:line="360" w:lineRule="exact"/>
                    <w:rPr>
                      <w:rFonts w:eastAsiaTheme="minorEastAsia"/>
                      <w:color w:val="auto"/>
                    </w:rPr>
                  </w:pPr>
                </w:p>
              </w:tc>
              <w:tc>
                <w:tcPr>
                  <w:tcW w:w="1276" w:type="dxa"/>
                  <w:vMerge w:val="continue"/>
                  <w:tcBorders>
                    <w:left w:val="nil"/>
                    <w:bottom w:val="single" w:color="auto" w:sz="4" w:space="0"/>
                    <w:right w:val="single" w:color="auto" w:sz="8" w:space="0"/>
                  </w:tcBorders>
                  <w:shd w:val="clear" w:color="auto" w:fill="auto"/>
                  <w:vAlign w:val="center"/>
                </w:tcPr>
                <w:p>
                  <w:pPr>
                    <w:pStyle w:val="30"/>
                    <w:spacing w:line="360" w:lineRule="exact"/>
                    <w:rPr>
                      <w:rFonts w:eastAsiaTheme="minorEastAsia"/>
                      <w:color w:val="auto"/>
                    </w:rPr>
                  </w:pPr>
                </w:p>
              </w:tc>
              <w:tc>
                <w:tcPr>
                  <w:tcW w:w="1018" w:type="dxa"/>
                  <w:vMerge w:val="continue"/>
                  <w:tcBorders>
                    <w:left w:val="nil"/>
                    <w:bottom w:val="single" w:color="auto" w:sz="4" w:space="0"/>
                    <w:right w:val="single" w:color="auto" w:sz="8" w:space="0"/>
                  </w:tcBorders>
                  <w:shd w:val="clear" w:color="auto" w:fill="auto"/>
                  <w:vAlign w:val="center"/>
                </w:tcPr>
                <w:p>
                  <w:pPr>
                    <w:pStyle w:val="30"/>
                    <w:spacing w:line="360" w:lineRule="exact"/>
                    <w:rPr>
                      <w:rFonts w:eastAsiaTheme="minorEastAsia"/>
                      <w:color w:val="auto"/>
                    </w:rPr>
                  </w:pPr>
                </w:p>
              </w:tc>
            </w:tr>
            <w:tr>
              <w:tblPrEx>
                <w:tblLayout w:type="fixed"/>
                <w:tblCellMar>
                  <w:top w:w="0" w:type="dxa"/>
                  <w:left w:w="108" w:type="dxa"/>
                  <w:bottom w:w="0" w:type="dxa"/>
                  <w:right w:w="108" w:type="dxa"/>
                </w:tblCellMar>
              </w:tblPrEx>
              <w:trPr>
                <w:trHeight w:val="285" w:hRule="atLeast"/>
                <w:jc w:val="center"/>
              </w:trPr>
              <w:tc>
                <w:tcPr>
                  <w:tcW w:w="1599" w:type="dxa"/>
                  <w:tcBorders>
                    <w:top w:val="single" w:color="auto" w:sz="4" w:space="0"/>
                    <w:left w:val="single" w:color="auto" w:sz="8" w:space="0"/>
                    <w:bottom w:val="single" w:color="auto" w:sz="8" w:space="0"/>
                    <w:right w:val="single" w:color="000000" w:sz="8" w:space="0"/>
                  </w:tcBorders>
                  <w:shd w:val="clear" w:color="auto" w:fill="auto"/>
                  <w:vAlign w:val="center"/>
                </w:tcPr>
                <w:p>
                  <w:pPr>
                    <w:pStyle w:val="30"/>
                    <w:spacing w:line="360" w:lineRule="exact"/>
                    <w:rPr>
                      <w:rFonts w:eastAsiaTheme="minorEastAsia"/>
                      <w:color w:val="auto"/>
                    </w:rPr>
                  </w:pPr>
                  <w:r>
                    <w:rPr>
                      <w:rFonts w:eastAsiaTheme="minorEastAsia"/>
                      <w:color w:val="auto"/>
                    </w:rPr>
                    <w:t>初期雨水</w:t>
                  </w:r>
                </w:p>
              </w:tc>
              <w:tc>
                <w:tcPr>
                  <w:tcW w:w="2961" w:type="dxa"/>
                  <w:gridSpan w:val="2"/>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可能受污染区6000m²</w:t>
                  </w:r>
                </w:p>
              </w:tc>
              <w:tc>
                <w:tcPr>
                  <w:tcW w:w="1118"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0</w:t>
                  </w:r>
                </w:p>
              </w:tc>
              <w:tc>
                <w:tcPr>
                  <w:tcW w:w="1062"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0</w:t>
                  </w:r>
                </w:p>
              </w:tc>
              <w:tc>
                <w:tcPr>
                  <w:tcW w:w="1276"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11.50m³/次</w:t>
                  </w:r>
                </w:p>
              </w:tc>
              <w:tc>
                <w:tcPr>
                  <w:tcW w:w="1018"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w:t>
                  </w:r>
                </w:p>
              </w:tc>
            </w:tr>
            <w:tr>
              <w:tblPrEx>
                <w:tblLayout w:type="fixed"/>
                <w:tblCellMar>
                  <w:top w:w="0" w:type="dxa"/>
                  <w:left w:w="108" w:type="dxa"/>
                  <w:bottom w:w="0" w:type="dxa"/>
                  <w:right w:w="108" w:type="dxa"/>
                </w:tblCellMar>
              </w:tblPrEx>
              <w:trPr>
                <w:trHeight w:val="330" w:hRule="atLeast"/>
                <w:jc w:val="center"/>
              </w:trPr>
              <w:tc>
                <w:tcPr>
                  <w:tcW w:w="1599" w:type="dxa"/>
                  <w:tcBorders>
                    <w:top w:val="single" w:color="auto" w:sz="8" w:space="0"/>
                    <w:left w:val="single" w:color="auto" w:sz="8" w:space="0"/>
                    <w:bottom w:val="single" w:color="auto" w:sz="8" w:space="0"/>
                    <w:right w:val="single" w:color="000000" w:sz="8" w:space="0"/>
                  </w:tcBorders>
                  <w:shd w:val="clear" w:color="auto" w:fill="auto"/>
                  <w:vAlign w:val="center"/>
                </w:tcPr>
                <w:p>
                  <w:pPr>
                    <w:pStyle w:val="30"/>
                    <w:spacing w:line="360" w:lineRule="exact"/>
                    <w:rPr>
                      <w:rFonts w:eastAsiaTheme="minorEastAsia"/>
                      <w:color w:val="auto"/>
                    </w:rPr>
                  </w:pPr>
                  <w:r>
                    <w:rPr>
                      <w:rFonts w:eastAsiaTheme="minorEastAsia"/>
                      <w:color w:val="auto"/>
                    </w:rPr>
                    <w:t>合计</w:t>
                  </w:r>
                </w:p>
              </w:tc>
              <w:tc>
                <w:tcPr>
                  <w:tcW w:w="1554"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w:t>
                  </w:r>
                </w:p>
              </w:tc>
              <w:tc>
                <w:tcPr>
                  <w:tcW w:w="1407"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w:t>
                  </w:r>
                </w:p>
              </w:tc>
              <w:tc>
                <w:tcPr>
                  <w:tcW w:w="1118"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25.24</w:t>
                  </w:r>
                </w:p>
              </w:tc>
              <w:tc>
                <w:tcPr>
                  <w:tcW w:w="1062"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6715.2</w:t>
                  </w:r>
                </w:p>
              </w:tc>
              <w:tc>
                <w:tcPr>
                  <w:tcW w:w="1276" w:type="dxa"/>
                  <w:tcBorders>
                    <w:top w:val="single" w:color="auto" w:sz="8" w:space="0"/>
                    <w:left w:val="nil"/>
                    <w:bottom w:val="single" w:color="auto" w:sz="8" w:space="0"/>
                    <w:right w:val="single" w:color="auto" w:sz="4" w:space="0"/>
                  </w:tcBorders>
                  <w:shd w:val="clear" w:color="auto" w:fill="auto"/>
                  <w:vAlign w:val="center"/>
                </w:tcPr>
                <w:p>
                  <w:pPr>
                    <w:pStyle w:val="30"/>
                    <w:spacing w:line="360" w:lineRule="exact"/>
                    <w:rPr>
                      <w:rFonts w:eastAsiaTheme="minorEastAsia"/>
                      <w:color w:val="auto"/>
                    </w:rPr>
                  </w:pPr>
                  <w:r>
                    <w:rPr>
                      <w:rFonts w:eastAsiaTheme="minorEastAsia"/>
                      <w:color w:val="auto"/>
                    </w:rPr>
                    <w:t>4.968</w:t>
                  </w:r>
                </w:p>
              </w:tc>
              <w:tc>
                <w:tcPr>
                  <w:tcW w:w="1018" w:type="dxa"/>
                  <w:tcBorders>
                    <w:top w:val="single" w:color="auto" w:sz="8" w:space="0"/>
                    <w:left w:val="single" w:color="auto" w:sz="4" w:space="0"/>
                    <w:bottom w:val="single" w:color="auto" w:sz="8" w:space="0"/>
                    <w:right w:val="single" w:color="000000" w:sz="8" w:space="0"/>
                  </w:tcBorders>
                  <w:shd w:val="clear" w:color="auto" w:fill="auto"/>
                  <w:vAlign w:val="center"/>
                </w:tcPr>
                <w:p>
                  <w:pPr>
                    <w:pStyle w:val="30"/>
                    <w:spacing w:line="360" w:lineRule="exact"/>
                    <w:rPr>
                      <w:rFonts w:eastAsiaTheme="minorEastAsia"/>
                      <w:color w:val="auto"/>
                    </w:rPr>
                  </w:pPr>
                  <w:r>
                    <w:rPr>
                      <w:rFonts w:eastAsiaTheme="minorEastAsia"/>
                      <w:color w:val="auto"/>
                    </w:rPr>
                    <w:t>1490.4</w:t>
                  </w:r>
                </w:p>
              </w:tc>
            </w:tr>
          </w:tbl>
          <w:p>
            <w:pPr>
              <w:pStyle w:val="38"/>
              <w:spacing w:beforeLines="50"/>
              <w:ind w:firstLine="480"/>
              <w:rPr>
                <w:rFonts w:eastAsiaTheme="minorEastAsia"/>
                <w:color w:val="auto"/>
                <w:szCs w:val="24"/>
              </w:rPr>
            </w:pPr>
            <w:r>
              <w:rPr>
                <w:rFonts w:eastAsiaTheme="minorEastAsia"/>
                <w:color w:val="auto"/>
                <w:szCs w:val="24"/>
              </w:rPr>
              <w:fldChar w:fldCharType="begin"/>
            </w:r>
            <w:r>
              <w:rPr>
                <w:rFonts w:eastAsiaTheme="minorEastAsia"/>
                <w:color w:val="auto"/>
                <w:szCs w:val="24"/>
              </w:rPr>
              <w:instrText xml:space="preserve"> = 1 \* GB2 </w:instrText>
            </w:r>
            <w:r>
              <w:rPr>
                <w:rFonts w:eastAsiaTheme="minorEastAsia"/>
                <w:color w:val="auto"/>
                <w:szCs w:val="24"/>
              </w:rPr>
              <w:fldChar w:fldCharType="separate"/>
            </w:r>
            <w:r>
              <w:rPr>
                <w:rFonts w:eastAsiaTheme="minorEastAsia"/>
                <w:color w:val="auto"/>
                <w:szCs w:val="24"/>
              </w:rPr>
              <w:t>⑴</w:t>
            </w:r>
            <w:r>
              <w:rPr>
                <w:rFonts w:eastAsiaTheme="minorEastAsia"/>
                <w:color w:val="auto"/>
                <w:szCs w:val="24"/>
              </w:rPr>
              <w:fldChar w:fldCharType="end"/>
            </w:r>
            <w:r>
              <w:rPr>
                <w:rFonts w:eastAsiaTheme="minorEastAsia"/>
                <w:color w:val="auto"/>
                <w:szCs w:val="24"/>
              </w:rPr>
              <w:t>非雨天水平衡如下图所示。</w:t>
            </w:r>
          </w:p>
          <w:p>
            <w:pPr>
              <w:jc w:val="center"/>
              <w:rPr>
                <w:rFonts w:ascii="Times New Roman" w:hAnsi="Times New Roman" w:cs="Times New Roman"/>
                <w:b/>
                <w:bCs/>
                <w:color w:val="auto"/>
                <w:kern w:val="0"/>
              </w:rPr>
            </w:pPr>
            <w:r>
              <w:rPr>
                <w:rFonts w:ascii="Times New Roman" w:hAnsi="Times New Roman" w:cs="Times New Roman"/>
                <w:color w:val="auto"/>
              </w:rPr>
              <w:object>
                <v:shape id="_x0000_i1025" o:spt="75" type="#_x0000_t75" style="height:228.6pt;width:388.8pt;" o:ole="t" filled="f" o:preferrelative="t" stroked="f" coordsize="21600,21600">
                  <v:path/>
                  <v:fill on="f" focussize="0,0"/>
                  <v:stroke on="f" joinstyle="miter"/>
                  <v:imagedata r:id="rId6" o:title=""/>
                  <o:lock v:ext="edit" aspectratio="t"/>
                  <w10:wrap type="none"/>
                  <w10:anchorlock/>
                </v:shape>
                <o:OLEObject Type="Embed" ProgID="Visio.Drawing.11" ShapeID="_x0000_i1025" DrawAspect="Content" ObjectID="_1468075725" r:id="rId5">
                  <o:LockedField>false</o:LockedField>
                </o:OLEObject>
              </w:object>
            </w:r>
          </w:p>
          <w:p>
            <w:pPr>
              <w:jc w:val="center"/>
              <w:rPr>
                <w:rFonts w:ascii="Times New Roman" w:hAnsi="Times New Roman" w:cs="Times New Roman"/>
                <w:b/>
                <w:bCs/>
                <w:color w:val="auto"/>
                <w:kern w:val="0"/>
              </w:rPr>
            </w:pPr>
            <w:r>
              <w:rPr>
                <w:rFonts w:ascii="Times New Roman" w:hAnsi="Times New Roman" w:cs="Times New Roman"/>
                <w:b/>
                <w:bCs/>
                <w:color w:val="auto"/>
                <w:kern w:val="0"/>
              </w:rPr>
              <w:t>图</w:t>
            </w:r>
            <w:r>
              <w:rPr>
                <w:rFonts w:hint="eastAsia" w:ascii="Times New Roman" w:hAnsi="Times New Roman" w:cs="Times New Roman"/>
                <w:b/>
                <w:bCs/>
                <w:color w:val="auto"/>
                <w:kern w:val="0"/>
              </w:rPr>
              <w:t>2.7</w:t>
            </w:r>
            <w:r>
              <w:rPr>
                <w:rFonts w:ascii="Times New Roman" w:hAnsi="Times New Roman" w:cs="Times New Roman"/>
                <w:b/>
                <w:bCs/>
                <w:color w:val="auto"/>
                <w:kern w:val="0"/>
              </w:rPr>
              <w:t>-1 项目非雨天水平衡水平衡图 m³/d</w:t>
            </w:r>
          </w:p>
          <w:p>
            <w:pPr>
              <w:pStyle w:val="38"/>
              <w:spacing w:beforeLines="50"/>
              <w:ind w:firstLine="480"/>
              <w:rPr>
                <w:rFonts w:eastAsiaTheme="minorEastAsia"/>
                <w:color w:val="auto"/>
                <w:szCs w:val="24"/>
              </w:rPr>
            </w:pPr>
            <w:r>
              <w:rPr>
                <w:rFonts w:eastAsiaTheme="minorEastAsia"/>
                <w:color w:val="auto"/>
                <w:szCs w:val="24"/>
              </w:rPr>
              <w:fldChar w:fldCharType="begin"/>
            </w:r>
            <w:r>
              <w:rPr>
                <w:rFonts w:eastAsiaTheme="minorEastAsia"/>
                <w:color w:val="auto"/>
                <w:szCs w:val="24"/>
              </w:rPr>
              <w:instrText xml:space="preserve"> = 2 \* GB2 </w:instrText>
            </w:r>
            <w:r>
              <w:rPr>
                <w:rFonts w:eastAsiaTheme="minorEastAsia"/>
                <w:color w:val="auto"/>
                <w:szCs w:val="24"/>
              </w:rPr>
              <w:fldChar w:fldCharType="separate"/>
            </w:r>
            <w:r>
              <w:rPr>
                <w:rFonts w:eastAsiaTheme="minorEastAsia"/>
                <w:color w:val="auto"/>
                <w:szCs w:val="24"/>
              </w:rPr>
              <w:t>⑵</w:t>
            </w:r>
            <w:r>
              <w:rPr>
                <w:rFonts w:eastAsiaTheme="minorEastAsia"/>
                <w:color w:val="auto"/>
                <w:szCs w:val="24"/>
              </w:rPr>
              <w:fldChar w:fldCharType="end"/>
            </w:r>
            <w:r>
              <w:rPr>
                <w:rFonts w:eastAsiaTheme="minorEastAsia"/>
                <w:color w:val="auto"/>
                <w:szCs w:val="24"/>
              </w:rPr>
              <w:t>雨天水平衡如下图所示。</w:t>
            </w:r>
          </w:p>
          <w:p>
            <w:pPr>
              <w:jc w:val="center"/>
              <w:rPr>
                <w:rFonts w:ascii="Times New Roman" w:hAnsi="Times New Roman" w:cs="Times New Roman"/>
                <w:b/>
                <w:bCs/>
                <w:color w:val="auto"/>
                <w:kern w:val="0"/>
              </w:rPr>
            </w:pPr>
            <w:r>
              <w:rPr>
                <w:rFonts w:ascii="Times New Roman" w:hAnsi="Times New Roman" w:cs="Times New Roman"/>
                <w:b/>
                <w:bCs/>
                <w:color w:val="auto"/>
                <w:kern w:val="0"/>
              </w:rPr>
              <w:object>
                <v:shape id="_x0000_i1026" o:spt="75" type="#_x0000_t75" style="height:308.4pt;width:382.2pt;" o:ole="t" filled="f" o:preferrelative="t" stroked="f" coordsize="21600,21600">
                  <v:path/>
                  <v:fill on="f" focussize="0,0"/>
                  <v:stroke on="f" joinstyle="miter"/>
                  <v:imagedata r:id="rId8" o:title=""/>
                  <o:lock v:ext="edit" aspectratio="t"/>
                  <w10:wrap type="none"/>
                  <w10:anchorlock/>
                </v:shape>
                <o:OLEObject Type="Embed" ProgID="Visio.Drawing.11" ShapeID="_x0000_i1026" DrawAspect="Content" ObjectID="_1468075726" r:id="rId7">
                  <o:LockedField>false</o:LockedField>
                </o:OLEObject>
              </w:object>
            </w:r>
          </w:p>
          <w:p>
            <w:pPr>
              <w:jc w:val="center"/>
              <w:rPr>
                <w:rFonts w:ascii="Times New Roman" w:hAnsi="Times New Roman" w:cs="Times New Roman"/>
                <w:b/>
                <w:bCs/>
                <w:color w:val="auto"/>
                <w:kern w:val="0"/>
              </w:rPr>
            </w:pPr>
            <w:r>
              <w:rPr>
                <w:rFonts w:ascii="Times New Roman" w:hAnsi="Times New Roman" w:cs="Times New Roman"/>
                <w:b/>
                <w:bCs/>
                <w:color w:val="auto"/>
                <w:kern w:val="0"/>
              </w:rPr>
              <w:t>图</w:t>
            </w:r>
            <w:r>
              <w:rPr>
                <w:rFonts w:hint="eastAsia" w:ascii="Times New Roman" w:hAnsi="Times New Roman" w:cs="Times New Roman"/>
                <w:b/>
                <w:bCs/>
                <w:color w:val="auto"/>
                <w:kern w:val="0"/>
              </w:rPr>
              <w:t>2.7</w:t>
            </w:r>
            <w:r>
              <w:rPr>
                <w:rFonts w:ascii="Times New Roman" w:hAnsi="Times New Roman" w:cs="Times New Roman"/>
                <w:b/>
                <w:bCs/>
                <w:color w:val="auto"/>
                <w:kern w:val="0"/>
              </w:rPr>
              <w:t>-2 项目雨天水平衡图 m³/d</w:t>
            </w:r>
          </w:p>
          <w:p>
            <w:pPr>
              <w:spacing w:line="360" w:lineRule="auto"/>
              <w:ind w:firstLine="480" w:firstLineChars="200"/>
              <w:rPr>
                <w:rFonts w:ascii="Times New Roman" w:hAnsi="Times New Roman" w:cs="Times New Roman"/>
                <w:bCs/>
                <w:color w:val="auto"/>
                <w:sz w:val="24"/>
                <w:szCs w:val="24"/>
              </w:rPr>
            </w:pPr>
          </w:p>
          <w:p>
            <w:pPr>
              <w:spacing w:line="360" w:lineRule="auto"/>
              <w:ind w:firstLine="480" w:firstLineChars="200"/>
              <w:rPr>
                <w:rFonts w:ascii="Times New Roman" w:hAnsi="Times New Roman" w:cs="Times New Roman"/>
                <w:bCs/>
                <w:color w:val="auto"/>
                <w:sz w:val="24"/>
                <w:szCs w:val="24"/>
              </w:rPr>
            </w:pPr>
          </w:p>
          <w:p>
            <w:pPr>
              <w:spacing w:line="360" w:lineRule="auto"/>
              <w:ind w:firstLine="480" w:firstLineChars="200"/>
              <w:rPr>
                <w:rFonts w:ascii="Times New Roman" w:hAnsi="Times New Roman" w:cs="Times New Roman"/>
                <w:bCs/>
                <w:color w:val="auto"/>
                <w:sz w:val="24"/>
                <w:szCs w:val="24"/>
              </w:rPr>
            </w:pPr>
          </w:p>
          <w:p>
            <w:pPr>
              <w:spacing w:line="360" w:lineRule="auto"/>
              <w:ind w:firstLine="480" w:firstLineChars="200"/>
              <w:rPr>
                <w:rFonts w:ascii="Times New Roman" w:hAnsi="Times New Roman" w:cs="Times New Roman"/>
                <w:bCs/>
                <w:color w:val="auto"/>
                <w:sz w:val="24"/>
                <w:szCs w:val="24"/>
              </w:rPr>
            </w:pPr>
          </w:p>
          <w:p>
            <w:pPr>
              <w:spacing w:line="360" w:lineRule="auto"/>
              <w:ind w:firstLine="480" w:firstLineChars="200"/>
              <w:rPr>
                <w:rFonts w:ascii="Times New Roman" w:hAnsi="Times New Roman" w:cs="Times New Roman"/>
                <w:bCs/>
                <w:color w:val="auto"/>
                <w:sz w:val="24"/>
                <w:szCs w:val="24"/>
              </w:rPr>
            </w:pPr>
          </w:p>
          <w:p>
            <w:pPr>
              <w:spacing w:line="360" w:lineRule="auto"/>
              <w:ind w:firstLine="480" w:firstLineChars="200"/>
              <w:rPr>
                <w:rFonts w:ascii="Times New Roman" w:hAnsi="Times New Roman" w:cs="Times New Roman"/>
                <w:bCs/>
                <w:color w:val="auto"/>
                <w:sz w:val="24"/>
                <w:szCs w:val="24"/>
              </w:rPr>
            </w:pPr>
          </w:p>
          <w:p>
            <w:pPr>
              <w:spacing w:line="360" w:lineRule="auto"/>
              <w:ind w:firstLine="480" w:firstLineChars="200"/>
              <w:rPr>
                <w:rFonts w:ascii="Times New Roman" w:hAnsi="Times New Roman" w:cs="Times New Roman"/>
                <w:bCs/>
                <w:color w:val="auto"/>
                <w:sz w:val="24"/>
                <w:szCs w:val="24"/>
              </w:rPr>
            </w:pPr>
          </w:p>
          <w:p>
            <w:pPr>
              <w:spacing w:line="360" w:lineRule="auto"/>
              <w:ind w:firstLine="480" w:firstLineChars="200"/>
              <w:rPr>
                <w:rFonts w:ascii="Times New Roman" w:hAnsi="Times New Roman" w:cs="Times New Roman"/>
                <w:bCs/>
                <w:color w:val="auto"/>
                <w:sz w:val="24"/>
                <w:szCs w:val="24"/>
              </w:rPr>
            </w:pPr>
          </w:p>
          <w:p>
            <w:pPr>
              <w:spacing w:line="360" w:lineRule="auto"/>
              <w:ind w:firstLine="480" w:firstLineChars="200"/>
              <w:rPr>
                <w:rFonts w:ascii="Times New Roman" w:hAnsi="Times New Roman" w:cs="Times New Roman"/>
                <w:bCs/>
                <w:color w:val="auto"/>
                <w:sz w:val="24"/>
                <w:szCs w:val="24"/>
              </w:rPr>
            </w:pPr>
          </w:p>
          <w:p>
            <w:pPr>
              <w:spacing w:line="360" w:lineRule="auto"/>
              <w:ind w:firstLine="480" w:firstLineChars="200"/>
              <w:rPr>
                <w:rFonts w:ascii="Times New Roman" w:hAnsi="Times New Roman" w:cs="Times New Roman"/>
                <w:bCs/>
                <w:color w:val="auto"/>
                <w:sz w:val="24"/>
                <w:szCs w:val="24"/>
              </w:rPr>
            </w:pPr>
          </w:p>
          <w:p>
            <w:pPr>
              <w:spacing w:line="360" w:lineRule="auto"/>
              <w:ind w:firstLine="480" w:firstLineChars="200"/>
              <w:rPr>
                <w:rFonts w:ascii="Times New Roman" w:hAnsi="Times New Roman" w:cs="Times New Roman"/>
                <w:bCs/>
                <w:color w:val="auto"/>
                <w:sz w:val="24"/>
                <w:szCs w:val="24"/>
              </w:rPr>
            </w:pPr>
          </w:p>
          <w:p>
            <w:pPr>
              <w:spacing w:line="360" w:lineRule="auto"/>
              <w:ind w:firstLine="480" w:firstLineChars="200"/>
              <w:rPr>
                <w:rFonts w:ascii="Times New Roman" w:hAnsi="Times New Roman" w:cs="Times New Roman"/>
                <w:bCs/>
                <w:color w:val="auto"/>
                <w:sz w:val="24"/>
                <w:szCs w:val="24"/>
              </w:rPr>
            </w:pPr>
          </w:p>
          <w:p>
            <w:pPr>
              <w:spacing w:line="360" w:lineRule="auto"/>
              <w:ind w:firstLine="480" w:firstLineChars="200"/>
              <w:rPr>
                <w:rFonts w:ascii="Times New Roman" w:hAnsi="Times New Roman" w:cs="Times New Roman"/>
                <w:bCs/>
                <w:color w:val="auto"/>
                <w:sz w:val="24"/>
                <w:szCs w:val="24"/>
              </w:rPr>
            </w:pPr>
          </w:p>
          <w:p>
            <w:pPr>
              <w:spacing w:line="360" w:lineRule="auto"/>
              <w:ind w:firstLine="480" w:firstLineChars="200"/>
              <w:rPr>
                <w:rFonts w:ascii="Times New Roman" w:hAnsi="Times New Roman" w:cs="Times New Roman"/>
                <w:bCs/>
                <w:color w:val="auto"/>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270" w:type="dxa"/>
            <w:vAlign w:val="center"/>
          </w:tcPr>
          <w:p>
            <w:pPr>
              <w:spacing w:line="360" w:lineRule="auto"/>
              <w:ind w:firstLine="360" w:firstLineChars="150"/>
              <w:rPr>
                <w:rFonts w:ascii="Times New Roman" w:hAnsi="Times New Roman" w:eastAsia="微软雅黑" w:cs="Times New Roman"/>
                <w:b/>
                <w:color w:val="auto"/>
                <w:sz w:val="24"/>
                <w:szCs w:val="24"/>
              </w:rPr>
            </w:pPr>
            <w:r>
              <w:rPr>
                <w:rFonts w:ascii="Times New Roman" w:hAnsi="Times New Roman" w:eastAsia="微软雅黑" w:cs="Times New Roman"/>
                <w:b/>
                <w:color w:val="auto"/>
                <w:sz w:val="24"/>
                <w:szCs w:val="24"/>
              </w:rPr>
              <w:t>工艺流程和产排污环节</w:t>
            </w:r>
          </w:p>
          <w:p>
            <w:pPr>
              <w:autoSpaceDE w:val="0"/>
              <w:autoSpaceDN w:val="0"/>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2.</w:t>
            </w:r>
            <w:r>
              <w:rPr>
                <w:rFonts w:hint="eastAsia" w:ascii="Times New Roman" w:hAnsi="Times New Roman" w:cs="Times New Roman"/>
                <w:b/>
                <w:color w:val="auto"/>
                <w:sz w:val="24"/>
                <w:szCs w:val="24"/>
              </w:rPr>
              <w:t>8</w:t>
            </w:r>
            <w:r>
              <w:rPr>
                <w:rFonts w:ascii="Times New Roman" w:hAnsi="Times New Roman" w:cs="Times New Roman"/>
                <w:b/>
                <w:color w:val="auto"/>
                <w:sz w:val="24"/>
                <w:szCs w:val="24"/>
              </w:rPr>
              <w:t xml:space="preserve"> 工艺流程</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2.8.1 施工期工艺</w:t>
            </w:r>
          </w:p>
          <w:p>
            <w:pPr>
              <w:spacing w:line="360" w:lineRule="auto"/>
              <w:ind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根据项目具体情况，项目拟在原址进行升级改造，施工期主要为生产设备及环保设备的安装，均委托设备生产单位进行安装，安装过程污染源产生量较小，主要为施工废气、施工噪声、施工固废等。</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2.8.2 运营期生产工艺</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（1）废旧冰箱处理线</w:t>
            </w:r>
          </w:p>
          <w:p>
            <w:pPr>
              <w:spacing w:line="360" w:lineRule="auto"/>
              <w:ind w:firstLine="482" w:firstLineChars="200"/>
              <w:rPr>
                <w:rFonts w:ascii="Times New Roman" w:hAnsi="Times New Roman" w:cs="Times New Roman"/>
                <w:b/>
                <w:bCs/>
                <w:color w:val="auto"/>
                <w:sz w:val="24"/>
                <w:szCs w:val="24"/>
              </w:rPr>
            </w:pPr>
            <w:r>
              <w:rPr>
                <w:rFonts w:ascii="Times New Roman" w:hAnsi="Times New Roman" w:cs="Times New Roman"/>
                <w:b/>
                <w:bCs/>
                <w:color w:val="auto"/>
                <w:sz w:val="24"/>
                <w:szCs w:val="24"/>
              </w:rPr>
              <w:t>废旧冰箱处理线工艺流程图示</w:t>
            </w:r>
          </w:p>
          <w:p>
            <w:pPr>
              <w:jc w:val="center"/>
              <w:rPr>
                <w:rFonts w:ascii="Times New Roman" w:hAnsi="Times New Roman" w:cs="Times New Roman"/>
                <w:b/>
                <w:color w:val="auto"/>
                <w:szCs w:val="24"/>
              </w:rPr>
            </w:pPr>
            <w:r>
              <w:rPr>
                <w:rFonts w:ascii="Times New Roman" w:hAnsi="Times New Roman" w:cs="Times New Roman"/>
                <w:b/>
                <w:color w:val="auto"/>
                <w:szCs w:val="24"/>
              </w:rPr>
              <w:object>
                <v:shape id="_x0000_i1027" o:spt="75" type="#_x0000_t75" style="height:441.6pt;width:429.6pt;" o:ole="t" filled="f" o:preferrelative="t" stroked="f" coordsize="21600,21600">
                  <v:path/>
                  <v:fill on="f" focussize="0,0"/>
                  <v:stroke on="f" joinstyle="miter"/>
                  <v:imagedata r:id="rId10" o:title=""/>
                  <o:lock v:ext="edit" aspectratio="t"/>
                  <w10:wrap type="none"/>
                  <w10:anchorlock/>
                </v:shape>
                <o:OLEObject Type="Embed" ProgID="Visio.Drawing.11" ShapeID="_x0000_i1027" DrawAspect="Content" ObjectID="_1468075727" r:id="rId9">
                  <o:LockedField>false</o:LockedField>
                </o:OLEObject>
              </w:object>
            </w:r>
          </w:p>
          <w:p>
            <w:pPr>
              <w:jc w:val="center"/>
              <w:rPr>
                <w:rFonts w:ascii="Times New Roman" w:hAnsi="Times New Roman" w:cs="Times New Roman"/>
                <w:b/>
                <w:color w:val="auto"/>
                <w:szCs w:val="24"/>
              </w:rPr>
            </w:pPr>
            <w:r>
              <w:rPr>
                <w:rFonts w:ascii="Times New Roman" w:hAnsi="Times New Roman" w:cs="Times New Roman"/>
                <w:b/>
                <w:color w:val="auto"/>
                <w:szCs w:val="24"/>
              </w:rPr>
              <w:t>图2.8.2-1  本项目生产工艺及产污节点示意图</w:t>
            </w:r>
          </w:p>
          <w:p>
            <w:pPr>
              <w:spacing w:beforeLines="50"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废旧冰箱处理线生产工艺简述</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①人工拆除</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本项目将现在的手工拆解平台更换为2个型号为L24000*W1200mm的手工拆解台；首先将称重后的废旧冰箱放入手工拆解平台，通过手工将废旧电冰箱易拆卸的部分如塑料抽屉、玻璃隔板等；其次再剪断冰箱电源线，分别取出开关、电路板、电容和电源线等。分别将其进行分类打包。其中废电路板属于危险废物，其他物质属于一般工业固废。</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②制冷剂回收</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压缩机是冰箱的核心组件，压缩机内有制冷剂和废矿物油，目前废旧冰箱的制冷剂主要包括两类，其中生产较早的冰箱一般采用R134A制冷剂，属于共沸混合制冷剂，含氟，针对R134A制冷剂，采用抽氟机通过快速接口与压缩机制冷管路系统连接，回收压缩机制冷系统中的制冷剂（R134A），制冷剂在密闭压力钢瓶中储存。抽氟后的压缩机内还含有废矿物油，将其回收至专用钢瓶密封储存；第二类为目前家用冰箱使用最为广泛的制冷剂R600A，基本上目前新推出的家用冰箱90%以上都是用R600A制冷剂，R600a是一种性能优异的新型碳氢制冷剂，针对R600a制冷剂，采用冷媒回收机通过快速接口与压缩机制冷管路系统连接，回收压缩机制冷系统中的制冷剂（R600a），R600a在密闭压力钢瓶中储存，并采取防爆措施。抽取了制冷剂后的压缩机内还含有废矿物油，将其回收至专用钢瓶密封储存；制冷剂回收均在手工操作平台的凹槽内进行，便于收集泄漏的液体。该过程产生的废矿物油属于危险废物，而根据《废弃电器电子产品处理污染控制技术规范》（HJ 527-2010），制冷剂应存放于密闭压力钢瓶中。项目在制冷剂回收、废矿物油回收等预处理工序会有非甲烷总烃产生，其主要成分为非甲烷总烃，本项目严格按照《废弃电器电子产品处理污染控制技术规范》（HJ527-2010）的要求，配套设置集气罩对其进行收集，并设置有机废气处理装置对其进行处理。</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③破碎</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预处理后的冰箱箱体通过2条型号为L2000*W1200mm的提升机提升至RS150-4-S型破碎机进行破碎，破碎机属于密闭破碎系统，将冰箱体破碎至粒径2-3cm的混合破碎物。破碎后的冰箱碎片将通过出料螺旋输送机进入分选工序。</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项目破碎属于密闭破碎，在破碎过程会有粉尘产生，本项目将配套设置脉冲除尘器对其进行处理。又由于冰箱的绝热层（泡棉含发泡剂聚氨酯等）也一起进入破碎机破碎，其成分属于有机物，因此破碎过程还含有少量的有机废气，本项目将配套设置脉冲除尘器和有机废气处理装置对其进行处理。</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④铁/泡棉分选</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本项目已设置1台磁体尺寸为 1450*600*250mm的铁/泡棉分选机和配套泡棉风机，对破碎后的冰箱碎片进行铁/泡棉分选，该工序利用铁的磁性和泡棉（含发泡剂聚氨酯等）密度小等物理特性，通过风选和磁吸原理进行分选；该过程分离出铁和泡棉；由泡棉密度较小，因此设置了2台泡棉压块机对泡棉进行压块打包。</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泡棉是冰箱的绝热层，其主要成分为发泡剂聚氨酯等，属于有机物，因此在压缩过程会有有机废气产生，本项目将其收集后进入配套设置的有机废气处理装置处理。</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⑤铜/铝分选</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fldChar w:fldCharType="begin"/>
            </w:r>
            <w:r>
              <w:rPr>
                <w:rFonts w:ascii="Times New Roman" w:hAnsi="Times New Roman" w:cs="Times New Roman"/>
                <w:b/>
                <w:color w:val="auto"/>
                <w:sz w:val="24"/>
                <w:szCs w:val="24"/>
              </w:rPr>
              <w:instrText xml:space="preserve"> = 1 \* GB2 </w:instrText>
            </w:r>
            <w:r>
              <w:rPr>
                <w:rFonts w:ascii="Times New Roman" w:hAnsi="Times New Roman" w:cs="Times New Roman"/>
                <w:b/>
                <w:color w:val="auto"/>
                <w:sz w:val="24"/>
                <w:szCs w:val="24"/>
              </w:rPr>
              <w:fldChar w:fldCharType="separate"/>
            </w:r>
            <w:r>
              <w:rPr>
                <w:rFonts w:ascii="Times New Roman" w:hAnsi="Times New Roman" w:cs="Times New Roman"/>
                <w:b/>
                <w:color w:val="auto"/>
                <w:sz w:val="24"/>
                <w:szCs w:val="24"/>
              </w:rPr>
              <w:t>⑴</w:t>
            </w:r>
            <w:r>
              <w:rPr>
                <w:rFonts w:ascii="Times New Roman" w:hAnsi="Times New Roman" w:cs="Times New Roman"/>
                <w:b/>
                <w:color w:val="auto"/>
                <w:sz w:val="24"/>
                <w:szCs w:val="24"/>
              </w:rPr>
              <w:fldChar w:fldCharType="end"/>
            </w:r>
            <w:r>
              <w:rPr>
                <w:rFonts w:ascii="Times New Roman" w:hAnsi="Times New Roman" w:cs="Times New Roman"/>
                <w:b/>
                <w:color w:val="auto"/>
                <w:sz w:val="24"/>
                <w:szCs w:val="24"/>
              </w:rPr>
              <w:t>铜/铝分选</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经过铁/泡棉分选后的破碎物质主要成分还包括铜/铝、塑料等，因此项目设置了1台涡电流分选机，利用铜、铝的导电性将铜/铝从塑料中分选出来。</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fldChar w:fldCharType="begin"/>
            </w:r>
            <w:r>
              <w:rPr>
                <w:rFonts w:ascii="Times New Roman" w:hAnsi="Times New Roman" w:cs="Times New Roman"/>
                <w:b/>
                <w:color w:val="auto"/>
                <w:sz w:val="24"/>
                <w:szCs w:val="24"/>
              </w:rPr>
              <w:instrText xml:space="preserve"> = 2 \* GB2 </w:instrText>
            </w:r>
            <w:r>
              <w:rPr>
                <w:rFonts w:ascii="Times New Roman" w:hAnsi="Times New Roman" w:cs="Times New Roman"/>
                <w:b/>
                <w:color w:val="auto"/>
                <w:sz w:val="24"/>
                <w:szCs w:val="24"/>
              </w:rPr>
              <w:fldChar w:fldCharType="separate"/>
            </w:r>
            <w:r>
              <w:rPr>
                <w:rFonts w:ascii="Times New Roman" w:hAnsi="Times New Roman" w:cs="Times New Roman"/>
                <w:b/>
                <w:color w:val="auto"/>
                <w:sz w:val="24"/>
                <w:szCs w:val="24"/>
              </w:rPr>
              <w:t>⑵</w:t>
            </w:r>
            <w:r>
              <w:rPr>
                <w:rFonts w:ascii="Times New Roman" w:hAnsi="Times New Roman" w:cs="Times New Roman"/>
                <w:b/>
                <w:color w:val="auto"/>
                <w:sz w:val="24"/>
                <w:szCs w:val="24"/>
              </w:rPr>
              <w:fldChar w:fldCharType="end"/>
            </w:r>
            <w:r>
              <w:rPr>
                <w:rFonts w:ascii="Times New Roman" w:hAnsi="Times New Roman" w:cs="Times New Roman"/>
                <w:b/>
                <w:color w:val="auto"/>
                <w:sz w:val="24"/>
                <w:szCs w:val="24"/>
              </w:rPr>
              <w:t>铜、铝分选</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本项目已设置1台锤磨机和1台铜铝分选机，将铜/铝进行破碎后通过其比重差等物理特性，将铜和铝分选出来。</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该工序属于密闭环节，但在破碎和分选过程会有粉尘产生，项目配套设置了1套旋风除尘器对铜铝分选产生的粉尘进行处理，然后再进入脉冲除尘器+有机废气处理装置处理系统，处理后通过排气筒外排。</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⑥塑料分选</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fldChar w:fldCharType="begin"/>
            </w:r>
            <w:r>
              <w:rPr>
                <w:rFonts w:ascii="Times New Roman" w:hAnsi="Times New Roman" w:cs="Times New Roman"/>
                <w:b/>
                <w:color w:val="auto"/>
                <w:sz w:val="24"/>
                <w:szCs w:val="24"/>
              </w:rPr>
              <w:instrText xml:space="preserve"> = 1 \* GB2 </w:instrText>
            </w:r>
            <w:r>
              <w:rPr>
                <w:rFonts w:ascii="Times New Roman" w:hAnsi="Times New Roman" w:cs="Times New Roman"/>
                <w:b/>
                <w:color w:val="auto"/>
                <w:sz w:val="24"/>
                <w:szCs w:val="24"/>
              </w:rPr>
              <w:fldChar w:fldCharType="separate"/>
            </w:r>
            <w:r>
              <w:rPr>
                <w:rFonts w:ascii="Times New Roman" w:hAnsi="Times New Roman" w:cs="Times New Roman"/>
                <w:b/>
                <w:color w:val="auto"/>
                <w:sz w:val="24"/>
                <w:szCs w:val="24"/>
              </w:rPr>
              <w:t>⑴</w:t>
            </w:r>
            <w:r>
              <w:rPr>
                <w:rFonts w:ascii="Times New Roman" w:hAnsi="Times New Roman" w:cs="Times New Roman"/>
                <w:b/>
                <w:color w:val="auto"/>
                <w:sz w:val="24"/>
                <w:szCs w:val="24"/>
              </w:rPr>
              <w:fldChar w:fldCharType="end"/>
            </w:r>
            <w:r>
              <w:rPr>
                <w:rFonts w:ascii="Times New Roman" w:hAnsi="Times New Roman" w:cs="Times New Roman"/>
                <w:b/>
                <w:color w:val="auto"/>
                <w:sz w:val="24"/>
                <w:szCs w:val="24"/>
              </w:rPr>
              <w:t>塑料分选</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冰箱的主要组成数量为ABS塑料和PS塑料，本项目设置了1台三通道塑料分选机将破碎后的ABS塑料和PS塑料分离开，其中一通道出料为ABS塑料、二通道出料为PS塑料，三通道出料为杂质。</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fldChar w:fldCharType="begin"/>
            </w:r>
            <w:r>
              <w:rPr>
                <w:rFonts w:ascii="Times New Roman" w:hAnsi="Times New Roman" w:cs="Times New Roman"/>
                <w:b/>
                <w:color w:val="auto"/>
                <w:sz w:val="24"/>
                <w:szCs w:val="24"/>
              </w:rPr>
              <w:instrText xml:space="preserve"> = 2 \* GB2 </w:instrText>
            </w:r>
            <w:r>
              <w:rPr>
                <w:rFonts w:ascii="Times New Roman" w:hAnsi="Times New Roman" w:cs="Times New Roman"/>
                <w:b/>
                <w:color w:val="auto"/>
                <w:sz w:val="24"/>
                <w:szCs w:val="24"/>
              </w:rPr>
              <w:fldChar w:fldCharType="separate"/>
            </w:r>
            <w:r>
              <w:rPr>
                <w:rFonts w:ascii="Times New Roman" w:hAnsi="Times New Roman" w:cs="Times New Roman"/>
                <w:b/>
                <w:color w:val="auto"/>
                <w:sz w:val="24"/>
                <w:szCs w:val="24"/>
              </w:rPr>
              <w:t>⑵</w:t>
            </w:r>
            <w:r>
              <w:rPr>
                <w:rFonts w:ascii="Times New Roman" w:hAnsi="Times New Roman" w:cs="Times New Roman"/>
                <w:b/>
                <w:color w:val="auto"/>
                <w:sz w:val="24"/>
                <w:szCs w:val="24"/>
              </w:rPr>
              <w:fldChar w:fldCharType="end"/>
            </w:r>
            <w:r>
              <w:rPr>
                <w:rFonts w:ascii="Times New Roman" w:hAnsi="Times New Roman" w:cs="Times New Roman"/>
                <w:b/>
                <w:color w:val="auto"/>
                <w:sz w:val="24"/>
                <w:szCs w:val="24"/>
              </w:rPr>
              <w:t>人工细选</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本项目设置1套循环及传输系统和1个手工平台对分选出来的ABS塑料和PS塑料进行人工细选，主要是根据其颜色、粒径等物理区别进行分类收集，实现良好的经济价值。</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（2）空调/小家电/废手机及其视听设备消费电子产品处理线</w:t>
            </w:r>
          </w:p>
          <w:p>
            <w:pPr>
              <w:spacing w:line="360" w:lineRule="auto"/>
              <w:ind w:firstLine="482" w:firstLineChars="200"/>
              <w:rPr>
                <w:rFonts w:ascii="Times New Roman" w:hAnsi="Times New Roman" w:cs="Times New Roman"/>
                <w:b/>
                <w:bCs/>
                <w:color w:val="auto"/>
                <w:sz w:val="24"/>
                <w:szCs w:val="24"/>
              </w:rPr>
            </w:pPr>
            <w:r>
              <w:rPr>
                <w:rFonts w:ascii="Times New Roman" w:hAnsi="Times New Roman" w:cs="Times New Roman"/>
                <w:b/>
                <w:bCs/>
                <w:color w:val="auto"/>
                <w:sz w:val="24"/>
                <w:szCs w:val="24"/>
              </w:rPr>
              <w:t>空调/小家电/废手机及其视听设备消费电子产品处理线工艺流程图示</w:t>
            </w:r>
          </w:p>
          <w:p>
            <w:pPr>
              <w:jc w:val="center"/>
              <w:rPr>
                <w:rFonts w:ascii="Times New Roman" w:hAnsi="Times New Roman" w:eastAsia="宋体" w:cs="Times New Roman"/>
                <w:b/>
                <w:color w:val="auto"/>
                <w:szCs w:val="24"/>
              </w:rPr>
            </w:pPr>
            <w:r>
              <w:rPr>
                <w:rFonts w:ascii="Times New Roman" w:hAnsi="Times New Roman" w:cs="Times New Roman"/>
                <w:color w:val="auto"/>
              </w:rPr>
              <w:object>
                <v:shape id="_x0000_i1028" o:spt="75" type="#_x0000_t75" style="height:295.2pt;width:412.8pt;" o:ole="t" filled="f" o:preferrelative="t" stroked="f" coordsize="21600,21600">
                  <v:path/>
                  <v:fill on="f" focussize="0,0"/>
                  <v:stroke on="f" joinstyle="miter"/>
                  <v:imagedata r:id="rId12" o:title=""/>
                  <o:lock v:ext="edit" aspectratio="t"/>
                  <w10:wrap type="none"/>
                  <w10:anchorlock/>
                </v:shape>
                <o:OLEObject Type="Embed" ProgID="Visio.Drawing.11" ShapeID="_x0000_i1028" DrawAspect="Content" ObjectID="_1468075728" r:id="rId11">
                  <o:LockedField>false</o:LockedField>
                </o:OLEObject>
              </w:object>
            </w:r>
          </w:p>
          <w:p>
            <w:pPr>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图2.8.2-2 空调/小家电/废手机及其视听设备消费电子产品处理线工艺流程及产污节点图</w:t>
            </w:r>
          </w:p>
          <w:p>
            <w:pPr>
              <w:spacing w:beforeLines="50" w:line="360" w:lineRule="auto"/>
              <w:ind w:firstLine="482" w:firstLineChars="200"/>
              <w:rPr>
                <w:rFonts w:ascii="Times New Roman" w:hAnsi="Times New Roman" w:cs="Times New Roman"/>
                <w:b/>
                <w:bCs/>
                <w:color w:val="auto"/>
                <w:sz w:val="24"/>
                <w:szCs w:val="24"/>
              </w:rPr>
            </w:pPr>
            <w:r>
              <w:rPr>
                <w:rFonts w:ascii="Times New Roman" w:hAnsi="Times New Roman" w:cs="Times New Roman"/>
                <w:b/>
                <w:bCs/>
                <w:color w:val="auto"/>
                <w:sz w:val="24"/>
                <w:szCs w:val="24"/>
              </w:rPr>
              <w:t>空调/小家电/废手机及其视听设备消费电子产品处理线工艺流程简述</w:t>
            </w:r>
          </w:p>
          <w:p>
            <w:pPr>
              <w:spacing w:line="360" w:lineRule="auto"/>
              <w:ind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拆壳和人工喷吹主要针对废旧空调和废旧电脑主机，其他废旧手机及其视听设备电子产品直接进入人工拆解工序。</w:t>
            </w:r>
          </w:p>
          <w:p>
            <w:pPr>
              <w:spacing w:line="360" w:lineRule="auto"/>
              <w:ind w:firstLine="482" w:firstLineChars="200"/>
              <w:rPr>
                <w:rFonts w:ascii="Times New Roman" w:hAnsi="Times New Roman" w:cs="Times New Roman"/>
                <w:b/>
                <w:bCs/>
                <w:color w:val="auto"/>
                <w:sz w:val="24"/>
                <w:szCs w:val="24"/>
              </w:rPr>
            </w:pPr>
            <w:r>
              <w:rPr>
                <w:rFonts w:ascii="Times New Roman" w:hAnsi="Times New Roman" w:cs="Times New Roman"/>
                <w:b/>
                <w:bCs/>
                <w:color w:val="auto"/>
                <w:sz w:val="24"/>
                <w:szCs w:val="24"/>
              </w:rPr>
              <w:t>①拆壳</w:t>
            </w:r>
          </w:p>
          <w:p>
            <w:pPr>
              <w:spacing w:line="360" w:lineRule="auto"/>
              <w:ind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将回收的废旧空调和废旧电脑主机运至处理车间指定废旧电脑小家电待拆区域进行卸货，废旧空调和废旧电脑主机等采用仓储笼装存，整齐码放，人工采用气动风批拆卸后盖螺丝并摘除塑料外壳，其中废旧空调需起卸滤尘网。</w:t>
            </w:r>
          </w:p>
          <w:p>
            <w:pPr>
              <w:spacing w:line="360" w:lineRule="auto"/>
              <w:ind w:firstLine="482" w:firstLineChars="200"/>
              <w:rPr>
                <w:rFonts w:ascii="Times New Roman" w:hAnsi="Times New Roman" w:cs="Times New Roman"/>
                <w:bCs/>
                <w:color w:val="auto"/>
                <w:sz w:val="24"/>
                <w:szCs w:val="24"/>
              </w:rPr>
            </w:pPr>
            <w:r>
              <w:rPr>
                <w:rFonts w:ascii="Times New Roman" w:hAnsi="Times New Roman" w:cs="Times New Roman"/>
                <w:b/>
                <w:bCs/>
                <w:color w:val="auto"/>
                <w:sz w:val="24"/>
                <w:szCs w:val="24"/>
              </w:rPr>
              <w:t>②人工喷吹</w:t>
            </w:r>
          </w:p>
          <w:p>
            <w:pPr>
              <w:spacing w:line="360" w:lineRule="auto"/>
              <w:ind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经拆壳后的废旧电脑主机以及拆壳起卸滤尘网后的废旧空调通过钢板上料台进入喷吹配套除尘系统进行喷吹，通过固定吹尘气枪吹扬废旧空调和废旧电脑主机内部积尘。</w:t>
            </w:r>
          </w:p>
          <w:p>
            <w:pPr>
              <w:spacing w:line="360" w:lineRule="auto"/>
              <w:ind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针对人工喷吹产生的粉尘，项目已对喷吹室进行密闭，设置1个集气效率不低于90%的集气罩对其进行收集，收集后统一进入1个处理效率不低于95%的</w:t>
            </w:r>
            <w:r>
              <w:rPr>
                <w:rFonts w:hint="eastAsia" w:ascii="Times New Roman" w:hAnsi="Times New Roman" w:cs="Times New Roman"/>
                <w:bCs/>
                <w:color w:val="auto"/>
                <w:sz w:val="24"/>
                <w:szCs w:val="24"/>
              </w:rPr>
              <w:t>2</w:t>
            </w:r>
            <w:r>
              <w:rPr>
                <w:rFonts w:ascii="Times New Roman" w:hAnsi="Times New Roman" w:cs="Times New Roman"/>
                <w:bCs/>
                <w:color w:val="auto"/>
                <w:sz w:val="24"/>
                <w:szCs w:val="24"/>
              </w:rPr>
              <w:t>#脉冲除尘器对其进行处理后通过1根Φ0.</w:t>
            </w:r>
            <w:r>
              <w:rPr>
                <w:rFonts w:hint="eastAsia" w:ascii="Times New Roman" w:hAnsi="Times New Roman" w:cs="Times New Roman"/>
                <w:bCs/>
                <w:color w:val="auto"/>
                <w:sz w:val="24"/>
                <w:szCs w:val="24"/>
              </w:rPr>
              <w:t>4</w:t>
            </w:r>
            <w:r>
              <w:rPr>
                <w:rFonts w:ascii="Times New Roman" w:hAnsi="Times New Roman" w:cs="Times New Roman"/>
                <w:bCs/>
                <w:color w:val="auto"/>
                <w:sz w:val="24"/>
                <w:szCs w:val="24"/>
              </w:rPr>
              <w:t>m、高15m的排气筒（DA00</w:t>
            </w:r>
            <w:r>
              <w:rPr>
                <w:rFonts w:hint="eastAsia" w:ascii="Times New Roman" w:hAnsi="Times New Roman" w:cs="Times New Roman"/>
                <w:bCs/>
                <w:color w:val="auto"/>
                <w:sz w:val="24"/>
                <w:szCs w:val="24"/>
              </w:rPr>
              <w:t>2</w:t>
            </w:r>
            <w:r>
              <w:rPr>
                <w:rFonts w:ascii="Times New Roman" w:hAnsi="Times New Roman" w:cs="Times New Roman"/>
                <w:bCs/>
                <w:color w:val="auto"/>
                <w:sz w:val="24"/>
                <w:szCs w:val="24"/>
              </w:rPr>
              <w:t>）外排。</w:t>
            </w:r>
          </w:p>
          <w:p>
            <w:pPr>
              <w:spacing w:line="360" w:lineRule="auto"/>
              <w:ind w:firstLine="482" w:firstLineChars="200"/>
              <w:rPr>
                <w:rFonts w:ascii="Times New Roman" w:hAnsi="Times New Roman" w:cs="Times New Roman"/>
                <w:b/>
                <w:bCs/>
                <w:color w:val="auto"/>
                <w:sz w:val="24"/>
                <w:szCs w:val="24"/>
              </w:rPr>
            </w:pPr>
            <w:r>
              <w:rPr>
                <w:rFonts w:ascii="Times New Roman" w:hAnsi="Times New Roman" w:cs="Times New Roman"/>
                <w:b/>
                <w:bCs/>
                <w:color w:val="auto"/>
                <w:sz w:val="24"/>
                <w:szCs w:val="24"/>
              </w:rPr>
              <w:t>③人工拆解</w:t>
            </w:r>
          </w:p>
          <w:p>
            <w:pPr>
              <w:spacing w:line="360" w:lineRule="auto"/>
              <w:ind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通过手工剪断电脑小家电电源线，分别取出密封条、废电路板、电源、主板、扬声器、电容、开关、电源线等。分别将其进行分类打包。其中废电路板属于危险废物，其他物质属于一般工业固废。</w:t>
            </w:r>
          </w:p>
          <w:p>
            <w:pPr>
              <w:spacing w:line="360" w:lineRule="auto"/>
              <w:ind w:firstLine="482" w:firstLineChars="200"/>
              <w:rPr>
                <w:rFonts w:ascii="Times New Roman" w:hAnsi="Times New Roman" w:cs="Times New Roman"/>
                <w:b/>
                <w:bCs/>
                <w:color w:val="auto"/>
                <w:sz w:val="24"/>
                <w:szCs w:val="24"/>
              </w:rPr>
            </w:pPr>
            <w:r>
              <w:rPr>
                <w:rFonts w:ascii="Times New Roman" w:hAnsi="Times New Roman" w:cs="Times New Roman"/>
                <w:b/>
                <w:bCs/>
                <w:color w:val="auto"/>
                <w:sz w:val="24"/>
                <w:szCs w:val="24"/>
              </w:rPr>
              <w:t>④制冷剂回收</w:t>
            </w:r>
          </w:p>
          <w:p>
            <w:pPr>
              <w:spacing w:line="360" w:lineRule="auto"/>
              <w:ind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项目采用冷媒回收机通过针刺钳（或快速接口）与压缩机制冷管路系统连接，回收压缩机制冷系统中的制冷剂，空调制冷剂全部在制冷管路系统内，制冷过程与冰箱制冷不一致，无聚氨酯保温保温材料，因此制冷管路系统中的制冷剂可经高负压全部回收，不存在外排。通过该设备纯化系统制冷剂实现气液分离，氟利昂与矿油分别回收至专用钢瓶或油罐储存，交由有相关资质的企业和有危废资质企业进行处理。抽取制冷剂过程借助生产线的倾斜装置摇晃，方便制冷剂回收。</w:t>
            </w:r>
          </w:p>
          <w:p>
            <w:pPr>
              <w:spacing w:line="360" w:lineRule="auto"/>
              <w:ind w:firstLine="361" w:firstLineChars="150"/>
              <w:rPr>
                <w:rFonts w:ascii="Times New Roman" w:hAnsi="Times New Roman" w:cs="Times New Roman"/>
                <w:b/>
                <w:bCs/>
                <w:color w:val="auto"/>
                <w:sz w:val="24"/>
                <w:szCs w:val="24"/>
              </w:rPr>
            </w:pPr>
            <w:r>
              <w:rPr>
                <w:rFonts w:ascii="Times New Roman" w:hAnsi="Times New Roman" w:cs="Times New Roman"/>
                <w:b/>
                <w:bCs/>
                <w:color w:val="auto"/>
                <w:sz w:val="24"/>
                <w:szCs w:val="24"/>
              </w:rPr>
              <w:t>（3）</w:t>
            </w:r>
            <w:r>
              <w:rPr>
                <w:rFonts w:ascii="Times New Roman" w:hAnsi="Times New Roman" w:cs="Times New Roman"/>
                <w:b/>
                <w:color w:val="auto"/>
                <w:sz w:val="24"/>
                <w:szCs w:val="24"/>
              </w:rPr>
              <w:t>废旧洗衣机处理线</w:t>
            </w:r>
          </w:p>
          <w:p>
            <w:pPr>
              <w:spacing w:line="360" w:lineRule="auto"/>
              <w:ind w:firstLine="482" w:firstLineChars="200"/>
              <w:rPr>
                <w:rFonts w:ascii="Times New Roman" w:hAnsi="Times New Roman" w:cs="Times New Roman"/>
                <w:b/>
                <w:bCs/>
                <w:color w:val="auto"/>
                <w:sz w:val="24"/>
                <w:szCs w:val="24"/>
              </w:rPr>
            </w:pPr>
            <w:r>
              <w:rPr>
                <w:rFonts w:ascii="Times New Roman" w:hAnsi="Times New Roman" w:cs="Times New Roman"/>
                <w:b/>
                <w:bCs/>
                <w:color w:val="auto"/>
                <w:sz w:val="24"/>
                <w:szCs w:val="24"/>
              </w:rPr>
              <w:t>废旧洗衣机处理线工艺流程图示</w:t>
            </w:r>
          </w:p>
          <w:p>
            <w:pPr>
              <w:jc w:val="center"/>
              <w:rPr>
                <w:rFonts w:ascii="Times New Roman" w:hAnsi="Times New Roman" w:eastAsia="宋体" w:cs="Times New Roman"/>
                <w:b/>
                <w:color w:val="auto"/>
                <w:szCs w:val="24"/>
              </w:rPr>
            </w:pPr>
            <w:r>
              <w:rPr>
                <w:rFonts w:ascii="Times New Roman" w:hAnsi="Times New Roman" w:cs="Times New Roman"/>
                <w:color w:val="auto"/>
              </w:rPr>
              <w:object>
                <v:shape id="_x0000_i1029" o:spt="75" type="#_x0000_t75" style="height:343.8pt;width:409.8pt;" o:ole="t" filled="f" o:preferrelative="t" stroked="f" coordsize="21600,21600">
                  <v:path/>
                  <v:fill on="f" focussize="0,0"/>
                  <v:stroke on="f" joinstyle="miter"/>
                  <v:imagedata r:id="rId14" o:title=""/>
                  <o:lock v:ext="edit" aspectratio="t"/>
                  <w10:wrap type="none"/>
                  <w10:anchorlock/>
                </v:shape>
                <o:OLEObject Type="Embed" ProgID="Visio.Drawing.11" ShapeID="_x0000_i1029" DrawAspect="Content" ObjectID="_1468075729" r:id="rId13">
                  <o:LockedField>false</o:LockedField>
                </o:OLEObject>
              </w:object>
            </w:r>
          </w:p>
          <w:p>
            <w:pPr>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图2.8.2-3 废旧洗衣机处理线工艺流程及产污节点图</w:t>
            </w:r>
          </w:p>
          <w:p>
            <w:pPr>
              <w:spacing w:beforeLines="50" w:line="360" w:lineRule="auto"/>
              <w:ind w:firstLine="482" w:firstLineChars="200"/>
              <w:rPr>
                <w:rFonts w:ascii="Times New Roman" w:hAnsi="Times New Roman" w:cs="Times New Roman"/>
                <w:b/>
                <w:bCs/>
                <w:color w:val="auto"/>
                <w:sz w:val="24"/>
                <w:szCs w:val="24"/>
              </w:rPr>
            </w:pPr>
            <w:r>
              <w:rPr>
                <w:rFonts w:ascii="Times New Roman" w:hAnsi="Times New Roman" w:cs="Times New Roman"/>
                <w:b/>
                <w:bCs/>
                <w:color w:val="auto"/>
                <w:sz w:val="24"/>
                <w:szCs w:val="24"/>
              </w:rPr>
              <w:t>废旧洗衣机处理线工艺流程简述</w:t>
            </w:r>
          </w:p>
          <w:p>
            <w:pPr>
              <w:spacing w:line="360" w:lineRule="auto"/>
              <w:ind w:firstLine="482" w:firstLineChars="200"/>
              <w:rPr>
                <w:rFonts w:ascii="Times New Roman" w:hAnsi="Times New Roman" w:cs="Times New Roman"/>
                <w:b/>
                <w:bCs/>
                <w:color w:val="auto"/>
                <w:sz w:val="24"/>
                <w:szCs w:val="24"/>
              </w:rPr>
            </w:pPr>
            <w:r>
              <w:rPr>
                <w:rFonts w:ascii="Times New Roman" w:hAnsi="Times New Roman" w:cs="Times New Roman"/>
                <w:b/>
                <w:bCs/>
                <w:color w:val="auto"/>
                <w:sz w:val="24"/>
                <w:szCs w:val="24"/>
              </w:rPr>
              <w:t>①人工拆解</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废旧洗衣机部件成分比较单一，采用单工位拆解方式进行人工拆解，即每台洗衣机一个人即可完成其拆解工作；项目设置了1套型号为HXWL-01的钢板上料台，用叉车将废洗衣机运至堆放处，借助气压夹具搬到钢板上料台，进入无动力辊道传送线，输送至12个拆解工作台，每工作台定员一人，负责洗衣机全程拆解。工人将洗衣机从传送辊道拉至旋转工作台上，使用气动螺丝刀、液压钳等工具进行拆解。将洗衣机面板、外层铁筒、底部配重等部件逐一拆卸分离。通过手工将废旧洗衣机易拆卸的部分如外壳等；其次再剪断冰箱电源线，分别取出开关、电路板、电容和电源线等。分别将其进行分类打包。其中废电路板属于危险废物，其他物质属于一般工业固废。</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针对人工拆解过程产生的粉尘，项目拟分别对12个拆解工位设置集气效率不低于90%集气罩进行收集，收集后进入1个处理效率不低于95%的</w:t>
            </w:r>
            <w:r>
              <w:rPr>
                <w:rFonts w:hint="eastAsia" w:ascii="Times New Roman" w:hAnsi="Times New Roman" w:cs="Times New Roman"/>
                <w:color w:val="auto"/>
                <w:sz w:val="24"/>
                <w:szCs w:val="24"/>
              </w:rPr>
              <w:t>3</w:t>
            </w:r>
            <w:r>
              <w:rPr>
                <w:rFonts w:ascii="Times New Roman" w:hAnsi="Times New Roman" w:cs="Times New Roman"/>
                <w:color w:val="auto"/>
                <w:sz w:val="24"/>
                <w:szCs w:val="24"/>
              </w:rPr>
              <w:t>#脉冲除尘器对废旧洗衣机处理线产生的废气进行处理。处理后通过1根Φ0.84m、高15m的排气筒（DA003）外排。</w:t>
            </w:r>
            <w:r>
              <w:rPr>
                <w:rFonts w:ascii="Times New Roman" w:hAnsi="Times New Roman" w:cs="Times New Roman"/>
                <w:color w:val="auto"/>
                <w:sz w:val="24"/>
              </w:rPr>
              <w:t>另外，对全自动洗衣机拆解过程会产生少量的平衡盐水（主要成分为NaCl和水），产生量较小，按1:8的比例稀释后，回用于绿化，不外排。</w:t>
            </w:r>
          </w:p>
          <w:p>
            <w:pPr>
              <w:spacing w:line="360" w:lineRule="auto"/>
              <w:ind w:firstLine="482" w:firstLineChars="200"/>
              <w:rPr>
                <w:rFonts w:ascii="Times New Roman" w:hAnsi="Times New Roman" w:cs="Times New Roman"/>
                <w:b/>
                <w:bCs/>
                <w:color w:val="auto"/>
                <w:sz w:val="24"/>
                <w:szCs w:val="24"/>
              </w:rPr>
            </w:pPr>
            <w:r>
              <w:rPr>
                <w:rFonts w:ascii="Times New Roman" w:hAnsi="Times New Roman" w:cs="Times New Roman"/>
                <w:b/>
                <w:bCs/>
                <w:color w:val="auto"/>
                <w:sz w:val="24"/>
                <w:szCs w:val="24"/>
              </w:rPr>
              <w:t>②压块</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拆解后的洗衣机外壳等主要为钢铁成分，形体较大，采用人工压块后包装入库外售。</w:t>
            </w:r>
          </w:p>
          <w:p>
            <w:pPr>
              <w:spacing w:line="360" w:lineRule="auto"/>
              <w:ind w:firstLine="482" w:firstLineChars="200"/>
              <w:rPr>
                <w:rFonts w:ascii="Times New Roman" w:hAnsi="Times New Roman" w:cs="Times New Roman"/>
                <w:b/>
                <w:bCs/>
                <w:color w:val="auto"/>
                <w:sz w:val="24"/>
                <w:szCs w:val="24"/>
              </w:rPr>
            </w:pPr>
            <w:r>
              <w:rPr>
                <w:rFonts w:ascii="Times New Roman" w:hAnsi="Times New Roman" w:cs="Times New Roman"/>
                <w:b/>
                <w:bCs/>
                <w:color w:val="auto"/>
                <w:sz w:val="24"/>
                <w:szCs w:val="24"/>
              </w:rPr>
              <w:t>③分选</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对于产生的废塑料主要包括ABS、PS两大类塑料，项目拟在现有危险废物贮存间上方设置一个塑料手工分选平台，废塑料通过皮带传送机输送至手工分选平台后通过人工对分选出ABS、PS两大类塑料。</w:t>
            </w:r>
          </w:p>
          <w:p>
            <w:pPr>
              <w:spacing w:line="360" w:lineRule="auto"/>
              <w:ind w:firstLine="482" w:firstLineChars="200"/>
              <w:rPr>
                <w:rFonts w:ascii="Times New Roman" w:hAnsi="Times New Roman" w:cs="Times New Roman"/>
                <w:bCs/>
                <w:color w:val="auto"/>
                <w:sz w:val="24"/>
                <w:szCs w:val="24"/>
              </w:rPr>
            </w:pPr>
            <w:r>
              <w:rPr>
                <w:rFonts w:ascii="Times New Roman" w:hAnsi="Times New Roman" w:cs="Times New Roman"/>
                <w:b/>
                <w:bCs/>
                <w:color w:val="auto"/>
                <w:sz w:val="24"/>
                <w:szCs w:val="24"/>
              </w:rPr>
              <w:t>④破碎</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分选后的ABS、PS两大类塑料分别通过皮带运输至输送至破碎机进行破碎，破碎机属于密闭破碎系统，将塑料破碎至粒径2-3cm的塑料颗粒后包装入库外售。</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针对破碎产生的粉尘，项目分别对两台破碎机设置集气效率不低于90%的集气罩，对其进行收集，收集后通过1个处理效率不低于95%的</w:t>
            </w:r>
            <w:r>
              <w:rPr>
                <w:rFonts w:hint="eastAsia" w:ascii="Times New Roman" w:hAnsi="Times New Roman" w:cs="Times New Roman"/>
                <w:color w:val="auto"/>
                <w:sz w:val="24"/>
                <w:szCs w:val="24"/>
              </w:rPr>
              <w:t>3</w:t>
            </w:r>
            <w:r>
              <w:rPr>
                <w:rFonts w:ascii="Times New Roman" w:hAnsi="Times New Roman" w:cs="Times New Roman"/>
                <w:color w:val="auto"/>
                <w:sz w:val="24"/>
                <w:szCs w:val="24"/>
              </w:rPr>
              <w:t>#脉冲除尘器对废旧洗衣机处理线产生的废气进行处理，处理后拟设置1根Φ0.84m、高15m的排气筒（DA003）外排。</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（4）1号废旧电视机（液晶电视）处理线</w:t>
            </w:r>
          </w:p>
          <w:p>
            <w:pPr>
              <w:spacing w:line="360" w:lineRule="auto"/>
              <w:ind w:firstLine="482" w:firstLineChars="200"/>
              <w:rPr>
                <w:rFonts w:ascii="Times New Roman" w:hAnsi="Times New Roman" w:cs="Times New Roman"/>
                <w:b/>
                <w:bCs/>
                <w:color w:val="auto"/>
                <w:sz w:val="24"/>
                <w:szCs w:val="24"/>
              </w:rPr>
            </w:pPr>
            <w:r>
              <w:rPr>
                <w:rFonts w:ascii="Times New Roman" w:hAnsi="Times New Roman" w:cs="Times New Roman"/>
                <w:b/>
                <w:bCs/>
                <w:color w:val="auto"/>
                <w:sz w:val="24"/>
                <w:szCs w:val="24"/>
              </w:rPr>
              <w:t>1号废旧电视机（液晶电视）处理线工艺流程图示</w:t>
            </w:r>
          </w:p>
          <w:p>
            <w:pPr>
              <w:jc w:val="center"/>
              <w:rPr>
                <w:rFonts w:ascii="Times New Roman" w:hAnsi="Times New Roman" w:eastAsia="宋体" w:cs="Times New Roman"/>
                <w:b/>
                <w:color w:val="auto"/>
                <w:szCs w:val="24"/>
              </w:rPr>
            </w:pPr>
            <w:r>
              <w:rPr>
                <w:rFonts w:ascii="Times New Roman" w:hAnsi="Times New Roman" w:cs="Times New Roman"/>
                <w:color w:val="auto"/>
              </w:rPr>
              <w:object>
                <v:shape id="_x0000_i1030" o:spt="75" type="#_x0000_t75" style="height:335.4pt;width:364.8pt;" o:ole="t" filled="f" o:preferrelative="t" stroked="f" coordsize="21600,21600">
                  <v:path/>
                  <v:fill on="f" focussize="0,0"/>
                  <v:stroke on="f" joinstyle="miter"/>
                  <v:imagedata r:id="rId16" o:title=""/>
                  <o:lock v:ext="edit" aspectratio="t"/>
                  <w10:wrap type="none"/>
                  <w10:anchorlock/>
                </v:shape>
                <o:OLEObject Type="Embed" ProgID="Visio.Drawing.11" ShapeID="_x0000_i1030" DrawAspect="Content" ObjectID="_1468075730" r:id="rId15">
                  <o:LockedField>false</o:LockedField>
                </o:OLEObject>
              </w:object>
            </w:r>
          </w:p>
          <w:p>
            <w:pPr>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图2.8.2-4  1号废旧电视机（液晶电视）处理线工艺流程及产污节点图</w:t>
            </w:r>
          </w:p>
          <w:p>
            <w:pPr>
              <w:spacing w:beforeLines="50" w:line="360" w:lineRule="auto"/>
              <w:ind w:firstLine="482" w:firstLineChars="200"/>
              <w:rPr>
                <w:rFonts w:ascii="Times New Roman" w:hAnsi="Times New Roman" w:cs="Times New Roman"/>
                <w:b/>
                <w:bCs/>
                <w:color w:val="auto"/>
                <w:sz w:val="24"/>
                <w:szCs w:val="24"/>
              </w:rPr>
            </w:pPr>
            <w:r>
              <w:rPr>
                <w:rFonts w:ascii="Times New Roman" w:hAnsi="Times New Roman" w:cs="Times New Roman"/>
                <w:b/>
                <w:bCs/>
                <w:color w:val="auto"/>
                <w:sz w:val="24"/>
                <w:szCs w:val="24"/>
              </w:rPr>
              <w:t>1号废旧电视机（液晶电视）处理线工艺流程简述</w:t>
            </w:r>
          </w:p>
          <w:p>
            <w:pPr>
              <w:spacing w:line="360" w:lineRule="auto"/>
              <w:ind w:firstLine="482" w:firstLineChars="200"/>
              <w:rPr>
                <w:rFonts w:ascii="Times New Roman" w:hAnsi="Times New Roman" w:cs="Times New Roman"/>
                <w:b/>
                <w:bCs/>
                <w:color w:val="auto"/>
                <w:sz w:val="24"/>
                <w:szCs w:val="24"/>
              </w:rPr>
            </w:pPr>
            <w:r>
              <w:rPr>
                <w:rFonts w:ascii="Times New Roman" w:hAnsi="Times New Roman" w:cs="Times New Roman"/>
                <w:b/>
                <w:bCs/>
                <w:color w:val="auto"/>
                <w:sz w:val="24"/>
                <w:szCs w:val="24"/>
              </w:rPr>
              <w:t>①人工拆解</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1号废旧电视机（液晶电视）处理线拆除的废旧产品主要包括废旧液晶电视，废旧电脑液晶显示器等，废旧液晶显示器部件成分比较单一，主要包括液晶屏、主板和荧光灯管背光模组组成，采用单工位拆解方式进行人工拆解，即每台液晶显示器一个人即可完成其拆解工作；项目设置了1套型号为HXWL-01的钢板上料台，输送至6个拆解工作台，每工作台定员一人，负责废旧液晶显示器除荧光灯管背光模组以外的全程拆解，拆除过程产生的废电路板、电容、开关、电源线、塑料、玻璃分别将其进行分类打包。其中废电路板属于危险废物，其他物质属于一般工业固废。</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针对人工拆解过程产生的粉尘，项目拟分别对6个拆解工位设置集气效率不低于90%集气罩进行收集，收集后统一进入1个处理效率不低于95%的</w:t>
            </w:r>
            <w:r>
              <w:rPr>
                <w:rFonts w:hint="eastAsia" w:ascii="Times New Roman" w:hAnsi="Times New Roman" w:cs="Times New Roman"/>
                <w:color w:val="auto"/>
                <w:sz w:val="24"/>
                <w:szCs w:val="24"/>
              </w:rPr>
              <w:t>4</w:t>
            </w:r>
            <w:r>
              <w:rPr>
                <w:rFonts w:ascii="Times New Roman" w:hAnsi="Times New Roman" w:cs="Times New Roman"/>
                <w:color w:val="auto"/>
                <w:sz w:val="24"/>
                <w:szCs w:val="24"/>
              </w:rPr>
              <w:t>#脉冲除尘器对其进行处理后通过1根Φ0.</w:t>
            </w:r>
            <w:r>
              <w:rPr>
                <w:rFonts w:hint="eastAsia" w:ascii="Times New Roman" w:hAnsi="Times New Roman" w:cs="Times New Roman"/>
                <w:color w:val="auto"/>
                <w:sz w:val="24"/>
                <w:szCs w:val="24"/>
              </w:rPr>
              <w:t>4</w:t>
            </w:r>
            <w:r>
              <w:rPr>
                <w:rFonts w:ascii="Times New Roman" w:hAnsi="Times New Roman" w:cs="Times New Roman"/>
                <w:color w:val="auto"/>
                <w:sz w:val="24"/>
                <w:szCs w:val="24"/>
              </w:rPr>
              <w:t>4m、高15m的排气筒（DA00</w:t>
            </w:r>
            <w:r>
              <w:rPr>
                <w:rFonts w:hint="eastAsia" w:ascii="Times New Roman" w:hAnsi="Times New Roman" w:cs="Times New Roman"/>
                <w:color w:val="auto"/>
                <w:sz w:val="24"/>
                <w:szCs w:val="24"/>
              </w:rPr>
              <w:t>4</w:t>
            </w:r>
            <w:r>
              <w:rPr>
                <w:rFonts w:ascii="Times New Roman" w:hAnsi="Times New Roman" w:cs="Times New Roman"/>
                <w:color w:val="auto"/>
                <w:sz w:val="24"/>
                <w:szCs w:val="24"/>
              </w:rPr>
              <w:t>）外排</w:t>
            </w:r>
            <w:r>
              <w:rPr>
                <w:rFonts w:hint="eastAsia" w:ascii="Times New Roman" w:hAnsi="Times New Roman" w:cs="Times New Roman"/>
                <w:color w:val="auto"/>
                <w:sz w:val="24"/>
                <w:szCs w:val="24"/>
              </w:rPr>
              <w:t>。</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②荧光灯管背光模组拆解</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由于荧光灯管属于含汞灯管，为防止其对操作工人和环境造成影响，项目单独设置了2台荧光灯管背光模组负压拆解工作台对其进行拆除，2台荧光灯管背光模组负压拆解工作台设置为密封式透明负压拆解工作台，人在负压拆解工作台外，手伸入负压工作台内对荧光灯管背光模组进行手工拆解。</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正常情况下背光模组含汞灯管不会破碎，不会有汞及其化合物产生，但若含汞灯管破碎后，汞及其化合物经负压系统全部收集，通过1套去除效率不低于80%的汞及其化合物处理装置（采用UV光氧裂解+载硫活性炭吸附）对其进行处理，处理后再统一进入1个处理效率不低于95%的</w:t>
            </w:r>
            <w:r>
              <w:rPr>
                <w:rFonts w:hint="eastAsia" w:ascii="Times New Roman" w:hAnsi="Times New Roman" w:cs="Times New Roman"/>
                <w:color w:val="auto"/>
                <w:sz w:val="24"/>
                <w:szCs w:val="24"/>
              </w:rPr>
              <w:t>4</w:t>
            </w:r>
            <w:r>
              <w:rPr>
                <w:rFonts w:ascii="Times New Roman" w:hAnsi="Times New Roman" w:cs="Times New Roman"/>
                <w:color w:val="auto"/>
                <w:sz w:val="24"/>
                <w:szCs w:val="24"/>
              </w:rPr>
              <w:t>#脉冲除尘器对其进行处理后通过1根Φ0.</w:t>
            </w:r>
            <w:r>
              <w:rPr>
                <w:rFonts w:hint="eastAsia" w:ascii="Times New Roman" w:hAnsi="Times New Roman" w:cs="Times New Roman"/>
                <w:color w:val="auto"/>
                <w:sz w:val="24"/>
                <w:szCs w:val="24"/>
              </w:rPr>
              <w:t>4</w:t>
            </w:r>
            <w:r>
              <w:rPr>
                <w:rFonts w:ascii="Times New Roman" w:hAnsi="Times New Roman" w:cs="Times New Roman"/>
                <w:color w:val="auto"/>
                <w:sz w:val="24"/>
                <w:szCs w:val="24"/>
              </w:rPr>
              <w:t>4m、高15m的排气筒（DA00</w:t>
            </w:r>
            <w:r>
              <w:rPr>
                <w:rFonts w:hint="eastAsia" w:ascii="Times New Roman" w:hAnsi="Times New Roman" w:cs="Times New Roman"/>
                <w:color w:val="auto"/>
                <w:sz w:val="24"/>
                <w:szCs w:val="24"/>
              </w:rPr>
              <w:t>4</w:t>
            </w:r>
            <w:r>
              <w:rPr>
                <w:rFonts w:ascii="Times New Roman" w:hAnsi="Times New Roman" w:cs="Times New Roman"/>
                <w:color w:val="auto"/>
                <w:sz w:val="24"/>
                <w:szCs w:val="24"/>
              </w:rPr>
              <w:t>）外排。</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（5）2号废旧电视机（CRT）处理线</w:t>
            </w:r>
          </w:p>
          <w:p>
            <w:pPr>
              <w:spacing w:line="360" w:lineRule="auto"/>
              <w:ind w:firstLine="482" w:firstLineChars="200"/>
              <w:rPr>
                <w:rFonts w:ascii="Times New Roman" w:hAnsi="Times New Roman" w:cs="Times New Roman"/>
                <w:b/>
                <w:bCs/>
                <w:color w:val="auto"/>
                <w:sz w:val="24"/>
                <w:szCs w:val="24"/>
              </w:rPr>
            </w:pPr>
            <w:r>
              <w:rPr>
                <w:rFonts w:ascii="Times New Roman" w:hAnsi="Times New Roman" w:cs="Times New Roman"/>
                <w:b/>
                <w:bCs/>
                <w:color w:val="auto"/>
                <w:sz w:val="24"/>
                <w:szCs w:val="24"/>
              </w:rPr>
              <w:t>2号废旧电视机（CRT）处理线工艺流程图示</w:t>
            </w:r>
          </w:p>
          <w:p>
            <w:pPr>
              <w:jc w:val="center"/>
              <w:rPr>
                <w:rFonts w:ascii="Times New Roman" w:hAnsi="Times New Roman" w:eastAsia="宋体" w:cs="Times New Roman"/>
                <w:b/>
                <w:color w:val="auto"/>
                <w:szCs w:val="24"/>
              </w:rPr>
            </w:pPr>
            <w:r>
              <w:rPr>
                <w:rFonts w:ascii="Times New Roman" w:hAnsi="Times New Roman" w:cs="Times New Roman"/>
                <w:color w:val="auto"/>
              </w:rPr>
              <w:object>
                <v:shape id="_x0000_i1031" o:spt="75" type="#_x0000_t75" style="height:381.6pt;width:452.4pt;" o:ole="t" filled="f" o:preferrelative="t" stroked="f" coordsize="21600,21600">
                  <v:path/>
                  <v:fill on="f" focussize="0,0"/>
                  <v:stroke on="f" joinstyle="miter"/>
                  <v:imagedata r:id="rId18" o:title=""/>
                  <o:lock v:ext="edit" aspectratio="t"/>
                  <w10:wrap type="none"/>
                  <w10:anchorlock/>
                </v:shape>
                <o:OLEObject Type="Embed" ProgID="Visio.Drawing.11" ShapeID="_x0000_i1031" DrawAspect="Content" ObjectID="_1468075731" r:id="rId17">
                  <o:LockedField>false</o:LockedField>
                </o:OLEObject>
              </w:object>
            </w:r>
          </w:p>
          <w:p>
            <w:pPr>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图2.8.2-5  2号废旧电视机（CRT）处理线工艺流程及产污节点图</w:t>
            </w:r>
          </w:p>
          <w:p>
            <w:pPr>
              <w:spacing w:beforeLines="50" w:line="360" w:lineRule="auto"/>
              <w:ind w:firstLine="482" w:firstLineChars="200"/>
              <w:rPr>
                <w:rFonts w:ascii="Times New Roman" w:hAnsi="Times New Roman" w:cs="Times New Roman"/>
                <w:b/>
                <w:bCs/>
                <w:color w:val="auto"/>
                <w:sz w:val="24"/>
                <w:szCs w:val="24"/>
              </w:rPr>
            </w:pPr>
            <w:r>
              <w:rPr>
                <w:rFonts w:ascii="Times New Roman" w:hAnsi="Times New Roman" w:cs="Times New Roman"/>
                <w:b/>
                <w:bCs/>
                <w:color w:val="auto"/>
                <w:sz w:val="24"/>
                <w:szCs w:val="24"/>
              </w:rPr>
              <w:t>2号废旧电视机（CRT）处理线工艺流程简述</w:t>
            </w:r>
          </w:p>
          <w:p>
            <w:pPr>
              <w:pStyle w:val="64"/>
              <w:rPr>
                <w:rFonts w:ascii="Times New Roman" w:hAnsi="Times New Roman" w:cs="Times New Roman"/>
                <w:color w:val="auto"/>
              </w:rPr>
            </w:pPr>
            <w:r>
              <w:rPr>
                <w:rFonts w:ascii="Times New Roman" w:hAnsi="Times New Roman" w:cs="Times New Roman"/>
                <w:color w:val="auto"/>
              </w:rPr>
              <w:t>CRT电视机包含有塑料外壳、含金属组件、电路板及导线、显像管CRT等。</w:t>
            </w:r>
          </w:p>
          <w:p>
            <w:pPr>
              <w:spacing w:line="360" w:lineRule="auto"/>
              <w:ind w:firstLine="482" w:firstLineChars="200"/>
              <w:rPr>
                <w:rFonts w:ascii="Times New Roman" w:hAnsi="Times New Roman" w:cs="Times New Roman"/>
                <w:bCs/>
                <w:color w:val="auto"/>
                <w:sz w:val="24"/>
                <w:szCs w:val="24"/>
              </w:rPr>
            </w:pPr>
            <w:r>
              <w:rPr>
                <w:rFonts w:ascii="Times New Roman" w:hAnsi="Times New Roman" w:cs="Times New Roman"/>
                <w:b/>
                <w:bCs/>
                <w:color w:val="auto"/>
                <w:sz w:val="24"/>
                <w:szCs w:val="24"/>
              </w:rPr>
              <w:t>①后壳拆除</w:t>
            </w:r>
          </w:p>
          <w:p>
            <w:pPr>
              <w:spacing w:line="360" w:lineRule="auto"/>
              <w:ind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首先将回收的废旧CRT电视机运至处理车间指定电视待拆区域进行卸货。采用仓储笼装存，整齐码放。通过叉车将装盛废旧CRT电视机的仓储笼搬至生产线上料端，通过万向球将废旧CRT电视机从传输线拨送至工作台后，将采用人工采用气动风批拆卸后盖螺丝并摘除后盖。</w:t>
            </w:r>
          </w:p>
          <w:p>
            <w:pPr>
              <w:spacing w:line="360" w:lineRule="auto"/>
              <w:ind w:firstLine="482" w:firstLineChars="200"/>
              <w:rPr>
                <w:rFonts w:ascii="Times New Roman" w:hAnsi="Times New Roman" w:cs="Times New Roman"/>
                <w:bCs/>
                <w:color w:val="auto"/>
                <w:sz w:val="24"/>
                <w:szCs w:val="24"/>
              </w:rPr>
            </w:pPr>
            <w:r>
              <w:rPr>
                <w:rFonts w:ascii="Times New Roman" w:hAnsi="Times New Roman" w:cs="Times New Roman"/>
                <w:b/>
                <w:bCs/>
                <w:color w:val="auto"/>
                <w:sz w:val="24"/>
                <w:szCs w:val="24"/>
              </w:rPr>
              <w:t>②破碎</w:t>
            </w:r>
          </w:p>
          <w:p>
            <w:pPr>
              <w:spacing w:line="360" w:lineRule="auto"/>
              <w:ind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拆除的塑料外壳通过皮带运输至输送至破碎机进行破碎，破碎机属于密闭破碎系统，将塑料破碎至粒径2-3cm的塑料颗粒后包装入库外售。</w:t>
            </w:r>
          </w:p>
          <w:p>
            <w:pPr>
              <w:spacing w:line="360" w:lineRule="auto"/>
              <w:ind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针对破碎工序产生的粉尘，项目已在破碎区设置了集气效率不低于90%集气罩，将其粉尘收集后统一进入1个处理效率不低于95%的</w:t>
            </w:r>
            <w:r>
              <w:rPr>
                <w:rFonts w:hint="eastAsia" w:ascii="Times New Roman" w:hAnsi="Times New Roman" w:cs="Times New Roman"/>
                <w:bCs/>
                <w:color w:val="auto"/>
                <w:sz w:val="24"/>
                <w:szCs w:val="24"/>
              </w:rPr>
              <w:t>5</w:t>
            </w:r>
            <w:r>
              <w:rPr>
                <w:rFonts w:ascii="Times New Roman" w:hAnsi="Times New Roman" w:cs="Times New Roman"/>
                <w:bCs/>
                <w:color w:val="auto"/>
                <w:sz w:val="24"/>
                <w:szCs w:val="24"/>
              </w:rPr>
              <w:t>#脉冲除尘器对其进行处理后通过1根Φ0.74m、高15m的排气筒（DA00</w:t>
            </w:r>
            <w:r>
              <w:rPr>
                <w:rFonts w:hint="eastAsia" w:ascii="Times New Roman" w:hAnsi="Times New Roman" w:cs="Times New Roman"/>
                <w:bCs/>
                <w:color w:val="auto"/>
                <w:sz w:val="24"/>
                <w:szCs w:val="24"/>
              </w:rPr>
              <w:t>5</w:t>
            </w:r>
            <w:r>
              <w:rPr>
                <w:rFonts w:ascii="Times New Roman" w:hAnsi="Times New Roman" w:cs="Times New Roman"/>
                <w:bCs/>
                <w:color w:val="auto"/>
                <w:sz w:val="24"/>
                <w:szCs w:val="24"/>
              </w:rPr>
              <w:t>）外排。</w:t>
            </w:r>
          </w:p>
          <w:p>
            <w:pPr>
              <w:spacing w:line="360" w:lineRule="auto"/>
              <w:ind w:firstLine="482" w:firstLineChars="200"/>
              <w:rPr>
                <w:rFonts w:ascii="Times New Roman" w:hAnsi="Times New Roman" w:cs="Times New Roman"/>
                <w:b/>
                <w:bCs/>
                <w:color w:val="auto"/>
                <w:sz w:val="24"/>
                <w:szCs w:val="24"/>
              </w:rPr>
            </w:pPr>
            <w:r>
              <w:rPr>
                <w:rFonts w:ascii="Times New Roman" w:hAnsi="Times New Roman" w:cs="Times New Roman"/>
                <w:b/>
                <w:bCs/>
                <w:color w:val="auto"/>
                <w:sz w:val="24"/>
                <w:szCs w:val="24"/>
              </w:rPr>
              <w:t>③人工喷吹</w:t>
            </w:r>
          </w:p>
          <w:p>
            <w:pPr>
              <w:pStyle w:val="64"/>
              <w:rPr>
                <w:rFonts w:ascii="Times New Roman" w:hAnsi="Times New Roman" w:cs="Times New Roman"/>
                <w:color w:val="auto"/>
              </w:rPr>
            </w:pPr>
            <w:r>
              <w:rPr>
                <w:rFonts w:ascii="Times New Roman" w:hAnsi="Times New Roman" w:cs="Times New Roman"/>
                <w:color w:val="auto"/>
              </w:rPr>
              <w:t>2号废旧电视机（CRT）处理线设置了2个人工喷吹室，经拆壳后的废旧CRT电视机通过钢板上料台进入喷吹配套除尘系统进行喷吹，通过固定吹尘气枪吹扬废旧CRT电视机内部积尘。</w:t>
            </w:r>
          </w:p>
          <w:p>
            <w:pPr>
              <w:pStyle w:val="64"/>
              <w:rPr>
                <w:rFonts w:ascii="Times New Roman" w:hAnsi="Times New Roman" w:cs="Times New Roman"/>
                <w:color w:val="auto"/>
              </w:rPr>
            </w:pPr>
            <w:r>
              <w:rPr>
                <w:rFonts w:ascii="Times New Roman" w:hAnsi="Times New Roman" w:cs="Times New Roman"/>
                <w:color w:val="auto"/>
              </w:rPr>
              <w:t>针对人工喷吹产生的粉尘，项目已分别在2个人工喷吹室设置了集气效率不低于90%的集气罩对其进行收集，收集后统一进入1个处理效率不低于95%的</w:t>
            </w:r>
            <w:r>
              <w:rPr>
                <w:rFonts w:hint="eastAsia" w:ascii="Times New Roman" w:hAnsi="Times New Roman" w:cs="Times New Roman"/>
                <w:color w:val="auto"/>
              </w:rPr>
              <w:t>5</w:t>
            </w:r>
            <w:r>
              <w:rPr>
                <w:rFonts w:ascii="Times New Roman" w:hAnsi="Times New Roman" w:cs="Times New Roman"/>
                <w:color w:val="auto"/>
              </w:rPr>
              <w:t>#脉冲除尘器对其进行处理后通过1根Φ0.74m、高15m的排气筒（DA00</w:t>
            </w:r>
            <w:r>
              <w:rPr>
                <w:rFonts w:hint="eastAsia" w:ascii="Times New Roman" w:hAnsi="Times New Roman" w:cs="Times New Roman"/>
                <w:color w:val="auto"/>
              </w:rPr>
              <w:t>5</w:t>
            </w:r>
            <w:r>
              <w:rPr>
                <w:rFonts w:ascii="Times New Roman" w:hAnsi="Times New Roman" w:cs="Times New Roman"/>
                <w:color w:val="auto"/>
              </w:rPr>
              <w:t>）外排。</w:t>
            </w:r>
          </w:p>
          <w:p>
            <w:pPr>
              <w:spacing w:line="360" w:lineRule="auto"/>
              <w:ind w:firstLine="482" w:firstLineChars="200"/>
              <w:rPr>
                <w:rFonts w:ascii="Times New Roman" w:hAnsi="Times New Roman" w:cs="Times New Roman"/>
                <w:b/>
                <w:bCs/>
                <w:color w:val="auto"/>
                <w:sz w:val="24"/>
                <w:szCs w:val="24"/>
              </w:rPr>
            </w:pPr>
            <w:r>
              <w:rPr>
                <w:rFonts w:ascii="Times New Roman" w:hAnsi="Times New Roman" w:cs="Times New Roman"/>
                <w:b/>
                <w:bCs/>
                <w:color w:val="auto"/>
                <w:sz w:val="24"/>
                <w:szCs w:val="24"/>
              </w:rPr>
              <w:t>④人工拆除</w:t>
            </w:r>
          </w:p>
          <w:p>
            <w:pPr>
              <w:pStyle w:val="64"/>
              <w:rPr>
                <w:rFonts w:ascii="Times New Roman" w:hAnsi="Times New Roman" w:cs="Times New Roman"/>
                <w:color w:val="auto"/>
              </w:rPr>
            </w:pPr>
            <w:r>
              <w:rPr>
                <w:rFonts w:ascii="Times New Roman" w:hAnsi="Times New Roman" w:cs="Times New Roman"/>
                <w:color w:val="auto"/>
              </w:rPr>
              <w:t>通过手工剪断废旧CRT电视机电源线，先依次拆出电路板、扬声器、变压器、高频头、分离电子枪、卸四脚等，分别将其进行分类打包。其中废电路板属于危险废物，其他物质属于一般工业固废。</w:t>
            </w:r>
          </w:p>
          <w:p>
            <w:pPr>
              <w:pStyle w:val="64"/>
              <w:rPr>
                <w:rFonts w:ascii="Times New Roman" w:hAnsi="Times New Roman" w:cs="Times New Roman"/>
                <w:color w:val="auto"/>
              </w:rPr>
            </w:pPr>
            <w:r>
              <w:rPr>
                <w:rFonts w:ascii="Times New Roman" w:hAnsi="Times New Roman" w:cs="Times New Roman"/>
                <w:color w:val="auto"/>
              </w:rPr>
              <w:t>针对人工拆除过程产生的粉尘，项目已对1条人工拆解线工作台分别设置了4个集气效率不低于90%的集气罩将粉尘进行收集，收集后统一进入1个处理效率不低于95%的</w:t>
            </w:r>
            <w:r>
              <w:rPr>
                <w:rFonts w:hint="eastAsia" w:ascii="Times New Roman" w:hAnsi="Times New Roman" w:cs="Times New Roman"/>
                <w:color w:val="auto"/>
              </w:rPr>
              <w:t>5</w:t>
            </w:r>
            <w:r>
              <w:rPr>
                <w:rFonts w:ascii="Times New Roman" w:hAnsi="Times New Roman" w:cs="Times New Roman"/>
                <w:color w:val="auto"/>
              </w:rPr>
              <w:t>#脉冲除尘器对其进行处理后通过1根Φ0.74m、高15m的排气筒（DA00</w:t>
            </w:r>
            <w:r>
              <w:rPr>
                <w:rFonts w:hint="eastAsia" w:ascii="Times New Roman" w:hAnsi="Times New Roman" w:cs="Times New Roman"/>
                <w:color w:val="auto"/>
              </w:rPr>
              <w:t>5</w:t>
            </w:r>
            <w:r>
              <w:rPr>
                <w:rFonts w:ascii="Times New Roman" w:hAnsi="Times New Roman" w:cs="Times New Roman"/>
                <w:color w:val="auto"/>
              </w:rPr>
              <w:t>）外排。</w:t>
            </w:r>
          </w:p>
          <w:p>
            <w:pPr>
              <w:spacing w:line="360" w:lineRule="auto"/>
              <w:ind w:firstLine="482" w:firstLineChars="200"/>
              <w:rPr>
                <w:rFonts w:ascii="Times New Roman" w:hAnsi="Times New Roman" w:cs="Times New Roman"/>
                <w:b/>
                <w:bCs/>
                <w:color w:val="auto"/>
                <w:sz w:val="24"/>
                <w:szCs w:val="24"/>
              </w:rPr>
            </w:pPr>
            <w:r>
              <w:rPr>
                <w:rFonts w:ascii="Times New Roman" w:hAnsi="Times New Roman" w:cs="Times New Roman"/>
                <w:b/>
                <w:bCs/>
                <w:color w:val="auto"/>
                <w:sz w:val="24"/>
                <w:szCs w:val="24"/>
              </w:rPr>
              <w:t>⑤切割防爆带</w:t>
            </w:r>
          </w:p>
          <w:p>
            <w:pPr>
              <w:pStyle w:val="64"/>
              <w:rPr>
                <w:rFonts w:ascii="Times New Roman" w:hAnsi="Times New Roman" w:cs="Times New Roman"/>
                <w:color w:val="auto"/>
              </w:rPr>
            </w:pPr>
            <w:r>
              <w:rPr>
                <w:rFonts w:ascii="Times New Roman" w:hAnsi="Times New Roman" w:cs="Times New Roman"/>
                <w:color w:val="auto"/>
              </w:rPr>
              <w:t>通过人工拆除后即剩下CRT显像管，CRT显像管由屏玻璃和锥玻璃构成，而为了防止显像管老化爆炸，在屏玻璃、锥玻璃接缝处设置了一圈密封钢圈，称为防爆带，起到固定CRT的作用，在进入阴极射线管（CRT）拆解前需切割防爆带，再用除胶机去除少量连接防爆带和CRT显像管的废胶。</w:t>
            </w:r>
          </w:p>
          <w:p>
            <w:pPr>
              <w:spacing w:line="360" w:lineRule="auto"/>
              <w:ind w:firstLine="482" w:firstLineChars="200"/>
              <w:rPr>
                <w:rFonts w:ascii="Times New Roman" w:hAnsi="Times New Roman" w:cs="Times New Roman"/>
                <w:b/>
                <w:bCs/>
                <w:color w:val="auto"/>
                <w:sz w:val="24"/>
                <w:szCs w:val="24"/>
              </w:rPr>
            </w:pPr>
            <w:r>
              <w:rPr>
                <w:rFonts w:ascii="Times New Roman" w:hAnsi="Times New Roman" w:cs="Times New Roman"/>
                <w:b/>
                <w:bCs/>
                <w:color w:val="auto"/>
                <w:sz w:val="24"/>
                <w:szCs w:val="24"/>
              </w:rPr>
              <w:t>⑥阴极射线管（CRT）拆解</w:t>
            </w:r>
          </w:p>
          <w:p>
            <w:pPr>
              <w:pStyle w:val="64"/>
              <w:rPr>
                <w:rFonts w:ascii="Times New Roman" w:hAnsi="Times New Roman" w:cs="Times New Roman"/>
                <w:color w:val="auto"/>
              </w:rPr>
            </w:pPr>
            <w:r>
              <w:rPr>
                <w:rFonts w:ascii="Times New Roman" w:hAnsi="Times New Roman" w:cs="Times New Roman"/>
                <w:color w:val="auto"/>
              </w:rPr>
              <w:t>防爆带切割后进入阴极射线管（CRT）拆解工序，阴极射线管（CRT）主要由屏玻璃和锥玻璃组成，阴极射线管（CRT）拆解区设置6个阴极射线管（CRT）拆解工作台采用切屏机进行屏锥分离；切屏机原理为：通过电热丝加热、带缠绕屏玻璃和锥玻璃连接处，通电加热，在400℃ 温度下，对CRT显像管加热30-45S，断电后，CRT显像管周围温度l8-20℃ ，利用加热--骤冷热应力，使屏、锥分离，分离过程在透明密封罩中进行，根据CRT显像管的特点，在屏玻璃的显示面上含重金属物质荧光粉，锥玻璃之中含有金属铅，阴极射线管（CRT）拆解时，整块普通屏玻璃首先使用吸尘器吸涂收集屏玻璃内的荧光粉后，得到是三种物质，包括屏玻璃、锥玻璃和荧光粉，其中锥玻璃和荧光粉为危险废物，而屏玻璃为一般工业固废，若分离过程将屏玻璃损坏，若因操作失误产生的荧光粉泄露，则混合玻璃按含荧光粉按危险废物处置。若因操作失误或原料破损导致屏、锥玻璃破碎混合，混合玻璃按含铅玻璃处置。</w:t>
            </w:r>
          </w:p>
          <w:p>
            <w:pPr>
              <w:pStyle w:val="64"/>
              <w:rPr>
                <w:rFonts w:ascii="Times New Roman" w:hAnsi="Times New Roman" w:cs="Times New Roman"/>
                <w:color w:val="auto"/>
              </w:rPr>
            </w:pPr>
            <w:r>
              <w:rPr>
                <w:rFonts w:ascii="Times New Roman" w:hAnsi="Times New Roman" w:cs="Times New Roman"/>
                <w:color w:val="auto"/>
              </w:rPr>
              <w:t>该工序主要废气为含铅粉尘，针对含铅粉尘，项目分别对6个阴极射线管（CRT）拆解工作台设置了集气效率不低于95%集气罩对其进行收集，收集后统一进入1个处理效率不低于95%的</w:t>
            </w:r>
            <w:r>
              <w:rPr>
                <w:rFonts w:hint="eastAsia" w:ascii="Times New Roman" w:hAnsi="Times New Roman" w:cs="Times New Roman"/>
                <w:color w:val="auto"/>
              </w:rPr>
              <w:t>6</w:t>
            </w:r>
            <w:r>
              <w:rPr>
                <w:rFonts w:ascii="Times New Roman" w:hAnsi="Times New Roman" w:cs="Times New Roman"/>
                <w:color w:val="auto"/>
              </w:rPr>
              <w:t>#脉冲除尘器对其进行处理，处理后通过1根Φ0.76m、高15m的排气筒（DA00</w:t>
            </w:r>
            <w:r>
              <w:rPr>
                <w:rFonts w:hint="eastAsia" w:ascii="Times New Roman" w:hAnsi="Times New Roman" w:cs="Times New Roman"/>
                <w:color w:val="auto"/>
              </w:rPr>
              <w:t>6</w:t>
            </w:r>
            <w:r>
              <w:rPr>
                <w:rFonts w:ascii="Times New Roman" w:hAnsi="Times New Roman" w:cs="Times New Roman"/>
                <w:color w:val="auto"/>
              </w:rPr>
              <w:t>）外排。</w:t>
            </w:r>
          </w:p>
          <w:p>
            <w:pPr>
              <w:autoSpaceDE w:val="0"/>
              <w:autoSpaceDN w:val="0"/>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2.</w:t>
            </w:r>
            <w:r>
              <w:rPr>
                <w:rFonts w:hint="eastAsia" w:ascii="Times New Roman" w:hAnsi="Times New Roman" w:cs="Times New Roman"/>
                <w:b/>
                <w:color w:val="auto"/>
                <w:sz w:val="24"/>
                <w:szCs w:val="24"/>
              </w:rPr>
              <w:t>9</w:t>
            </w:r>
            <w:r>
              <w:rPr>
                <w:rFonts w:ascii="Times New Roman" w:hAnsi="Times New Roman" w:cs="Times New Roman"/>
                <w:b/>
                <w:color w:val="auto"/>
                <w:sz w:val="24"/>
                <w:szCs w:val="24"/>
              </w:rPr>
              <w:t xml:space="preserve"> 产排污环节</w:t>
            </w:r>
          </w:p>
          <w:p>
            <w:pPr>
              <w:spacing w:line="360" w:lineRule="auto"/>
              <w:ind w:firstLine="482" w:firstLineChars="200"/>
              <w:rPr>
                <w:rFonts w:ascii="Times New Roman" w:hAnsi="Times New Roman" w:cs="Times New Roman"/>
                <w:color w:val="auto"/>
                <w:sz w:val="24"/>
                <w:szCs w:val="24"/>
              </w:rPr>
            </w:pPr>
            <w:r>
              <w:rPr>
                <w:rFonts w:ascii="Times New Roman" w:hAnsi="Times New Roman" w:cs="Times New Roman"/>
                <w:b/>
                <w:color w:val="auto"/>
                <w:sz w:val="24"/>
                <w:szCs w:val="24"/>
              </w:rPr>
              <w:t>2.</w:t>
            </w:r>
            <w:r>
              <w:rPr>
                <w:rFonts w:hint="eastAsia" w:ascii="Times New Roman" w:hAnsi="Times New Roman" w:cs="Times New Roman"/>
                <w:b/>
                <w:color w:val="auto"/>
                <w:sz w:val="24"/>
                <w:szCs w:val="24"/>
              </w:rPr>
              <w:t>9</w:t>
            </w:r>
            <w:r>
              <w:rPr>
                <w:rFonts w:ascii="Times New Roman" w:hAnsi="Times New Roman" w:cs="Times New Roman"/>
                <w:b/>
                <w:color w:val="auto"/>
                <w:sz w:val="24"/>
                <w:szCs w:val="24"/>
              </w:rPr>
              <w:t>.1 施工期产污环节</w:t>
            </w:r>
          </w:p>
          <w:p>
            <w:pPr>
              <w:spacing w:line="360" w:lineRule="auto"/>
              <w:ind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根据项目具体情况，项目拟在原址进行升级改造，施工期主要为生产设备及环保设备的安装，均委托设备生产单位进行安装，安装过程污染源产生量较小，主要为施工废气、施工噪声、施工固废等。</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2.</w:t>
            </w:r>
            <w:r>
              <w:rPr>
                <w:rFonts w:hint="eastAsia" w:ascii="Times New Roman" w:hAnsi="Times New Roman" w:cs="Times New Roman"/>
                <w:b/>
                <w:color w:val="auto"/>
                <w:sz w:val="24"/>
                <w:szCs w:val="24"/>
              </w:rPr>
              <w:t>9</w:t>
            </w:r>
            <w:r>
              <w:rPr>
                <w:rFonts w:ascii="Times New Roman" w:hAnsi="Times New Roman" w:cs="Times New Roman"/>
                <w:b/>
                <w:color w:val="auto"/>
                <w:sz w:val="24"/>
                <w:szCs w:val="24"/>
              </w:rPr>
              <w:t>.2 运营期产污环节</w:t>
            </w:r>
          </w:p>
          <w:p>
            <w:pPr>
              <w:spacing w:line="360" w:lineRule="auto"/>
              <w:ind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根据项目工艺流程可知，本项目运营期产污环节具体如下。</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（1）运营期废气</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项目技改内容可知，本次项目技改后，废旧冰箱处理线不变，其废气污染源不发生变化，空调/小家电/废手机及其视听设备消费电子产品处理线仅为恢复，其废气污染源较环评不发生变化，2号废旧电视机（CRT）处理线不变，其废气污染源不发生变化；主要变化的是废旧洗衣机处理线和1号废旧电视机（液晶电视）处理线，废旧洗衣机处理线生产线新增6个拆解工位和两台破碎设施，其粉尘产生量发生变化，1号废旧电视机（液晶电视）处理线新增荧光灯管背光模组负压拆解工作台，则增加汞及其化合物。</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（2）运营期废水</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根据调查，项目技改后废水种类未发生变化，主要为废旧洗衣机处理线产生的平衡盐水和员工生活污水；但现有项目未核算初期雨水，本次环评拟对初期雨水进行核算。</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（3）运营期噪声</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根据项目技改内容及生产工艺，项目噪声污染源主要为设备噪声。</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（4）运营期固体废物</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项目技改内容可知，本次项目技改后，废旧冰箱处理线不变，其固体废物污染源不发生变化，空调/小家电/废手机及其视听设备消费电子产品处理线仅为恢复，其固体废物污染源较环评不发生变化，2号废旧电视机（CRT）处理线不变，其固体废物污染源不发生变化；主要变化的是废旧洗衣机处理线和1号废旧电视机（液晶电视）处理线，废旧洗衣机处理线生产线新增6个拆解工位和两台破碎设施，其拆解固体废物产生量发生变化，1号废旧电视机（液晶电视）处理线新增荧光灯管背光模组负压拆解工作台，则增加汞及其化合物处理产生的固体废物废活性炭（吸附汞及其化合物）。其他3条拆解线（废旧冰箱处理线、空调/小家电/废手机及其视听设备消费电子产品处理线、2号废旧电视机（CRT）处理线）固体废物产排情况，详见现有工程核算章节。另外新建设的一体化污水处理设施将新增污泥。</w:t>
            </w:r>
          </w:p>
          <w:p>
            <w:pPr>
              <w:spacing w:line="360" w:lineRule="auto"/>
              <w:ind w:firstLine="480" w:firstLineChars="200"/>
              <w:rPr>
                <w:rFonts w:ascii="Times New Roman" w:hAnsi="Times New Roman" w:cs="Times New Roman"/>
                <w:color w:val="auto"/>
                <w:sz w:val="24"/>
              </w:rPr>
            </w:pPr>
          </w:p>
          <w:p>
            <w:pPr>
              <w:spacing w:line="360" w:lineRule="auto"/>
              <w:ind w:firstLine="480" w:firstLineChars="200"/>
              <w:rPr>
                <w:rFonts w:ascii="Times New Roman" w:hAnsi="Times New Roman" w:cs="Times New Roman"/>
                <w:color w:val="auto"/>
                <w:sz w:val="24"/>
              </w:rPr>
            </w:pPr>
          </w:p>
          <w:p>
            <w:pPr>
              <w:spacing w:line="360" w:lineRule="auto"/>
              <w:ind w:firstLine="480" w:firstLineChars="200"/>
              <w:rPr>
                <w:rFonts w:ascii="Times New Roman" w:hAnsi="Times New Roman" w:cs="Times New Roman"/>
                <w:color w:val="auto"/>
                <w:sz w:val="24"/>
              </w:rPr>
            </w:pPr>
          </w:p>
          <w:p>
            <w:pPr>
              <w:spacing w:line="360" w:lineRule="auto"/>
              <w:ind w:firstLine="480" w:firstLineChars="200"/>
              <w:rPr>
                <w:rFonts w:ascii="Times New Roman" w:hAnsi="Times New Roman" w:cs="Times New Roman"/>
                <w:color w:val="auto"/>
                <w:sz w:val="24"/>
              </w:rPr>
            </w:pPr>
          </w:p>
          <w:p>
            <w:pPr>
              <w:spacing w:line="360" w:lineRule="auto"/>
              <w:ind w:firstLine="480" w:firstLineChars="200"/>
              <w:rPr>
                <w:rFonts w:ascii="Times New Roman" w:hAnsi="Times New Roman" w:cs="Times New Roman"/>
                <w:color w:val="auto"/>
                <w:sz w:val="24"/>
              </w:rPr>
            </w:pPr>
          </w:p>
          <w:p>
            <w:pPr>
              <w:spacing w:line="360" w:lineRule="auto"/>
              <w:ind w:firstLine="480" w:firstLineChars="200"/>
              <w:rPr>
                <w:rFonts w:ascii="Times New Roman" w:hAnsi="Times New Roman" w:cs="Times New Roman"/>
                <w:color w:val="auto"/>
                <w:sz w:val="24"/>
              </w:rPr>
            </w:pPr>
          </w:p>
          <w:p>
            <w:pPr>
              <w:spacing w:line="360" w:lineRule="auto"/>
              <w:ind w:firstLine="480" w:firstLineChars="200"/>
              <w:rPr>
                <w:rFonts w:ascii="Times New Roman" w:hAnsi="Times New Roman" w:cs="Times New Roman"/>
                <w:color w:val="auto"/>
                <w:sz w:val="24"/>
              </w:rPr>
            </w:pPr>
          </w:p>
          <w:p>
            <w:pPr>
              <w:spacing w:line="360" w:lineRule="auto"/>
              <w:ind w:firstLine="480" w:firstLineChars="200"/>
              <w:rPr>
                <w:rFonts w:ascii="Times New Roman" w:hAnsi="Times New Roman" w:cs="Times New Roman"/>
                <w:color w:val="auto"/>
                <w:sz w:val="24"/>
              </w:rPr>
            </w:pPr>
          </w:p>
          <w:p>
            <w:pPr>
              <w:spacing w:line="360" w:lineRule="auto"/>
              <w:ind w:firstLine="480" w:firstLineChars="200"/>
              <w:rPr>
                <w:rFonts w:ascii="Times New Roman" w:hAnsi="Times New Roman" w:cs="Times New Roman"/>
                <w:color w:val="auto"/>
                <w:sz w:val="24"/>
              </w:rPr>
            </w:pPr>
          </w:p>
          <w:p>
            <w:pPr>
              <w:spacing w:line="360" w:lineRule="auto"/>
              <w:ind w:firstLine="420" w:firstLineChars="200"/>
              <w:rPr>
                <w:rFonts w:ascii="Times New Roman" w:hAnsi="Times New Roman" w:cs="Times New Roman"/>
                <w:color w:val="auto"/>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270" w:type="dxa"/>
            <w:vAlign w:val="center"/>
          </w:tcPr>
          <w:p>
            <w:pPr>
              <w:spacing w:line="360" w:lineRule="auto"/>
              <w:ind w:firstLine="360" w:firstLineChars="150"/>
              <w:rPr>
                <w:rFonts w:ascii="Times New Roman" w:hAnsi="Times New Roman" w:eastAsia="微软雅黑" w:cs="Times New Roman"/>
                <w:b/>
                <w:color w:val="auto"/>
                <w:sz w:val="24"/>
                <w:szCs w:val="24"/>
              </w:rPr>
            </w:pPr>
            <w:r>
              <w:rPr>
                <w:rFonts w:ascii="Times New Roman" w:hAnsi="Times New Roman" w:eastAsia="微软雅黑" w:cs="Times New Roman"/>
                <w:b/>
                <w:color w:val="auto"/>
                <w:sz w:val="24"/>
                <w:szCs w:val="24"/>
              </w:rPr>
              <w:t>与项目有关的原有环境污染问题</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本项目为改扩建项目，本环评依据现有工程的环评及验收报告对现有工程进行简单分析。</w:t>
            </w:r>
          </w:p>
          <w:p>
            <w:pPr>
              <w:autoSpaceDE w:val="0"/>
              <w:autoSpaceDN w:val="0"/>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2.</w:t>
            </w:r>
            <w:r>
              <w:rPr>
                <w:rFonts w:hint="eastAsia" w:ascii="Times New Roman" w:hAnsi="Times New Roman" w:cs="Times New Roman"/>
                <w:b/>
                <w:color w:val="auto"/>
                <w:sz w:val="24"/>
                <w:szCs w:val="24"/>
              </w:rPr>
              <w:t>10</w:t>
            </w:r>
            <w:r>
              <w:rPr>
                <w:rFonts w:ascii="Times New Roman" w:hAnsi="Times New Roman" w:cs="Times New Roman"/>
                <w:b/>
                <w:color w:val="auto"/>
                <w:sz w:val="24"/>
                <w:szCs w:val="24"/>
              </w:rPr>
              <w:t xml:space="preserve"> 现有工程环保手续办理情况</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云南省华再新源环保产业发展有限公司于2013年在昆明市东川区再就业特区天生桥特色产业园建成了云南华再新源环保产业发展有限公司云南省废弃电器电子产品回收处置项目；该项目于2013年1月15日编制完成了《云南华再新源环保产业发展有限公司云南省废弃电器电子产品回收处置项目环境影响报告书》，2013年10月17日，昆明市环境保护局（现昆明市生态环境局）以《关于云南华再新源环保产业发展有限公司云南省废弃电器电子产品回收处置项目环境影响报告书的批复》（昆环保复【2013】363号），同意该项目建设；项目建设完成后委托东川区环境监测站编制了《云南华再新源环保产业发展有限公司云南省废弃电器电子产品回收处置项目（生产部份）建设项目竣工环境保护验收监测报告》，并于2013年11月15日取得昆明市环境保护局（现昆明市生态环境局）下发的《关于对云南华再新源环保产业发展有限公司云南省废弃电器电子产品回收处置项目（生产部份）建设项目竣工环境保护验收的批复》（昆环保复【2013】436号）。</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该项目环评及竣工验收报告，该项目建设内容包括1条废旧冰箱处理线、1条空调/小家电/废手机及其视听设备消费电子产品处理线、1条废旧洗衣机处理线和2条电视/电脑处理线（1号废旧电视机（液晶电视）处理线、2号废旧电视机（CRT）处理线），合计5条处理线。</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2013年12月-2015年10月，项目正常生产。</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2015年10月-2016年8月，由于2号废旧电视机（CRT）处理线，原有的6台切屏机不能满足设计处理能力，因此增加了一台切屏机，由原来的6台增加到7台，同时将后壳破碎机由原来的生产车间移至仓库；为了提高废旧洗衣机处理线的处理效率，在冰箱处理线的末端加设一套RTT塑料分选设备；增设1900m²的防雨棚。该技术改造项目于2015年11月编制完成了《云南省废弃电器电子产品回收处置改扩建项目环境影响报告表》，并于2015年11月23日取得昆明市东川区环境保护局（昆明市生态环境局东川分局）下发的《关于云南省废弃电器电子产品回收处置改扩建项目环境影响报告表的批复》（东环保复【2015】70号），同意该项目进行技术改造。上述技术改造项目完成后，委托云南环绿环境检测技术有限公司于2016年8月进行了竣工验收监测。</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2016年8月至2020年6月，项目正常生产；同时2020年4月27日，项目更换了新的《排污许可证》（证书编号：91530113566217495T001V）。</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2020年6月-2021年5月，随着企业的发展，废旧洗衣机处理线的处理能力已不能满足项目的处理要求，因此建设单位拟建设冰箱线物理拆解、分类收集改扩建项目，通过置换现有设备的方式对原冰箱线进行升级改造，实现产能提升至100台/h，年处理量30万台，该升级改造项目于 2020年6月编制完成了《冰箱线物理拆解、分类收集改扩建项目环境影响报告表》，并于2020年6月22日取得了昆明市生态环境局东川分局下发的《关于对冰箱线物理拆解、分类收集改扩建项目环境影响报告表的批复》（昆生环（东）复【2020】19号），同意该项目进行升级改造；上述升级改造项目完成后，组织编制了《冰箱线物理拆解、分类收集改扩建项目竣工环境保护验收监测报告》，并于2021年5月28日通过了建设单位组织开展的自主竣工验收。</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综上，现有工程环保手续齐全。</w:t>
            </w:r>
          </w:p>
          <w:p>
            <w:pPr>
              <w:autoSpaceDE w:val="0"/>
              <w:autoSpaceDN w:val="0"/>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2.1</w:t>
            </w:r>
            <w:r>
              <w:rPr>
                <w:rFonts w:hint="eastAsia" w:ascii="Times New Roman" w:hAnsi="Times New Roman" w:cs="Times New Roman"/>
                <w:b/>
                <w:color w:val="auto"/>
                <w:sz w:val="24"/>
                <w:szCs w:val="24"/>
              </w:rPr>
              <w:t>1</w:t>
            </w:r>
            <w:r>
              <w:rPr>
                <w:rFonts w:ascii="Times New Roman" w:hAnsi="Times New Roman" w:cs="Times New Roman"/>
                <w:b/>
                <w:color w:val="auto"/>
                <w:sz w:val="24"/>
                <w:szCs w:val="24"/>
              </w:rPr>
              <w:t xml:space="preserve"> 现有工程污染物排放总量</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现有工程运营期的主要污染因素包括废气、废水、噪声和固体废物。其污染物排放具体如下。</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2.11.1 现有工程废气排放情况</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现有工程废气包括各生产线生产工序和厨房油烟。</w:t>
            </w:r>
          </w:p>
          <w:p>
            <w:pPr>
              <w:spacing w:line="360" w:lineRule="auto"/>
              <w:ind w:firstLine="361" w:firstLineChars="150"/>
              <w:rPr>
                <w:rFonts w:ascii="Times New Roman" w:hAnsi="Times New Roman" w:eastAsia="宋体" w:cs="Times New Roman"/>
                <w:b/>
                <w:color w:val="auto"/>
                <w:sz w:val="24"/>
              </w:rPr>
            </w:pPr>
            <w:r>
              <w:rPr>
                <w:rFonts w:ascii="Times New Roman" w:hAnsi="Times New Roman" w:eastAsia="宋体" w:cs="Times New Roman"/>
                <w:b/>
                <w:color w:val="auto"/>
                <w:sz w:val="24"/>
              </w:rPr>
              <w:t>（1）各生产线生产工序废气</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根据现有工程的实际情况，</w:t>
            </w:r>
            <w:r>
              <w:rPr>
                <w:rFonts w:hint="eastAsia" w:ascii="Times New Roman" w:hAnsi="Times New Roman" w:cs="Times New Roman"/>
                <w:color w:val="auto"/>
                <w:sz w:val="24"/>
                <w:szCs w:val="24"/>
              </w:rPr>
              <w:t>目前，空调/小家电/废手机及其视听设备消费电子产品处理线废气和1号废旧电视机（液晶电视）处理线废气、2号废旧电视机（CRT）处理线普通粉尘共用1根排气筒外排；废旧洗衣机处理线废气和废旧冰箱处理线废气共用1根排气筒外排；</w:t>
            </w:r>
            <w:r>
              <w:rPr>
                <w:rFonts w:ascii="Times New Roman" w:hAnsi="Times New Roman" w:cs="Times New Roman"/>
                <w:color w:val="auto"/>
                <w:sz w:val="24"/>
                <w:szCs w:val="24"/>
              </w:rPr>
              <w:t>2号废旧电视机（CRT）处理线产生的含铅粉尘</w:t>
            </w:r>
            <w:r>
              <w:rPr>
                <w:rFonts w:hint="eastAsia" w:ascii="Times New Roman" w:hAnsi="Times New Roman" w:cs="Times New Roman"/>
                <w:color w:val="auto"/>
                <w:sz w:val="24"/>
                <w:szCs w:val="24"/>
              </w:rPr>
              <w:t>单独</w:t>
            </w:r>
            <w:r>
              <w:rPr>
                <w:rFonts w:ascii="Times New Roman" w:hAnsi="Times New Roman" w:cs="Times New Roman"/>
                <w:color w:val="auto"/>
                <w:sz w:val="24"/>
                <w:szCs w:val="24"/>
              </w:rPr>
              <w:t>通过</w:t>
            </w:r>
            <w:r>
              <w:rPr>
                <w:rFonts w:hint="eastAsia" w:ascii="Times New Roman" w:hAnsi="Times New Roman" w:cs="Times New Roman"/>
                <w:color w:val="auto"/>
                <w:sz w:val="24"/>
                <w:szCs w:val="24"/>
              </w:rPr>
              <w:t>1根</w:t>
            </w:r>
            <w:r>
              <w:rPr>
                <w:rFonts w:ascii="Times New Roman" w:hAnsi="Times New Roman" w:cs="Times New Roman"/>
                <w:color w:val="auto"/>
                <w:sz w:val="24"/>
                <w:szCs w:val="24"/>
              </w:rPr>
              <w:t>排气筒外排</w:t>
            </w:r>
            <w:r>
              <w:rPr>
                <w:rFonts w:hint="eastAsia" w:ascii="Times New Roman" w:hAnsi="Times New Roman" w:cs="Times New Roman"/>
                <w:color w:val="auto"/>
                <w:sz w:val="24"/>
                <w:szCs w:val="24"/>
              </w:rPr>
              <w:t>。</w:t>
            </w:r>
            <w:r>
              <w:rPr>
                <w:rFonts w:ascii="Times New Roman" w:hAnsi="Times New Roman" w:cs="Times New Roman"/>
                <w:color w:val="auto"/>
                <w:sz w:val="24"/>
                <w:szCs w:val="24"/>
              </w:rPr>
              <w:t>每次年检监测以及自行监测项目排放废气均达标排放、且满足项目控制总量，但由于项目存在多条生产线共用排气筒等情况，因此每次监测均有不同生产线存在停产、非满负荷运行情况，因此无法通过年检监测及自行监测数据对现有工程废气（非甲烷总烃、铅及其化合物除外）进行核算，而项目环评审批时间较早，其核算量和项目实际情况存在差异，因此本环评拟采用最新技术参数对现有工程废气污染物进行核算。具体如下：</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①现有项目废旧冰箱处理线废气产排情况</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根据废旧冰箱处理线的处理工艺可知，其废气产生环节主要为废旧冰箱冷媒抽取+拆解+破碎产生的粉尘和非甲烷总烃，具体如下：</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fldChar w:fldCharType="begin"/>
            </w:r>
            <w:r>
              <w:rPr>
                <w:rFonts w:ascii="Times New Roman" w:hAnsi="Times New Roman" w:cs="Times New Roman"/>
                <w:b/>
                <w:color w:val="auto"/>
                <w:sz w:val="24"/>
                <w:szCs w:val="24"/>
              </w:rPr>
              <w:instrText xml:space="preserve"> = 1 \* GB2 </w:instrText>
            </w:r>
            <w:r>
              <w:rPr>
                <w:rFonts w:ascii="Times New Roman" w:hAnsi="Times New Roman" w:cs="Times New Roman"/>
                <w:b/>
                <w:color w:val="auto"/>
                <w:sz w:val="24"/>
                <w:szCs w:val="24"/>
              </w:rPr>
              <w:fldChar w:fldCharType="separate"/>
            </w:r>
            <w:r>
              <w:rPr>
                <w:rFonts w:ascii="Times New Roman" w:hAnsi="Times New Roman" w:cs="Times New Roman"/>
                <w:b/>
                <w:color w:val="auto"/>
                <w:sz w:val="24"/>
                <w:szCs w:val="24"/>
              </w:rPr>
              <w:t>⑴</w:t>
            </w:r>
            <w:r>
              <w:rPr>
                <w:rFonts w:ascii="Times New Roman" w:hAnsi="Times New Roman" w:cs="Times New Roman"/>
                <w:b/>
                <w:color w:val="auto"/>
                <w:sz w:val="24"/>
                <w:szCs w:val="24"/>
              </w:rPr>
              <w:fldChar w:fldCharType="end"/>
            </w:r>
            <w:r>
              <w:rPr>
                <w:rFonts w:ascii="Times New Roman" w:hAnsi="Times New Roman" w:cs="Times New Roman"/>
                <w:b/>
                <w:color w:val="auto"/>
                <w:sz w:val="24"/>
                <w:szCs w:val="24"/>
              </w:rPr>
              <w:t>粉尘</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现有项目废旧冰箱处理线废旧冰箱的处理能力为30万台/a，根据建设单位提供的技术参数，每台冰箱的平均重量为42.63kg；则合计处理量为12789t/a，根据《排放源统计调查产排污核算方法和系数手册》中“42废弃资源综合利用行业系数手册”，废旧冰箱冷媒抽取+拆解+破碎过程颗粒物产污系数为1112克/吨·原料，则废旧冰箱处理线拆解粉尘产生量为14.22t/a。</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fldChar w:fldCharType="begin"/>
            </w:r>
            <w:r>
              <w:rPr>
                <w:rFonts w:ascii="Times New Roman" w:hAnsi="Times New Roman" w:cs="Times New Roman"/>
                <w:b/>
                <w:color w:val="auto"/>
                <w:sz w:val="24"/>
                <w:szCs w:val="24"/>
              </w:rPr>
              <w:instrText xml:space="preserve"> = 2 \* GB2 </w:instrText>
            </w:r>
            <w:r>
              <w:rPr>
                <w:rFonts w:ascii="Times New Roman" w:hAnsi="Times New Roman" w:cs="Times New Roman"/>
                <w:b/>
                <w:color w:val="auto"/>
                <w:sz w:val="24"/>
                <w:szCs w:val="24"/>
              </w:rPr>
              <w:fldChar w:fldCharType="separate"/>
            </w:r>
            <w:r>
              <w:rPr>
                <w:rFonts w:ascii="Times New Roman" w:hAnsi="Times New Roman" w:cs="Times New Roman"/>
                <w:b/>
                <w:color w:val="auto"/>
                <w:sz w:val="24"/>
                <w:szCs w:val="24"/>
              </w:rPr>
              <w:t>⑵</w:t>
            </w:r>
            <w:r>
              <w:rPr>
                <w:rFonts w:ascii="Times New Roman" w:hAnsi="Times New Roman" w:cs="Times New Roman"/>
                <w:b/>
                <w:color w:val="auto"/>
                <w:sz w:val="24"/>
                <w:szCs w:val="24"/>
              </w:rPr>
              <w:fldChar w:fldCharType="end"/>
            </w:r>
            <w:r>
              <w:rPr>
                <w:rFonts w:ascii="Times New Roman" w:hAnsi="Times New Roman" w:cs="Times New Roman"/>
                <w:b/>
                <w:color w:val="auto"/>
                <w:sz w:val="24"/>
                <w:szCs w:val="24"/>
              </w:rPr>
              <w:t>非甲烷总烃</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根据《冰箱线物理拆解、分类收集改扩建项目竣工环境保护验收监测报告》，现有项目废旧冰箱处理线满负荷运行时，非甲烷总烃有组织排放量0.06t/a。</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调查，针对废旧冰箱处理线废气，项目已设置集气效率不低于90%的集气罩、1套去除效率不低于70%的旋风除尘器、1套去除效率不低于95%的脉冲除尘器（3#）、1套去除效率不低于80%的有机废气处理装置（采用UV光氧裂解+活性炭吸附）对其进行处理，废旧冰箱处理线废气风量为20000m³/h。</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综上，废旧冰箱处理线粉尘产排情况如下表所示。</w:t>
            </w:r>
          </w:p>
          <w:p>
            <w:pPr>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表2.11.1-1  现有项目废旧冰箱处理线粉尘产排情况一览表</w:t>
            </w:r>
          </w:p>
          <w:tbl>
            <w:tblPr>
              <w:tblStyle w:val="19"/>
              <w:tblW w:w="9034" w:type="dxa"/>
              <w:jc w:val="center"/>
              <w:tblInd w:w="0" w:type="dxa"/>
              <w:tblLayout w:type="fixed"/>
              <w:tblCellMar>
                <w:top w:w="0" w:type="dxa"/>
                <w:left w:w="108" w:type="dxa"/>
                <w:bottom w:w="0" w:type="dxa"/>
                <w:right w:w="108" w:type="dxa"/>
              </w:tblCellMar>
            </w:tblPr>
            <w:tblGrid>
              <w:gridCol w:w="1032"/>
              <w:gridCol w:w="1034"/>
              <w:gridCol w:w="1033"/>
              <w:gridCol w:w="1397"/>
              <w:gridCol w:w="1028"/>
              <w:gridCol w:w="1202"/>
              <w:gridCol w:w="1275"/>
              <w:gridCol w:w="1033"/>
            </w:tblGrid>
            <w:tr>
              <w:tblPrEx>
                <w:tblLayout w:type="fixed"/>
                <w:tblCellMar>
                  <w:top w:w="0" w:type="dxa"/>
                  <w:left w:w="108" w:type="dxa"/>
                  <w:bottom w:w="0" w:type="dxa"/>
                  <w:right w:w="108" w:type="dxa"/>
                </w:tblCellMar>
              </w:tblPrEx>
              <w:trPr>
                <w:trHeight w:val="300" w:hRule="atLeast"/>
                <w:jc w:val="center"/>
              </w:trPr>
              <w:tc>
                <w:tcPr>
                  <w:tcW w:w="1032"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产物环节</w:t>
                  </w:r>
                </w:p>
              </w:tc>
              <w:tc>
                <w:tcPr>
                  <w:tcW w:w="1034"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污染物类型</w:t>
                  </w:r>
                </w:p>
              </w:tc>
              <w:tc>
                <w:tcPr>
                  <w:tcW w:w="2430" w:type="dxa"/>
                  <w:gridSpan w:val="2"/>
                  <w:vMerge w:val="restart"/>
                  <w:tcBorders>
                    <w:top w:val="single" w:color="auto" w:sz="8" w:space="0"/>
                    <w:left w:val="single" w:color="auto" w:sz="8" w:space="0"/>
                    <w:bottom w:val="single" w:color="000000" w:sz="8" w:space="0"/>
                    <w:right w:val="single" w:color="000000" w:sz="8" w:space="0"/>
                  </w:tcBorders>
                  <w:shd w:val="clear" w:color="auto" w:fill="auto"/>
                  <w:vAlign w:val="center"/>
                </w:tcPr>
                <w:p>
                  <w:pPr>
                    <w:pStyle w:val="30"/>
                    <w:spacing w:line="360" w:lineRule="exact"/>
                    <w:rPr>
                      <w:color w:val="auto"/>
                      <w:szCs w:val="21"/>
                    </w:rPr>
                  </w:pPr>
                  <w:r>
                    <w:rPr>
                      <w:color w:val="auto"/>
                      <w:szCs w:val="21"/>
                    </w:rPr>
                    <w:t>产生情况</w:t>
                  </w:r>
                </w:p>
              </w:tc>
              <w:tc>
                <w:tcPr>
                  <w:tcW w:w="4538" w:type="dxa"/>
                  <w:gridSpan w:val="4"/>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排放情况</w:t>
                  </w:r>
                </w:p>
              </w:tc>
            </w:tr>
            <w:tr>
              <w:tblPrEx>
                <w:tblLayout w:type="fixed"/>
                <w:tblCellMar>
                  <w:top w:w="0" w:type="dxa"/>
                  <w:left w:w="108" w:type="dxa"/>
                  <w:bottom w:w="0" w:type="dxa"/>
                  <w:right w:w="108" w:type="dxa"/>
                </w:tblCellMar>
              </w:tblPrEx>
              <w:trPr>
                <w:trHeight w:val="300" w:hRule="atLeast"/>
                <w:jc w:val="center"/>
              </w:trPr>
              <w:tc>
                <w:tcPr>
                  <w:tcW w:w="1032"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1034"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2430" w:type="dxa"/>
                  <w:gridSpan w:val="2"/>
                  <w:vMerge w:val="continue"/>
                  <w:tcBorders>
                    <w:top w:val="single" w:color="auto" w:sz="8" w:space="0"/>
                    <w:left w:val="single" w:color="auto" w:sz="8" w:space="0"/>
                    <w:bottom w:val="single" w:color="000000" w:sz="8" w:space="0"/>
                    <w:right w:val="single" w:color="000000" w:sz="8" w:space="0"/>
                  </w:tcBorders>
                  <w:vAlign w:val="center"/>
                </w:tcPr>
                <w:p>
                  <w:pPr>
                    <w:pStyle w:val="30"/>
                    <w:spacing w:line="360" w:lineRule="exact"/>
                    <w:rPr>
                      <w:color w:val="auto"/>
                      <w:szCs w:val="21"/>
                    </w:rPr>
                  </w:pPr>
                </w:p>
              </w:tc>
              <w:tc>
                <w:tcPr>
                  <w:tcW w:w="3505"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有组织</w:t>
                  </w:r>
                </w:p>
              </w:tc>
              <w:tc>
                <w:tcPr>
                  <w:tcW w:w="1033" w:type="dxa"/>
                  <w:tcBorders>
                    <w:top w:val="nil"/>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无组织</w:t>
                  </w:r>
                </w:p>
              </w:tc>
            </w:tr>
            <w:tr>
              <w:tblPrEx>
                <w:tblLayout w:type="fixed"/>
                <w:tblCellMar>
                  <w:top w:w="0" w:type="dxa"/>
                  <w:left w:w="108" w:type="dxa"/>
                  <w:bottom w:w="0" w:type="dxa"/>
                  <w:right w:w="108" w:type="dxa"/>
                </w:tblCellMar>
              </w:tblPrEx>
              <w:trPr>
                <w:trHeight w:val="56" w:hRule="atLeast"/>
                <w:jc w:val="center"/>
              </w:trPr>
              <w:tc>
                <w:tcPr>
                  <w:tcW w:w="1032"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1034"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产生量（t/a）</w:t>
                  </w:r>
                </w:p>
              </w:tc>
              <w:tc>
                <w:tcPr>
                  <w:tcW w:w="1397"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产生浓度（mg/m³）</w:t>
                  </w:r>
                </w:p>
              </w:tc>
              <w:tc>
                <w:tcPr>
                  <w:tcW w:w="102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排放量（t/a）</w:t>
                  </w:r>
                </w:p>
              </w:tc>
              <w:tc>
                <w:tcPr>
                  <w:tcW w:w="1202"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排放速率（kg/h）</w:t>
                  </w:r>
                </w:p>
              </w:tc>
              <w:tc>
                <w:tcPr>
                  <w:tcW w:w="127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排放浓度（mg/m³）</w:t>
                  </w: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排放量（t/a）</w:t>
                  </w:r>
                </w:p>
              </w:tc>
            </w:tr>
            <w:tr>
              <w:tblPrEx>
                <w:tblLayout w:type="fixed"/>
                <w:tblCellMar>
                  <w:top w:w="0" w:type="dxa"/>
                  <w:left w:w="108" w:type="dxa"/>
                  <w:bottom w:w="0" w:type="dxa"/>
                  <w:right w:w="108" w:type="dxa"/>
                </w:tblCellMar>
              </w:tblPrEx>
              <w:trPr>
                <w:trHeight w:val="239" w:hRule="atLeast"/>
                <w:jc w:val="center"/>
              </w:trPr>
              <w:tc>
                <w:tcPr>
                  <w:tcW w:w="1032" w:type="dxa"/>
                  <w:vMerge w:val="restart"/>
                  <w:tcBorders>
                    <w:top w:val="nil"/>
                    <w:left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冷媒抽取+拆解+破碎</w:t>
                  </w:r>
                </w:p>
              </w:tc>
              <w:tc>
                <w:tcPr>
                  <w:tcW w:w="1034" w:type="dxa"/>
                  <w:tcBorders>
                    <w:top w:val="nil"/>
                    <w:left w:val="nil"/>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废气量</w:t>
                  </w:r>
                </w:p>
              </w:tc>
              <w:tc>
                <w:tcPr>
                  <w:tcW w:w="243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6000万m³/a</w:t>
                  </w:r>
                </w:p>
              </w:tc>
              <w:tc>
                <w:tcPr>
                  <w:tcW w:w="3505"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6000万m³/a</w:t>
                  </w: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w:t>
                  </w:r>
                </w:p>
              </w:tc>
            </w:tr>
            <w:tr>
              <w:tblPrEx>
                <w:tblLayout w:type="fixed"/>
                <w:tblCellMar>
                  <w:top w:w="0" w:type="dxa"/>
                  <w:left w:w="108" w:type="dxa"/>
                  <w:bottom w:w="0" w:type="dxa"/>
                  <w:right w:w="108" w:type="dxa"/>
                </w:tblCellMar>
              </w:tblPrEx>
              <w:trPr>
                <w:trHeight w:val="56" w:hRule="atLeast"/>
                <w:jc w:val="center"/>
              </w:trPr>
              <w:tc>
                <w:tcPr>
                  <w:tcW w:w="1032" w:type="dxa"/>
                  <w:vMerge w:val="continue"/>
                  <w:tcBorders>
                    <w:left w:val="single" w:color="auto" w:sz="8" w:space="0"/>
                    <w:right w:val="single" w:color="auto" w:sz="8" w:space="0"/>
                  </w:tcBorders>
                  <w:vAlign w:val="center"/>
                </w:tcPr>
                <w:p>
                  <w:pPr>
                    <w:pStyle w:val="30"/>
                    <w:spacing w:line="360" w:lineRule="exact"/>
                    <w:rPr>
                      <w:color w:val="auto"/>
                      <w:szCs w:val="21"/>
                    </w:rPr>
                  </w:pPr>
                </w:p>
              </w:tc>
              <w:tc>
                <w:tcPr>
                  <w:tcW w:w="1034"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粉尘</w:t>
                  </w: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14.22</w:t>
                  </w:r>
                </w:p>
              </w:tc>
              <w:tc>
                <w:tcPr>
                  <w:tcW w:w="1397"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237</w:t>
                  </w:r>
                </w:p>
              </w:tc>
              <w:tc>
                <w:tcPr>
                  <w:tcW w:w="102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0.19</w:t>
                  </w:r>
                </w:p>
              </w:tc>
              <w:tc>
                <w:tcPr>
                  <w:tcW w:w="1202"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0.06</w:t>
                  </w:r>
                </w:p>
              </w:tc>
              <w:tc>
                <w:tcPr>
                  <w:tcW w:w="127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3.17</w:t>
                  </w: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1.422</w:t>
                  </w:r>
                </w:p>
              </w:tc>
            </w:tr>
            <w:tr>
              <w:tblPrEx>
                <w:tblLayout w:type="fixed"/>
                <w:tblCellMar>
                  <w:top w:w="0" w:type="dxa"/>
                  <w:left w:w="108" w:type="dxa"/>
                  <w:bottom w:w="0" w:type="dxa"/>
                  <w:right w:w="108" w:type="dxa"/>
                </w:tblCellMar>
              </w:tblPrEx>
              <w:trPr>
                <w:trHeight w:val="56" w:hRule="atLeast"/>
                <w:jc w:val="center"/>
              </w:trPr>
              <w:tc>
                <w:tcPr>
                  <w:tcW w:w="1032" w:type="dxa"/>
                  <w:vMerge w:val="continue"/>
                  <w:tcBorders>
                    <w:left w:val="single" w:color="auto" w:sz="8" w:space="0"/>
                    <w:bottom w:val="single" w:color="auto" w:sz="4" w:space="0"/>
                    <w:right w:val="single" w:color="auto" w:sz="8" w:space="0"/>
                  </w:tcBorders>
                  <w:vAlign w:val="center"/>
                </w:tcPr>
                <w:p>
                  <w:pPr>
                    <w:pStyle w:val="30"/>
                    <w:spacing w:line="360" w:lineRule="exact"/>
                    <w:rPr>
                      <w:color w:val="auto"/>
                      <w:szCs w:val="21"/>
                    </w:rPr>
                  </w:pPr>
                </w:p>
              </w:tc>
              <w:tc>
                <w:tcPr>
                  <w:tcW w:w="1034"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非甲烷总烃</w:t>
                  </w:r>
                </w:p>
              </w:tc>
              <w:tc>
                <w:tcPr>
                  <w:tcW w:w="1033"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0.33</w:t>
                  </w:r>
                </w:p>
              </w:tc>
              <w:tc>
                <w:tcPr>
                  <w:tcW w:w="1397"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5.5</w:t>
                  </w:r>
                </w:p>
              </w:tc>
              <w:tc>
                <w:tcPr>
                  <w:tcW w:w="1028"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0.06</w:t>
                  </w:r>
                </w:p>
              </w:tc>
              <w:tc>
                <w:tcPr>
                  <w:tcW w:w="1202"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0.02</w:t>
                  </w:r>
                </w:p>
              </w:tc>
              <w:tc>
                <w:tcPr>
                  <w:tcW w:w="1275"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1</w:t>
                  </w:r>
                </w:p>
              </w:tc>
              <w:tc>
                <w:tcPr>
                  <w:tcW w:w="1033"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0.03</w:t>
                  </w:r>
                </w:p>
              </w:tc>
            </w:tr>
            <w:tr>
              <w:tblPrEx>
                <w:tblLayout w:type="fixed"/>
                <w:tblCellMar>
                  <w:top w:w="0" w:type="dxa"/>
                  <w:left w:w="108" w:type="dxa"/>
                  <w:bottom w:w="0" w:type="dxa"/>
                  <w:right w:w="108" w:type="dxa"/>
                </w:tblCellMar>
              </w:tblPrEx>
              <w:trPr>
                <w:trHeight w:val="303" w:hRule="atLeast"/>
                <w:jc w:val="center"/>
              </w:trPr>
              <w:tc>
                <w:tcPr>
                  <w:tcW w:w="9034" w:type="dxa"/>
                  <w:gridSpan w:val="8"/>
                  <w:tcBorders>
                    <w:left w:val="single" w:color="auto" w:sz="8" w:space="0"/>
                    <w:bottom w:val="single" w:color="000000" w:sz="8" w:space="0"/>
                    <w:right w:val="single" w:color="auto" w:sz="8" w:space="0"/>
                  </w:tcBorders>
                  <w:vAlign w:val="center"/>
                </w:tcPr>
                <w:p>
                  <w:pPr>
                    <w:ind w:firstLine="210" w:firstLineChars="100"/>
                    <w:rPr>
                      <w:rFonts w:ascii="Times New Roman" w:hAnsi="Times New Roman" w:cs="Times New Roman"/>
                      <w:color w:val="auto"/>
                    </w:rPr>
                  </w:pPr>
                  <w:r>
                    <w:rPr>
                      <w:rFonts w:ascii="Times New Roman" w:cs="Times New Roman"/>
                      <w:color w:val="auto"/>
                    </w:rPr>
                    <w:t>备注：废旧冰箱处理线年工作</w:t>
                  </w:r>
                  <w:r>
                    <w:rPr>
                      <w:rFonts w:ascii="Times New Roman" w:hAnsi="Times New Roman" w:cs="Times New Roman"/>
                      <w:color w:val="auto"/>
                    </w:rPr>
                    <w:t>3000h</w:t>
                  </w:r>
                  <w:r>
                    <w:rPr>
                      <w:rFonts w:ascii="Times New Roman" w:cs="Times New Roman"/>
                      <w:color w:val="auto"/>
                    </w:rPr>
                    <w:t>。目前，废旧洗衣机处理线废气和废旧冰箱处理线废气共用</w:t>
                  </w:r>
                  <w:r>
                    <w:rPr>
                      <w:rFonts w:ascii="Times New Roman" w:hAnsi="Times New Roman" w:cs="Times New Roman"/>
                      <w:color w:val="auto"/>
                    </w:rPr>
                    <w:t>1</w:t>
                  </w:r>
                  <w:r>
                    <w:rPr>
                      <w:rFonts w:ascii="Times New Roman" w:cs="Times New Roman"/>
                      <w:color w:val="auto"/>
                    </w:rPr>
                    <w:t>根排气筒外排；整改后通过1根</w:t>
                  </w:r>
                  <w:r>
                    <w:rPr>
                      <w:rFonts w:ascii="Times New Roman" w:hAnsi="Times New Roman" w:cs="Times New Roman"/>
                      <w:color w:val="auto"/>
                    </w:rPr>
                    <w:t>Φ0.5m</w:t>
                  </w:r>
                  <w:r>
                    <w:rPr>
                      <w:rFonts w:ascii="Times New Roman" w:cs="Times New Roman"/>
                      <w:color w:val="auto"/>
                    </w:rPr>
                    <w:t>、高</w:t>
                  </w:r>
                  <w:r>
                    <w:rPr>
                      <w:rFonts w:ascii="Times New Roman" w:hAnsi="Times New Roman" w:cs="Times New Roman"/>
                      <w:color w:val="auto"/>
                    </w:rPr>
                    <w:t>15m</w:t>
                  </w:r>
                  <w:r>
                    <w:rPr>
                      <w:rFonts w:ascii="Times New Roman" w:cs="Times New Roman"/>
                      <w:color w:val="auto"/>
                    </w:rPr>
                    <w:t>的排气筒（</w:t>
                  </w:r>
                  <w:r>
                    <w:rPr>
                      <w:rFonts w:ascii="Times New Roman" w:hAnsi="Times New Roman" w:cs="Times New Roman"/>
                      <w:color w:val="auto"/>
                    </w:rPr>
                    <w:t>DA001</w:t>
                  </w:r>
                  <w:r>
                    <w:rPr>
                      <w:rFonts w:ascii="Times New Roman" w:cs="Times New Roman"/>
                      <w:color w:val="auto"/>
                    </w:rPr>
                    <w:t>）外排。</w:t>
                  </w:r>
                </w:p>
              </w:tc>
            </w:tr>
          </w:tbl>
          <w:p>
            <w:pPr>
              <w:spacing w:beforeLines="50"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②现有工程空调/小家电/废手机及其视听设备消费电子产品处理线废气产排情况</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现有工程空调/小家电/废手机及其视听设备消费电子产品处理线废气产生环节主要为空调/小家电/废手机及其视听设备消费电子产品处理线拆解粉尘，现有工程空调/小家电/废手机及其视听设备消费电子产品处理线空调/小家电/废手机及其视听设备消费电子产品的处理能力为拆解废旧空调20万台/a，拆解废旧电脑主机20万台/a，拆解废旧手机及其视听设备电子产品20万台/a；根据建设单位提供的技术参数，每台空调的平均重量为40.2kg、每台电脑主机的平均重量为6kg、每台废旧手机及其视听设备电子产品的平均重量为0.15kg；则废旧空调拆解量为8040t/a、废旧电脑主机拆解量为1200t/a、废旧废旧手机及其视听设备电子产品拆解量为26t/a；根据《排放源统计调查产排污核算方法和系数手册》中“42废弃资源综合利用行业系数手册”，废空调拆解过程颗粒物产污系数为16.8克/吨·原料，废旧电脑主机参照小型消费类电器电子产品拆解过程颗粒物产污系数为13.4克/吨·原料，废手机拆解过程颗粒物产污系数为10.8克/吨·原料，则空调/小家电/废手机及其视听设备消费电子产品处理线拆解粉尘产生量为0.15t/a；针对空调/小家电/废手机及其视听设备消费电子产品处理线拆解粉尘，项目已对喷吹室进行密闭，并设置1个集气效率不低于90%的集气罩对其进行收集，集气罩的集气效率不低于90%；集气罩风量为5000m³/h，则空调/小家电/废手机及其视听设备消费电子产品处理线拆解粉尘有组织排放量为0.007t/a，无组织排放量为0.015t/a。</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综上，空调/小家电/废手机及其视听设备消费电子产品处理线粉尘产排情况如下表所示。</w:t>
            </w:r>
          </w:p>
          <w:p>
            <w:pPr>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表2.11.1-2 现有工程空调/小家电/废手机及其视听设备消费电子产品处理线粉尘产排表</w:t>
            </w:r>
          </w:p>
          <w:tbl>
            <w:tblPr>
              <w:tblStyle w:val="19"/>
              <w:tblW w:w="9034" w:type="dxa"/>
              <w:jc w:val="center"/>
              <w:tblInd w:w="0" w:type="dxa"/>
              <w:tblLayout w:type="fixed"/>
              <w:tblCellMar>
                <w:top w:w="0" w:type="dxa"/>
                <w:left w:w="108" w:type="dxa"/>
                <w:bottom w:w="0" w:type="dxa"/>
                <w:right w:w="108" w:type="dxa"/>
              </w:tblCellMar>
            </w:tblPr>
            <w:tblGrid>
              <w:gridCol w:w="1032"/>
              <w:gridCol w:w="1034"/>
              <w:gridCol w:w="1033"/>
              <w:gridCol w:w="1397"/>
              <w:gridCol w:w="1028"/>
              <w:gridCol w:w="1202"/>
              <w:gridCol w:w="1275"/>
              <w:gridCol w:w="1033"/>
            </w:tblGrid>
            <w:tr>
              <w:tblPrEx>
                <w:tblLayout w:type="fixed"/>
                <w:tblCellMar>
                  <w:top w:w="0" w:type="dxa"/>
                  <w:left w:w="108" w:type="dxa"/>
                  <w:bottom w:w="0" w:type="dxa"/>
                  <w:right w:w="108" w:type="dxa"/>
                </w:tblCellMar>
              </w:tblPrEx>
              <w:trPr>
                <w:trHeight w:val="300" w:hRule="atLeast"/>
                <w:jc w:val="center"/>
              </w:trPr>
              <w:tc>
                <w:tcPr>
                  <w:tcW w:w="1032"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产物环节</w:t>
                  </w:r>
                </w:p>
              </w:tc>
              <w:tc>
                <w:tcPr>
                  <w:tcW w:w="1034"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污染物类型</w:t>
                  </w:r>
                </w:p>
              </w:tc>
              <w:tc>
                <w:tcPr>
                  <w:tcW w:w="2430" w:type="dxa"/>
                  <w:gridSpan w:val="2"/>
                  <w:vMerge w:val="restart"/>
                  <w:tcBorders>
                    <w:top w:val="single" w:color="auto" w:sz="8" w:space="0"/>
                    <w:left w:val="single" w:color="auto" w:sz="8" w:space="0"/>
                    <w:bottom w:val="single" w:color="000000" w:sz="8" w:space="0"/>
                    <w:right w:val="single" w:color="000000" w:sz="8" w:space="0"/>
                  </w:tcBorders>
                  <w:shd w:val="clear" w:color="auto" w:fill="auto"/>
                  <w:vAlign w:val="center"/>
                </w:tcPr>
                <w:p>
                  <w:pPr>
                    <w:pStyle w:val="30"/>
                    <w:spacing w:line="360" w:lineRule="exact"/>
                    <w:rPr>
                      <w:color w:val="auto"/>
                      <w:szCs w:val="21"/>
                    </w:rPr>
                  </w:pPr>
                  <w:r>
                    <w:rPr>
                      <w:color w:val="auto"/>
                      <w:szCs w:val="21"/>
                    </w:rPr>
                    <w:t>产生情况</w:t>
                  </w:r>
                </w:p>
              </w:tc>
              <w:tc>
                <w:tcPr>
                  <w:tcW w:w="4538" w:type="dxa"/>
                  <w:gridSpan w:val="4"/>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排放情况</w:t>
                  </w:r>
                </w:p>
              </w:tc>
            </w:tr>
            <w:tr>
              <w:tblPrEx>
                <w:tblLayout w:type="fixed"/>
                <w:tblCellMar>
                  <w:top w:w="0" w:type="dxa"/>
                  <w:left w:w="108" w:type="dxa"/>
                  <w:bottom w:w="0" w:type="dxa"/>
                  <w:right w:w="108" w:type="dxa"/>
                </w:tblCellMar>
              </w:tblPrEx>
              <w:trPr>
                <w:trHeight w:val="300" w:hRule="atLeast"/>
                <w:jc w:val="center"/>
              </w:trPr>
              <w:tc>
                <w:tcPr>
                  <w:tcW w:w="1032"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1034"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2430" w:type="dxa"/>
                  <w:gridSpan w:val="2"/>
                  <w:vMerge w:val="continue"/>
                  <w:tcBorders>
                    <w:top w:val="single" w:color="auto" w:sz="8" w:space="0"/>
                    <w:left w:val="single" w:color="auto" w:sz="8" w:space="0"/>
                    <w:bottom w:val="single" w:color="000000" w:sz="8" w:space="0"/>
                    <w:right w:val="single" w:color="000000" w:sz="8" w:space="0"/>
                  </w:tcBorders>
                  <w:vAlign w:val="center"/>
                </w:tcPr>
                <w:p>
                  <w:pPr>
                    <w:pStyle w:val="30"/>
                    <w:spacing w:line="360" w:lineRule="exact"/>
                    <w:rPr>
                      <w:color w:val="auto"/>
                      <w:szCs w:val="21"/>
                    </w:rPr>
                  </w:pPr>
                </w:p>
              </w:tc>
              <w:tc>
                <w:tcPr>
                  <w:tcW w:w="3505"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有组织</w:t>
                  </w:r>
                </w:p>
              </w:tc>
              <w:tc>
                <w:tcPr>
                  <w:tcW w:w="1033" w:type="dxa"/>
                  <w:tcBorders>
                    <w:top w:val="nil"/>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无组织</w:t>
                  </w:r>
                </w:p>
              </w:tc>
            </w:tr>
            <w:tr>
              <w:tblPrEx>
                <w:tblLayout w:type="fixed"/>
                <w:tblCellMar>
                  <w:top w:w="0" w:type="dxa"/>
                  <w:left w:w="108" w:type="dxa"/>
                  <w:bottom w:w="0" w:type="dxa"/>
                  <w:right w:w="108" w:type="dxa"/>
                </w:tblCellMar>
              </w:tblPrEx>
              <w:trPr>
                <w:trHeight w:val="56" w:hRule="atLeast"/>
                <w:jc w:val="center"/>
              </w:trPr>
              <w:tc>
                <w:tcPr>
                  <w:tcW w:w="1032"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1034"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产生量（t/a）</w:t>
                  </w:r>
                </w:p>
              </w:tc>
              <w:tc>
                <w:tcPr>
                  <w:tcW w:w="1397"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产生浓度（mg/m³）</w:t>
                  </w:r>
                </w:p>
              </w:tc>
              <w:tc>
                <w:tcPr>
                  <w:tcW w:w="102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排放量（t/a）</w:t>
                  </w:r>
                </w:p>
              </w:tc>
              <w:tc>
                <w:tcPr>
                  <w:tcW w:w="1202"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排放速率（kg/h）</w:t>
                  </w:r>
                </w:p>
              </w:tc>
              <w:tc>
                <w:tcPr>
                  <w:tcW w:w="127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排放浓度（mg/m³）</w:t>
                  </w: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排放量（t/a）</w:t>
                  </w:r>
                </w:p>
              </w:tc>
            </w:tr>
            <w:tr>
              <w:tblPrEx>
                <w:tblLayout w:type="fixed"/>
                <w:tblCellMar>
                  <w:top w:w="0" w:type="dxa"/>
                  <w:left w:w="108" w:type="dxa"/>
                  <w:bottom w:w="0" w:type="dxa"/>
                  <w:right w:w="108" w:type="dxa"/>
                </w:tblCellMar>
              </w:tblPrEx>
              <w:trPr>
                <w:trHeight w:val="56" w:hRule="atLeast"/>
                <w:jc w:val="center"/>
              </w:trPr>
              <w:tc>
                <w:tcPr>
                  <w:tcW w:w="1032" w:type="dxa"/>
                  <w:vMerge w:val="restart"/>
                  <w:tcBorders>
                    <w:top w:val="nil"/>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拆解</w:t>
                  </w:r>
                </w:p>
              </w:tc>
              <w:tc>
                <w:tcPr>
                  <w:tcW w:w="1034" w:type="dxa"/>
                  <w:tcBorders>
                    <w:top w:val="nil"/>
                    <w:left w:val="nil"/>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废气量</w:t>
                  </w:r>
                </w:p>
              </w:tc>
              <w:tc>
                <w:tcPr>
                  <w:tcW w:w="243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2000万m³/a</w:t>
                  </w:r>
                </w:p>
              </w:tc>
              <w:tc>
                <w:tcPr>
                  <w:tcW w:w="3505"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2000万m³/a</w:t>
                  </w: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w:t>
                  </w:r>
                </w:p>
              </w:tc>
            </w:tr>
            <w:tr>
              <w:tblPrEx>
                <w:tblLayout w:type="fixed"/>
                <w:tblCellMar>
                  <w:top w:w="0" w:type="dxa"/>
                  <w:left w:w="108" w:type="dxa"/>
                  <w:bottom w:w="0" w:type="dxa"/>
                  <w:right w:w="108" w:type="dxa"/>
                </w:tblCellMar>
              </w:tblPrEx>
              <w:trPr>
                <w:trHeight w:val="56" w:hRule="atLeast"/>
                <w:jc w:val="center"/>
              </w:trPr>
              <w:tc>
                <w:tcPr>
                  <w:tcW w:w="1032" w:type="dxa"/>
                  <w:vMerge w:val="continue"/>
                  <w:tcBorders>
                    <w:top w:val="nil"/>
                    <w:left w:val="single" w:color="auto" w:sz="8" w:space="0"/>
                    <w:bottom w:val="single" w:color="auto" w:sz="4" w:space="0"/>
                    <w:right w:val="single" w:color="auto" w:sz="8" w:space="0"/>
                  </w:tcBorders>
                  <w:vAlign w:val="center"/>
                </w:tcPr>
                <w:p>
                  <w:pPr>
                    <w:pStyle w:val="30"/>
                    <w:spacing w:line="360" w:lineRule="exact"/>
                    <w:rPr>
                      <w:color w:val="auto"/>
                      <w:szCs w:val="21"/>
                    </w:rPr>
                  </w:pPr>
                </w:p>
              </w:tc>
              <w:tc>
                <w:tcPr>
                  <w:tcW w:w="1034"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粉尘</w:t>
                  </w:r>
                </w:p>
              </w:tc>
              <w:tc>
                <w:tcPr>
                  <w:tcW w:w="1033"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0.15</w:t>
                  </w:r>
                </w:p>
              </w:tc>
              <w:tc>
                <w:tcPr>
                  <w:tcW w:w="1397"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7.50</w:t>
                  </w:r>
                </w:p>
              </w:tc>
              <w:tc>
                <w:tcPr>
                  <w:tcW w:w="1028"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0.007</w:t>
                  </w:r>
                </w:p>
              </w:tc>
              <w:tc>
                <w:tcPr>
                  <w:tcW w:w="1202"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0.002</w:t>
                  </w:r>
                </w:p>
              </w:tc>
              <w:tc>
                <w:tcPr>
                  <w:tcW w:w="1275"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0.35</w:t>
                  </w:r>
                </w:p>
              </w:tc>
              <w:tc>
                <w:tcPr>
                  <w:tcW w:w="1033"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0.015</w:t>
                  </w:r>
                </w:p>
              </w:tc>
            </w:tr>
            <w:tr>
              <w:tblPrEx>
                <w:tblLayout w:type="fixed"/>
                <w:tblCellMar>
                  <w:top w:w="0" w:type="dxa"/>
                  <w:left w:w="108" w:type="dxa"/>
                  <w:bottom w:w="0" w:type="dxa"/>
                  <w:right w:w="108" w:type="dxa"/>
                </w:tblCellMar>
              </w:tblPrEx>
              <w:trPr>
                <w:trHeight w:val="56" w:hRule="atLeast"/>
                <w:jc w:val="center"/>
              </w:trPr>
              <w:tc>
                <w:tcPr>
                  <w:tcW w:w="9034" w:type="dxa"/>
                  <w:gridSpan w:val="8"/>
                  <w:tcBorders>
                    <w:top w:val="single" w:color="auto" w:sz="4" w:space="0"/>
                    <w:left w:val="single" w:color="auto" w:sz="8" w:space="0"/>
                    <w:bottom w:val="single" w:color="000000" w:sz="8" w:space="0"/>
                    <w:right w:val="single" w:color="auto" w:sz="8" w:space="0"/>
                  </w:tcBorders>
                  <w:vAlign w:val="center"/>
                </w:tcPr>
                <w:p>
                  <w:pPr>
                    <w:pStyle w:val="30"/>
                    <w:spacing w:line="360" w:lineRule="exact"/>
                    <w:ind w:firstLine="210" w:firstLineChars="100"/>
                    <w:jc w:val="left"/>
                    <w:rPr>
                      <w:color w:val="auto"/>
                      <w:szCs w:val="21"/>
                    </w:rPr>
                  </w:pPr>
                  <w:r>
                    <w:rPr>
                      <w:color w:val="auto"/>
                      <w:szCs w:val="21"/>
                    </w:rPr>
                    <w:t>备注：空调/小家电/废手机及其视听设备消费电子产品处理线年工作4000h。</w:t>
                  </w:r>
                  <w:r>
                    <w:rPr>
                      <w:rFonts w:hint="eastAsia"/>
                      <w:color w:val="auto"/>
                      <w:szCs w:val="21"/>
                    </w:rPr>
                    <w:t>空调/小家电/废手机及其视听设备消费电子产品处理线废气和1号废旧电视机（液晶电视）处理线废气、2号废旧电视机（CRT）处理线普通粉尘共用1根排气筒外排；废旧洗衣机处理线废气和废旧冰箱处理线废气共用1根排气筒外排；整改后</w:t>
                  </w:r>
                  <w:r>
                    <w:rPr>
                      <w:color w:val="auto"/>
                      <w:szCs w:val="21"/>
                    </w:rPr>
                    <w:t>通过1根Φ0.4m、高15m的排气筒（DA00</w:t>
                  </w:r>
                  <w:r>
                    <w:rPr>
                      <w:rFonts w:hint="eastAsia"/>
                      <w:color w:val="auto"/>
                      <w:szCs w:val="21"/>
                    </w:rPr>
                    <w:t>2</w:t>
                  </w:r>
                  <w:r>
                    <w:rPr>
                      <w:color w:val="auto"/>
                      <w:szCs w:val="21"/>
                    </w:rPr>
                    <w:t>）外排</w:t>
                  </w:r>
                  <w:r>
                    <w:rPr>
                      <w:rFonts w:hint="eastAsia"/>
                      <w:color w:val="auto"/>
                      <w:szCs w:val="21"/>
                    </w:rPr>
                    <w:t>。</w:t>
                  </w:r>
                </w:p>
              </w:tc>
            </w:tr>
          </w:tbl>
          <w:p>
            <w:pPr>
              <w:spacing w:beforeLines="50"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③现有工程废旧洗衣机处理线废气产排情况</w:t>
            </w:r>
          </w:p>
          <w:p>
            <w:pPr>
              <w:spacing w:line="360" w:lineRule="auto"/>
              <w:ind w:firstLine="480" w:firstLineChars="200"/>
              <w:rPr>
                <w:rFonts w:ascii="Times New Roman" w:hAnsi="Times New Roman" w:cs="Times New Roman"/>
                <w:b/>
                <w:color w:val="auto"/>
                <w:sz w:val="24"/>
                <w:szCs w:val="24"/>
              </w:rPr>
            </w:pPr>
            <w:r>
              <w:rPr>
                <w:rFonts w:ascii="Times New Roman" w:hAnsi="Times New Roman" w:cs="Times New Roman"/>
                <w:color w:val="auto"/>
                <w:sz w:val="24"/>
                <w:szCs w:val="24"/>
              </w:rPr>
              <w:t>现有工程废旧洗衣机处理线废气产生环节主要为废旧洗衣机拆解粉尘，现有工程废旧洗衣机处理线废旧洗衣机的处理能力为18万台/a，根据建设单位提供的技术参数，每台洗衣机的平均重量为58.15kg；则合计处理量为10467t/a，根据《排放源统计调查产排污核算方法和系数手册》中“42废弃资源综合利用行业系数手册”，废洗衣机拆解过程颗粒物产污系数为16.8克/吨·原料，则废旧洗衣机拆解粉尘产生量为0.18t/a；针对废旧洗衣机拆解粉尘，项目拟对每个拆解工位设置集气效率不低于90%的集气罩（集气罩风量为1000m³/h·个，合计6000m³/h）；则废旧洗衣机拆解粉尘有组织排放量为0.008t/a，无组织排放量为0.018t/a。</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综上，废旧洗衣机处理线粉尘产排情况如下表所示。</w:t>
            </w:r>
          </w:p>
          <w:p>
            <w:pPr>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表2.11.1-3 现有工程废旧洗衣机处理线粉尘产排情况一览表</w:t>
            </w:r>
          </w:p>
          <w:tbl>
            <w:tblPr>
              <w:tblStyle w:val="19"/>
              <w:tblW w:w="9034" w:type="dxa"/>
              <w:jc w:val="center"/>
              <w:tblInd w:w="0" w:type="dxa"/>
              <w:tblLayout w:type="fixed"/>
              <w:tblCellMar>
                <w:top w:w="0" w:type="dxa"/>
                <w:left w:w="108" w:type="dxa"/>
                <w:bottom w:w="0" w:type="dxa"/>
                <w:right w:w="108" w:type="dxa"/>
              </w:tblCellMar>
            </w:tblPr>
            <w:tblGrid>
              <w:gridCol w:w="1032"/>
              <w:gridCol w:w="1034"/>
              <w:gridCol w:w="1033"/>
              <w:gridCol w:w="1397"/>
              <w:gridCol w:w="1028"/>
              <w:gridCol w:w="1202"/>
              <w:gridCol w:w="1275"/>
              <w:gridCol w:w="1033"/>
            </w:tblGrid>
            <w:tr>
              <w:tblPrEx>
                <w:tblLayout w:type="fixed"/>
                <w:tblCellMar>
                  <w:top w:w="0" w:type="dxa"/>
                  <w:left w:w="108" w:type="dxa"/>
                  <w:bottom w:w="0" w:type="dxa"/>
                  <w:right w:w="108" w:type="dxa"/>
                </w:tblCellMar>
              </w:tblPrEx>
              <w:trPr>
                <w:trHeight w:val="300" w:hRule="atLeast"/>
                <w:jc w:val="center"/>
              </w:trPr>
              <w:tc>
                <w:tcPr>
                  <w:tcW w:w="1032"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产物环节</w:t>
                  </w:r>
                </w:p>
              </w:tc>
              <w:tc>
                <w:tcPr>
                  <w:tcW w:w="1034"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污染物类型</w:t>
                  </w:r>
                </w:p>
              </w:tc>
              <w:tc>
                <w:tcPr>
                  <w:tcW w:w="2430" w:type="dxa"/>
                  <w:gridSpan w:val="2"/>
                  <w:vMerge w:val="restart"/>
                  <w:tcBorders>
                    <w:top w:val="single" w:color="auto" w:sz="8" w:space="0"/>
                    <w:left w:val="single" w:color="auto" w:sz="8" w:space="0"/>
                    <w:bottom w:val="single" w:color="000000" w:sz="8" w:space="0"/>
                    <w:right w:val="single" w:color="000000" w:sz="8" w:space="0"/>
                  </w:tcBorders>
                  <w:shd w:val="clear" w:color="auto" w:fill="auto"/>
                  <w:vAlign w:val="center"/>
                </w:tcPr>
                <w:p>
                  <w:pPr>
                    <w:pStyle w:val="30"/>
                    <w:spacing w:line="360" w:lineRule="exact"/>
                    <w:rPr>
                      <w:color w:val="auto"/>
                      <w:szCs w:val="21"/>
                    </w:rPr>
                  </w:pPr>
                  <w:r>
                    <w:rPr>
                      <w:color w:val="auto"/>
                      <w:szCs w:val="21"/>
                    </w:rPr>
                    <w:t>产生情况</w:t>
                  </w:r>
                </w:p>
              </w:tc>
              <w:tc>
                <w:tcPr>
                  <w:tcW w:w="4538" w:type="dxa"/>
                  <w:gridSpan w:val="4"/>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排放情况</w:t>
                  </w:r>
                </w:p>
              </w:tc>
            </w:tr>
            <w:tr>
              <w:tblPrEx>
                <w:tblLayout w:type="fixed"/>
                <w:tblCellMar>
                  <w:top w:w="0" w:type="dxa"/>
                  <w:left w:w="108" w:type="dxa"/>
                  <w:bottom w:w="0" w:type="dxa"/>
                  <w:right w:w="108" w:type="dxa"/>
                </w:tblCellMar>
              </w:tblPrEx>
              <w:trPr>
                <w:trHeight w:val="300" w:hRule="atLeast"/>
                <w:jc w:val="center"/>
              </w:trPr>
              <w:tc>
                <w:tcPr>
                  <w:tcW w:w="1032"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1034"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2430" w:type="dxa"/>
                  <w:gridSpan w:val="2"/>
                  <w:vMerge w:val="continue"/>
                  <w:tcBorders>
                    <w:top w:val="single" w:color="auto" w:sz="8" w:space="0"/>
                    <w:left w:val="single" w:color="auto" w:sz="8" w:space="0"/>
                    <w:bottom w:val="single" w:color="000000" w:sz="8" w:space="0"/>
                    <w:right w:val="single" w:color="000000" w:sz="8" w:space="0"/>
                  </w:tcBorders>
                  <w:vAlign w:val="center"/>
                </w:tcPr>
                <w:p>
                  <w:pPr>
                    <w:pStyle w:val="30"/>
                    <w:spacing w:line="360" w:lineRule="exact"/>
                    <w:rPr>
                      <w:color w:val="auto"/>
                      <w:szCs w:val="21"/>
                    </w:rPr>
                  </w:pPr>
                </w:p>
              </w:tc>
              <w:tc>
                <w:tcPr>
                  <w:tcW w:w="3505"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有组织</w:t>
                  </w:r>
                </w:p>
              </w:tc>
              <w:tc>
                <w:tcPr>
                  <w:tcW w:w="1033" w:type="dxa"/>
                  <w:tcBorders>
                    <w:top w:val="nil"/>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无组织</w:t>
                  </w:r>
                </w:p>
              </w:tc>
            </w:tr>
            <w:tr>
              <w:tblPrEx>
                <w:tblLayout w:type="fixed"/>
                <w:tblCellMar>
                  <w:top w:w="0" w:type="dxa"/>
                  <w:left w:w="108" w:type="dxa"/>
                  <w:bottom w:w="0" w:type="dxa"/>
                  <w:right w:w="108" w:type="dxa"/>
                </w:tblCellMar>
              </w:tblPrEx>
              <w:trPr>
                <w:trHeight w:val="56" w:hRule="atLeast"/>
                <w:jc w:val="center"/>
              </w:trPr>
              <w:tc>
                <w:tcPr>
                  <w:tcW w:w="1032"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1034"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产生量（t/a）</w:t>
                  </w:r>
                </w:p>
              </w:tc>
              <w:tc>
                <w:tcPr>
                  <w:tcW w:w="1397"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产生浓度（mg/m³）</w:t>
                  </w:r>
                </w:p>
              </w:tc>
              <w:tc>
                <w:tcPr>
                  <w:tcW w:w="102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排放量（t/a）</w:t>
                  </w:r>
                </w:p>
              </w:tc>
              <w:tc>
                <w:tcPr>
                  <w:tcW w:w="1202"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排放速率（kg/h）</w:t>
                  </w:r>
                </w:p>
              </w:tc>
              <w:tc>
                <w:tcPr>
                  <w:tcW w:w="127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排放浓度（mg/m³）</w:t>
                  </w: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排放量（t/a）</w:t>
                  </w:r>
                </w:p>
              </w:tc>
            </w:tr>
            <w:tr>
              <w:tblPrEx>
                <w:tblLayout w:type="fixed"/>
                <w:tblCellMar>
                  <w:top w:w="0" w:type="dxa"/>
                  <w:left w:w="108" w:type="dxa"/>
                  <w:bottom w:w="0" w:type="dxa"/>
                  <w:right w:w="108" w:type="dxa"/>
                </w:tblCellMar>
              </w:tblPrEx>
              <w:trPr>
                <w:trHeight w:val="56" w:hRule="atLeast"/>
                <w:jc w:val="center"/>
              </w:trPr>
              <w:tc>
                <w:tcPr>
                  <w:tcW w:w="1032" w:type="dxa"/>
                  <w:vMerge w:val="restart"/>
                  <w:tcBorders>
                    <w:top w:val="nil"/>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拆解</w:t>
                  </w:r>
                </w:p>
              </w:tc>
              <w:tc>
                <w:tcPr>
                  <w:tcW w:w="1034" w:type="dxa"/>
                  <w:tcBorders>
                    <w:top w:val="nil"/>
                    <w:left w:val="nil"/>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废气量</w:t>
                  </w:r>
                </w:p>
              </w:tc>
              <w:tc>
                <w:tcPr>
                  <w:tcW w:w="243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1200万m³/a</w:t>
                  </w:r>
                </w:p>
              </w:tc>
              <w:tc>
                <w:tcPr>
                  <w:tcW w:w="3505"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1200万m³/a</w:t>
                  </w: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w:t>
                  </w:r>
                </w:p>
              </w:tc>
            </w:tr>
            <w:tr>
              <w:tblPrEx>
                <w:tblLayout w:type="fixed"/>
                <w:tblCellMar>
                  <w:top w:w="0" w:type="dxa"/>
                  <w:left w:w="108" w:type="dxa"/>
                  <w:bottom w:w="0" w:type="dxa"/>
                  <w:right w:w="108" w:type="dxa"/>
                </w:tblCellMar>
              </w:tblPrEx>
              <w:trPr>
                <w:trHeight w:val="56" w:hRule="atLeast"/>
                <w:jc w:val="center"/>
              </w:trPr>
              <w:tc>
                <w:tcPr>
                  <w:tcW w:w="1032" w:type="dxa"/>
                  <w:vMerge w:val="continue"/>
                  <w:tcBorders>
                    <w:top w:val="nil"/>
                    <w:left w:val="single" w:color="auto" w:sz="8" w:space="0"/>
                    <w:bottom w:val="single" w:color="auto" w:sz="4" w:space="0"/>
                    <w:right w:val="single" w:color="auto" w:sz="8" w:space="0"/>
                  </w:tcBorders>
                  <w:vAlign w:val="center"/>
                </w:tcPr>
                <w:p>
                  <w:pPr>
                    <w:pStyle w:val="30"/>
                    <w:spacing w:line="360" w:lineRule="exact"/>
                    <w:rPr>
                      <w:color w:val="auto"/>
                      <w:szCs w:val="21"/>
                    </w:rPr>
                  </w:pPr>
                </w:p>
              </w:tc>
              <w:tc>
                <w:tcPr>
                  <w:tcW w:w="1034"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粉尘</w:t>
                  </w:r>
                </w:p>
              </w:tc>
              <w:tc>
                <w:tcPr>
                  <w:tcW w:w="1033"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0.18</w:t>
                  </w:r>
                </w:p>
              </w:tc>
              <w:tc>
                <w:tcPr>
                  <w:tcW w:w="1397"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15</w:t>
                  </w:r>
                </w:p>
              </w:tc>
              <w:tc>
                <w:tcPr>
                  <w:tcW w:w="1028"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0.008</w:t>
                  </w:r>
                </w:p>
              </w:tc>
              <w:tc>
                <w:tcPr>
                  <w:tcW w:w="1202"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0.004</w:t>
                  </w:r>
                </w:p>
              </w:tc>
              <w:tc>
                <w:tcPr>
                  <w:tcW w:w="1275"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0.67</w:t>
                  </w:r>
                </w:p>
              </w:tc>
              <w:tc>
                <w:tcPr>
                  <w:tcW w:w="1033"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0.018</w:t>
                  </w:r>
                </w:p>
              </w:tc>
            </w:tr>
            <w:tr>
              <w:tblPrEx>
                <w:tblLayout w:type="fixed"/>
                <w:tblCellMar>
                  <w:top w:w="0" w:type="dxa"/>
                  <w:left w:w="108" w:type="dxa"/>
                  <w:bottom w:w="0" w:type="dxa"/>
                  <w:right w:w="108" w:type="dxa"/>
                </w:tblCellMar>
              </w:tblPrEx>
              <w:trPr>
                <w:trHeight w:val="253" w:hRule="atLeast"/>
                <w:jc w:val="center"/>
              </w:trPr>
              <w:tc>
                <w:tcPr>
                  <w:tcW w:w="9034" w:type="dxa"/>
                  <w:gridSpan w:val="8"/>
                  <w:tcBorders>
                    <w:top w:val="nil"/>
                    <w:left w:val="single" w:color="auto" w:sz="8" w:space="0"/>
                    <w:bottom w:val="single" w:color="000000" w:sz="8" w:space="0"/>
                    <w:right w:val="single" w:color="auto" w:sz="8" w:space="0"/>
                  </w:tcBorders>
                  <w:vAlign w:val="center"/>
                </w:tcPr>
                <w:p>
                  <w:pPr>
                    <w:pStyle w:val="30"/>
                    <w:spacing w:line="360" w:lineRule="exact"/>
                    <w:ind w:firstLine="210" w:firstLineChars="100"/>
                    <w:jc w:val="left"/>
                    <w:rPr>
                      <w:color w:val="auto"/>
                      <w:szCs w:val="21"/>
                    </w:rPr>
                  </w:pPr>
                  <w:r>
                    <w:rPr>
                      <w:color w:val="auto"/>
                      <w:szCs w:val="21"/>
                    </w:rPr>
                    <w:t>备注：废旧洗衣机处理线年工作3000h。目前，废旧洗衣机处理线废气和废旧冰箱处理线废气共用1根排气筒外排；整改后通过</w:t>
                  </w:r>
                  <w:r>
                    <w:rPr>
                      <w:rFonts w:hint="eastAsia"/>
                      <w:color w:val="auto"/>
                      <w:szCs w:val="21"/>
                    </w:rPr>
                    <w:t>1根Φ0.84m、高15m</w:t>
                  </w:r>
                  <w:r>
                    <w:rPr>
                      <w:color w:val="auto"/>
                      <w:szCs w:val="21"/>
                    </w:rPr>
                    <w:t>的排气筒</w:t>
                  </w:r>
                  <w:r>
                    <w:rPr>
                      <w:rFonts w:hint="eastAsia"/>
                      <w:color w:val="auto"/>
                      <w:szCs w:val="21"/>
                    </w:rPr>
                    <w:t>（DA003）外排。</w:t>
                  </w:r>
                </w:p>
              </w:tc>
            </w:tr>
          </w:tbl>
          <w:p>
            <w:pPr>
              <w:spacing w:beforeLines="50"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④现有工程1号废旧电视机（液晶电视）处理线废气产排情况</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1号废旧电视机（液晶电视）处理线的处理工艺可知，其废气产生环节主要为废旧液晶电视（显示器）拆解粉尘。现有工程1号废旧电视机（液晶电视）处理线废旧液晶电视（显示器）的处理能力45万台/a，根据建设单位提供的技术参数，每台液晶电视（显示器）的平均重量为10.46kg；则合计处理量为4707t/a，根据《排放源统计调查产排污核算方法和系数手册》中“42废弃资源综合利用行业系数手册”，废液晶电视（显示器）拆解过程颗粒物产污系数为16.8克/吨·原料，则1号废旧电视机（液晶电视）处理线拆解粉尘产生量为0.08t/a；针对1号废旧电视机（液晶电视）处理线拆解粉尘，项目拟对每个拆解工位设置集气效率不低于90%的集气罩（集气罩风量为1000m³/h·个，合计6000m³/h），则1号废旧电视机（液晶电视）处理线拆解粉尘有组织排放量为0.004t/a，无组织排放量为0.008t/a。</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1号废旧电视机（液晶电视）处理线粉尘产排情况如下表所示。</w:t>
            </w:r>
          </w:p>
          <w:p>
            <w:pPr>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表2.11.1-4  现有工程1号废旧电视机（液晶电视）处理线粉尘产排情况一览表</w:t>
            </w:r>
          </w:p>
          <w:tbl>
            <w:tblPr>
              <w:tblStyle w:val="19"/>
              <w:tblW w:w="9034" w:type="dxa"/>
              <w:jc w:val="center"/>
              <w:tblInd w:w="0" w:type="dxa"/>
              <w:tblLayout w:type="fixed"/>
              <w:tblCellMar>
                <w:top w:w="0" w:type="dxa"/>
                <w:left w:w="108" w:type="dxa"/>
                <w:bottom w:w="0" w:type="dxa"/>
                <w:right w:w="108" w:type="dxa"/>
              </w:tblCellMar>
            </w:tblPr>
            <w:tblGrid>
              <w:gridCol w:w="1032"/>
              <w:gridCol w:w="1034"/>
              <w:gridCol w:w="1033"/>
              <w:gridCol w:w="1397"/>
              <w:gridCol w:w="1028"/>
              <w:gridCol w:w="1202"/>
              <w:gridCol w:w="1275"/>
              <w:gridCol w:w="1033"/>
            </w:tblGrid>
            <w:tr>
              <w:tblPrEx>
                <w:tblLayout w:type="fixed"/>
                <w:tblCellMar>
                  <w:top w:w="0" w:type="dxa"/>
                  <w:left w:w="108" w:type="dxa"/>
                  <w:bottom w:w="0" w:type="dxa"/>
                  <w:right w:w="108" w:type="dxa"/>
                </w:tblCellMar>
              </w:tblPrEx>
              <w:trPr>
                <w:trHeight w:val="300" w:hRule="atLeast"/>
                <w:jc w:val="center"/>
              </w:trPr>
              <w:tc>
                <w:tcPr>
                  <w:tcW w:w="1032"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产物环节</w:t>
                  </w:r>
                </w:p>
              </w:tc>
              <w:tc>
                <w:tcPr>
                  <w:tcW w:w="1034"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污染物类型</w:t>
                  </w:r>
                </w:p>
              </w:tc>
              <w:tc>
                <w:tcPr>
                  <w:tcW w:w="2430" w:type="dxa"/>
                  <w:gridSpan w:val="2"/>
                  <w:vMerge w:val="restart"/>
                  <w:tcBorders>
                    <w:top w:val="single" w:color="auto" w:sz="8" w:space="0"/>
                    <w:left w:val="single" w:color="auto" w:sz="8" w:space="0"/>
                    <w:bottom w:val="single" w:color="000000" w:sz="8" w:space="0"/>
                    <w:right w:val="single" w:color="000000" w:sz="8" w:space="0"/>
                  </w:tcBorders>
                  <w:shd w:val="clear" w:color="auto" w:fill="auto"/>
                  <w:vAlign w:val="center"/>
                </w:tcPr>
                <w:p>
                  <w:pPr>
                    <w:pStyle w:val="30"/>
                    <w:spacing w:line="360" w:lineRule="exact"/>
                    <w:rPr>
                      <w:color w:val="auto"/>
                      <w:szCs w:val="21"/>
                    </w:rPr>
                  </w:pPr>
                  <w:r>
                    <w:rPr>
                      <w:color w:val="auto"/>
                      <w:szCs w:val="21"/>
                    </w:rPr>
                    <w:t>产生情况</w:t>
                  </w:r>
                </w:p>
              </w:tc>
              <w:tc>
                <w:tcPr>
                  <w:tcW w:w="4538" w:type="dxa"/>
                  <w:gridSpan w:val="4"/>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排放情况</w:t>
                  </w:r>
                </w:p>
              </w:tc>
            </w:tr>
            <w:tr>
              <w:tblPrEx>
                <w:tblLayout w:type="fixed"/>
                <w:tblCellMar>
                  <w:top w:w="0" w:type="dxa"/>
                  <w:left w:w="108" w:type="dxa"/>
                  <w:bottom w:w="0" w:type="dxa"/>
                  <w:right w:w="108" w:type="dxa"/>
                </w:tblCellMar>
              </w:tblPrEx>
              <w:trPr>
                <w:trHeight w:val="300" w:hRule="atLeast"/>
                <w:jc w:val="center"/>
              </w:trPr>
              <w:tc>
                <w:tcPr>
                  <w:tcW w:w="1032"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1034"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2430" w:type="dxa"/>
                  <w:gridSpan w:val="2"/>
                  <w:vMerge w:val="continue"/>
                  <w:tcBorders>
                    <w:top w:val="single" w:color="auto" w:sz="8" w:space="0"/>
                    <w:left w:val="single" w:color="auto" w:sz="8" w:space="0"/>
                    <w:bottom w:val="single" w:color="000000" w:sz="8" w:space="0"/>
                    <w:right w:val="single" w:color="000000" w:sz="8" w:space="0"/>
                  </w:tcBorders>
                  <w:vAlign w:val="center"/>
                </w:tcPr>
                <w:p>
                  <w:pPr>
                    <w:pStyle w:val="30"/>
                    <w:spacing w:line="360" w:lineRule="exact"/>
                    <w:rPr>
                      <w:color w:val="auto"/>
                      <w:szCs w:val="21"/>
                    </w:rPr>
                  </w:pPr>
                </w:p>
              </w:tc>
              <w:tc>
                <w:tcPr>
                  <w:tcW w:w="3505"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有组织</w:t>
                  </w:r>
                </w:p>
              </w:tc>
              <w:tc>
                <w:tcPr>
                  <w:tcW w:w="1033" w:type="dxa"/>
                  <w:tcBorders>
                    <w:top w:val="nil"/>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无组织</w:t>
                  </w:r>
                </w:p>
              </w:tc>
            </w:tr>
            <w:tr>
              <w:tblPrEx>
                <w:tblLayout w:type="fixed"/>
                <w:tblCellMar>
                  <w:top w:w="0" w:type="dxa"/>
                  <w:left w:w="108" w:type="dxa"/>
                  <w:bottom w:w="0" w:type="dxa"/>
                  <w:right w:w="108" w:type="dxa"/>
                </w:tblCellMar>
              </w:tblPrEx>
              <w:trPr>
                <w:trHeight w:val="56" w:hRule="atLeast"/>
                <w:jc w:val="center"/>
              </w:trPr>
              <w:tc>
                <w:tcPr>
                  <w:tcW w:w="1032"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1034"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产生量（t/a）</w:t>
                  </w:r>
                </w:p>
              </w:tc>
              <w:tc>
                <w:tcPr>
                  <w:tcW w:w="1397"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产生浓度（mg/m³）</w:t>
                  </w:r>
                </w:p>
              </w:tc>
              <w:tc>
                <w:tcPr>
                  <w:tcW w:w="102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排放量（t/a）</w:t>
                  </w:r>
                </w:p>
              </w:tc>
              <w:tc>
                <w:tcPr>
                  <w:tcW w:w="1202"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排放速率（kg/h）</w:t>
                  </w:r>
                </w:p>
              </w:tc>
              <w:tc>
                <w:tcPr>
                  <w:tcW w:w="127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排放浓度（mg/m³）</w:t>
                  </w: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排放量（t/a）</w:t>
                  </w:r>
                </w:p>
              </w:tc>
            </w:tr>
            <w:tr>
              <w:tblPrEx>
                <w:tblLayout w:type="fixed"/>
                <w:tblCellMar>
                  <w:top w:w="0" w:type="dxa"/>
                  <w:left w:w="108" w:type="dxa"/>
                  <w:bottom w:w="0" w:type="dxa"/>
                  <w:right w:w="108" w:type="dxa"/>
                </w:tblCellMar>
              </w:tblPrEx>
              <w:trPr>
                <w:trHeight w:val="56" w:hRule="atLeast"/>
                <w:jc w:val="center"/>
              </w:trPr>
              <w:tc>
                <w:tcPr>
                  <w:tcW w:w="1032" w:type="dxa"/>
                  <w:vMerge w:val="restart"/>
                  <w:tcBorders>
                    <w:top w:val="nil"/>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拆解</w:t>
                  </w:r>
                </w:p>
              </w:tc>
              <w:tc>
                <w:tcPr>
                  <w:tcW w:w="1034" w:type="dxa"/>
                  <w:tcBorders>
                    <w:top w:val="nil"/>
                    <w:left w:val="nil"/>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废气量</w:t>
                  </w:r>
                </w:p>
              </w:tc>
              <w:tc>
                <w:tcPr>
                  <w:tcW w:w="243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3024万m³/a</w:t>
                  </w:r>
                </w:p>
              </w:tc>
              <w:tc>
                <w:tcPr>
                  <w:tcW w:w="3505"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3024万m³/a</w:t>
                  </w: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w:t>
                  </w:r>
                </w:p>
              </w:tc>
            </w:tr>
            <w:tr>
              <w:tblPrEx>
                <w:tblLayout w:type="fixed"/>
                <w:tblCellMar>
                  <w:top w:w="0" w:type="dxa"/>
                  <w:left w:w="108" w:type="dxa"/>
                  <w:bottom w:w="0" w:type="dxa"/>
                  <w:right w:w="108" w:type="dxa"/>
                </w:tblCellMar>
              </w:tblPrEx>
              <w:trPr>
                <w:trHeight w:val="56" w:hRule="atLeast"/>
                <w:jc w:val="center"/>
              </w:trPr>
              <w:tc>
                <w:tcPr>
                  <w:tcW w:w="1032" w:type="dxa"/>
                  <w:vMerge w:val="continue"/>
                  <w:tcBorders>
                    <w:top w:val="nil"/>
                    <w:left w:val="single" w:color="auto" w:sz="8" w:space="0"/>
                    <w:bottom w:val="single" w:color="auto" w:sz="4" w:space="0"/>
                    <w:right w:val="single" w:color="auto" w:sz="8" w:space="0"/>
                  </w:tcBorders>
                  <w:vAlign w:val="center"/>
                </w:tcPr>
                <w:p>
                  <w:pPr>
                    <w:pStyle w:val="30"/>
                    <w:spacing w:line="360" w:lineRule="exact"/>
                    <w:rPr>
                      <w:color w:val="auto"/>
                      <w:szCs w:val="21"/>
                    </w:rPr>
                  </w:pPr>
                </w:p>
              </w:tc>
              <w:tc>
                <w:tcPr>
                  <w:tcW w:w="1034"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粉尘</w:t>
                  </w:r>
                </w:p>
              </w:tc>
              <w:tc>
                <w:tcPr>
                  <w:tcW w:w="1033"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0.08</w:t>
                  </w:r>
                </w:p>
              </w:tc>
              <w:tc>
                <w:tcPr>
                  <w:tcW w:w="1397"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2.65</w:t>
                  </w:r>
                </w:p>
              </w:tc>
              <w:tc>
                <w:tcPr>
                  <w:tcW w:w="1028"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0.004</w:t>
                  </w:r>
                </w:p>
              </w:tc>
              <w:tc>
                <w:tcPr>
                  <w:tcW w:w="1202"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0.001</w:t>
                  </w:r>
                </w:p>
              </w:tc>
              <w:tc>
                <w:tcPr>
                  <w:tcW w:w="1275"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0.13</w:t>
                  </w:r>
                </w:p>
              </w:tc>
              <w:tc>
                <w:tcPr>
                  <w:tcW w:w="1033"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0.008</w:t>
                  </w:r>
                </w:p>
              </w:tc>
            </w:tr>
            <w:tr>
              <w:tblPrEx>
                <w:tblLayout w:type="fixed"/>
                <w:tblCellMar>
                  <w:top w:w="0" w:type="dxa"/>
                  <w:left w:w="108" w:type="dxa"/>
                  <w:bottom w:w="0" w:type="dxa"/>
                  <w:right w:w="108" w:type="dxa"/>
                </w:tblCellMar>
              </w:tblPrEx>
              <w:trPr>
                <w:trHeight w:val="56" w:hRule="atLeast"/>
                <w:jc w:val="center"/>
              </w:trPr>
              <w:tc>
                <w:tcPr>
                  <w:tcW w:w="9034" w:type="dxa"/>
                  <w:gridSpan w:val="8"/>
                  <w:tcBorders>
                    <w:top w:val="single" w:color="auto" w:sz="4" w:space="0"/>
                    <w:left w:val="single" w:color="auto" w:sz="8" w:space="0"/>
                    <w:bottom w:val="single" w:color="auto" w:sz="4" w:space="0"/>
                    <w:right w:val="single" w:color="auto" w:sz="8" w:space="0"/>
                  </w:tcBorders>
                  <w:vAlign w:val="center"/>
                </w:tcPr>
                <w:p>
                  <w:pPr>
                    <w:pStyle w:val="30"/>
                    <w:spacing w:line="360" w:lineRule="exact"/>
                    <w:ind w:firstLine="210" w:firstLineChars="100"/>
                    <w:jc w:val="left"/>
                    <w:rPr>
                      <w:color w:val="auto"/>
                      <w:szCs w:val="21"/>
                    </w:rPr>
                  </w:pPr>
                  <w:r>
                    <w:rPr>
                      <w:color w:val="auto"/>
                      <w:szCs w:val="21"/>
                    </w:rPr>
                    <w:t>备注：废旧电视机（液晶电视）处理线年工作5040h。目前，</w:t>
                  </w:r>
                  <w:r>
                    <w:rPr>
                      <w:rFonts w:hint="eastAsia"/>
                      <w:color w:val="auto"/>
                      <w:szCs w:val="21"/>
                    </w:rPr>
                    <w:t>空调/小家电/废手机及其视听设备消费电子产品处理线废气和1号废旧电视机（液晶电视）处理线废气、2号废旧电视机（CRT）处理线普通粉尘共用1根排气筒外排；整改后单独</w:t>
                  </w:r>
                  <w:r>
                    <w:rPr>
                      <w:color w:val="auto"/>
                      <w:szCs w:val="21"/>
                    </w:rPr>
                    <w:t>通过1根Φ0.</w:t>
                  </w:r>
                  <w:r>
                    <w:rPr>
                      <w:rFonts w:hint="eastAsia"/>
                      <w:color w:val="auto"/>
                      <w:szCs w:val="21"/>
                    </w:rPr>
                    <w:t>4</w:t>
                  </w:r>
                  <w:r>
                    <w:rPr>
                      <w:color w:val="auto"/>
                      <w:szCs w:val="21"/>
                    </w:rPr>
                    <w:t>4m、高15m的排气筒（DA00</w:t>
                  </w:r>
                  <w:r>
                    <w:rPr>
                      <w:rFonts w:hint="eastAsia"/>
                      <w:color w:val="auto"/>
                      <w:szCs w:val="21"/>
                    </w:rPr>
                    <w:t>4</w:t>
                  </w:r>
                  <w:r>
                    <w:rPr>
                      <w:color w:val="auto"/>
                      <w:szCs w:val="21"/>
                    </w:rPr>
                    <w:t>）外排</w:t>
                  </w:r>
                  <w:r>
                    <w:rPr>
                      <w:rFonts w:hint="eastAsia"/>
                      <w:color w:val="auto"/>
                      <w:szCs w:val="21"/>
                    </w:rPr>
                    <w:t>。</w:t>
                  </w:r>
                </w:p>
              </w:tc>
            </w:tr>
          </w:tbl>
          <w:p>
            <w:pPr>
              <w:spacing w:beforeLines="50"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⑤现有工程2号废旧电视机（CRT）处理线废气产排情况</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fldChar w:fldCharType="begin"/>
            </w:r>
            <w:r>
              <w:rPr>
                <w:rFonts w:ascii="Times New Roman" w:hAnsi="Times New Roman" w:cs="Times New Roman"/>
                <w:b/>
                <w:color w:val="auto"/>
                <w:sz w:val="24"/>
                <w:szCs w:val="24"/>
              </w:rPr>
              <w:instrText xml:space="preserve"> = 1 \* GB2 </w:instrText>
            </w:r>
            <w:r>
              <w:rPr>
                <w:rFonts w:ascii="Times New Roman" w:hAnsi="Times New Roman" w:cs="Times New Roman"/>
                <w:b/>
                <w:color w:val="auto"/>
                <w:sz w:val="24"/>
                <w:szCs w:val="24"/>
              </w:rPr>
              <w:fldChar w:fldCharType="separate"/>
            </w:r>
            <w:r>
              <w:rPr>
                <w:rFonts w:ascii="Times New Roman" w:hAnsi="Times New Roman" w:cs="Times New Roman"/>
                <w:b/>
                <w:color w:val="auto"/>
                <w:sz w:val="24"/>
                <w:szCs w:val="24"/>
              </w:rPr>
              <w:t>⑴</w:t>
            </w:r>
            <w:r>
              <w:rPr>
                <w:rFonts w:ascii="Times New Roman" w:hAnsi="Times New Roman" w:cs="Times New Roman"/>
                <w:b/>
                <w:color w:val="auto"/>
                <w:sz w:val="24"/>
                <w:szCs w:val="24"/>
              </w:rPr>
              <w:fldChar w:fldCharType="end"/>
            </w:r>
            <w:r>
              <w:rPr>
                <w:rFonts w:ascii="Times New Roman" w:hAnsi="Times New Roman" w:cs="Times New Roman"/>
                <w:b/>
                <w:color w:val="auto"/>
                <w:sz w:val="24"/>
                <w:szCs w:val="24"/>
              </w:rPr>
              <w:t>粉尘</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现有工程2号废旧电视机（CRT）处理线废气产生环节主要为2号废旧电视机（CRT）处理线拆解粉尘，现有工程2号废旧电视机（CRT）处理线废CRT电视机的处理能力为45万台/a，根据建设单位提供的技术参数，每台废CRT电视机的平均重量为25kg；则合计处理量为11250t/a，根据《排放源统计调查产排污核算方法和系数手册》中“42废弃资源综合利用行业系数手册”，废CRT电视机拆解过程颗粒物产污系数为3500克/吨·原料，则2号废旧电视机（CRT）处理线拆解粉尘产生量为39.38t/a，根据实际生产情况，普通粉尘产生量约占50%，约19.69t/a；含铅粉尘产生量约占50%，约19.69t/a。</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针对2号废旧电视机（CRT）处理线拆解普通粉尘，项目已分别在1个破碎区、2个人工喷吹室、1条人工拆解线工作台分别设置了集气效率不低于90%的集气罩，其中破碎区集气罩风量为5000m³/h；2个人工喷吹室集气罩风量为2000m³/h·个（合计4000m³/h·个）；人工拆解工作台设置4个集气罩，该集气罩的风量为2000m³/h·个（合计8000m³/h），合计2号废旧电视机（CRT）处理线风量为17000m³/h。则2号废旧电视机（CRT）处理线拆解普通粉尘有组织排放量为0.89t/a，无组织排放量为1.97t/a。</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针对2号废旧电视机（CRT）处理线拆解含铅粉尘，阴极射线管（CRT）拆解区为密闭式拆解区设置6个阴极射线管（CRT）拆解工作台，项目分别对6个阴极射线管（CRT）拆解工作台设置集气效率不低于95%的集气罩；集气罩风量为3000m³/h·个，合计风量为18000m³/h；则2号废旧电视机（CRT）处理线拆解含铅粉尘有组织排放量为0.89t/a，无组织排放量为1.97t/a。</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fldChar w:fldCharType="begin"/>
            </w:r>
            <w:r>
              <w:rPr>
                <w:rFonts w:ascii="Times New Roman" w:hAnsi="Times New Roman" w:cs="Times New Roman"/>
                <w:b/>
                <w:color w:val="auto"/>
                <w:sz w:val="24"/>
                <w:szCs w:val="24"/>
              </w:rPr>
              <w:instrText xml:space="preserve"> = 2 \* GB2 </w:instrText>
            </w:r>
            <w:r>
              <w:rPr>
                <w:rFonts w:ascii="Times New Roman" w:hAnsi="Times New Roman" w:cs="Times New Roman"/>
                <w:b/>
                <w:color w:val="auto"/>
                <w:sz w:val="24"/>
                <w:szCs w:val="24"/>
              </w:rPr>
              <w:fldChar w:fldCharType="separate"/>
            </w:r>
            <w:r>
              <w:rPr>
                <w:rFonts w:ascii="Times New Roman" w:hAnsi="Times New Roman" w:cs="Times New Roman"/>
                <w:b/>
                <w:color w:val="auto"/>
                <w:sz w:val="24"/>
                <w:szCs w:val="24"/>
              </w:rPr>
              <w:t>⑵</w:t>
            </w:r>
            <w:r>
              <w:rPr>
                <w:rFonts w:ascii="Times New Roman" w:hAnsi="Times New Roman" w:cs="Times New Roman"/>
                <w:b/>
                <w:color w:val="auto"/>
                <w:sz w:val="24"/>
                <w:szCs w:val="24"/>
              </w:rPr>
              <w:fldChar w:fldCharType="end"/>
            </w:r>
            <w:r>
              <w:rPr>
                <w:rFonts w:ascii="Times New Roman" w:hAnsi="Times New Roman" w:cs="Times New Roman"/>
                <w:b/>
                <w:color w:val="auto"/>
                <w:sz w:val="24"/>
                <w:szCs w:val="24"/>
              </w:rPr>
              <w:t>铅及其化合物</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根据《云南华再新源环保产业发展有限公司自行监测报告（2021年上半年）》，铅及其化合物的排放量为2.825×10-4kg/h，约0.85kg/a。</w:t>
            </w:r>
          </w:p>
          <w:p>
            <w:pPr>
              <w:spacing w:line="360" w:lineRule="auto"/>
              <w:ind w:firstLine="480" w:firstLineChars="200"/>
              <w:rPr>
                <w:rFonts w:hint="eastAsia" w:ascii="Times New Roman" w:hAnsi="Times New Roman" w:cs="Times New Roman"/>
                <w:color w:val="auto"/>
                <w:sz w:val="24"/>
                <w:szCs w:val="24"/>
              </w:rPr>
            </w:pPr>
            <w:r>
              <w:rPr>
                <w:rFonts w:ascii="Times New Roman" w:hAnsi="Times New Roman" w:cs="Times New Roman"/>
                <w:color w:val="auto"/>
                <w:sz w:val="24"/>
                <w:szCs w:val="24"/>
              </w:rPr>
              <w:t>综上，2号废旧电视机（CRT）处理线废气产排情况如下表所示。</w:t>
            </w:r>
          </w:p>
          <w:p>
            <w:pPr>
              <w:spacing w:line="360" w:lineRule="auto"/>
              <w:ind w:firstLine="480" w:firstLineChars="200"/>
              <w:rPr>
                <w:rFonts w:ascii="Times New Roman" w:hAnsi="Times New Roman" w:cs="Times New Roman"/>
                <w:color w:val="auto"/>
                <w:sz w:val="24"/>
                <w:szCs w:val="24"/>
              </w:rPr>
            </w:pPr>
          </w:p>
          <w:p>
            <w:pPr>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表2.11.1-5  现有工程2号废旧电视机（CRT）处理线粉尘产排情况一览表</w:t>
            </w:r>
          </w:p>
          <w:tbl>
            <w:tblPr>
              <w:tblStyle w:val="19"/>
              <w:tblW w:w="9034" w:type="dxa"/>
              <w:jc w:val="center"/>
              <w:tblInd w:w="0" w:type="dxa"/>
              <w:tblLayout w:type="fixed"/>
              <w:tblCellMar>
                <w:top w:w="0" w:type="dxa"/>
                <w:left w:w="108" w:type="dxa"/>
                <w:bottom w:w="0" w:type="dxa"/>
                <w:right w:w="108" w:type="dxa"/>
              </w:tblCellMar>
            </w:tblPr>
            <w:tblGrid>
              <w:gridCol w:w="1168"/>
              <w:gridCol w:w="901"/>
              <w:gridCol w:w="1030"/>
              <w:gridCol w:w="1397"/>
              <w:gridCol w:w="1028"/>
              <w:gridCol w:w="1202"/>
              <w:gridCol w:w="1275"/>
              <w:gridCol w:w="1033"/>
            </w:tblGrid>
            <w:tr>
              <w:tblPrEx>
                <w:tblLayout w:type="fixed"/>
                <w:tblCellMar>
                  <w:top w:w="0" w:type="dxa"/>
                  <w:left w:w="108" w:type="dxa"/>
                  <w:bottom w:w="0" w:type="dxa"/>
                  <w:right w:w="108" w:type="dxa"/>
                </w:tblCellMar>
              </w:tblPrEx>
              <w:trPr>
                <w:jc w:val="center"/>
              </w:trPr>
              <w:tc>
                <w:tcPr>
                  <w:tcW w:w="1168"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产物环节</w:t>
                  </w:r>
                </w:p>
              </w:tc>
              <w:tc>
                <w:tcPr>
                  <w:tcW w:w="901"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污染物类型</w:t>
                  </w:r>
                </w:p>
              </w:tc>
              <w:tc>
                <w:tcPr>
                  <w:tcW w:w="2427" w:type="dxa"/>
                  <w:gridSpan w:val="2"/>
                  <w:vMerge w:val="restart"/>
                  <w:tcBorders>
                    <w:top w:val="single" w:color="auto" w:sz="8" w:space="0"/>
                    <w:left w:val="single" w:color="auto" w:sz="8" w:space="0"/>
                    <w:bottom w:val="single" w:color="000000" w:sz="8" w:space="0"/>
                    <w:right w:val="single" w:color="000000" w:sz="8" w:space="0"/>
                  </w:tcBorders>
                  <w:shd w:val="clear" w:color="auto" w:fill="auto"/>
                  <w:vAlign w:val="center"/>
                </w:tcPr>
                <w:p>
                  <w:pPr>
                    <w:pStyle w:val="30"/>
                    <w:spacing w:line="360" w:lineRule="exact"/>
                    <w:rPr>
                      <w:color w:val="auto"/>
                      <w:szCs w:val="21"/>
                    </w:rPr>
                  </w:pPr>
                  <w:r>
                    <w:rPr>
                      <w:color w:val="auto"/>
                      <w:szCs w:val="21"/>
                    </w:rPr>
                    <w:t>产生情况</w:t>
                  </w:r>
                </w:p>
              </w:tc>
              <w:tc>
                <w:tcPr>
                  <w:tcW w:w="4538" w:type="dxa"/>
                  <w:gridSpan w:val="4"/>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排放情况</w:t>
                  </w:r>
                </w:p>
              </w:tc>
            </w:tr>
            <w:tr>
              <w:tblPrEx>
                <w:tblLayout w:type="fixed"/>
                <w:tblCellMar>
                  <w:top w:w="0" w:type="dxa"/>
                  <w:left w:w="108" w:type="dxa"/>
                  <w:bottom w:w="0" w:type="dxa"/>
                  <w:right w:w="108" w:type="dxa"/>
                </w:tblCellMar>
              </w:tblPrEx>
              <w:trPr>
                <w:jc w:val="center"/>
              </w:trPr>
              <w:tc>
                <w:tcPr>
                  <w:tcW w:w="1168"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901"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2427" w:type="dxa"/>
                  <w:gridSpan w:val="2"/>
                  <w:vMerge w:val="continue"/>
                  <w:tcBorders>
                    <w:top w:val="single" w:color="auto" w:sz="8" w:space="0"/>
                    <w:left w:val="single" w:color="auto" w:sz="8" w:space="0"/>
                    <w:bottom w:val="single" w:color="000000" w:sz="8" w:space="0"/>
                    <w:right w:val="single" w:color="000000" w:sz="8" w:space="0"/>
                  </w:tcBorders>
                  <w:vAlign w:val="center"/>
                </w:tcPr>
                <w:p>
                  <w:pPr>
                    <w:pStyle w:val="30"/>
                    <w:spacing w:line="360" w:lineRule="exact"/>
                    <w:rPr>
                      <w:color w:val="auto"/>
                      <w:szCs w:val="21"/>
                    </w:rPr>
                  </w:pPr>
                </w:p>
              </w:tc>
              <w:tc>
                <w:tcPr>
                  <w:tcW w:w="3505"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有组织</w:t>
                  </w:r>
                </w:p>
              </w:tc>
              <w:tc>
                <w:tcPr>
                  <w:tcW w:w="1033" w:type="dxa"/>
                  <w:tcBorders>
                    <w:top w:val="nil"/>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无组织</w:t>
                  </w:r>
                </w:p>
              </w:tc>
            </w:tr>
            <w:tr>
              <w:tblPrEx>
                <w:tblLayout w:type="fixed"/>
                <w:tblCellMar>
                  <w:top w:w="0" w:type="dxa"/>
                  <w:left w:w="108" w:type="dxa"/>
                  <w:bottom w:w="0" w:type="dxa"/>
                  <w:right w:w="108" w:type="dxa"/>
                </w:tblCellMar>
              </w:tblPrEx>
              <w:trPr>
                <w:jc w:val="center"/>
              </w:trPr>
              <w:tc>
                <w:tcPr>
                  <w:tcW w:w="1168"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901"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1030"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产生量（t/a）</w:t>
                  </w:r>
                </w:p>
              </w:tc>
              <w:tc>
                <w:tcPr>
                  <w:tcW w:w="1397"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产生浓度（mg/m³）</w:t>
                  </w:r>
                </w:p>
              </w:tc>
              <w:tc>
                <w:tcPr>
                  <w:tcW w:w="102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排放量（t/a）</w:t>
                  </w:r>
                </w:p>
              </w:tc>
              <w:tc>
                <w:tcPr>
                  <w:tcW w:w="1202"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排放速率（kg/h）</w:t>
                  </w:r>
                </w:p>
              </w:tc>
              <w:tc>
                <w:tcPr>
                  <w:tcW w:w="127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排放浓度（mg/m³）</w:t>
                  </w: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排放量（t/a）</w:t>
                  </w:r>
                </w:p>
              </w:tc>
            </w:tr>
            <w:tr>
              <w:tblPrEx>
                <w:tblLayout w:type="fixed"/>
                <w:tblCellMar>
                  <w:top w:w="0" w:type="dxa"/>
                  <w:left w:w="108" w:type="dxa"/>
                  <w:bottom w:w="0" w:type="dxa"/>
                  <w:right w:w="108" w:type="dxa"/>
                </w:tblCellMar>
              </w:tblPrEx>
              <w:trPr>
                <w:jc w:val="center"/>
              </w:trPr>
              <w:tc>
                <w:tcPr>
                  <w:tcW w:w="1168" w:type="dxa"/>
                  <w:vMerge w:val="restart"/>
                  <w:tcBorders>
                    <w:top w:val="nil"/>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阴极射线管（CRT）前端拆解</w:t>
                  </w:r>
                </w:p>
              </w:tc>
              <w:tc>
                <w:tcPr>
                  <w:tcW w:w="901" w:type="dxa"/>
                  <w:tcBorders>
                    <w:top w:val="nil"/>
                    <w:left w:val="nil"/>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废气量</w:t>
                  </w:r>
                </w:p>
              </w:tc>
              <w:tc>
                <w:tcPr>
                  <w:tcW w:w="2427"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8568万m³/a</w:t>
                  </w:r>
                </w:p>
              </w:tc>
              <w:tc>
                <w:tcPr>
                  <w:tcW w:w="3505"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8568万m³/a</w:t>
                  </w: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w:t>
                  </w:r>
                </w:p>
              </w:tc>
            </w:tr>
            <w:tr>
              <w:tblPrEx>
                <w:tblLayout w:type="fixed"/>
                <w:tblCellMar>
                  <w:top w:w="0" w:type="dxa"/>
                  <w:left w:w="108" w:type="dxa"/>
                  <w:bottom w:w="0" w:type="dxa"/>
                  <w:right w:w="108" w:type="dxa"/>
                </w:tblCellMar>
              </w:tblPrEx>
              <w:trPr>
                <w:jc w:val="center"/>
              </w:trPr>
              <w:tc>
                <w:tcPr>
                  <w:tcW w:w="1168"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901"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粉尘</w:t>
                  </w:r>
                </w:p>
              </w:tc>
              <w:tc>
                <w:tcPr>
                  <w:tcW w:w="1030"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19.69</w:t>
                  </w:r>
                </w:p>
              </w:tc>
              <w:tc>
                <w:tcPr>
                  <w:tcW w:w="1397"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229.81</w:t>
                  </w:r>
                </w:p>
              </w:tc>
              <w:tc>
                <w:tcPr>
                  <w:tcW w:w="102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0.89</w:t>
                  </w:r>
                </w:p>
              </w:tc>
              <w:tc>
                <w:tcPr>
                  <w:tcW w:w="1202"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0.18</w:t>
                  </w:r>
                </w:p>
              </w:tc>
              <w:tc>
                <w:tcPr>
                  <w:tcW w:w="127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10.38</w:t>
                  </w: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1.97</w:t>
                  </w:r>
                </w:p>
              </w:tc>
            </w:tr>
            <w:tr>
              <w:tblPrEx>
                <w:tblLayout w:type="fixed"/>
                <w:tblCellMar>
                  <w:top w:w="0" w:type="dxa"/>
                  <w:left w:w="108" w:type="dxa"/>
                  <w:bottom w:w="0" w:type="dxa"/>
                  <w:right w:w="108" w:type="dxa"/>
                </w:tblCellMar>
              </w:tblPrEx>
              <w:trPr>
                <w:jc w:val="center"/>
              </w:trPr>
              <w:tc>
                <w:tcPr>
                  <w:tcW w:w="1168" w:type="dxa"/>
                  <w:vMerge w:val="restart"/>
                  <w:tcBorders>
                    <w:top w:val="nil"/>
                    <w:left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阴极射线管（CRT）后端拆解</w:t>
                  </w:r>
                </w:p>
              </w:tc>
              <w:tc>
                <w:tcPr>
                  <w:tcW w:w="901" w:type="dxa"/>
                  <w:tcBorders>
                    <w:top w:val="nil"/>
                    <w:left w:val="nil"/>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废气量</w:t>
                  </w:r>
                </w:p>
              </w:tc>
              <w:tc>
                <w:tcPr>
                  <w:tcW w:w="2427"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9072万m³/a</w:t>
                  </w:r>
                </w:p>
              </w:tc>
              <w:tc>
                <w:tcPr>
                  <w:tcW w:w="3505"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9072万m³/a</w:t>
                  </w: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w:t>
                  </w:r>
                </w:p>
              </w:tc>
            </w:tr>
            <w:tr>
              <w:tblPrEx>
                <w:tblLayout w:type="fixed"/>
                <w:tblCellMar>
                  <w:top w:w="0" w:type="dxa"/>
                  <w:left w:w="108" w:type="dxa"/>
                  <w:bottom w:w="0" w:type="dxa"/>
                  <w:right w:w="108" w:type="dxa"/>
                </w:tblCellMar>
              </w:tblPrEx>
              <w:trPr>
                <w:jc w:val="center"/>
              </w:trPr>
              <w:tc>
                <w:tcPr>
                  <w:tcW w:w="1168" w:type="dxa"/>
                  <w:vMerge w:val="continue"/>
                  <w:tcBorders>
                    <w:left w:val="single" w:color="auto" w:sz="8" w:space="0"/>
                    <w:right w:val="single" w:color="auto" w:sz="8" w:space="0"/>
                  </w:tcBorders>
                  <w:vAlign w:val="center"/>
                </w:tcPr>
                <w:p>
                  <w:pPr>
                    <w:pStyle w:val="30"/>
                    <w:spacing w:line="360" w:lineRule="exact"/>
                    <w:rPr>
                      <w:color w:val="auto"/>
                      <w:szCs w:val="21"/>
                    </w:rPr>
                  </w:pPr>
                </w:p>
              </w:tc>
              <w:tc>
                <w:tcPr>
                  <w:tcW w:w="901"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粉尘</w:t>
                  </w:r>
                </w:p>
              </w:tc>
              <w:tc>
                <w:tcPr>
                  <w:tcW w:w="1030"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19.69</w:t>
                  </w:r>
                </w:p>
              </w:tc>
              <w:tc>
                <w:tcPr>
                  <w:tcW w:w="1397"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217.04</w:t>
                  </w:r>
                </w:p>
              </w:tc>
              <w:tc>
                <w:tcPr>
                  <w:tcW w:w="1028"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0.89</w:t>
                  </w:r>
                </w:p>
              </w:tc>
              <w:tc>
                <w:tcPr>
                  <w:tcW w:w="1202"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0.18</w:t>
                  </w:r>
                </w:p>
              </w:tc>
              <w:tc>
                <w:tcPr>
                  <w:tcW w:w="1275"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9.81</w:t>
                  </w:r>
                </w:p>
              </w:tc>
              <w:tc>
                <w:tcPr>
                  <w:tcW w:w="1033"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1.97</w:t>
                  </w:r>
                </w:p>
              </w:tc>
            </w:tr>
            <w:tr>
              <w:tblPrEx>
                <w:tblLayout w:type="fixed"/>
                <w:tblCellMar>
                  <w:top w:w="0" w:type="dxa"/>
                  <w:left w:w="108" w:type="dxa"/>
                  <w:bottom w:w="0" w:type="dxa"/>
                  <w:right w:w="108" w:type="dxa"/>
                </w:tblCellMar>
              </w:tblPrEx>
              <w:trPr>
                <w:jc w:val="center"/>
              </w:trPr>
              <w:tc>
                <w:tcPr>
                  <w:tcW w:w="1168" w:type="dxa"/>
                  <w:vMerge w:val="continue"/>
                  <w:tcBorders>
                    <w:left w:val="single" w:color="auto" w:sz="8" w:space="0"/>
                    <w:bottom w:val="single" w:color="auto" w:sz="4" w:space="0"/>
                    <w:right w:val="single" w:color="auto" w:sz="8" w:space="0"/>
                  </w:tcBorders>
                  <w:vAlign w:val="center"/>
                </w:tcPr>
                <w:p>
                  <w:pPr>
                    <w:pStyle w:val="30"/>
                    <w:spacing w:line="360" w:lineRule="exact"/>
                    <w:rPr>
                      <w:color w:val="auto"/>
                      <w:szCs w:val="21"/>
                    </w:rPr>
                  </w:pPr>
                </w:p>
              </w:tc>
              <w:tc>
                <w:tcPr>
                  <w:tcW w:w="901" w:type="dxa"/>
                  <w:tcBorders>
                    <w:top w:val="single" w:color="auto" w:sz="4" w:space="0"/>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铅及其化合物</w:t>
                  </w:r>
                </w:p>
              </w:tc>
              <w:tc>
                <w:tcPr>
                  <w:tcW w:w="1030" w:type="dxa"/>
                  <w:tcBorders>
                    <w:top w:val="single" w:color="auto" w:sz="4" w:space="0"/>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0.0188</w:t>
                  </w:r>
                </w:p>
              </w:tc>
              <w:tc>
                <w:tcPr>
                  <w:tcW w:w="1397" w:type="dxa"/>
                  <w:tcBorders>
                    <w:top w:val="single" w:color="auto" w:sz="4" w:space="0"/>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0.21</w:t>
                  </w:r>
                </w:p>
              </w:tc>
              <w:tc>
                <w:tcPr>
                  <w:tcW w:w="1028" w:type="dxa"/>
                  <w:tcBorders>
                    <w:top w:val="single" w:color="auto" w:sz="4" w:space="0"/>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0.0009</w:t>
                  </w:r>
                </w:p>
              </w:tc>
              <w:tc>
                <w:tcPr>
                  <w:tcW w:w="1202" w:type="dxa"/>
                  <w:tcBorders>
                    <w:top w:val="single" w:color="auto" w:sz="4" w:space="0"/>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0.0002</w:t>
                  </w:r>
                </w:p>
              </w:tc>
              <w:tc>
                <w:tcPr>
                  <w:tcW w:w="1275" w:type="dxa"/>
                  <w:tcBorders>
                    <w:top w:val="single" w:color="auto" w:sz="4" w:space="0"/>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0.01</w:t>
                  </w:r>
                </w:p>
              </w:tc>
              <w:tc>
                <w:tcPr>
                  <w:tcW w:w="1033" w:type="dxa"/>
                  <w:tcBorders>
                    <w:top w:val="single" w:color="auto" w:sz="4" w:space="0"/>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0.0019</w:t>
                  </w:r>
                </w:p>
              </w:tc>
            </w:tr>
            <w:tr>
              <w:tblPrEx>
                <w:tblLayout w:type="fixed"/>
                <w:tblCellMar>
                  <w:top w:w="0" w:type="dxa"/>
                  <w:left w:w="108" w:type="dxa"/>
                  <w:bottom w:w="0" w:type="dxa"/>
                  <w:right w:w="108" w:type="dxa"/>
                </w:tblCellMar>
              </w:tblPrEx>
              <w:trPr>
                <w:jc w:val="center"/>
              </w:trPr>
              <w:tc>
                <w:tcPr>
                  <w:tcW w:w="9034" w:type="dxa"/>
                  <w:gridSpan w:val="8"/>
                  <w:tcBorders>
                    <w:top w:val="single" w:color="auto" w:sz="4" w:space="0"/>
                    <w:left w:val="single" w:color="auto" w:sz="8" w:space="0"/>
                    <w:bottom w:val="single" w:color="000000" w:sz="8" w:space="0"/>
                    <w:right w:val="single" w:color="auto" w:sz="8" w:space="0"/>
                  </w:tcBorders>
                  <w:vAlign w:val="center"/>
                </w:tcPr>
                <w:p>
                  <w:pPr>
                    <w:pStyle w:val="30"/>
                    <w:spacing w:line="360" w:lineRule="exact"/>
                    <w:ind w:firstLine="210" w:firstLineChars="100"/>
                    <w:jc w:val="left"/>
                    <w:rPr>
                      <w:color w:val="auto"/>
                      <w:szCs w:val="21"/>
                    </w:rPr>
                  </w:pPr>
                  <w:r>
                    <w:rPr>
                      <w:color w:val="auto"/>
                      <w:szCs w:val="21"/>
                    </w:rPr>
                    <w:t>备注：2号废旧电视机（CRT）处理线年工作5040h。</w:t>
                  </w:r>
                  <w:r>
                    <w:rPr>
                      <w:rFonts w:hint="eastAsia"/>
                      <w:color w:val="auto"/>
                      <w:szCs w:val="21"/>
                    </w:rPr>
                    <w:t>空调/小家电/废手机及其视听设备消费电子产品处理线废气和1号废旧电视机（液晶电视）处理线废气、2号废旧电视机（CRT）处理线普通粉尘共用1根排气筒外排；</w:t>
                  </w:r>
                  <w:r>
                    <w:rPr>
                      <w:color w:val="auto"/>
                      <w:szCs w:val="21"/>
                    </w:rPr>
                    <w:t>2号废旧电视机（CRT）处理线产生的含铅粉尘</w:t>
                  </w:r>
                  <w:r>
                    <w:rPr>
                      <w:rFonts w:hint="eastAsia"/>
                      <w:color w:val="auto"/>
                      <w:szCs w:val="21"/>
                    </w:rPr>
                    <w:t>单独</w:t>
                  </w:r>
                  <w:r>
                    <w:rPr>
                      <w:color w:val="auto"/>
                      <w:szCs w:val="21"/>
                    </w:rPr>
                    <w:t>通过</w:t>
                  </w:r>
                  <w:r>
                    <w:rPr>
                      <w:rFonts w:hint="eastAsia"/>
                      <w:color w:val="auto"/>
                      <w:szCs w:val="21"/>
                    </w:rPr>
                    <w:t>1根</w:t>
                  </w:r>
                  <w:r>
                    <w:rPr>
                      <w:color w:val="auto"/>
                      <w:szCs w:val="21"/>
                    </w:rPr>
                    <w:t>排气筒外排</w:t>
                  </w:r>
                  <w:r>
                    <w:rPr>
                      <w:rFonts w:hint="eastAsia"/>
                      <w:color w:val="auto"/>
                      <w:szCs w:val="21"/>
                    </w:rPr>
                    <w:t>；整改后，</w:t>
                  </w:r>
                  <w:r>
                    <w:rPr>
                      <w:color w:val="auto"/>
                      <w:szCs w:val="21"/>
                    </w:rPr>
                    <w:t>2号废旧电视机（CRT）处理线</w:t>
                  </w:r>
                  <w:r>
                    <w:rPr>
                      <w:rFonts w:hint="eastAsia"/>
                      <w:color w:val="auto"/>
                      <w:szCs w:val="21"/>
                    </w:rPr>
                    <w:t>普通粉尘通过</w:t>
                  </w:r>
                  <w:r>
                    <w:rPr>
                      <w:color w:val="auto"/>
                      <w:szCs w:val="21"/>
                    </w:rPr>
                    <w:t>1根Φ0.74m、高15m的排气筒（DA00</w:t>
                  </w:r>
                  <w:r>
                    <w:rPr>
                      <w:rFonts w:hint="eastAsia"/>
                      <w:color w:val="auto"/>
                      <w:szCs w:val="21"/>
                    </w:rPr>
                    <w:t>5</w:t>
                  </w:r>
                  <w:r>
                    <w:rPr>
                      <w:color w:val="auto"/>
                      <w:szCs w:val="21"/>
                    </w:rPr>
                    <w:t>）外排</w:t>
                  </w:r>
                  <w:r>
                    <w:rPr>
                      <w:rFonts w:hint="eastAsia"/>
                      <w:color w:val="auto"/>
                      <w:szCs w:val="21"/>
                    </w:rPr>
                    <w:t>、</w:t>
                  </w:r>
                  <w:r>
                    <w:rPr>
                      <w:color w:val="auto"/>
                      <w:szCs w:val="21"/>
                    </w:rPr>
                    <w:t>2号废旧电视机（CRT）处理线</w:t>
                  </w:r>
                  <w:r>
                    <w:rPr>
                      <w:rFonts w:hint="eastAsia"/>
                      <w:color w:val="auto"/>
                      <w:szCs w:val="21"/>
                    </w:rPr>
                    <w:t>含铅粉尘</w:t>
                  </w:r>
                  <w:r>
                    <w:rPr>
                      <w:color w:val="auto"/>
                      <w:szCs w:val="21"/>
                    </w:rPr>
                    <w:t>通过1根Φ0.76m、高15m的排气筒（DA00</w:t>
                  </w:r>
                  <w:r>
                    <w:rPr>
                      <w:rFonts w:hint="eastAsia"/>
                      <w:color w:val="auto"/>
                      <w:szCs w:val="21"/>
                    </w:rPr>
                    <w:t>6</w:t>
                  </w:r>
                  <w:r>
                    <w:rPr>
                      <w:color w:val="auto"/>
                      <w:szCs w:val="21"/>
                    </w:rPr>
                    <w:t>）外排</w:t>
                  </w:r>
                  <w:r>
                    <w:rPr>
                      <w:rFonts w:hint="eastAsia"/>
                      <w:color w:val="auto"/>
                      <w:szCs w:val="21"/>
                    </w:rPr>
                    <w:t>。</w:t>
                  </w:r>
                </w:p>
              </w:tc>
            </w:tr>
          </w:tbl>
          <w:p>
            <w:pPr>
              <w:spacing w:beforeLines="50"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综上，现有工程废气产排情况如下表所示。</w:t>
            </w:r>
          </w:p>
          <w:p>
            <w:pPr>
              <w:jc w:val="center"/>
              <w:rPr>
                <w:rFonts w:ascii="Times New Roman" w:hAnsi="Times New Roman" w:cs="Times New Roman"/>
                <w:b/>
                <w:color w:val="auto"/>
              </w:rPr>
            </w:pPr>
            <w:r>
              <w:rPr>
                <w:rFonts w:ascii="Times New Roman" w:hAnsi="Times New Roman" w:eastAsia="宋体" w:cs="Times New Roman"/>
                <w:b/>
                <w:color w:val="auto"/>
                <w:szCs w:val="24"/>
              </w:rPr>
              <w:t>表2.11.1-6 现有工程大气污染物排放结果一览表</w:t>
            </w:r>
          </w:p>
          <w:tbl>
            <w:tblPr>
              <w:tblStyle w:val="19"/>
              <w:tblW w:w="90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3"/>
              <w:gridCol w:w="1984"/>
              <w:gridCol w:w="1559"/>
              <w:gridCol w:w="1543"/>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2493" w:type="dxa"/>
                  <w:vMerge w:val="restart"/>
                  <w:vAlign w:val="center"/>
                </w:tcPr>
                <w:p>
                  <w:pPr>
                    <w:pStyle w:val="30"/>
                    <w:spacing w:line="360" w:lineRule="exact"/>
                    <w:rPr>
                      <w:color w:val="auto"/>
                      <w:szCs w:val="21"/>
                    </w:rPr>
                  </w:pPr>
                  <w:r>
                    <w:rPr>
                      <w:color w:val="auto"/>
                      <w:szCs w:val="21"/>
                    </w:rPr>
                    <w:t>生产线</w:t>
                  </w:r>
                </w:p>
              </w:tc>
              <w:tc>
                <w:tcPr>
                  <w:tcW w:w="1984" w:type="dxa"/>
                  <w:vMerge w:val="restart"/>
                  <w:vAlign w:val="center"/>
                </w:tcPr>
                <w:p>
                  <w:pPr>
                    <w:pStyle w:val="30"/>
                    <w:spacing w:line="360" w:lineRule="exact"/>
                    <w:rPr>
                      <w:color w:val="auto"/>
                      <w:szCs w:val="21"/>
                    </w:rPr>
                  </w:pPr>
                  <w:r>
                    <w:rPr>
                      <w:color w:val="auto"/>
                      <w:szCs w:val="21"/>
                    </w:rPr>
                    <w:t>污染物名称</w:t>
                  </w:r>
                </w:p>
              </w:tc>
              <w:tc>
                <w:tcPr>
                  <w:tcW w:w="1559" w:type="dxa"/>
                  <w:vMerge w:val="restart"/>
                  <w:vAlign w:val="center"/>
                </w:tcPr>
                <w:p>
                  <w:pPr>
                    <w:pStyle w:val="30"/>
                    <w:spacing w:line="360" w:lineRule="exact"/>
                    <w:rPr>
                      <w:color w:val="auto"/>
                      <w:szCs w:val="21"/>
                    </w:rPr>
                  </w:pPr>
                  <w:r>
                    <w:rPr>
                      <w:color w:val="auto"/>
                      <w:szCs w:val="21"/>
                    </w:rPr>
                    <w:t>产生量（t/a）</w:t>
                  </w:r>
                </w:p>
              </w:tc>
              <w:tc>
                <w:tcPr>
                  <w:tcW w:w="3008" w:type="dxa"/>
                  <w:gridSpan w:val="2"/>
                  <w:vAlign w:val="center"/>
                </w:tcPr>
                <w:p>
                  <w:pPr>
                    <w:pStyle w:val="30"/>
                    <w:spacing w:line="360" w:lineRule="exact"/>
                    <w:rPr>
                      <w:color w:val="auto"/>
                      <w:szCs w:val="21"/>
                    </w:rPr>
                  </w:pPr>
                  <w:r>
                    <w:rPr>
                      <w:color w:val="auto"/>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2493" w:type="dxa"/>
                  <w:vMerge w:val="continue"/>
                  <w:vAlign w:val="center"/>
                </w:tcPr>
                <w:p>
                  <w:pPr>
                    <w:pStyle w:val="30"/>
                    <w:spacing w:line="360" w:lineRule="exact"/>
                    <w:rPr>
                      <w:color w:val="auto"/>
                      <w:szCs w:val="21"/>
                    </w:rPr>
                  </w:pPr>
                </w:p>
              </w:tc>
              <w:tc>
                <w:tcPr>
                  <w:tcW w:w="1984" w:type="dxa"/>
                  <w:vMerge w:val="continue"/>
                  <w:vAlign w:val="center"/>
                </w:tcPr>
                <w:p>
                  <w:pPr>
                    <w:pStyle w:val="30"/>
                    <w:spacing w:line="360" w:lineRule="exact"/>
                    <w:rPr>
                      <w:color w:val="auto"/>
                      <w:szCs w:val="21"/>
                    </w:rPr>
                  </w:pPr>
                </w:p>
              </w:tc>
              <w:tc>
                <w:tcPr>
                  <w:tcW w:w="1559" w:type="dxa"/>
                  <w:vMerge w:val="continue"/>
                  <w:vAlign w:val="center"/>
                </w:tcPr>
                <w:p>
                  <w:pPr>
                    <w:pStyle w:val="30"/>
                    <w:spacing w:line="360" w:lineRule="exact"/>
                    <w:rPr>
                      <w:color w:val="auto"/>
                      <w:szCs w:val="21"/>
                    </w:rPr>
                  </w:pPr>
                </w:p>
              </w:tc>
              <w:tc>
                <w:tcPr>
                  <w:tcW w:w="1543" w:type="dxa"/>
                  <w:vAlign w:val="center"/>
                </w:tcPr>
                <w:p>
                  <w:pPr>
                    <w:pStyle w:val="30"/>
                    <w:spacing w:line="360" w:lineRule="exact"/>
                    <w:rPr>
                      <w:color w:val="auto"/>
                      <w:szCs w:val="21"/>
                    </w:rPr>
                  </w:pPr>
                  <w:r>
                    <w:rPr>
                      <w:color w:val="auto"/>
                      <w:szCs w:val="21"/>
                    </w:rPr>
                    <w:t>有组织</w:t>
                  </w:r>
                </w:p>
              </w:tc>
              <w:tc>
                <w:tcPr>
                  <w:tcW w:w="1465" w:type="dxa"/>
                  <w:vAlign w:val="center"/>
                </w:tcPr>
                <w:p>
                  <w:pPr>
                    <w:pStyle w:val="30"/>
                    <w:spacing w:line="360" w:lineRule="exact"/>
                    <w:rPr>
                      <w:color w:val="auto"/>
                      <w:szCs w:val="21"/>
                    </w:rPr>
                  </w:pPr>
                  <w:r>
                    <w:rPr>
                      <w:color w:val="auto"/>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 w:hRule="atLeast"/>
                <w:jc w:val="center"/>
              </w:trPr>
              <w:tc>
                <w:tcPr>
                  <w:tcW w:w="2493" w:type="dxa"/>
                  <w:vMerge w:val="restart"/>
                  <w:vAlign w:val="center"/>
                </w:tcPr>
                <w:p>
                  <w:pPr>
                    <w:pStyle w:val="30"/>
                    <w:spacing w:line="360" w:lineRule="exact"/>
                    <w:rPr>
                      <w:color w:val="auto"/>
                      <w:szCs w:val="21"/>
                    </w:rPr>
                  </w:pPr>
                  <w:r>
                    <w:rPr>
                      <w:color w:val="auto"/>
                      <w:szCs w:val="21"/>
                    </w:rPr>
                    <w:t>废旧冰箱处理线</w:t>
                  </w:r>
                </w:p>
              </w:tc>
              <w:tc>
                <w:tcPr>
                  <w:tcW w:w="1984" w:type="dxa"/>
                  <w:vAlign w:val="center"/>
                </w:tcPr>
                <w:p>
                  <w:pPr>
                    <w:pStyle w:val="30"/>
                    <w:spacing w:line="360" w:lineRule="exact"/>
                    <w:rPr>
                      <w:color w:val="auto"/>
                      <w:szCs w:val="21"/>
                    </w:rPr>
                  </w:pPr>
                  <w:r>
                    <w:rPr>
                      <w:color w:val="auto"/>
                      <w:szCs w:val="21"/>
                    </w:rPr>
                    <w:t>粉尘</w:t>
                  </w:r>
                </w:p>
              </w:tc>
              <w:tc>
                <w:tcPr>
                  <w:tcW w:w="1559" w:type="dxa"/>
                  <w:vAlign w:val="center"/>
                </w:tcPr>
                <w:p>
                  <w:pPr>
                    <w:pStyle w:val="30"/>
                    <w:spacing w:line="360" w:lineRule="exact"/>
                    <w:rPr>
                      <w:color w:val="auto"/>
                      <w:szCs w:val="21"/>
                    </w:rPr>
                  </w:pPr>
                  <w:r>
                    <w:rPr>
                      <w:color w:val="auto"/>
                      <w:szCs w:val="21"/>
                    </w:rPr>
                    <w:t>14.22</w:t>
                  </w:r>
                </w:p>
              </w:tc>
              <w:tc>
                <w:tcPr>
                  <w:tcW w:w="1543" w:type="dxa"/>
                  <w:vAlign w:val="center"/>
                </w:tcPr>
                <w:p>
                  <w:pPr>
                    <w:pStyle w:val="30"/>
                    <w:spacing w:line="360" w:lineRule="exact"/>
                    <w:rPr>
                      <w:color w:val="auto"/>
                      <w:szCs w:val="21"/>
                    </w:rPr>
                  </w:pPr>
                  <w:r>
                    <w:rPr>
                      <w:color w:val="auto"/>
                      <w:szCs w:val="21"/>
                    </w:rPr>
                    <w:t>0.19</w:t>
                  </w:r>
                </w:p>
              </w:tc>
              <w:tc>
                <w:tcPr>
                  <w:tcW w:w="1465" w:type="dxa"/>
                  <w:vAlign w:val="center"/>
                </w:tcPr>
                <w:p>
                  <w:pPr>
                    <w:pStyle w:val="30"/>
                    <w:spacing w:line="360" w:lineRule="exact"/>
                    <w:rPr>
                      <w:color w:val="auto"/>
                      <w:szCs w:val="21"/>
                    </w:rPr>
                  </w:pPr>
                  <w:r>
                    <w:rPr>
                      <w:color w:val="auto"/>
                      <w:szCs w:val="21"/>
                    </w:rPr>
                    <w:t>1.422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2493" w:type="dxa"/>
                  <w:vMerge w:val="continue"/>
                  <w:vAlign w:val="center"/>
                </w:tcPr>
                <w:p>
                  <w:pPr>
                    <w:pStyle w:val="30"/>
                    <w:spacing w:line="360" w:lineRule="exact"/>
                    <w:rPr>
                      <w:color w:val="auto"/>
                      <w:szCs w:val="21"/>
                    </w:rPr>
                  </w:pPr>
                </w:p>
              </w:tc>
              <w:tc>
                <w:tcPr>
                  <w:tcW w:w="1984" w:type="dxa"/>
                  <w:vAlign w:val="center"/>
                </w:tcPr>
                <w:p>
                  <w:pPr>
                    <w:pStyle w:val="30"/>
                    <w:spacing w:line="360" w:lineRule="exact"/>
                    <w:rPr>
                      <w:color w:val="auto"/>
                      <w:szCs w:val="21"/>
                    </w:rPr>
                  </w:pPr>
                  <w:r>
                    <w:rPr>
                      <w:color w:val="auto"/>
                      <w:szCs w:val="21"/>
                    </w:rPr>
                    <w:t>非甲烷总烃</w:t>
                  </w:r>
                </w:p>
              </w:tc>
              <w:tc>
                <w:tcPr>
                  <w:tcW w:w="1559" w:type="dxa"/>
                  <w:vAlign w:val="center"/>
                </w:tcPr>
                <w:p>
                  <w:pPr>
                    <w:pStyle w:val="30"/>
                    <w:spacing w:line="360" w:lineRule="exact"/>
                    <w:rPr>
                      <w:color w:val="auto"/>
                      <w:szCs w:val="21"/>
                    </w:rPr>
                  </w:pPr>
                  <w:r>
                    <w:rPr>
                      <w:color w:val="auto"/>
                      <w:szCs w:val="21"/>
                    </w:rPr>
                    <w:t>0.33</w:t>
                  </w:r>
                </w:p>
              </w:tc>
              <w:tc>
                <w:tcPr>
                  <w:tcW w:w="1543" w:type="dxa"/>
                  <w:vAlign w:val="center"/>
                </w:tcPr>
                <w:p>
                  <w:pPr>
                    <w:pStyle w:val="30"/>
                    <w:spacing w:line="360" w:lineRule="exact"/>
                    <w:rPr>
                      <w:color w:val="auto"/>
                      <w:szCs w:val="21"/>
                    </w:rPr>
                  </w:pPr>
                  <w:r>
                    <w:rPr>
                      <w:color w:val="auto"/>
                      <w:szCs w:val="21"/>
                    </w:rPr>
                    <w:t>0.06</w:t>
                  </w:r>
                </w:p>
              </w:tc>
              <w:tc>
                <w:tcPr>
                  <w:tcW w:w="1465" w:type="dxa"/>
                  <w:vAlign w:val="center"/>
                </w:tcPr>
                <w:p>
                  <w:pPr>
                    <w:pStyle w:val="30"/>
                    <w:spacing w:line="360" w:lineRule="exact"/>
                    <w:rPr>
                      <w:color w:val="auto"/>
                      <w:szCs w:val="21"/>
                    </w:rPr>
                  </w:pPr>
                  <w:r>
                    <w:rPr>
                      <w:color w:val="auto"/>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 w:hRule="atLeast"/>
                <w:jc w:val="center"/>
              </w:trPr>
              <w:tc>
                <w:tcPr>
                  <w:tcW w:w="2493" w:type="dxa"/>
                  <w:vAlign w:val="center"/>
                </w:tcPr>
                <w:p>
                  <w:pPr>
                    <w:pStyle w:val="30"/>
                    <w:spacing w:line="360" w:lineRule="exact"/>
                    <w:rPr>
                      <w:color w:val="auto"/>
                      <w:szCs w:val="21"/>
                    </w:rPr>
                  </w:pPr>
                  <w:r>
                    <w:rPr>
                      <w:color w:val="auto"/>
                      <w:szCs w:val="21"/>
                    </w:rPr>
                    <w:t>废旧洗衣机处理线</w:t>
                  </w:r>
                </w:p>
              </w:tc>
              <w:tc>
                <w:tcPr>
                  <w:tcW w:w="1984" w:type="dxa"/>
                  <w:vAlign w:val="center"/>
                </w:tcPr>
                <w:p>
                  <w:pPr>
                    <w:pStyle w:val="30"/>
                    <w:spacing w:line="360" w:lineRule="exact"/>
                    <w:rPr>
                      <w:color w:val="auto"/>
                      <w:szCs w:val="21"/>
                    </w:rPr>
                  </w:pPr>
                  <w:r>
                    <w:rPr>
                      <w:color w:val="auto"/>
                      <w:szCs w:val="21"/>
                    </w:rPr>
                    <w:t>粉尘</w:t>
                  </w:r>
                </w:p>
              </w:tc>
              <w:tc>
                <w:tcPr>
                  <w:tcW w:w="1559" w:type="dxa"/>
                  <w:vAlign w:val="center"/>
                </w:tcPr>
                <w:p>
                  <w:pPr>
                    <w:pStyle w:val="30"/>
                    <w:spacing w:line="360" w:lineRule="exact"/>
                    <w:rPr>
                      <w:color w:val="auto"/>
                      <w:szCs w:val="21"/>
                    </w:rPr>
                  </w:pPr>
                  <w:r>
                    <w:rPr>
                      <w:color w:val="auto"/>
                      <w:szCs w:val="21"/>
                    </w:rPr>
                    <w:t>0.18</w:t>
                  </w:r>
                </w:p>
              </w:tc>
              <w:tc>
                <w:tcPr>
                  <w:tcW w:w="1543" w:type="dxa"/>
                  <w:vAlign w:val="center"/>
                </w:tcPr>
                <w:p>
                  <w:pPr>
                    <w:pStyle w:val="30"/>
                    <w:spacing w:line="360" w:lineRule="exact"/>
                    <w:rPr>
                      <w:color w:val="auto"/>
                      <w:szCs w:val="21"/>
                    </w:rPr>
                  </w:pPr>
                  <w:r>
                    <w:rPr>
                      <w:color w:val="auto"/>
                      <w:szCs w:val="21"/>
                    </w:rPr>
                    <w:t>0.008</w:t>
                  </w:r>
                </w:p>
              </w:tc>
              <w:tc>
                <w:tcPr>
                  <w:tcW w:w="1465" w:type="dxa"/>
                  <w:vAlign w:val="center"/>
                </w:tcPr>
                <w:p>
                  <w:pPr>
                    <w:pStyle w:val="30"/>
                    <w:spacing w:line="360" w:lineRule="exact"/>
                    <w:rPr>
                      <w:color w:val="auto"/>
                      <w:szCs w:val="21"/>
                    </w:rPr>
                  </w:pPr>
                  <w:r>
                    <w:rPr>
                      <w:color w:val="auto"/>
                      <w:szCs w:val="21"/>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 w:hRule="atLeast"/>
                <w:jc w:val="center"/>
              </w:trPr>
              <w:tc>
                <w:tcPr>
                  <w:tcW w:w="2493" w:type="dxa"/>
                  <w:vAlign w:val="center"/>
                </w:tcPr>
                <w:p>
                  <w:pPr>
                    <w:pStyle w:val="30"/>
                    <w:spacing w:line="360" w:lineRule="exact"/>
                    <w:rPr>
                      <w:color w:val="auto"/>
                      <w:szCs w:val="21"/>
                    </w:rPr>
                  </w:pPr>
                  <w:r>
                    <w:rPr>
                      <w:color w:val="auto"/>
                      <w:szCs w:val="21"/>
                    </w:rPr>
                    <w:t>空调/小家电/废手机及其视听设备消费电子产品处理线</w:t>
                  </w:r>
                </w:p>
              </w:tc>
              <w:tc>
                <w:tcPr>
                  <w:tcW w:w="1984" w:type="dxa"/>
                  <w:vAlign w:val="center"/>
                </w:tcPr>
                <w:p>
                  <w:pPr>
                    <w:pStyle w:val="30"/>
                    <w:spacing w:line="360" w:lineRule="exact"/>
                    <w:rPr>
                      <w:color w:val="auto"/>
                      <w:szCs w:val="21"/>
                    </w:rPr>
                  </w:pPr>
                  <w:r>
                    <w:rPr>
                      <w:color w:val="auto"/>
                      <w:szCs w:val="21"/>
                    </w:rPr>
                    <w:t>粉尘</w:t>
                  </w:r>
                </w:p>
              </w:tc>
              <w:tc>
                <w:tcPr>
                  <w:tcW w:w="1559" w:type="dxa"/>
                  <w:vAlign w:val="center"/>
                </w:tcPr>
                <w:p>
                  <w:pPr>
                    <w:pStyle w:val="30"/>
                    <w:spacing w:line="360" w:lineRule="exact"/>
                    <w:rPr>
                      <w:color w:val="auto"/>
                      <w:szCs w:val="21"/>
                    </w:rPr>
                  </w:pPr>
                  <w:r>
                    <w:rPr>
                      <w:color w:val="auto"/>
                      <w:szCs w:val="21"/>
                    </w:rPr>
                    <w:t>0.15</w:t>
                  </w:r>
                </w:p>
              </w:tc>
              <w:tc>
                <w:tcPr>
                  <w:tcW w:w="1543" w:type="dxa"/>
                  <w:vAlign w:val="center"/>
                </w:tcPr>
                <w:p>
                  <w:pPr>
                    <w:pStyle w:val="30"/>
                    <w:spacing w:line="360" w:lineRule="exact"/>
                    <w:rPr>
                      <w:color w:val="auto"/>
                      <w:szCs w:val="21"/>
                    </w:rPr>
                  </w:pPr>
                  <w:r>
                    <w:rPr>
                      <w:color w:val="auto"/>
                      <w:szCs w:val="21"/>
                    </w:rPr>
                    <w:t>0.007</w:t>
                  </w:r>
                </w:p>
              </w:tc>
              <w:tc>
                <w:tcPr>
                  <w:tcW w:w="1465" w:type="dxa"/>
                  <w:vAlign w:val="center"/>
                </w:tcPr>
                <w:p>
                  <w:pPr>
                    <w:pStyle w:val="30"/>
                    <w:spacing w:line="360" w:lineRule="exact"/>
                    <w:rPr>
                      <w:color w:val="auto"/>
                      <w:szCs w:val="21"/>
                    </w:rPr>
                  </w:pPr>
                  <w:r>
                    <w:rPr>
                      <w:color w:val="auto"/>
                      <w:szCs w:val="21"/>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0" w:hRule="atLeast"/>
                <w:jc w:val="center"/>
              </w:trPr>
              <w:tc>
                <w:tcPr>
                  <w:tcW w:w="2493" w:type="dxa"/>
                  <w:vMerge w:val="restart"/>
                  <w:vAlign w:val="center"/>
                </w:tcPr>
                <w:p>
                  <w:pPr>
                    <w:pStyle w:val="30"/>
                    <w:spacing w:line="360" w:lineRule="exact"/>
                    <w:rPr>
                      <w:color w:val="auto"/>
                      <w:szCs w:val="21"/>
                    </w:rPr>
                  </w:pPr>
                  <w:r>
                    <w:rPr>
                      <w:color w:val="auto"/>
                      <w:szCs w:val="21"/>
                    </w:rPr>
                    <w:t>1号废旧电视机（液晶电视）处理线</w:t>
                  </w:r>
                </w:p>
              </w:tc>
              <w:tc>
                <w:tcPr>
                  <w:tcW w:w="1984" w:type="dxa"/>
                  <w:vAlign w:val="center"/>
                </w:tcPr>
                <w:p>
                  <w:pPr>
                    <w:pStyle w:val="30"/>
                    <w:spacing w:line="360" w:lineRule="exact"/>
                    <w:rPr>
                      <w:color w:val="auto"/>
                      <w:szCs w:val="21"/>
                    </w:rPr>
                  </w:pPr>
                  <w:r>
                    <w:rPr>
                      <w:color w:val="auto"/>
                      <w:szCs w:val="21"/>
                    </w:rPr>
                    <w:t>粉尘（普通）</w:t>
                  </w:r>
                </w:p>
              </w:tc>
              <w:tc>
                <w:tcPr>
                  <w:tcW w:w="1559" w:type="dxa"/>
                  <w:vAlign w:val="center"/>
                </w:tcPr>
                <w:p>
                  <w:pPr>
                    <w:pStyle w:val="30"/>
                    <w:spacing w:line="360" w:lineRule="exact"/>
                    <w:rPr>
                      <w:color w:val="auto"/>
                      <w:szCs w:val="21"/>
                    </w:rPr>
                  </w:pPr>
                  <w:r>
                    <w:rPr>
                      <w:color w:val="auto"/>
                      <w:szCs w:val="21"/>
                    </w:rPr>
                    <w:t>0.08</w:t>
                  </w:r>
                </w:p>
              </w:tc>
              <w:tc>
                <w:tcPr>
                  <w:tcW w:w="1543" w:type="dxa"/>
                  <w:vAlign w:val="center"/>
                </w:tcPr>
                <w:p>
                  <w:pPr>
                    <w:pStyle w:val="30"/>
                    <w:spacing w:line="360" w:lineRule="exact"/>
                    <w:rPr>
                      <w:color w:val="auto"/>
                      <w:szCs w:val="21"/>
                    </w:rPr>
                  </w:pPr>
                  <w:r>
                    <w:rPr>
                      <w:color w:val="auto"/>
                      <w:szCs w:val="21"/>
                    </w:rPr>
                    <w:t>0.004</w:t>
                  </w:r>
                </w:p>
              </w:tc>
              <w:tc>
                <w:tcPr>
                  <w:tcW w:w="1465" w:type="dxa"/>
                  <w:vAlign w:val="center"/>
                </w:tcPr>
                <w:p>
                  <w:pPr>
                    <w:pStyle w:val="30"/>
                    <w:spacing w:line="360" w:lineRule="exact"/>
                    <w:rPr>
                      <w:color w:val="auto"/>
                      <w:szCs w:val="21"/>
                    </w:rPr>
                  </w:pPr>
                  <w:r>
                    <w:rPr>
                      <w:color w:val="auto"/>
                      <w:szCs w:val="21"/>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 w:hRule="atLeast"/>
                <w:jc w:val="center"/>
              </w:trPr>
              <w:tc>
                <w:tcPr>
                  <w:tcW w:w="2493" w:type="dxa"/>
                  <w:vMerge w:val="continue"/>
                  <w:vAlign w:val="center"/>
                </w:tcPr>
                <w:p>
                  <w:pPr>
                    <w:pStyle w:val="30"/>
                    <w:spacing w:line="360" w:lineRule="exact"/>
                    <w:rPr>
                      <w:color w:val="auto"/>
                      <w:szCs w:val="21"/>
                    </w:rPr>
                  </w:pPr>
                </w:p>
              </w:tc>
              <w:tc>
                <w:tcPr>
                  <w:tcW w:w="1984" w:type="dxa"/>
                  <w:vAlign w:val="center"/>
                </w:tcPr>
                <w:p>
                  <w:pPr>
                    <w:pStyle w:val="30"/>
                    <w:spacing w:line="360" w:lineRule="exact"/>
                    <w:rPr>
                      <w:color w:val="auto"/>
                      <w:szCs w:val="21"/>
                    </w:rPr>
                  </w:pPr>
                  <w:r>
                    <w:rPr>
                      <w:color w:val="auto"/>
                      <w:szCs w:val="21"/>
                    </w:rPr>
                    <w:t>汞及其化合物</w:t>
                  </w:r>
                </w:p>
              </w:tc>
              <w:tc>
                <w:tcPr>
                  <w:tcW w:w="1559" w:type="dxa"/>
                  <w:vAlign w:val="center"/>
                </w:tcPr>
                <w:p>
                  <w:pPr>
                    <w:pStyle w:val="30"/>
                    <w:spacing w:line="360" w:lineRule="exact"/>
                    <w:rPr>
                      <w:color w:val="auto"/>
                      <w:szCs w:val="21"/>
                    </w:rPr>
                  </w:pPr>
                  <w:r>
                    <w:rPr>
                      <w:color w:val="auto"/>
                      <w:szCs w:val="21"/>
                    </w:rPr>
                    <w:t>--</w:t>
                  </w:r>
                </w:p>
              </w:tc>
              <w:tc>
                <w:tcPr>
                  <w:tcW w:w="1543" w:type="dxa"/>
                  <w:vAlign w:val="center"/>
                </w:tcPr>
                <w:p>
                  <w:pPr>
                    <w:pStyle w:val="30"/>
                    <w:spacing w:line="360" w:lineRule="exact"/>
                    <w:rPr>
                      <w:color w:val="auto"/>
                      <w:szCs w:val="21"/>
                    </w:rPr>
                  </w:pPr>
                  <w:r>
                    <w:rPr>
                      <w:color w:val="auto"/>
                      <w:szCs w:val="21"/>
                    </w:rPr>
                    <w:t>--</w:t>
                  </w:r>
                </w:p>
              </w:tc>
              <w:tc>
                <w:tcPr>
                  <w:tcW w:w="1465" w:type="dxa"/>
                  <w:vAlign w:val="center"/>
                </w:tcPr>
                <w:p>
                  <w:pPr>
                    <w:pStyle w:val="30"/>
                    <w:spacing w:line="360" w:lineRule="exact"/>
                    <w:rPr>
                      <w:color w:val="auto"/>
                      <w:szCs w:val="21"/>
                    </w:rPr>
                  </w:pP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 w:hRule="atLeast"/>
                <w:jc w:val="center"/>
              </w:trPr>
              <w:tc>
                <w:tcPr>
                  <w:tcW w:w="2493" w:type="dxa"/>
                  <w:vMerge w:val="restart"/>
                  <w:vAlign w:val="center"/>
                </w:tcPr>
                <w:p>
                  <w:pPr>
                    <w:pStyle w:val="30"/>
                    <w:spacing w:line="360" w:lineRule="exact"/>
                    <w:rPr>
                      <w:color w:val="auto"/>
                      <w:szCs w:val="21"/>
                    </w:rPr>
                  </w:pPr>
                  <w:r>
                    <w:rPr>
                      <w:color w:val="auto"/>
                      <w:szCs w:val="21"/>
                    </w:rPr>
                    <w:t>2号废旧电视机（CRT）处理线</w:t>
                  </w:r>
                </w:p>
              </w:tc>
              <w:tc>
                <w:tcPr>
                  <w:tcW w:w="1984" w:type="dxa"/>
                  <w:vAlign w:val="center"/>
                </w:tcPr>
                <w:p>
                  <w:pPr>
                    <w:pStyle w:val="30"/>
                    <w:spacing w:line="360" w:lineRule="exact"/>
                    <w:rPr>
                      <w:color w:val="auto"/>
                      <w:szCs w:val="21"/>
                    </w:rPr>
                  </w:pPr>
                  <w:r>
                    <w:rPr>
                      <w:color w:val="auto"/>
                      <w:szCs w:val="21"/>
                    </w:rPr>
                    <w:t>粉尘（普通）</w:t>
                  </w:r>
                </w:p>
              </w:tc>
              <w:tc>
                <w:tcPr>
                  <w:tcW w:w="1559" w:type="dxa"/>
                  <w:vAlign w:val="center"/>
                </w:tcPr>
                <w:p>
                  <w:pPr>
                    <w:pStyle w:val="30"/>
                    <w:spacing w:line="360" w:lineRule="exact"/>
                    <w:rPr>
                      <w:color w:val="auto"/>
                      <w:szCs w:val="21"/>
                    </w:rPr>
                  </w:pPr>
                  <w:r>
                    <w:rPr>
                      <w:color w:val="auto"/>
                      <w:szCs w:val="21"/>
                    </w:rPr>
                    <w:t>19.69</w:t>
                  </w:r>
                </w:p>
              </w:tc>
              <w:tc>
                <w:tcPr>
                  <w:tcW w:w="1543" w:type="dxa"/>
                  <w:vAlign w:val="center"/>
                </w:tcPr>
                <w:p>
                  <w:pPr>
                    <w:pStyle w:val="30"/>
                    <w:spacing w:line="360" w:lineRule="exact"/>
                    <w:rPr>
                      <w:color w:val="auto"/>
                      <w:szCs w:val="21"/>
                    </w:rPr>
                  </w:pPr>
                  <w:r>
                    <w:rPr>
                      <w:color w:val="auto"/>
                      <w:szCs w:val="21"/>
                    </w:rPr>
                    <w:t>0.89</w:t>
                  </w:r>
                </w:p>
              </w:tc>
              <w:tc>
                <w:tcPr>
                  <w:tcW w:w="1465" w:type="dxa"/>
                  <w:vAlign w:val="center"/>
                </w:tcPr>
                <w:p>
                  <w:pPr>
                    <w:pStyle w:val="30"/>
                    <w:spacing w:line="360" w:lineRule="exact"/>
                    <w:rPr>
                      <w:color w:val="auto"/>
                      <w:szCs w:val="21"/>
                    </w:rPr>
                  </w:pPr>
                  <w:r>
                    <w:rPr>
                      <w:color w:val="auto"/>
                      <w:szCs w:val="21"/>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93" w:type="dxa"/>
                  <w:vMerge w:val="continue"/>
                  <w:vAlign w:val="center"/>
                </w:tcPr>
                <w:p>
                  <w:pPr>
                    <w:pStyle w:val="30"/>
                    <w:spacing w:line="360" w:lineRule="exact"/>
                    <w:rPr>
                      <w:color w:val="auto"/>
                      <w:szCs w:val="21"/>
                    </w:rPr>
                  </w:pPr>
                </w:p>
              </w:tc>
              <w:tc>
                <w:tcPr>
                  <w:tcW w:w="1984" w:type="dxa"/>
                  <w:vAlign w:val="center"/>
                </w:tcPr>
                <w:p>
                  <w:pPr>
                    <w:pStyle w:val="30"/>
                    <w:spacing w:line="360" w:lineRule="exact"/>
                    <w:rPr>
                      <w:color w:val="auto"/>
                      <w:szCs w:val="21"/>
                    </w:rPr>
                  </w:pPr>
                  <w:r>
                    <w:rPr>
                      <w:color w:val="auto"/>
                      <w:szCs w:val="21"/>
                    </w:rPr>
                    <w:t>含铅粉尘</w:t>
                  </w:r>
                </w:p>
              </w:tc>
              <w:tc>
                <w:tcPr>
                  <w:tcW w:w="1559" w:type="dxa"/>
                  <w:vAlign w:val="center"/>
                </w:tcPr>
                <w:p>
                  <w:pPr>
                    <w:pStyle w:val="30"/>
                    <w:spacing w:line="360" w:lineRule="exact"/>
                    <w:rPr>
                      <w:color w:val="auto"/>
                      <w:szCs w:val="21"/>
                    </w:rPr>
                  </w:pPr>
                  <w:r>
                    <w:rPr>
                      <w:color w:val="auto"/>
                      <w:szCs w:val="21"/>
                    </w:rPr>
                    <w:t>19.69</w:t>
                  </w:r>
                </w:p>
              </w:tc>
              <w:tc>
                <w:tcPr>
                  <w:tcW w:w="1543" w:type="dxa"/>
                  <w:vAlign w:val="center"/>
                </w:tcPr>
                <w:p>
                  <w:pPr>
                    <w:pStyle w:val="30"/>
                    <w:spacing w:line="360" w:lineRule="exact"/>
                    <w:rPr>
                      <w:color w:val="auto"/>
                      <w:szCs w:val="21"/>
                    </w:rPr>
                  </w:pPr>
                  <w:r>
                    <w:rPr>
                      <w:color w:val="auto"/>
                      <w:szCs w:val="21"/>
                    </w:rPr>
                    <w:t>0.89</w:t>
                  </w:r>
                </w:p>
              </w:tc>
              <w:tc>
                <w:tcPr>
                  <w:tcW w:w="1465" w:type="dxa"/>
                  <w:vAlign w:val="center"/>
                </w:tcPr>
                <w:p>
                  <w:pPr>
                    <w:pStyle w:val="30"/>
                    <w:spacing w:line="360" w:lineRule="exact"/>
                    <w:rPr>
                      <w:color w:val="auto"/>
                      <w:szCs w:val="21"/>
                    </w:rPr>
                  </w:pPr>
                  <w:r>
                    <w:rPr>
                      <w:color w:val="auto"/>
                      <w:szCs w:val="21"/>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93" w:type="dxa"/>
                  <w:vMerge w:val="continue"/>
                  <w:vAlign w:val="center"/>
                </w:tcPr>
                <w:p>
                  <w:pPr>
                    <w:pStyle w:val="30"/>
                    <w:spacing w:line="360" w:lineRule="exact"/>
                    <w:rPr>
                      <w:color w:val="auto"/>
                      <w:szCs w:val="21"/>
                    </w:rPr>
                  </w:pPr>
                </w:p>
              </w:tc>
              <w:tc>
                <w:tcPr>
                  <w:tcW w:w="1984" w:type="dxa"/>
                  <w:vAlign w:val="center"/>
                </w:tcPr>
                <w:p>
                  <w:pPr>
                    <w:pStyle w:val="30"/>
                    <w:spacing w:line="360" w:lineRule="exact"/>
                    <w:rPr>
                      <w:color w:val="auto"/>
                      <w:szCs w:val="21"/>
                    </w:rPr>
                  </w:pPr>
                  <w:r>
                    <w:rPr>
                      <w:color w:val="auto"/>
                      <w:szCs w:val="21"/>
                    </w:rPr>
                    <w:t>铅及其化合物</w:t>
                  </w:r>
                </w:p>
              </w:tc>
              <w:tc>
                <w:tcPr>
                  <w:tcW w:w="1559" w:type="dxa"/>
                  <w:vAlign w:val="center"/>
                </w:tcPr>
                <w:p>
                  <w:pPr>
                    <w:pStyle w:val="30"/>
                    <w:spacing w:line="360" w:lineRule="exact"/>
                    <w:rPr>
                      <w:color w:val="auto"/>
                      <w:szCs w:val="21"/>
                    </w:rPr>
                  </w:pPr>
                  <w:r>
                    <w:rPr>
                      <w:color w:val="auto"/>
                      <w:szCs w:val="21"/>
                    </w:rPr>
                    <w:t>0.0188</w:t>
                  </w:r>
                </w:p>
              </w:tc>
              <w:tc>
                <w:tcPr>
                  <w:tcW w:w="1543" w:type="dxa"/>
                  <w:vAlign w:val="center"/>
                </w:tcPr>
                <w:p>
                  <w:pPr>
                    <w:pStyle w:val="30"/>
                    <w:spacing w:line="360" w:lineRule="exact"/>
                    <w:rPr>
                      <w:color w:val="auto"/>
                      <w:szCs w:val="21"/>
                    </w:rPr>
                  </w:pPr>
                  <w:r>
                    <w:rPr>
                      <w:color w:val="auto"/>
                      <w:szCs w:val="21"/>
                    </w:rPr>
                    <w:t>0.0009</w:t>
                  </w:r>
                </w:p>
              </w:tc>
              <w:tc>
                <w:tcPr>
                  <w:tcW w:w="1465" w:type="dxa"/>
                  <w:vAlign w:val="center"/>
                </w:tcPr>
                <w:p>
                  <w:pPr>
                    <w:pStyle w:val="30"/>
                    <w:spacing w:line="360" w:lineRule="exact"/>
                    <w:rPr>
                      <w:color w:val="auto"/>
                      <w:szCs w:val="21"/>
                    </w:rPr>
                  </w:pPr>
                  <w:r>
                    <w:rPr>
                      <w:color w:val="auto"/>
                      <w:szCs w:val="21"/>
                    </w:rPr>
                    <w:t>0.0019</w:t>
                  </w:r>
                </w:p>
              </w:tc>
            </w:tr>
          </w:tbl>
          <w:p>
            <w:pPr>
              <w:spacing w:beforeLines="50" w:line="360" w:lineRule="auto"/>
              <w:ind w:firstLine="361" w:firstLineChars="150"/>
              <w:rPr>
                <w:rFonts w:ascii="Times New Roman" w:hAnsi="Times New Roman" w:eastAsia="宋体" w:cs="Times New Roman"/>
                <w:b/>
                <w:color w:val="auto"/>
                <w:sz w:val="24"/>
              </w:rPr>
            </w:pPr>
            <w:r>
              <w:rPr>
                <w:rFonts w:ascii="Times New Roman" w:hAnsi="Times New Roman" w:eastAsia="宋体" w:cs="Times New Roman"/>
                <w:b/>
                <w:color w:val="auto"/>
                <w:sz w:val="24"/>
              </w:rPr>
              <w:t>（2）厨房油烟</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调查，现有项目设置食堂，属于综合性食堂，供全厂员工吃饭，食堂安装了一个最低去除率约为60%的油烟净化器，厨房油烟可达到《饮食业油烟排放标准》（GB18483-2001）（试行）最高允许排放浓度2mg/m³的要求。</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2.11.2 现有工程废水排放情况</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根据调查，现有项目废水包括平衡盐水和员工生活产生的生活污水。</w:t>
            </w:r>
          </w:p>
          <w:p>
            <w:pPr>
              <w:spacing w:line="360" w:lineRule="auto"/>
              <w:ind w:firstLine="361" w:firstLineChars="150"/>
              <w:rPr>
                <w:rFonts w:ascii="Times New Roman" w:hAnsi="Times New Roman" w:eastAsia="宋体" w:cs="Times New Roman"/>
                <w:b/>
                <w:color w:val="auto"/>
                <w:sz w:val="24"/>
              </w:rPr>
            </w:pPr>
            <w:r>
              <w:rPr>
                <w:rFonts w:ascii="Times New Roman" w:hAnsi="Times New Roman" w:eastAsia="宋体" w:cs="Times New Roman"/>
                <w:b/>
                <w:color w:val="auto"/>
                <w:sz w:val="24"/>
              </w:rPr>
              <w:t>（1）平衡盐水</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调查，项目区主要生产废水为废旧洗衣机处理线全自动洗衣机拆解过程中产生的平衡盐水，根据建设单位实际统计，现有工程正常运行期平衡盐水产生量为0.15m³/月（0.005m³/d），按1:8的比例稀释后，回用于绿化，不外排。</w:t>
            </w:r>
          </w:p>
          <w:p>
            <w:pPr>
              <w:spacing w:line="360" w:lineRule="auto"/>
              <w:ind w:firstLine="361" w:firstLineChars="150"/>
              <w:rPr>
                <w:rFonts w:ascii="Times New Roman" w:hAnsi="Times New Roman" w:eastAsia="宋体" w:cs="Times New Roman"/>
                <w:b/>
                <w:color w:val="auto"/>
                <w:sz w:val="24"/>
              </w:rPr>
            </w:pPr>
            <w:r>
              <w:rPr>
                <w:rFonts w:ascii="Times New Roman" w:hAnsi="Times New Roman" w:eastAsia="宋体" w:cs="Times New Roman"/>
                <w:b/>
                <w:color w:val="auto"/>
                <w:sz w:val="24"/>
              </w:rPr>
              <w:t>（2）生活污水</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现有工程劳动定员为82人，所有员工均在厂区吃饭，住宿人数约为32人，其余50人回家住宿。根据《云南省地方标准用水定额》（DB53/T168-2019），在项目食宿员工用水量取100L/d·人，不在项目区住宿的员工用水量取60L/d·人，则生活用水量6.2m³/d，合计为1860m³/a；废水率按80%计，则废水量为4.96m³/d，合计为1488m³/a；其中食堂废水约为2.48m³/d，合计为744m³/a；根据调查，项目针对办公生活区，已配套设置了1个2m³的隔油池、3个5m³的化粪池和1套处理能力为10m³/d的污水收集池，对项目生活污水进行处理。</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生活污水污染物处理情况见下表。</w:t>
            </w:r>
          </w:p>
          <w:p>
            <w:pPr>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表2.11.2-1 项目生活污水污染物核算一览表</w:t>
            </w:r>
          </w:p>
          <w:tbl>
            <w:tblPr>
              <w:tblStyle w:val="19"/>
              <w:tblW w:w="9034" w:type="dxa"/>
              <w:tblInd w:w="0" w:type="dxa"/>
              <w:tblLayout w:type="fixed"/>
              <w:tblCellMar>
                <w:top w:w="0" w:type="dxa"/>
                <w:left w:w="108" w:type="dxa"/>
                <w:bottom w:w="0" w:type="dxa"/>
                <w:right w:w="108" w:type="dxa"/>
              </w:tblCellMar>
            </w:tblPr>
            <w:tblGrid>
              <w:gridCol w:w="928"/>
              <w:gridCol w:w="1418"/>
              <w:gridCol w:w="1276"/>
              <w:gridCol w:w="1134"/>
              <w:gridCol w:w="1134"/>
              <w:gridCol w:w="1275"/>
              <w:gridCol w:w="993"/>
              <w:gridCol w:w="876"/>
            </w:tblGrid>
            <w:tr>
              <w:tblPrEx>
                <w:tblLayout w:type="fixed"/>
                <w:tblCellMar>
                  <w:top w:w="0" w:type="dxa"/>
                  <w:left w:w="108" w:type="dxa"/>
                  <w:bottom w:w="0" w:type="dxa"/>
                  <w:right w:w="108" w:type="dxa"/>
                </w:tblCellMar>
              </w:tblPrEx>
              <w:trPr>
                <w:trHeight w:val="547" w:hRule="atLeast"/>
              </w:trPr>
              <w:tc>
                <w:tcPr>
                  <w:tcW w:w="928" w:type="dxa"/>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排放源</w:t>
                  </w:r>
                </w:p>
              </w:tc>
              <w:tc>
                <w:tcPr>
                  <w:tcW w:w="1418" w:type="dxa"/>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污染物</w:t>
                  </w:r>
                </w:p>
              </w:tc>
              <w:tc>
                <w:tcPr>
                  <w:tcW w:w="1276" w:type="dxa"/>
                  <w:tcBorders>
                    <w:top w:val="single" w:color="auto" w:sz="8" w:space="0"/>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进水浓度</w:t>
                  </w:r>
                </w:p>
                <w:p>
                  <w:pPr>
                    <w:pStyle w:val="30"/>
                    <w:spacing w:line="360" w:lineRule="exact"/>
                    <w:rPr>
                      <w:color w:val="auto"/>
                      <w:szCs w:val="21"/>
                    </w:rPr>
                  </w:pPr>
                  <w:r>
                    <w:rPr>
                      <w:color w:val="auto"/>
                      <w:szCs w:val="21"/>
                    </w:rPr>
                    <w:t>（mg/L）</w:t>
                  </w:r>
                </w:p>
              </w:tc>
              <w:tc>
                <w:tcPr>
                  <w:tcW w:w="1134" w:type="dxa"/>
                  <w:tcBorders>
                    <w:top w:val="single" w:color="auto" w:sz="8" w:space="0"/>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产生量</w:t>
                  </w:r>
                </w:p>
                <w:p>
                  <w:pPr>
                    <w:pStyle w:val="30"/>
                    <w:spacing w:line="360" w:lineRule="exact"/>
                    <w:rPr>
                      <w:color w:val="auto"/>
                      <w:szCs w:val="21"/>
                    </w:rPr>
                  </w:pPr>
                  <w:r>
                    <w:rPr>
                      <w:color w:val="auto"/>
                      <w:szCs w:val="21"/>
                    </w:rPr>
                    <w:t>（t/a）</w:t>
                  </w:r>
                </w:p>
              </w:tc>
              <w:tc>
                <w:tcPr>
                  <w:tcW w:w="1134" w:type="dxa"/>
                  <w:tcBorders>
                    <w:top w:val="single" w:color="auto" w:sz="8" w:space="0"/>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出水浓度</w:t>
                  </w:r>
                </w:p>
                <w:p>
                  <w:pPr>
                    <w:pStyle w:val="30"/>
                    <w:spacing w:line="360" w:lineRule="exact"/>
                    <w:rPr>
                      <w:color w:val="auto"/>
                      <w:szCs w:val="21"/>
                    </w:rPr>
                  </w:pPr>
                  <w:r>
                    <w:rPr>
                      <w:color w:val="auto"/>
                      <w:szCs w:val="21"/>
                    </w:rPr>
                    <w:t>（mg/L）</w:t>
                  </w:r>
                </w:p>
              </w:tc>
              <w:tc>
                <w:tcPr>
                  <w:tcW w:w="1275" w:type="dxa"/>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再生水回用量（t/a）</w:t>
                  </w:r>
                </w:p>
              </w:tc>
              <w:tc>
                <w:tcPr>
                  <w:tcW w:w="993" w:type="dxa"/>
                  <w:tcBorders>
                    <w:top w:val="single" w:color="auto" w:sz="8" w:space="0"/>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标准值</w:t>
                  </w:r>
                </w:p>
                <w:p>
                  <w:pPr>
                    <w:pStyle w:val="30"/>
                    <w:spacing w:line="360" w:lineRule="exact"/>
                    <w:rPr>
                      <w:color w:val="auto"/>
                      <w:szCs w:val="21"/>
                    </w:rPr>
                  </w:pPr>
                  <w:r>
                    <w:rPr>
                      <w:color w:val="auto"/>
                      <w:szCs w:val="21"/>
                    </w:rPr>
                    <w:t>（mg/L）</w:t>
                  </w:r>
                </w:p>
              </w:tc>
              <w:tc>
                <w:tcPr>
                  <w:tcW w:w="876" w:type="dxa"/>
                  <w:tcBorders>
                    <w:top w:val="single" w:color="auto" w:sz="8" w:space="0"/>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达标情况</w:t>
                  </w:r>
                </w:p>
              </w:tc>
            </w:tr>
            <w:tr>
              <w:tblPrEx>
                <w:tblLayout w:type="fixed"/>
                <w:tblCellMar>
                  <w:top w:w="0" w:type="dxa"/>
                  <w:left w:w="108" w:type="dxa"/>
                  <w:bottom w:w="0" w:type="dxa"/>
                  <w:right w:w="108" w:type="dxa"/>
                </w:tblCellMar>
              </w:tblPrEx>
              <w:trPr>
                <w:trHeight w:val="300" w:hRule="atLeast"/>
              </w:trPr>
              <w:tc>
                <w:tcPr>
                  <w:tcW w:w="928" w:type="dxa"/>
                  <w:vMerge w:val="restart"/>
                  <w:tcBorders>
                    <w:top w:val="nil"/>
                    <w:left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经化粪池处理后并进入污水收集池的生活污水</w:t>
                  </w:r>
                </w:p>
              </w:tc>
              <w:tc>
                <w:tcPr>
                  <w:tcW w:w="141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废水量</w:t>
                  </w:r>
                </w:p>
              </w:tc>
              <w:tc>
                <w:tcPr>
                  <w:tcW w:w="1276"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w:t>
                  </w:r>
                </w:p>
              </w:tc>
              <w:tc>
                <w:tcPr>
                  <w:tcW w:w="1134" w:type="dxa"/>
                  <w:tcBorders>
                    <w:top w:val="single" w:color="auto" w:sz="4" w:space="0"/>
                    <w:left w:val="nil"/>
                    <w:bottom w:val="single" w:color="auto" w:sz="8" w:space="0"/>
                    <w:right w:val="single" w:color="auto" w:sz="8" w:space="0"/>
                  </w:tcBorders>
                  <w:shd w:val="clear" w:color="auto" w:fill="auto"/>
                  <w:vAlign w:val="bottom"/>
                </w:tcPr>
                <w:p>
                  <w:pPr>
                    <w:pStyle w:val="30"/>
                    <w:spacing w:line="360" w:lineRule="exact"/>
                    <w:rPr>
                      <w:color w:val="auto"/>
                      <w:szCs w:val="21"/>
                    </w:rPr>
                  </w:pPr>
                  <w:r>
                    <w:rPr>
                      <w:color w:val="auto"/>
                      <w:szCs w:val="21"/>
                    </w:rPr>
                    <w:t>1488m³/a</w:t>
                  </w:r>
                </w:p>
              </w:tc>
              <w:tc>
                <w:tcPr>
                  <w:tcW w:w="1134"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w:t>
                  </w:r>
                </w:p>
              </w:tc>
              <w:tc>
                <w:tcPr>
                  <w:tcW w:w="1275" w:type="dxa"/>
                  <w:tcBorders>
                    <w:top w:val="nil"/>
                    <w:left w:val="nil"/>
                    <w:bottom w:val="single" w:color="auto" w:sz="8" w:space="0"/>
                    <w:right w:val="single" w:color="auto" w:sz="8" w:space="0"/>
                  </w:tcBorders>
                  <w:shd w:val="clear" w:color="auto" w:fill="auto"/>
                  <w:vAlign w:val="bottom"/>
                </w:tcPr>
                <w:p>
                  <w:pPr>
                    <w:pStyle w:val="30"/>
                    <w:spacing w:line="360" w:lineRule="exact"/>
                    <w:rPr>
                      <w:color w:val="auto"/>
                      <w:szCs w:val="21"/>
                    </w:rPr>
                  </w:pPr>
                  <w:r>
                    <w:rPr>
                      <w:color w:val="auto"/>
                      <w:szCs w:val="21"/>
                    </w:rPr>
                    <w:t>1488m³/a</w:t>
                  </w:r>
                </w:p>
              </w:tc>
              <w:tc>
                <w:tcPr>
                  <w:tcW w:w="993"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w:t>
                  </w:r>
                </w:p>
              </w:tc>
              <w:tc>
                <w:tcPr>
                  <w:tcW w:w="876"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w:t>
                  </w:r>
                </w:p>
              </w:tc>
            </w:tr>
            <w:tr>
              <w:tblPrEx>
                <w:tblLayout w:type="fixed"/>
                <w:tblCellMar>
                  <w:top w:w="0" w:type="dxa"/>
                  <w:left w:w="108" w:type="dxa"/>
                  <w:bottom w:w="0" w:type="dxa"/>
                  <w:right w:w="108" w:type="dxa"/>
                </w:tblCellMar>
              </w:tblPrEx>
              <w:trPr>
                <w:trHeight w:val="242" w:hRule="atLeast"/>
              </w:trPr>
              <w:tc>
                <w:tcPr>
                  <w:tcW w:w="928" w:type="dxa"/>
                  <w:vMerge w:val="continue"/>
                  <w:tcBorders>
                    <w:left w:val="single" w:color="auto" w:sz="8" w:space="0"/>
                    <w:right w:val="single" w:color="auto" w:sz="8" w:space="0"/>
                  </w:tcBorders>
                  <w:shd w:val="clear" w:color="auto" w:fill="auto"/>
                  <w:vAlign w:val="center"/>
                </w:tcPr>
                <w:p>
                  <w:pPr>
                    <w:pStyle w:val="30"/>
                    <w:spacing w:line="360" w:lineRule="exact"/>
                    <w:rPr>
                      <w:color w:val="auto"/>
                      <w:szCs w:val="21"/>
                    </w:rPr>
                  </w:pPr>
                </w:p>
              </w:tc>
              <w:tc>
                <w:tcPr>
                  <w:tcW w:w="141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pH</w:t>
                  </w:r>
                </w:p>
              </w:tc>
              <w:tc>
                <w:tcPr>
                  <w:tcW w:w="1276"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6-9</w:t>
                  </w:r>
                </w:p>
              </w:tc>
              <w:tc>
                <w:tcPr>
                  <w:tcW w:w="1134" w:type="dxa"/>
                  <w:tcBorders>
                    <w:top w:val="single" w:color="auto" w:sz="4" w:space="0"/>
                    <w:left w:val="nil"/>
                    <w:bottom w:val="single" w:color="auto" w:sz="8" w:space="0"/>
                    <w:right w:val="single" w:color="auto" w:sz="8" w:space="0"/>
                  </w:tcBorders>
                  <w:shd w:val="clear" w:color="auto" w:fill="auto"/>
                  <w:vAlign w:val="bottom"/>
                </w:tcPr>
                <w:p>
                  <w:pPr>
                    <w:pStyle w:val="30"/>
                    <w:spacing w:line="360" w:lineRule="exact"/>
                    <w:rPr>
                      <w:color w:val="auto"/>
                      <w:szCs w:val="21"/>
                    </w:rPr>
                  </w:pPr>
                  <w:r>
                    <w:rPr>
                      <w:color w:val="auto"/>
                      <w:szCs w:val="21"/>
                    </w:rPr>
                    <w:t>　--</w:t>
                  </w:r>
                </w:p>
              </w:tc>
              <w:tc>
                <w:tcPr>
                  <w:tcW w:w="1134"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6-9</w:t>
                  </w:r>
                </w:p>
              </w:tc>
              <w:tc>
                <w:tcPr>
                  <w:tcW w:w="1275" w:type="dxa"/>
                  <w:tcBorders>
                    <w:top w:val="nil"/>
                    <w:left w:val="nil"/>
                    <w:bottom w:val="single" w:color="auto" w:sz="8" w:space="0"/>
                    <w:right w:val="single" w:color="auto" w:sz="8" w:space="0"/>
                  </w:tcBorders>
                  <w:shd w:val="clear" w:color="auto" w:fill="auto"/>
                  <w:vAlign w:val="bottom"/>
                </w:tcPr>
                <w:p>
                  <w:pPr>
                    <w:pStyle w:val="30"/>
                    <w:spacing w:line="360" w:lineRule="exact"/>
                    <w:rPr>
                      <w:color w:val="auto"/>
                      <w:szCs w:val="21"/>
                    </w:rPr>
                  </w:pPr>
                  <w:r>
                    <w:rPr>
                      <w:color w:val="auto"/>
                      <w:szCs w:val="21"/>
                    </w:rPr>
                    <w:t>　--</w:t>
                  </w:r>
                </w:p>
              </w:tc>
              <w:tc>
                <w:tcPr>
                  <w:tcW w:w="993"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6-9</w:t>
                  </w:r>
                </w:p>
              </w:tc>
              <w:tc>
                <w:tcPr>
                  <w:tcW w:w="876"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达标</w:t>
                  </w:r>
                </w:p>
              </w:tc>
            </w:tr>
            <w:tr>
              <w:tblPrEx>
                <w:tblLayout w:type="fixed"/>
                <w:tblCellMar>
                  <w:top w:w="0" w:type="dxa"/>
                  <w:left w:w="108" w:type="dxa"/>
                  <w:bottom w:w="0" w:type="dxa"/>
                  <w:right w:w="108" w:type="dxa"/>
                </w:tblCellMar>
              </w:tblPrEx>
              <w:trPr>
                <w:trHeight w:val="300" w:hRule="atLeast"/>
              </w:trPr>
              <w:tc>
                <w:tcPr>
                  <w:tcW w:w="928" w:type="dxa"/>
                  <w:vMerge w:val="continue"/>
                  <w:tcBorders>
                    <w:left w:val="single" w:color="auto" w:sz="8" w:space="0"/>
                    <w:right w:val="single" w:color="auto" w:sz="8" w:space="0"/>
                  </w:tcBorders>
                  <w:vAlign w:val="center"/>
                </w:tcPr>
                <w:p>
                  <w:pPr>
                    <w:pStyle w:val="30"/>
                    <w:spacing w:line="360" w:lineRule="exact"/>
                    <w:rPr>
                      <w:color w:val="auto"/>
                      <w:szCs w:val="21"/>
                    </w:rPr>
                  </w:pPr>
                </w:p>
              </w:tc>
              <w:tc>
                <w:tcPr>
                  <w:tcW w:w="141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CODcr</w:t>
                  </w:r>
                </w:p>
              </w:tc>
              <w:tc>
                <w:tcPr>
                  <w:tcW w:w="127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350</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0.52</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280</w:t>
                  </w:r>
                </w:p>
              </w:tc>
              <w:tc>
                <w:tcPr>
                  <w:tcW w:w="127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0.42</w:t>
                  </w:r>
                </w:p>
              </w:tc>
              <w:tc>
                <w:tcPr>
                  <w:tcW w:w="99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w:t>
                  </w:r>
                </w:p>
              </w:tc>
              <w:tc>
                <w:tcPr>
                  <w:tcW w:w="8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w:t>
                  </w:r>
                </w:p>
              </w:tc>
            </w:tr>
            <w:tr>
              <w:tblPrEx>
                <w:tblLayout w:type="fixed"/>
                <w:tblCellMar>
                  <w:top w:w="0" w:type="dxa"/>
                  <w:left w:w="108" w:type="dxa"/>
                  <w:bottom w:w="0" w:type="dxa"/>
                  <w:right w:w="108" w:type="dxa"/>
                </w:tblCellMar>
              </w:tblPrEx>
              <w:trPr>
                <w:trHeight w:val="300" w:hRule="atLeast"/>
              </w:trPr>
              <w:tc>
                <w:tcPr>
                  <w:tcW w:w="928" w:type="dxa"/>
                  <w:vMerge w:val="continue"/>
                  <w:tcBorders>
                    <w:left w:val="single" w:color="auto" w:sz="8" w:space="0"/>
                    <w:right w:val="single" w:color="auto" w:sz="8" w:space="0"/>
                  </w:tcBorders>
                  <w:vAlign w:val="center"/>
                </w:tcPr>
                <w:p>
                  <w:pPr>
                    <w:pStyle w:val="30"/>
                    <w:spacing w:line="360" w:lineRule="exact"/>
                    <w:rPr>
                      <w:color w:val="auto"/>
                      <w:szCs w:val="21"/>
                    </w:rPr>
                  </w:pPr>
                </w:p>
              </w:tc>
              <w:tc>
                <w:tcPr>
                  <w:tcW w:w="141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BOD</w:t>
                  </w:r>
                  <w:r>
                    <w:rPr>
                      <w:color w:val="auto"/>
                      <w:szCs w:val="21"/>
                      <w:vertAlign w:val="subscript"/>
                    </w:rPr>
                    <w:t>5</w:t>
                  </w:r>
                </w:p>
              </w:tc>
              <w:tc>
                <w:tcPr>
                  <w:tcW w:w="127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220</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0.33</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190</w:t>
                  </w:r>
                </w:p>
              </w:tc>
              <w:tc>
                <w:tcPr>
                  <w:tcW w:w="127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0.28</w:t>
                  </w:r>
                </w:p>
              </w:tc>
              <w:tc>
                <w:tcPr>
                  <w:tcW w:w="99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≤20</w:t>
                  </w:r>
                </w:p>
              </w:tc>
              <w:tc>
                <w:tcPr>
                  <w:tcW w:w="8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达标</w:t>
                  </w:r>
                </w:p>
              </w:tc>
            </w:tr>
            <w:tr>
              <w:tblPrEx>
                <w:tblLayout w:type="fixed"/>
                <w:tblCellMar>
                  <w:top w:w="0" w:type="dxa"/>
                  <w:left w:w="108" w:type="dxa"/>
                  <w:bottom w:w="0" w:type="dxa"/>
                  <w:right w:w="108" w:type="dxa"/>
                </w:tblCellMar>
              </w:tblPrEx>
              <w:trPr>
                <w:trHeight w:val="300" w:hRule="atLeast"/>
              </w:trPr>
              <w:tc>
                <w:tcPr>
                  <w:tcW w:w="928" w:type="dxa"/>
                  <w:vMerge w:val="continue"/>
                  <w:tcBorders>
                    <w:left w:val="single" w:color="auto" w:sz="8" w:space="0"/>
                    <w:right w:val="single" w:color="auto" w:sz="8" w:space="0"/>
                  </w:tcBorders>
                  <w:vAlign w:val="center"/>
                </w:tcPr>
                <w:p>
                  <w:pPr>
                    <w:pStyle w:val="30"/>
                    <w:spacing w:line="360" w:lineRule="exact"/>
                    <w:rPr>
                      <w:color w:val="auto"/>
                      <w:szCs w:val="21"/>
                    </w:rPr>
                  </w:pPr>
                </w:p>
              </w:tc>
              <w:tc>
                <w:tcPr>
                  <w:tcW w:w="141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NH</w:t>
                  </w:r>
                  <w:r>
                    <w:rPr>
                      <w:color w:val="auto"/>
                      <w:szCs w:val="21"/>
                      <w:vertAlign w:val="subscript"/>
                    </w:rPr>
                    <w:t>3</w:t>
                  </w:r>
                  <w:r>
                    <w:rPr>
                      <w:color w:val="auto"/>
                      <w:szCs w:val="21"/>
                    </w:rPr>
                    <w:t>-N</w:t>
                  </w:r>
                </w:p>
              </w:tc>
              <w:tc>
                <w:tcPr>
                  <w:tcW w:w="127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38</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0.06</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35</w:t>
                  </w:r>
                </w:p>
              </w:tc>
              <w:tc>
                <w:tcPr>
                  <w:tcW w:w="127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0.05</w:t>
                  </w:r>
                </w:p>
              </w:tc>
              <w:tc>
                <w:tcPr>
                  <w:tcW w:w="99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≤20</w:t>
                  </w:r>
                </w:p>
              </w:tc>
              <w:tc>
                <w:tcPr>
                  <w:tcW w:w="8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不达标</w:t>
                  </w:r>
                </w:p>
              </w:tc>
            </w:tr>
            <w:tr>
              <w:tblPrEx>
                <w:tblLayout w:type="fixed"/>
                <w:tblCellMar>
                  <w:top w:w="0" w:type="dxa"/>
                  <w:left w:w="108" w:type="dxa"/>
                  <w:bottom w:w="0" w:type="dxa"/>
                  <w:right w:w="108" w:type="dxa"/>
                </w:tblCellMar>
              </w:tblPrEx>
              <w:trPr>
                <w:trHeight w:val="300" w:hRule="atLeast"/>
              </w:trPr>
              <w:tc>
                <w:tcPr>
                  <w:tcW w:w="928" w:type="dxa"/>
                  <w:vMerge w:val="continue"/>
                  <w:tcBorders>
                    <w:left w:val="single" w:color="auto" w:sz="8" w:space="0"/>
                    <w:right w:val="single" w:color="auto" w:sz="8" w:space="0"/>
                  </w:tcBorders>
                  <w:vAlign w:val="center"/>
                </w:tcPr>
                <w:p>
                  <w:pPr>
                    <w:pStyle w:val="30"/>
                    <w:spacing w:line="360" w:lineRule="exact"/>
                    <w:rPr>
                      <w:color w:val="auto"/>
                      <w:szCs w:val="21"/>
                    </w:rPr>
                  </w:pPr>
                </w:p>
              </w:tc>
              <w:tc>
                <w:tcPr>
                  <w:tcW w:w="141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SS</w:t>
                  </w:r>
                </w:p>
              </w:tc>
              <w:tc>
                <w:tcPr>
                  <w:tcW w:w="127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300</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0.45</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160</w:t>
                  </w:r>
                </w:p>
              </w:tc>
              <w:tc>
                <w:tcPr>
                  <w:tcW w:w="127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0.24</w:t>
                  </w:r>
                </w:p>
              </w:tc>
              <w:tc>
                <w:tcPr>
                  <w:tcW w:w="99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w:t>
                  </w:r>
                </w:p>
              </w:tc>
              <w:tc>
                <w:tcPr>
                  <w:tcW w:w="8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w:t>
                  </w:r>
                </w:p>
              </w:tc>
            </w:tr>
            <w:tr>
              <w:tblPrEx>
                <w:tblLayout w:type="fixed"/>
                <w:tblCellMar>
                  <w:top w:w="0" w:type="dxa"/>
                  <w:left w:w="108" w:type="dxa"/>
                  <w:bottom w:w="0" w:type="dxa"/>
                  <w:right w:w="108" w:type="dxa"/>
                </w:tblCellMar>
              </w:tblPrEx>
              <w:trPr>
                <w:trHeight w:val="300" w:hRule="atLeast"/>
              </w:trPr>
              <w:tc>
                <w:tcPr>
                  <w:tcW w:w="928" w:type="dxa"/>
                  <w:vMerge w:val="continue"/>
                  <w:tcBorders>
                    <w:left w:val="single" w:color="auto" w:sz="8" w:space="0"/>
                    <w:right w:val="single" w:color="auto" w:sz="8" w:space="0"/>
                  </w:tcBorders>
                  <w:vAlign w:val="center"/>
                </w:tcPr>
                <w:p>
                  <w:pPr>
                    <w:pStyle w:val="30"/>
                    <w:spacing w:line="360" w:lineRule="exact"/>
                    <w:rPr>
                      <w:color w:val="auto"/>
                      <w:szCs w:val="21"/>
                    </w:rPr>
                  </w:pPr>
                </w:p>
              </w:tc>
              <w:tc>
                <w:tcPr>
                  <w:tcW w:w="141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总磷</w:t>
                  </w:r>
                </w:p>
              </w:tc>
              <w:tc>
                <w:tcPr>
                  <w:tcW w:w="127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8</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0.01</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7</w:t>
                  </w:r>
                </w:p>
              </w:tc>
              <w:tc>
                <w:tcPr>
                  <w:tcW w:w="127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0.01</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w:t>
                  </w:r>
                </w:p>
              </w:tc>
              <w:tc>
                <w:tcPr>
                  <w:tcW w:w="876" w:type="dxa"/>
                  <w:tcBorders>
                    <w:top w:val="nil"/>
                    <w:left w:val="single" w:color="auto" w:sz="4" w:space="0"/>
                    <w:bottom w:val="single" w:color="auto" w:sz="4" w:space="0"/>
                    <w:right w:val="single" w:color="auto" w:sz="8" w:space="0"/>
                  </w:tcBorders>
                  <w:shd w:val="clear" w:color="auto" w:fill="auto"/>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w:t>
                  </w:r>
                </w:p>
              </w:tc>
            </w:tr>
            <w:tr>
              <w:tblPrEx>
                <w:tblLayout w:type="fixed"/>
                <w:tblCellMar>
                  <w:top w:w="0" w:type="dxa"/>
                  <w:left w:w="108" w:type="dxa"/>
                  <w:bottom w:w="0" w:type="dxa"/>
                  <w:right w:w="108" w:type="dxa"/>
                </w:tblCellMar>
              </w:tblPrEx>
              <w:trPr>
                <w:trHeight w:val="300" w:hRule="atLeast"/>
              </w:trPr>
              <w:tc>
                <w:tcPr>
                  <w:tcW w:w="928" w:type="dxa"/>
                  <w:vMerge w:val="continue"/>
                  <w:tcBorders>
                    <w:left w:val="single" w:color="auto" w:sz="8" w:space="0"/>
                    <w:right w:val="single" w:color="auto" w:sz="8" w:space="0"/>
                  </w:tcBorders>
                  <w:vAlign w:val="center"/>
                </w:tcPr>
                <w:p>
                  <w:pPr>
                    <w:pStyle w:val="30"/>
                    <w:spacing w:line="360" w:lineRule="exact"/>
                    <w:rPr>
                      <w:color w:val="auto"/>
                      <w:szCs w:val="21"/>
                    </w:rPr>
                  </w:pPr>
                </w:p>
              </w:tc>
              <w:tc>
                <w:tcPr>
                  <w:tcW w:w="141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总氮</w:t>
                  </w:r>
                </w:p>
              </w:tc>
              <w:tc>
                <w:tcPr>
                  <w:tcW w:w="127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45</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0.07</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40</w:t>
                  </w:r>
                </w:p>
              </w:tc>
              <w:tc>
                <w:tcPr>
                  <w:tcW w:w="127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0.06</w:t>
                  </w:r>
                </w:p>
              </w:tc>
              <w:tc>
                <w:tcPr>
                  <w:tcW w:w="993" w:type="dxa"/>
                  <w:tcBorders>
                    <w:top w:val="single" w:color="auto" w:sz="4" w:space="0"/>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w:t>
                  </w:r>
                </w:p>
              </w:tc>
              <w:tc>
                <w:tcPr>
                  <w:tcW w:w="876" w:type="dxa"/>
                  <w:tcBorders>
                    <w:top w:val="single" w:color="auto" w:sz="4" w:space="0"/>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w:t>
                  </w:r>
                </w:p>
              </w:tc>
            </w:tr>
            <w:tr>
              <w:tblPrEx>
                <w:tblLayout w:type="fixed"/>
                <w:tblCellMar>
                  <w:top w:w="0" w:type="dxa"/>
                  <w:left w:w="108" w:type="dxa"/>
                  <w:bottom w:w="0" w:type="dxa"/>
                  <w:right w:w="108" w:type="dxa"/>
                </w:tblCellMar>
              </w:tblPrEx>
              <w:trPr>
                <w:trHeight w:val="300" w:hRule="atLeast"/>
              </w:trPr>
              <w:tc>
                <w:tcPr>
                  <w:tcW w:w="928" w:type="dxa"/>
                  <w:vMerge w:val="continue"/>
                  <w:tcBorders>
                    <w:left w:val="single" w:color="auto" w:sz="8" w:space="0"/>
                    <w:right w:val="single" w:color="auto" w:sz="8" w:space="0"/>
                  </w:tcBorders>
                  <w:vAlign w:val="center"/>
                </w:tcPr>
                <w:p>
                  <w:pPr>
                    <w:pStyle w:val="30"/>
                    <w:spacing w:line="360" w:lineRule="exact"/>
                    <w:rPr>
                      <w:color w:val="auto"/>
                      <w:szCs w:val="21"/>
                    </w:rPr>
                  </w:pPr>
                </w:p>
              </w:tc>
              <w:tc>
                <w:tcPr>
                  <w:tcW w:w="1418"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动植物油</w:t>
                  </w:r>
                </w:p>
              </w:tc>
              <w:tc>
                <w:tcPr>
                  <w:tcW w:w="1276"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100</w:t>
                  </w:r>
                </w:p>
              </w:tc>
              <w:tc>
                <w:tcPr>
                  <w:tcW w:w="1134"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0.15</w:t>
                  </w:r>
                </w:p>
              </w:tc>
              <w:tc>
                <w:tcPr>
                  <w:tcW w:w="1134"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60</w:t>
                  </w:r>
                </w:p>
              </w:tc>
              <w:tc>
                <w:tcPr>
                  <w:tcW w:w="1275"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0.09</w:t>
                  </w:r>
                </w:p>
              </w:tc>
              <w:tc>
                <w:tcPr>
                  <w:tcW w:w="993"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w:t>
                  </w:r>
                </w:p>
              </w:tc>
              <w:tc>
                <w:tcPr>
                  <w:tcW w:w="876"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w:t>
                  </w:r>
                </w:p>
              </w:tc>
            </w:tr>
            <w:tr>
              <w:tblPrEx>
                <w:tblLayout w:type="fixed"/>
                <w:tblCellMar>
                  <w:top w:w="0" w:type="dxa"/>
                  <w:left w:w="108" w:type="dxa"/>
                  <w:bottom w:w="0" w:type="dxa"/>
                  <w:right w:w="108" w:type="dxa"/>
                </w:tblCellMar>
              </w:tblPrEx>
              <w:trPr>
                <w:trHeight w:val="300" w:hRule="atLeast"/>
              </w:trPr>
              <w:tc>
                <w:tcPr>
                  <w:tcW w:w="928" w:type="dxa"/>
                  <w:vMerge w:val="continue"/>
                  <w:tcBorders>
                    <w:left w:val="single" w:color="auto" w:sz="8" w:space="0"/>
                    <w:right w:val="single" w:color="auto" w:sz="8" w:space="0"/>
                  </w:tcBorders>
                  <w:vAlign w:val="center"/>
                </w:tcPr>
                <w:p>
                  <w:pPr>
                    <w:pStyle w:val="30"/>
                    <w:spacing w:line="360" w:lineRule="exact"/>
                    <w:rPr>
                      <w:color w:val="auto"/>
                      <w:szCs w:val="21"/>
                    </w:rPr>
                  </w:pPr>
                </w:p>
              </w:tc>
              <w:tc>
                <w:tcPr>
                  <w:tcW w:w="1418"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阴离子表面活性剂</w:t>
                  </w:r>
                </w:p>
              </w:tc>
              <w:tc>
                <w:tcPr>
                  <w:tcW w:w="1276"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16</w:t>
                  </w:r>
                </w:p>
              </w:tc>
              <w:tc>
                <w:tcPr>
                  <w:tcW w:w="1134"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0.02</w:t>
                  </w:r>
                </w:p>
              </w:tc>
              <w:tc>
                <w:tcPr>
                  <w:tcW w:w="1134"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11</w:t>
                  </w:r>
                </w:p>
              </w:tc>
              <w:tc>
                <w:tcPr>
                  <w:tcW w:w="1275"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0.02</w:t>
                  </w:r>
                </w:p>
              </w:tc>
              <w:tc>
                <w:tcPr>
                  <w:tcW w:w="993" w:type="dxa"/>
                  <w:tcBorders>
                    <w:top w:val="single" w:color="auto" w:sz="4" w:space="0"/>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≤1</w:t>
                  </w:r>
                </w:p>
              </w:tc>
              <w:tc>
                <w:tcPr>
                  <w:tcW w:w="876" w:type="dxa"/>
                  <w:tcBorders>
                    <w:top w:val="single" w:color="auto" w:sz="4" w:space="0"/>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不达标</w:t>
                  </w:r>
                </w:p>
              </w:tc>
            </w:tr>
            <w:tr>
              <w:tblPrEx>
                <w:tblLayout w:type="fixed"/>
                <w:tblCellMar>
                  <w:top w:w="0" w:type="dxa"/>
                  <w:left w:w="108" w:type="dxa"/>
                  <w:bottom w:w="0" w:type="dxa"/>
                  <w:right w:w="108" w:type="dxa"/>
                </w:tblCellMar>
              </w:tblPrEx>
              <w:trPr>
                <w:trHeight w:val="300" w:hRule="atLeast"/>
              </w:trPr>
              <w:tc>
                <w:tcPr>
                  <w:tcW w:w="928" w:type="dxa"/>
                  <w:vMerge w:val="continue"/>
                  <w:tcBorders>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1418"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粪大肠菌群数（MPN/L）</w:t>
                  </w:r>
                </w:p>
              </w:tc>
              <w:tc>
                <w:tcPr>
                  <w:tcW w:w="1276"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16000</w:t>
                  </w:r>
                </w:p>
              </w:tc>
              <w:tc>
                <w:tcPr>
                  <w:tcW w:w="1134"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w:t>
                  </w:r>
                </w:p>
              </w:tc>
              <w:tc>
                <w:tcPr>
                  <w:tcW w:w="1134"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8000</w:t>
                  </w:r>
                </w:p>
              </w:tc>
              <w:tc>
                <w:tcPr>
                  <w:tcW w:w="1275"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w:t>
                  </w:r>
                </w:p>
              </w:tc>
              <w:tc>
                <w:tcPr>
                  <w:tcW w:w="993" w:type="dxa"/>
                  <w:tcBorders>
                    <w:top w:val="single" w:color="auto" w:sz="4" w:space="0"/>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w:t>
                  </w:r>
                </w:p>
              </w:tc>
              <w:tc>
                <w:tcPr>
                  <w:tcW w:w="876" w:type="dxa"/>
                  <w:tcBorders>
                    <w:top w:val="single" w:color="auto" w:sz="4" w:space="0"/>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w:t>
                  </w:r>
                </w:p>
              </w:tc>
            </w:tr>
          </w:tbl>
          <w:p>
            <w:pPr>
              <w:spacing w:beforeLines="50"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上表可知，经隔油池、化粪池和污水收集池处理后的生活污水不能达到《城市污水再生利用 城市杂用水水质》（GB/T18920-2020）中城市绿化标准。项目生活污水用于厂区绿化，不外排。</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2.11.3 现有工程噪声排放情况</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根据调查，现有项目噪声主要为设备噪声，根据现有项目竣工验收监测报可知，现有项目厂界噪声可达到《工业企业厂界环境噪声排放标准》（GB12348-2008）3类标准。</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2.11.4 现有工程固体废物产生及处置情况</w:t>
            </w:r>
          </w:p>
          <w:p>
            <w:pPr>
              <w:spacing w:line="360" w:lineRule="auto"/>
              <w:ind w:firstLine="361" w:firstLineChars="150"/>
              <w:rPr>
                <w:rFonts w:ascii="Times New Roman" w:hAnsi="Times New Roman" w:cs="Times New Roman"/>
                <w:b/>
                <w:color w:val="auto"/>
                <w:sz w:val="24"/>
              </w:rPr>
            </w:pPr>
            <w:r>
              <w:rPr>
                <w:rFonts w:ascii="Times New Roman" w:hAnsi="Times New Roman" w:cs="Times New Roman"/>
                <w:b/>
                <w:color w:val="auto"/>
                <w:sz w:val="24"/>
              </w:rPr>
              <w:t>（1）项目固体废物产生情况及属性</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根据建设单位按照实际生产提供的数据，现有工程固体废物产生情况如下表所示。</w:t>
            </w:r>
          </w:p>
          <w:p>
            <w:pPr>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表2.11.4-1 现有工程固体废物属性及产生情况一览表</w:t>
            </w:r>
          </w:p>
          <w:tbl>
            <w:tblPr>
              <w:tblStyle w:val="20"/>
              <w:tblW w:w="904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018"/>
              <w:gridCol w:w="2558"/>
              <w:gridCol w:w="1654"/>
              <w:gridCol w:w="1654"/>
              <w:gridCol w:w="216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2" w:hRule="atLeast"/>
              </w:trPr>
              <w:tc>
                <w:tcPr>
                  <w:tcW w:w="1018" w:type="dxa"/>
                  <w:vMerge w:val="restart"/>
                  <w:vAlign w:val="center"/>
                </w:tcPr>
                <w:p>
                  <w:pPr>
                    <w:pStyle w:val="30"/>
                    <w:spacing w:line="360" w:lineRule="exact"/>
                    <w:rPr>
                      <w:rFonts w:eastAsiaTheme="minorEastAsia"/>
                      <w:color w:val="auto"/>
                      <w:szCs w:val="21"/>
                    </w:rPr>
                  </w:pPr>
                  <w:r>
                    <w:rPr>
                      <w:rFonts w:eastAsiaTheme="minorEastAsia"/>
                      <w:color w:val="auto"/>
                      <w:szCs w:val="21"/>
                    </w:rPr>
                    <w:t>产生环节</w:t>
                  </w:r>
                </w:p>
              </w:tc>
              <w:tc>
                <w:tcPr>
                  <w:tcW w:w="2558" w:type="dxa"/>
                  <w:vMerge w:val="restart"/>
                  <w:vAlign w:val="center"/>
                </w:tcPr>
                <w:p>
                  <w:pPr>
                    <w:pStyle w:val="30"/>
                    <w:spacing w:line="360" w:lineRule="exact"/>
                    <w:rPr>
                      <w:rFonts w:eastAsiaTheme="minorEastAsia"/>
                      <w:color w:val="auto"/>
                      <w:szCs w:val="21"/>
                    </w:rPr>
                  </w:pPr>
                  <w:r>
                    <w:rPr>
                      <w:rFonts w:eastAsiaTheme="minorEastAsia"/>
                      <w:color w:val="auto"/>
                      <w:szCs w:val="21"/>
                    </w:rPr>
                    <w:t>固废名称</w:t>
                  </w:r>
                </w:p>
              </w:tc>
              <w:tc>
                <w:tcPr>
                  <w:tcW w:w="3308" w:type="dxa"/>
                  <w:gridSpan w:val="2"/>
                  <w:vAlign w:val="center"/>
                </w:tcPr>
                <w:p>
                  <w:pPr>
                    <w:pStyle w:val="30"/>
                    <w:spacing w:line="360" w:lineRule="exact"/>
                    <w:rPr>
                      <w:rFonts w:eastAsiaTheme="minorEastAsia"/>
                      <w:color w:val="auto"/>
                      <w:szCs w:val="21"/>
                    </w:rPr>
                  </w:pPr>
                  <w:r>
                    <w:rPr>
                      <w:rFonts w:eastAsiaTheme="minorEastAsia"/>
                      <w:color w:val="auto"/>
                      <w:szCs w:val="21"/>
                    </w:rPr>
                    <w:t>固体废物产生量</w:t>
                  </w:r>
                </w:p>
              </w:tc>
              <w:tc>
                <w:tcPr>
                  <w:tcW w:w="2160" w:type="dxa"/>
                  <w:vMerge w:val="restart"/>
                  <w:vAlign w:val="center"/>
                </w:tcPr>
                <w:p>
                  <w:pPr>
                    <w:pStyle w:val="30"/>
                    <w:spacing w:line="360" w:lineRule="exact"/>
                    <w:rPr>
                      <w:rFonts w:eastAsiaTheme="minorEastAsia"/>
                      <w:color w:val="auto"/>
                      <w:szCs w:val="21"/>
                    </w:rPr>
                  </w:pPr>
                  <w:r>
                    <w:rPr>
                      <w:rFonts w:eastAsiaTheme="minorEastAsia"/>
                      <w:color w:val="auto"/>
                      <w:szCs w:val="21"/>
                    </w:rPr>
                    <w:t>固废属性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9" w:hRule="atLeast"/>
              </w:trPr>
              <w:tc>
                <w:tcPr>
                  <w:tcW w:w="1018" w:type="dxa"/>
                  <w:vMerge w:val="continue"/>
                  <w:vAlign w:val="center"/>
                </w:tcPr>
                <w:p>
                  <w:pPr>
                    <w:pStyle w:val="30"/>
                    <w:spacing w:line="360" w:lineRule="exact"/>
                    <w:rPr>
                      <w:rFonts w:eastAsiaTheme="minorEastAsia"/>
                      <w:color w:val="auto"/>
                      <w:szCs w:val="21"/>
                    </w:rPr>
                  </w:pPr>
                </w:p>
              </w:tc>
              <w:tc>
                <w:tcPr>
                  <w:tcW w:w="2558" w:type="dxa"/>
                  <w:vMerge w:val="continue"/>
                  <w:vAlign w:val="center"/>
                </w:tcPr>
                <w:p>
                  <w:pPr>
                    <w:pStyle w:val="30"/>
                    <w:spacing w:line="360" w:lineRule="exact"/>
                    <w:rPr>
                      <w:rFonts w:eastAsiaTheme="minorEastAsia"/>
                      <w:color w:val="auto"/>
                      <w:szCs w:val="21"/>
                    </w:rPr>
                  </w:pP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实际平均产生量（t/a）</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满负荷产生量（t/a）</w:t>
                  </w:r>
                </w:p>
              </w:tc>
              <w:tc>
                <w:tcPr>
                  <w:tcW w:w="2160" w:type="dxa"/>
                  <w:vMerge w:val="continue"/>
                  <w:vAlign w:val="center"/>
                </w:tcPr>
                <w:p>
                  <w:pPr>
                    <w:pStyle w:val="30"/>
                    <w:spacing w:line="360" w:lineRule="exact"/>
                    <w:rPr>
                      <w:rFonts w:eastAsia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restart"/>
                  <w:vAlign w:val="center"/>
                </w:tcPr>
                <w:p>
                  <w:pPr>
                    <w:pStyle w:val="30"/>
                    <w:spacing w:line="360" w:lineRule="exact"/>
                    <w:rPr>
                      <w:rFonts w:eastAsiaTheme="minorEastAsia"/>
                      <w:color w:val="auto"/>
                      <w:szCs w:val="21"/>
                    </w:rPr>
                  </w:pPr>
                  <w:r>
                    <w:rPr>
                      <w:rFonts w:eastAsiaTheme="minorEastAsia"/>
                      <w:color w:val="auto"/>
                      <w:szCs w:val="21"/>
                    </w:rPr>
                    <w:t>废旧冰箱处理线</w:t>
                  </w: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废塑料</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446.03</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1486.78</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废旧有色金属（铜/铝等）</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127.65</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425.51</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废钢/铁</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2308.89</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7696.31</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废玻璃</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136.54</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455.14</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泡棉</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787.78</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2625.92</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废电子配件（开关、电容、电源线等）</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18.53</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61.75</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废矿物油</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8.02</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26.74</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危险废物（危废代码：900-219-08）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废电路板</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0.78</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2.6</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危险废物（危废代码：900-045-49）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含汞灯管</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0.02</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0.07</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危险废物（危废代码：900-023-29）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制冷剂</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0.15</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0.49</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tcBorders>
                    <w:bottom w:val="single" w:color="auto" w:sz="4" w:space="0"/>
                  </w:tcBorders>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废弃细碎料</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2.67</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8.9</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restart"/>
                  <w:vAlign w:val="center"/>
                </w:tcPr>
                <w:p>
                  <w:pPr>
                    <w:pStyle w:val="30"/>
                    <w:spacing w:line="360" w:lineRule="exact"/>
                    <w:rPr>
                      <w:rFonts w:eastAsiaTheme="minorEastAsia"/>
                      <w:color w:val="auto"/>
                      <w:szCs w:val="21"/>
                    </w:rPr>
                  </w:pPr>
                  <w:r>
                    <w:rPr>
                      <w:rFonts w:eastAsiaTheme="minorEastAsia"/>
                      <w:color w:val="auto"/>
                      <w:szCs w:val="21"/>
                    </w:rPr>
                    <w:t>空调/小家电/废手机及其视听设备消费电子产品处理线</w:t>
                  </w: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废塑料</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95.46</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954.56</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废旧有色金属（铜/铝等）</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275.39</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2753.89</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废钢/铁</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517.1</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5170.96</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废玻璃</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0.18</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1.84</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废电子配件（开关、电容、电源线等）</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0.08</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0.75</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废矿物油</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0.07</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0.67</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危险废物（危废代码：900-219-08）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废电路板</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1.41</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14.12</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危险废物（危废代码：900-045-49）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制冷剂</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0.2</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2</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背光模组</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1.55</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15.52</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危险废物（危废代码：900-023-29）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细碎料</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35.33</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353.3</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restart"/>
                  <w:vAlign w:val="center"/>
                </w:tcPr>
                <w:p>
                  <w:pPr>
                    <w:pStyle w:val="30"/>
                    <w:spacing w:line="360" w:lineRule="exact"/>
                    <w:rPr>
                      <w:rFonts w:eastAsiaTheme="minorEastAsia"/>
                      <w:color w:val="auto"/>
                      <w:szCs w:val="21"/>
                    </w:rPr>
                  </w:pPr>
                  <w:r>
                    <w:rPr>
                      <w:rFonts w:eastAsiaTheme="minorEastAsia"/>
                      <w:color w:val="auto"/>
                      <w:szCs w:val="21"/>
                    </w:rPr>
                    <w:t>废旧洗衣机处理线</w:t>
                  </w: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废塑料</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3080</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3850</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废旧有色金属（铜/铝等）</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419.2</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524</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废钢/铁</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6336</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7920</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废电子配件（开关、电容、电源线等）</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26.712</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33.39</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废电路板</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230.4</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288</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危险废物（危废代码：900-045-49）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tcBorders>
                    <w:bottom w:val="single" w:color="auto" w:sz="4" w:space="0"/>
                  </w:tcBorders>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细碎料</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374.4</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468</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restart"/>
                  <w:vAlign w:val="center"/>
                </w:tcPr>
                <w:p>
                  <w:pPr>
                    <w:pStyle w:val="30"/>
                    <w:spacing w:line="360" w:lineRule="exact"/>
                    <w:rPr>
                      <w:rFonts w:eastAsiaTheme="minorEastAsia"/>
                      <w:color w:val="auto"/>
                      <w:szCs w:val="21"/>
                    </w:rPr>
                  </w:pPr>
                  <w:r>
                    <w:rPr>
                      <w:rFonts w:eastAsiaTheme="minorEastAsia"/>
                      <w:color w:val="auto"/>
                      <w:szCs w:val="21"/>
                    </w:rPr>
                    <w:t>1号废旧电视机（液晶电视）处理线</w:t>
                  </w: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废塑料</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900</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废旧有色金属（铜/铝等）</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438.3</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废钢/铁</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1260</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废玻璃</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1575</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废电子配件（开关、电容、电源线等）</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225</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废电路板</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90</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危险废物（危废代码：900-045-49）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含汞灯管</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11.7</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危险废物（危废代码：900-023-29）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细碎料</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207</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restart"/>
                  <w:vAlign w:val="center"/>
                </w:tcPr>
                <w:p>
                  <w:pPr>
                    <w:pStyle w:val="30"/>
                    <w:spacing w:line="360" w:lineRule="exact"/>
                    <w:rPr>
                      <w:rFonts w:eastAsiaTheme="minorEastAsia"/>
                      <w:color w:val="auto"/>
                      <w:szCs w:val="21"/>
                    </w:rPr>
                  </w:pPr>
                  <w:r>
                    <w:rPr>
                      <w:rFonts w:eastAsiaTheme="minorEastAsia"/>
                      <w:color w:val="auto"/>
                      <w:szCs w:val="21"/>
                    </w:rPr>
                    <w:t>2号废旧电视机（CRT）处理线</w:t>
                  </w: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废塑料</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1458</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1822.5</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废旧有色金属（铜/铝等）</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720</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900</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废钢/铁</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2250</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2812.5</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废玻璃（屏玻璃）</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1800</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2250</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废电子配件（开关、电容、电源线等）</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270</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337.5</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废电路板</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342</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427.5</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危险废物（危废代码：900-045-49）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废弃的阴极射线管（锥玻璃）</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1980</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2475</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危险废物（危废代码：900-044-49）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荧光粉</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180</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225</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危险废物（危废代码：900-044-49）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tcBorders>
                    <w:bottom w:val="single" w:color="auto" w:sz="4" w:space="0"/>
                  </w:tcBorders>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细碎料</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16</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20</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restart"/>
                  <w:vAlign w:val="center"/>
                </w:tcPr>
                <w:p>
                  <w:pPr>
                    <w:pStyle w:val="30"/>
                    <w:spacing w:line="360" w:lineRule="exact"/>
                    <w:rPr>
                      <w:rFonts w:eastAsiaTheme="minorEastAsia"/>
                      <w:color w:val="auto"/>
                      <w:szCs w:val="21"/>
                    </w:rPr>
                  </w:pPr>
                  <w:r>
                    <w:rPr>
                      <w:rFonts w:eastAsiaTheme="minorEastAsia"/>
                      <w:color w:val="auto"/>
                      <w:szCs w:val="21"/>
                    </w:rPr>
                    <w:t>其他</w:t>
                  </w: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废活性炭（吸附有机废气）</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0.05</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0.06</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危险废物（危废代码：900-039-49）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收集粉尘</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20.65</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25.12</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收集含铅粉尘</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0.58</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0.65</w:t>
                  </w:r>
                </w:p>
              </w:tc>
              <w:tc>
                <w:tcPr>
                  <w:tcW w:w="2160"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危险废物（危废代码：900-044-49）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生活垃圾</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24.6</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24.6</w:t>
                  </w:r>
                </w:p>
              </w:tc>
              <w:tc>
                <w:tcPr>
                  <w:tcW w:w="2160" w:type="dxa"/>
                  <w:vMerge w:val="restart"/>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生活固废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餐厨废物</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6</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6</w:t>
                  </w:r>
                </w:p>
              </w:tc>
              <w:tc>
                <w:tcPr>
                  <w:tcW w:w="2160" w:type="dxa"/>
                  <w:vMerge w:val="continue"/>
                  <w:vAlign w:val="center"/>
                </w:tcPr>
                <w:p>
                  <w:pPr>
                    <w:pStyle w:val="30"/>
                    <w:spacing w:line="360" w:lineRule="exact"/>
                    <w:ind w:firstLine="210" w:firstLineChars="100"/>
                    <w:jc w:val="both"/>
                    <w:rPr>
                      <w:rFonts w:eastAsia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tcBorders>
                    <w:bottom w:val="single" w:color="auto" w:sz="4" w:space="0"/>
                  </w:tcBorders>
                  <w:vAlign w:val="center"/>
                </w:tcPr>
                <w:p>
                  <w:pPr>
                    <w:pStyle w:val="30"/>
                    <w:spacing w:line="360" w:lineRule="exact"/>
                    <w:rPr>
                      <w:rFonts w:eastAsiaTheme="minorEastAsia"/>
                      <w:color w:val="auto"/>
                      <w:szCs w:val="21"/>
                    </w:rPr>
                  </w:pPr>
                </w:p>
              </w:tc>
              <w:tc>
                <w:tcPr>
                  <w:tcW w:w="2558" w:type="dxa"/>
                  <w:vAlign w:val="center"/>
                </w:tcPr>
                <w:p>
                  <w:pPr>
                    <w:pStyle w:val="30"/>
                    <w:spacing w:line="360" w:lineRule="exact"/>
                    <w:rPr>
                      <w:rFonts w:eastAsiaTheme="minorEastAsia"/>
                      <w:color w:val="auto"/>
                      <w:szCs w:val="21"/>
                    </w:rPr>
                  </w:pPr>
                  <w:r>
                    <w:rPr>
                      <w:rFonts w:eastAsiaTheme="minorEastAsia"/>
                      <w:color w:val="auto"/>
                      <w:szCs w:val="21"/>
                    </w:rPr>
                    <w:t>隔油池浮油</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0.09</w:t>
                  </w:r>
                </w:p>
              </w:tc>
              <w:tc>
                <w:tcPr>
                  <w:tcW w:w="1654" w:type="dxa"/>
                  <w:vAlign w:val="center"/>
                </w:tcPr>
                <w:p>
                  <w:pPr>
                    <w:pStyle w:val="30"/>
                    <w:spacing w:line="360" w:lineRule="exact"/>
                    <w:rPr>
                      <w:rFonts w:eastAsiaTheme="minorEastAsia"/>
                      <w:color w:val="auto"/>
                      <w:szCs w:val="21"/>
                    </w:rPr>
                  </w:pPr>
                  <w:r>
                    <w:rPr>
                      <w:rFonts w:eastAsiaTheme="minorEastAsia"/>
                      <w:color w:val="auto"/>
                      <w:szCs w:val="21"/>
                    </w:rPr>
                    <w:t>0.09</w:t>
                  </w:r>
                </w:p>
              </w:tc>
              <w:tc>
                <w:tcPr>
                  <w:tcW w:w="2160" w:type="dxa"/>
                  <w:vMerge w:val="continue"/>
                  <w:vAlign w:val="center"/>
                </w:tcPr>
                <w:p>
                  <w:pPr>
                    <w:pStyle w:val="30"/>
                    <w:spacing w:line="360" w:lineRule="exact"/>
                    <w:ind w:firstLine="210" w:firstLineChars="100"/>
                    <w:jc w:val="both"/>
                    <w:rPr>
                      <w:rFonts w:eastAsiaTheme="minorEastAsia"/>
                      <w:color w:val="auto"/>
                      <w:szCs w:val="21"/>
                    </w:rPr>
                  </w:pPr>
                </w:p>
              </w:tc>
            </w:tr>
          </w:tbl>
          <w:p>
            <w:pPr>
              <w:spacing w:beforeLines="50"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根据建设单位实际运营过程中按照《废弃电器电子产品处理污染控制技术规范》（HJ527-2010）的要求，对现有项目产生的固体废物属性的鉴别结果，项目产生的危险废物种类及属性见下表。</w:t>
            </w:r>
          </w:p>
          <w:p>
            <w:pPr>
              <w:pStyle w:val="40"/>
              <w:rPr>
                <w:color w:val="auto"/>
                <w:szCs w:val="21"/>
              </w:rPr>
            </w:pPr>
            <w:r>
              <w:rPr>
                <w:color w:val="auto"/>
                <w:szCs w:val="21"/>
              </w:rPr>
              <w:t>表2.11.4-2  国家危险废物名录（2021年）（摘抄）</w:t>
            </w:r>
          </w:p>
          <w:tbl>
            <w:tblPr>
              <w:tblStyle w:val="19"/>
              <w:tblW w:w="90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1210"/>
              <w:gridCol w:w="993"/>
              <w:gridCol w:w="1275"/>
              <w:gridCol w:w="3543"/>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83" w:type="dxa"/>
                  <w:vAlign w:val="center"/>
                </w:tcPr>
                <w:p>
                  <w:pPr>
                    <w:pStyle w:val="30"/>
                    <w:spacing w:line="360" w:lineRule="exact"/>
                    <w:rPr>
                      <w:color w:val="auto"/>
                      <w:szCs w:val="21"/>
                    </w:rPr>
                  </w:pPr>
                  <w:r>
                    <w:rPr>
                      <w:color w:val="auto"/>
                      <w:szCs w:val="21"/>
                    </w:rPr>
                    <w:t>项目危废</w:t>
                  </w:r>
                </w:p>
              </w:tc>
              <w:tc>
                <w:tcPr>
                  <w:tcW w:w="1210" w:type="dxa"/>
                  <w:vAlign w:val="center"/>
                </w:tcPr>
                <w:p>
                  <w:pPr>
                    <w:pStyle w:val="30"/>
                    <w:spacing w:line="360" w:lineRule="exact"/>
                    <w:rPr>
                      <w:color w:val="auto"/>
                      <w:szCs w:val="21"/>
                    </w:rPr>
                  </w:pPr>
                  <w:r>
                    <w:rPr>
                      <w:color w:val="auto"/>
                      <w:szCs w:val="21"/>
                    </w:rPr>
                    <w:t>废物类别</w:t>
                  </w:r>
                </w:p>
              </w:tc>
              <w:tc>
                <w:tcPr>
                  <w:tcW w:w="993" w:type="dxa"/>
                  <w:vAlign w:val="center"/>
                </w:tcPr>
                <w:p>
                  <w:pPr>
                    <w:pStyle w:val="30"/>
                    <w:spacing w:line="360" w:lineRule="exact"/>
                    <w:rPr>
                      <w:color w:val="auto"/>
                      <w:szCs w:val="21"/>
                    </w:rPr>
                  </w:pPr>
                  <w:r>
                    <w:rPr>
                      <w:color w:val="auto"/>
                      <w:szCs w:val="21"/>
                    </w:rPr>
                    <w:t>行业来源</w:t>
                  </w:r>
                </w:p>
              </w:tc>
              <w:tc>
                <w:tcPr>
                  <w:tcW w:w="1275" w:type="dxa"/>
                  <w:vAlign w:val="center"/>
                </w:tcPr>
                <w:p>
                  <w:pPr>
                    <w:pStyle w:val="30"/>
                    <w:spacing w:line="360" w:lineRule="exact"/>
                    <w:rPr>
                      <w:color w:val="auto"/>
                      <w:szCs w:val="21"/>
                    </w:rPr>
                  </w:pPr>
                  <w:r>
                    <w:rPr>
                      <w:color w:val="auto"/>
                      <w:szCs w:val="21"/>
                    </w:rPr>
                    <w:t>废物代码</w:t>
                  </w:r>
                </w:p>
              </w:tc>
              <w:tc>
                <w:tcPr>
                  <w:tcW w:w="3543" w:type="dxa"/>
                  <w:vAlign w:val="center"/>
                </w:tcPr>
                <w:p>
                  <w:pPr>
                    <w:pStyle w:val="30"/>
                    <w:spacing w:line="360" w:lineRule="exact"/>
                    <w:rPr>
                      <w:color w:val="auto"/>
                      <w:szCs w:val="21"/>
                    </w:rPr>
                  </w:pPr>
                  <w:r>
                    <w:rPr>
                      <w:color w:val="auto"/>
                      <w:szCs w:val="21"/>
                    </w:rPr>
                    <w:t>危险废物</w:t>
                  </w:r>
                </w:p>
              </w:tc>
              <w:tc>
                <w:tcPr>
                  <w:tcW w:w="740" w:type="dxa"/>
                  <w:vAlign w:val="center"/>
                </w:tcPr>
                <w:p>
                  <w:pPr>
                    <w:pStyle w:val="30"/>
                    <w:spacing w:line="360" w:lineRule="exact"/>
                    <w:rPr>
                      <w:color w:val="auto"/>
                      <w:szCs w:val="21"/>
                    </w:rPr>
                  </w:pPr>
                  <w:r>
                    <w:rPr>
                      <w:color w:val="auto"/>
                      <w:szCs w:val="21"/>
                    </w:rPr>
                    <w:t>危险特征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83" w:type="dxa"/>
                  <w:vAlign w:val="center"/>
                </w:tcPr>
                <w:p>
                  <w:pPr>
                    <w:pStyle w:val="30"/>
                    <w:spacing w:line="360" w:lineRule="exact"/>
                    <w:rPr>
                      <w:color w:val="auto"/>
                      <w:szCs w:val="21"/>
                    </w:rPr>
                  </w:pPr>
                  <w:r>
                    <w:rPr>
                      <w:color w:val="auto"/>
                      <w:szCs w:val="21"/>
                    </w:rPr>
                    <w:t>电路板</w:t>
                  </w:r>
                </w:p>
              </w:tc>
              <w:tc>
                <w:tcPr>
                  <w:tcW w:w="1210" w:type="dxa"/>
                  <w:vAlign w:val="center"/>
                </w:tcPr>
                <w:p>
                  <w:pPr>
                    <w:pStyle w:val="30"/>
                    <w:spacing w:line="360" w:lineRule="exact"/>
                    <w:rPr>
                      <w:color w:val="auto"/>
                      <w:szCs w:val="21"/>
                    </w:rPr>
                  </w:pPr>
                  <w:r>
                    <w:rPr>
                      <w:color w:val="auto"/>
                      <w:szCs w:val="21"/>
                    </w:rPr>
                    <w:t>HW49其他废物</w:t>
                  </w:r>
                </w:p>
              </w:tc>
              <w:tc>
                <w:tcPr>
                  <w:tcW w:w="993" w:type="dxa"/>
                  <w:vAlign w:val="center"/>
                </w:tcPr>
                <w:p>
                  <w:pPr>
                    <w:pStyle w:val="30"/>
                    <w:spacing w:line="360" w:lineRule="exact"/>
                    <w:rPr>
                      <w:color w:val="auto"/>
                      <w:szCs w:val="21"/>
                    </w:rPr>
                  </w:pPr>
                  <w:r>
                    <w:rPr>
                      <w:color w:val="auto"/>
                      <w:szCs w:val="21"/>
                    </w:rPr>
                    <w:t>非特定行业</w:t>
                  </w:r>
                </w:p>
              </w:tc>
              <w:tc>
                <w:tcPr>
                  <w:tcW w:w="1275" w:type="dxa"/>
                  <w:vAlign w:val="center"/>
                </w:tcPr>
                <w:p>
                  <w:pPr>
                    <w:pStyle w:val="30"/>
                    <w:spacing w:line="360" w:lineRule="exact"/>
                    <w:rPr>
                      <w:color w:val="auto"/>
                      <w:szCs w:val="21"/>
                    </w:rPr>
                  </w:pPr>
                  <w:r>
                    <w:rPr>
                      <w:color w:val="auto"/>
                      <w:szCs w:val="21"/>
                    </w:rPr>
                    <w:t>900-045-49</w:t>
                  </w:r>
                </w:p>
              </w:tc>
              <w:tc>
                <w:tcPr>
                  <w:tcW w:w="3543" w:type="dxa"/>
                  <w:vAlign w:val="center"/>
                </w:tcPr>
                <w:p>
                  <w:pPr>
                    <w:pStyle w:val="30"/>
                    <w:spacing w:line="360" w:lineRule="exact"/>
                    <w:ind w:firstLine="210" w:firstLineChars="100"/>
                    <w:jc w:val="both"/>
                    <w:rPr>
                      <w:color w:val="auto"/>
                      <w:szCs w:val="21"/>
                    </w:rPr>
                  </w:pPr>
                  <w:r>
                    <w:rPr>
                      <w:color w:val="auto"/>
                      <w:szCs w:val="21"/>
                    </w:rPr>
                    <w:t>废电路板（包括废电路板上附带的元器件、芯片、插件、贴脚等）</w:t>
                  </w:r>
                </w:p>
              </w:tc>
              <w:tc>
                <w:tcPr>
                  <w:tcW w:w="740" w:type="dxa"/>
                  <w:vAlign w:val="center"/>
                </w:tcPr>
                <w:p>
                  <w:pPr>
                    <w:pStyle w:val="30"/>
                    <w:spacing w:line="360" w:lineRule="exact"/>
                    <w:rPr>
                      <w:color w:val="auto"/>
                      <w:szCs w:val="21"/>
                    </w:rPr>
                  </w:pPr>
                  <w:r>
                    <w:rPr>
                      <w:color w:val="auto"/>
                      <w:kern w:val="0"/>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83" w:type="dxa"/>
                  <w:vAlign w:val="center"/>
                </w:tcPr>
                <w:p>
                  <w:pPr>
                    <w:pStyle w:val="30"/>
                    <w:spacing w:line="360" w:lineRule="exact"/>
                    <w:rPr>
                      <w:color w:val="auto"/>
                      <w:szCs w:val="21"/>
                    </w:rPr>
                  </w:pPr>
                  <w:r>
                    <w:rPr>
                      <w:color w:val="auto"/>
                      <w:szCs w:val="21"/>
                    </w:rPr>
                    <w:t>废矿物油</w:t>
                  </w:r>
                </w:p>
              </w:tc>
              <w:tc>
                <w:tcPr>
                  <w:tcW w:w="1210" w:type="dxa"/>
                  <w:vAlign w:val="center"/>
                </w:tcPr>
                <w:p>
                  <w:pPr>
                    <w:pStyle w:val="30"/>
                    <w:spacing w:line="360" w:lineRule="exact"/>
                    <w:rPr>
                      <w:color w:val="auto"/>
                      <w:szCs w:val="21"/>
                    </w:rPr>
                  </w:pPr>
                  <w:r>
                    <w:rPr>
                      <w:color w:val="auto"/>
                      <w:szCs w:val="21"/>
                    </w:rPr>
                    <w:t>HW08废矿物油与含矿物油废物</w:t>
                  </w:r>
                </w:p>
              </w:tc>
              <w:tc>
                <w:tcPr>
                  <w:tcW w:w="993" w:type="dxa"/>
                  <w:vAlign w:val="center"/>
                </w:tcPr>
                <w:p>
                  <w:pPr>
                    <w:pStyle w:val="30"/>
                    <w:spacing w:line="360" w:lineRule="exact"/>
                    <w:rPr>
                      <w:color w:val="auto"/>
                      <w:szCs w:val="21"/>
                    </w:rPr>
                  </w:pPr>
                  <w:r>
                    <w:rPr>
                      <w:color w:val="auto"/>
                      <w:szCs w:val="21"/>
                    </w:rPr>
                    <w:t>非特定行业</w:t>
                  </w:r>
                </w:p>
              </w:tc>
              <w:tc>
                <w:tcPr>
                  <w:tcW w:w="1275" w:type="dxa"/>
                  <w:vAlign w:val="center"/>
                </w:tcPr>
                <w:p>
                  <w:pPr>
                    <w:pStyle w:val="30"/>
                    <w:spacing w:line="360" w:lineRule="exact"/>
                    <w:rPr>
                      <w:color w:val="auto"/>
                      <w:szCs w:val="21"/>
                    </w:rPr>
                  </w:pPr>
                  <w:r>
                    <w:rPr>
                      <w:color w:val="auto"/>
                      <w:szCs w:val="21"/>
                    </w:rPr>
                    <w:t>900-219-08</w:t>
                  </w:r>
                </w:p>
              </w:tc>
              <w:tc>
                <w:tcPr>
                  <w:tcW w:w="3543" w:type="dxa"/>
                  <w:vAlign w:val="center"/>
                </w:tcPr>
                <w:p>
                  <w:pPr>
                    <w:pStyle w:val="30"/>
                    <w:spacing w:line="360" w:lineRule="exact"/>
                    <w:ind w:firstLine="210" w:firstLineChars="100"/>
                    <w:jc w:val="both"/>
                    <w:rPr>
                      <w:color w:val="auto"/>
                      <w:kern w:val="0"/>
                      <w:szCs w:val="21"/>
                    </w:rPr>
                  </w:pPr>
                  <w:r>
                    <w:rPr>
                      <w:color w:val="auto"/>
                      <w:szCs w:val="21"/>
                    </w:rPr>
                    <w:t>冷冻压缩设备维护、更换和拆解过程中产生的废冷冻机油</w:t>
                  </w:r>
                </w:p>
              </w:tc>
              <w:tc>
                <w:tcPr>
                  <w:tcW w:w="740" w:type="dxa"/>
                  <w:vAlign w:val="center"/>
                </w:tcPr>
                <w:p>
                  <w:pPr>
                    <w:pStyle w:val="30"/>
                    <w:spacing w:line="360" w:lineRule="exact"/>
                    <w:rPr>
                      <w:color w:val="auto"/>
                      <w:szCs w:val="21"/>
                    </w:rPr>
                  </w:pPr>
                  <w:r>
                    <w:rPr>
                      <w:color w:val="auto"/>
                      <w:kern w:val="0"/>
                      <w:szCs w:val="21"/>
                    </w:rPr>
                    <w:t>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4" w:hRule="atLeast"/>
                <w:jc w:val="center"/>
              </w:trPr>
              <w:tc>
                <w:tcPr>
                  <w:tcW w:w="1283" w:type="dxa"/>
                  <w:vAlign w:val="center"/>
                </w:tcPr>
                <w:p>
                  <w:pPr>
                    <w:pStyle w:val="30"/>
                    <w:spacing w:line="360" w:lineRule="exact"/>
                    <w:rPr>
                      <w:color w:val="auto"/>
                      <w:szCs w:val="21"/>
                    </w:rPr>
                  </w:pPr>
                  <w:r>
                    <w:rPr>
                      <w:color w:val="auto"/>
                      <w:szCs w:val="21"/>
                    </w:rPr>
                    <w:t>背光模组</w:t>
                  </w:r>
                </w:p>
              </w:tc>
              <w:tc>
                <w:tcPr>
                  <w:tcW w:w="1210" w:type="dxa"/>
                  <w:vMerge w:val="restart"/>
                  <w:vAlign w:val="center"/>
                </w:tcPr>
                <w:p>
                  <w:pPr>
                    <w:pStyle w:val="30"/>
                    <w:spacing w:line="360" w:lineRule="exact"/>
                    <w:rPr>
                      <w:color w:val="auto"/>
                      <w:szCs w:val="21"/>
                    </w:rPr>
                  </w:pPr>
                  <w:r>
                    <w:rPr>
                      <w:color w:val="auto"/>
                      <w:szCs w:val="21"/>
                    </w:rPr>
                    <w:t>HW29 含汞废物</w:t>
                  </w:r>
                </w:p>
              </w:tc>
              <w:tc>
                <w:tcPr>
                  <w:tcW w:w="993" w:type="dxa"/>
                  <w:vMerge w:val="restart"/>
                  <w:vAlign w:val="center"/>
                </w:tcPr>
                <w:p>
                  <w:pPr>
                    <w:pStyle w:val="30"/>
                    <w:spacing w:line="360" w:lineRule="exact"/>
                    <w:rPr>
                      <w:color w:val="auto"/>
                      <w:szCs w:val="21"/>
                    </w:rPr>
                  </w:pPr>
                  <w:r>
                    <w:rPr>
                      <w:color w:val="auto"/>
                      <w:szCs w:val="21"/>
                    </w:rPr>
                    <w:t>非特定行业</w:t>
                  </w:r>
                </w:p>
              </w:tc>
              <w:tc>
                <w:tcPr>
                  <w:tcW w:w="1275" w:type="dxa"/>
                  <w:vMerge w:val="restart"/>
                  <w:vAlign w:val="center"/>
                </w:tcPr>
                <w:p>
                  <w:pPr>
                    <w:pStyle w:val="30"/>
                    <w:spacing w:line="360" w:lineRule="exact"/>
                    <w:rPr>
                      <w:color w:val="auto"/>
                      <w:szCs w:val="21"/>
                    </w:rPr>
                  </w:pPr>
                  <w:r>
                    <w:rPr>
                      <w:color w:val="auto"/>
                      <w:szCs w:val="21"/>
                    </w:rPr>
                    <w:t>900-023-29</w:t>
                  </w:r>
                </w:p>
              </w:tc>
              <w:tc>
                <w:tcPr>
                  <w:tcW w:w="3543" w:type="dxa"/>
                  <w:vMerge w:val="restart"/>
                  <w:vAlign w:val="center"/>
                </w:tcPr>
                <w:p>
                  <w:pPr>
                    <w:pStyle w:val="30"/>
                    <w:spacing w:line="360" w:lineRule="exact"/>
                    <w:ind w:firstLine="210" w:firstLineChars="100"/>
                    <w:jc w:val="both"/>
                    <w:rPr>
                      <w:color w:val="auto"/>
                      <w:szCs w:val="21"/>
                    </w:rPr>
                  </w:pPr>
                  <w:r>
                    <w:rPr>
                      <w:color w:val="auto"/>
                      <w:szCs w:val="21"/>
                    </w:rPr>
                    <w:t>生产、销售及使用过程中产生的废含汞荧光灯管及其他废含汞电光源，及废弃含汞电光源处理处置过程中产生的废荧光粉、废活性炭和废水处理污泥</w:t>
                  </w:r>
                </w:p>
              </w:tc>
              <w:tc>
                <w:tcPr>
                  <w:tcW w:w="740" w:type="dxa"/>
                  <w:vMerge w:val="restart"/>
                  <w:vAlign w:val="center"/>
                </w:tcPr>
                <w:p>
                  <w:pPr>
                    <w:pStyle w:val="30"/>
                    <w:spacing w:line="360" w:lineRule="exact"/>
                    <w:rPr>
                      <w:color w:val="auto"/>
                      <w:kern w:val="0"/>
                      <w:szCs w:val="21"/>
                    </w:rPr>
                  </w:pPr>
                  <w:r>
                    <w:rPr>
                      <w:color w:val="auto"/>
                      <w:kern w:val="0"/>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0" w:hRule="atLeast"/>
                <w:jc w:val="center"/>
              </w:trPr>
              <w:tc>
                <w:tcPr>
                  <w:tcW w:w="1283" w:type="dxa"/>
                  <w:vAlign w:val="center"/>
                </w:tcPr>
                <w:p>
                  <w:pPr>
                    <w:pStyle w:val="30"/>
                    <w:spacing w:line="360" w:lineRule="exact"/>
                    <w:rPr>
                      <w:color w:val="auto"/>
                      <w:szCs w:val="21"/>
                    </w:rPr>
                  </w:pPr>
                  <w:r>
                    <w:rPr>
                      <w:color w:val="auto"/>
                      <w:szCs w:val="21"/>
                    </w:rPr>
                    <w:t>含汞灯管</w:t>
                  </w:r>
                </w:p>
              </w:tc>
              <w:tc>
                <w:tcPr>
                  <w:tcW w:w="1210" w:type="dxa"/>
                  <w:vMerge w:val="continue"/>
                  <w:vAlign w:val="center"/>
                </w:tcPr>
                <w:p>
                  <w:pPr>
                    <w:pStyle w:val="30"/>
                    <w:spacing w:line="360" w:lineRule="exact"/>
                    <w:rPr>
                      <w:color w:val="auto"/>
                      <w:szCs w:val="21"/>
                    </w:rPr>
                  </w:pPr>
                </w:p>
              </w:tc>
              <w:tc>
                <w:tcPr>
                  <w:tcW w:w="993" w:type="dxa"/>
                  <w:vMerge w:val="continue"/>
                  <w:vAlign w:val="center"/>
                </w:tcPr>
                <w:p>
                  <w:pPr>
                    <w:pStyle w:val="30"/>
                    <w:spacing w:line="360" w:lineRule="exact"/>
                    <w:rPr>
                      <w:color w:val="auto"/>
                      <w:szCs w:val="21"/>
                    </w:rPr>
                  </w:pPr>
                </w:p>
              </w:tc>
              <w:tc>
                <w:tcPr>
                  <w:tcW w:w="1275" w:type="dxa"/>
                  <w:vMerge w:val="continue"/>
                  <w:vAlign w:val="center"/>
                </w:tcPr>
                <w:p>
                  <w:pPr>
                    <w:pStyle w:val="30"/>
                    <w:spacing w:line="360" w:lineRule="exact"/>
                    <w:rPr>
                      <w:color w:val="auto"/>
                      <w:szCs w:val="21"/>
                    </w:rPr>
                  </w:pPr>
                </w:p>
              </w:tc>
              <w:tc>
                <w:tcPr>
                  <w:tcW w:w="3543" w:type="dxa"/>
                  <w:vMerge w:val="continue"/>
                  <w:vAlign w:val="center"/>
                </w:tcPr>
                <w:p>
                  <w:pPr>
                    <w:pStyle w:val="30"/>
                    <w:spacing w:line="360" w:lineRule="exact"/>
                    <w:ind w:firstLine="210" w:firstLineChars="100"/>
                    <w:jc w:val="both"/>
                    <w:rPr>
                      <w:color w:val="auto"/>
                      <w:szCs w:val="21"/>
                    </w:rPr>
                  </w:pPr>
                </w:p>
              </w:tc>
              <w:tc>
                <w:tcPr>
                  <w:tcW w:w="740" w:type="dxa"/>
                  <w:vMerge w:val="continue"/>
                  <w:vAlign w:val="center"/>
                </w:tcPr>
                <w:p>
                  <w:pPr>
                    <w:pStyle w:val="30"/>
                    <w:spacing w:line="360" w:lineRule="exact"/>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83" w:type="dxa"/>
                  <w:vAlign w:val="center"/>
                </w:tcPr>
                <w:p>
                  <w:pPr>
                    <w:pStyle w:val="30"/>
                    <w:spacing w:line="360" w:lineRule="exact"/>
                    <w:rPr>
                      <w:color w:val="auto"/>
                      <w:szCs w:val="21"/>
                    </w:rPr>
                  </w:pPr>
                  <w:r>
                    <w:rPr>
                      <w:color w:val="auto"/>
                      <w:szCs w:val="21"/>
                    </w:rPr>
                    <w:t>废弃的阴极射线管（锥玻璃）</w:t>
                  </w:r>
                </w:p>
              </w:tc>
              <w:tc>
                <w:tcPr>
                  <w:tcW w:w="1210" w:type="dxa"/>
                  <w:vMerge w:val="restart"/>
                  <w:vAlign w:val="center"/>
                </w:tcPr>
                <w:p>
                  <w:pPr>
                    <w:pStyle w:val="30"/>
                    <w:spacing w:line="360" w:lineRule="exact"/>
                    <w:rPr>
                      <w:color w:val="auto"/>
                      <w:szCs w:val="21"/>
                    </w:rPr>
                  </w:pPr>
                  <w:r>
                    <w:rPr>
                      <w:color w:val="auto"/>
                      <w:szCs w:val="21"/>
                    </w:rPr>
                    <w:t>HW49 其他废物</w:t>
                  </w:r>
                </w:p>
              </w:tc>
              <w:tc>
                <w:tcPr>
                  <w:tcW w:w="993" w:type="dxa"/>
                  <w:vMerge w:val="restart"/>
                  <w:vAlign w:val="center"/>
                </w:tcPr>
                <w:p>
                  <w:pPr>
                    <w:pStyle w:val="30"/>
                    <w:spacing w:line="360" w:lineRule="exact"/>
                    <w:rPr>
                      <w:color w:val="auto"/>
                      <w:szCs w:val="21"/>
                    </w:rPr>
                  </w:pPr>
                  <w:r>
                    <w:rPr>
                      <w:color w:val="auto"/>
                      <w:szCs w:val="21"/>
                    </w:rPr>
                    <w:t>非特定行业</w:t>
                  </w:r>
                </w:p>
              </w:tc>
              <w:tc>
                <w:tcPr>
                  <w:tcW w:w="1275" w:type="dxa"/>
                  <w:vMerge w:val="restart"/>
                  <w:vAlign w:val="center"/>
                </w:tcPr>
                <w:p>
                  <w:pPr>
                    <w:pStyle w:val="30"/>
                    <w:spacing w:line="360" w:lineRule="exact"/>
                    <w:rPr>
                      <w:color w:val="auto"/>
                      <w:szCs w:val="21"/>
                    </w:rPr>
                  </w:pPr>
                  <w:r>
                    <w:rPr>
                      <w:color w:val="auto"/>
                      <w:szCs w:val="21"/>
                    </w:rPr>
                    <w:t>900-044-49</w:t>
                  </w:r>
                </w:p>
              </w:tc>
              <w:tc>
                <w:tcPr>
                  <w:tcW w:w="3543" w:type="dxa"/>
                  <w:vMerge w:val="restart"/>
                  <w:vAlign w:val="center"/>
                </w:tcPr>
                <w:p>
                  <w:pPr>
                    <w:pStyle w:val="30"/>
                    <w:spacing w:line="360" w:lineRule="exact"/>
                    <w:ind w:firstLine="210" w:firstLineChars="100"/>
                    <w:jc w:val="both"/>
                    <w:rPr>
                      <w:color w:val="auto"/>
                      <w:szCs w:val="21"/>
                    </w:rPr>
                  </w:pPr>
                  <w:r>
                    <w:rPr>
                      <w:color w:val="auto"/>
                      <w:szCs w:val="21"/>
                    </w:rPr>
                    <w:t>废弃的镉镍电池、荧光粉和阴极射线管</w:t>
                  </w:r>
                </w:p>
              </w:tc>
              <w:tc>
                <w:tcPr>
                  <w:tcW w:w="740" w:type="dxa"/>
                  <w:vMerge w:val="restart"/>
                  <w:vAlign w:val="center"/>
                </w:tcPr>
                <w:p>
                  <w:pPr>
                    <w:pStyle w:val="30"/>
                    <w:spacing w:line="360" w:lineRule="exact"/>
                    <w:rPr>
                      <w:color w:val="auto"/>
                      <w:kern w:val="0"/>
                      <w:szCs w:val="21"/>
                    </w:rPr>
                  </w:pPr>
                  <w:r>
                    <w:rPr>
                      <w:color w:val="auto"/>
                      <w:kern w:val="0"/>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83" w:type="dxa"/>
                  <w:vAlign w:val="center"/>
                </w:tcPr>
                <w:p>
                  <w:pPr>
                    <w:pStyle w:val="30"/>
                    <w:spacing w:line="360" w:lineRule="exact"/>
                    <w:rPr>
                      <w:color w:val="auto"/>
                      <w:szCs w:val="21"/>
                    </w:rPr>
                  </w:pPr>
                  <w:r>
                    <w:rPr>
                      <w:color w:val="auto"/>
                      <w:szCs w:val="21"/>
                    </w:rPr>
                    <w:t>荧光粉</w:t>
                  </w:r>
                </w:p>
              </w:tc>
              <w:tc>
                <w:tcPr>
                  <w:tcW w:w="1210" w:type="dxa"/>
                  <w:vMerge w:val="continue"/>
                  <w:vAlign w:val="center"/>
                </w:tcPr>
                <w:p>
                  <w:pPr>
                    <w:pStyle w:val="30"/>
                    <w:spacing w:line="360" w:lineRule="exact"/>
                    <w:rPr>
                      <w:color w:val="auto"/>
                      <w:szCs w:val="21"/>
                    </w:rPr>
                  </w:pPr>
                </w:p>
              </w:tc>
              <w:tc>
                <w:tcPr>
                  <w:tcW w:w="993" w:type="dxa"/>
                  <w:vMerge w:val="continue"/>
                  <w:vAlign w:val="center"/>
                </w:tcPr>
                <w:p>
                  <w:pPr>
                    <w:pStyle w:val="30"/>
                    <w:spacing w:line="360" w:lineRule="exact"/>
                    <w:rPr>
                      <w:color w:val="auto"/>
                      <w:szCs w:val="21"/>
                    </w:rPr>
                  </w:pPr>
                </w:p>
              </w:tc>
              <w:tc>
                <w:tcPr>
                  <w:tcW w:w="1275" w:type="dxa"/>
                  <w:vMerge w:val="continue"/>
                  <w:vAlign w:val="center"/>
                </w:tcPr>
                <w:p>
                  <w:pPr>
                    <w:pStyle w:val="30"/>
                    <w:spacing w:line="360" w:lineRule="exact"/>
                    <w:rPr>
                      <w:color w:val="auto"/>
                      <w:szCs w:val="21"/>
                    </w:rPr>
                  </w:pPr>
                </w:p>
              </w:tc>
              <w:tc>
                <w:tcPr>
                  <w:tcW w:w="3543" w:type="dxa"/>
                  <w:vMerge w:val="continue"/>
                  <w:vAlign w:val="center"/>
                </w:tcPr>
                <w:p>
                  <w:pPr>
                    <w:pStyle w:val="30"/>
                    <w:spacing w:line="360" w:lineRule="exact"/>
                    <w:ind w:firstLine="210" w:firstLineChars="100"/>
                    <w:jc w:val="both"/>
                    <w:rPr>
                      <w:color w:val="auto"/>
                      <w:szCs w:val="21"/>
                    </w:rPr>
                  </w:pPr>
                </w:p>
              </w:tc>
              <w:tc>
                <w:tcPr>
                  <w:tcW w:w="740" w:type="dxa"/>
                  <w:vMerge w:val="continue"/>
                  <w:vAlign w:val="center"/>
                </w:tcPr>
                <w:p>
                  <w:pPr>
                    <w:pStyle w:val="30"/>
                    <w:spacing w:line="360" w:lineRule="exact"/>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83" w:type="dxa"/>
                  <w:vAlign w:val="center"/>
                </w:tcPr>
                <w:p>
                  <w:pPr>
                    <w:pStyle w:val="30"/>
                    <w:spacing w:line="360" w:lineRule="exact"/>
                    <w:rPr>
                      <w:rFonts w:eastAsiaTheme="minorEastAsia"/>
                      <w:color w:val="auto"/>
                      <w:szCs w:val="21"/>
                    </w:rPr>
                  </w:pPr>
                  <w:r>
                    <w:rPr>
                      <w:rFonts w:eastAsiaTheme="minorEastAsia"/>
                      <w:color w:val="auto"/>
                      <w:szCs w:val="21"/>
                    </w:rPr>
                    <w:t>收集含铅粉尘</w:t>
                  </w:r>
                </w:p>
              </w:tc>
              <w:tc>
                <w:tcPr>
                  <w:tcW w:w="1210" w:type="dxa"/>
                  <w:vMerge w:val="continue"/>
                  <w:vAlign w:val="center"/>
                </w:tcPr>
                <w:p>
                  <w:pPr>
                    <w:pStyle w:val="30"/>
                    <w:spacing w:line="360" w:lineRule="exact"/>
                    <w:rPr>
                      <w:color w:val="auto"/>
                      <w:szCs w:val="21"/>
                    </w:rPr>
                  </w:pPr>
                </w:p>
              </w:tc>
              <w:tc>
                <w:tcPr>
                  <w:tcW w:w="993" w:type="dxa"/>
                  <w:vMerge w:val="continue"/>
                  <w:vAlign w:val="center"/>
                </w:tcPr>
                <w:p>
                  <w:pPr>
                    <w:pStyle w:val="30"/>
                    <w:spacing w:line="360" w:lineRule="exact"/>
                    <w:rPr>
                      <w:color w:val="auto"/>
                      <w:szCs w:val="21"/>
                    </w:rPr>
                  </w:pPr>
                </w:p>
              </w:tc>
              <w:tc>
                <w:tcPr>
                  <w:tcW w:w="1275" w:type="dxa"/>
                  <w:vMerge w:val="continue"/>
                  <w:vAlign w:val="center"/>
                </w:tcPr>
                <w:p>
                  <w:pPr>
                    <w:pStyle w:val="30"/>
                    <w:spacing w:line="360" w:lineRule="exact"/>
                    <w:rPr>
                      <w:color w:val="auto"/>
                      <w:szCs w:val="21"/>
                    </w:rPr>
                  </w:pPr>
                </w:p>
              </w:tc>
              <w:tc>
                <w:tcPr>
                  <w:tcW w:w="3543" w:type="dxa"/>
                  <w:vMerge w:val="continue"/>
                  <w:vAlign w:val="center"/>
                </w:tcPr>
                <w:p>
                  <w:pPr>
                    <w:pStyle w:val="30"/>
                    <w:spacing w:line="360" w:lineRule="exact"/>
                    <w:ind w:firstLine="210" w:firstLineChars="100"/>
                    <w:jc w:val="both"/>
                    <w:rPr>
                      <w:color w:val="auto"/>
                      <w:szCs w:val="21"/>
                    </w:rPr>
                  </w:pPr>
                </w:p>
              </w:tc>
              <w:tc>
                <w:tcPr>
                  <w:tcW w:w="740" w:type="dxa"/>
                  <w:vMerge w:val="continue"/>
                  <w:vAlign w:val="center"/>
                </w:tcPr>
                <w:p>
                  <w:pPr>
                    <w:pStyle w:val="30"/>
                    <w:spacing w:line="360" w:lineRule="exact"/>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83" w:type="dxa"/>
                  <w:vAlign w:val="center"/>
                </w:tcPr>
                <w:p>
                  <w:pPr>
                    <w:pStyle w:val="30"/>
                    <w:spacing w:line="360" w:lineRule="exact"/>
                    <w:rPr>
                      <w:color w:val="auto"/>
                      <w:szCs w:val="21"/>
                    </w:rPr>
                  </w:pPr>
                  <w:r>
                    <w:rPr>
                      <w:color w:val="auto"/>
                      <w:szCs w:val="21"/>
                    </w:rPr>
                    <w:t>废活性炭（吸附有机废气）</w:t>
                  </w:r>
                </w:p>
              </w:tc>
              <w:tc>
                <w:tcPr>
                  <w:tcW w:w="1210" w:type="dxa"/>
                  <w:vAlign w:val="center"/>
                </w:tcPr>
                <w:p>
                  <w:pPr>
                    <w:pStyle w:val="30"/>
                    <w:spacing w:line="360" w:lineRule="exact"/>
                    <w:rPr>
                      <w:color w:val="auto"/>
                      <w:szCs w:val="21"/>
                    </w:rPr>
                  </w:pPr>
                  <w:r>
                    <w:rPr>
                      <w:color w:val="auto"/>
                      <w:szCs w:val="21"/>
                    </w:rPr>
                    <w:t>HW49 其他废物</w:t>
                  </w:r>
                </w:p>
              </w:tc>
              <w:tc>
                <w:tcPr>
                  <w:tcW w:w="993" w:type="dxa"/>
                  <w:vAlign w:val="center"/>
                </w:tcPr>
                <w:p>
                  <w:pPr>
                    <w:pStyle w:val="30"/>
                    <w:spacing w:line="360" w:lineRule="exact"/>
                    <w:rPr>
                      <w:color w:val="auto"/>
                      <w:szCs w:val="21"/>
                    </w:rPr>
                  </w:pPr>
                  <w:r>
                    <w:rPr>
                      <w:color w:val="auto"/>
                      <w:szCs w:val="21"/>
                    </w:rPr>
                    <w:t>非特定行业</w:t>
                  </w:r>
                </w:p>
              </w:tc>
              <w:tc>
                <w:tcPr>
                  <w:tcW w:w="1275" w:type="dxa"/>
                  <w:vAlign w:val="center"/>
                </w:tcPr>
                <w:p>
                  <w:pPr>
                    <w:pStyle w:val="30"/>
                    <w:spacing w:line="360" w:lineRule="exact"/>
                    <w:rPr>
                      <w:color w:val="auto"/>
                      <w:szCs w:val="21"/>
                    </w:rPr>
                  </w:pPr>
                  <w:r>
                    <w:rPr>
                      <w:color w:val="auto"/>
                      <w:szCs w:val="21"/>
                    </w:rPr>
                    <w:t>900-039-49</w:t>
                  </w:r>
                </w:p>
              </w:tc>
              <w:tc>
                <w:tcPr>
                  <w:tcW w:w="3543" w:type="dxa"/>
                  <w:vAlign w:val="center"/>
                </w:tcPr>
                <w:p>
                  <w:pPr>
                    <w:pStyle w:val="30"/>
                    <w:spacing w:line="360" w:lineRule="exact"/>
                    <w:ind w:firstLine="210" w:firstLineChars="100"/>
                    <w:jc w:val="both"/>
                    <w:rPr>
                      <w:color w:val="auto"/>
                      <w:szCs w:val="21"/>
                    </w:rPr>
                  </w:pPr>
                  <w:r>
                    <w:rPr>
                      <w:color w:val="auto"/>
                      <w:szCs w:val="21"/>
                    </w:rPr>
                    <w:t>烟气、VOCs 治理过程（不包括餐饮行业油烟治理过程）产生的废活性炭，化学原料和化学制品脱色（不包括有机合成食品添加剂脱色）、除杂、净化过程产生的废活性炭（不包括900-405-06、772-005-18、261-053-29、265-002-29、384-003-29、387-001-29 类废物）</w:t>
                  </w:r>
                </w:p>
              </w:tc>
              <w:tc>
                <w:tcPr>
                  <w:tcW w:w="740" w:type="dxa"/>
                  <w:vAlign w:val="center"/>
                </w:tcPr>
                <w:p>
                  <w:pPr>
                    <w:pStyle w:val="30"/>
                    <w:spacing w:line="360" w:lineRule="exact"/>
                    <w:rPr>
                      <w:color w:val="auto"/>
                      <w:kern w:val="0"/>
                      <w:szCs w:val="21"/>
                    </w:rPr>
                  </w:pPr>
                  <w:r>
                    <w:rPr>
                      <w:color w:val="auto"/>
                      <w:kern w:val="0"/>
                      <w:szCs w:val="21"/>
                    </w:rPr>
                    <w:t>T</w:t>
                  </w:r>
                </w:p>
              </w:tc>
            </w:tr>
          </w:tbl>
          <w:p>
            <w:pPr>
              <w:spacing w:beforeLines="50"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由上表可知，除上表所列固体废物以外均属于一般工业固体废物，但按照《废弃电器电子产品处理污染控制技术规范》（HJ527-2010）的要求，制冷剂不属于危险废物，但消耗臭氧层物质有环境风险，要求制冷剂使用专用容器密封贮存。</w:t>
            </w:r>
          </w:p>
          <w:p>
            <w:pPr>
              <w:spacing w:line="360" w:lineRule="auto"/>
              <w:ind w:firstLine="361" w:firstLineChars="150"/>
              <w:rPr>
                <w:rFonts w:ascii="Times New Roman" w:hAnsi="Times New Roman" w:cs="Times New Roman"/>
                <w:b/>
                <w:color w:val="auto"/>
                <w:sz w:val="24"/>
              </w:rPr>
            </w:pPr>
            <w:r>
              <w:rPr>
                <w:rFonts w:ascii="Times New Roman" w:hAnsi="Times New Roman" w:cs="Times New Roman"/>
                <w:b/>
                <w:color w:val="auto"/>
                <w:sz w:val="24"/>
              </w:rPr>
              <w:t>（2）储存场所</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根据调查，项目厂区已设置了7300m²的仓库和4个面积分别约为30m²危险废物贮存间，对厂区内拆解后的固体废物进行暂存，并委托相应的单位进行处置。仓储区和危险废物贮存间已进行环评和竣工验收。</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其贮存区如下图所示。</w:t>
            </w:r>
          </w:p>
          <w:p>
            <w:pPr>
              <w:pStyle w:val="40"/>
              <w:rPr>
                <w:color w:val="auto"/>
                <w:szCs w:val="21"/>
              </w:rPr>
            </w:pPr>
            <w:r>
              <w:rPr>
                <w:color w:val="auto"/>
                <w:szCs w:val="21"/>
              </w:rPr>
              <w:drawing>
                <wp:inline distT="0" distB="0" distL="0" distR="0">
                  <wp:extent cx="2399665" cy="1799590"/>
                  <wp:effectExtent l="19050" t="0" r="510" b="0"/>
                  <wp:docPr id="67" name="图片 67" descr="D:\Documents\Tencent Files\767025510\FileRecv\MobileFile\IMG_7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D:\Documents\Tencent Files\767025510\FileRecv\MobileFile\IMG_7371.JPG"/>
                          <pic:cNvPicPr>
                            <a:picLocks noChangeAspect="1" noChangeArrowheads="1"/>
                          </pic:cNvPicPr>
                        </pic:nvPicPr>
                        <pic:blipFill>
                          <a:blip r:embed="rId19" cstate="print"/>
                          <a:srcRect/>
                          <a:stretch>
                            <a:fillRect/>
                          </a:stretch>
                        </pic:blipFill>
                        <pic:spPr>
                          <a:xfrm>
                            <a:off x="0" y="0"/>
                            <a:ext cx="2399790" cy="1800000"/>
                          </a:xfrm>
                          <a:prstGeom prst="rect">
                            <a:avLst/>
                          </a:prstGeom>
                          <a:noFill/>
                          <a:ln w="9525">
                            <a:noFill/>
                            <a:miter lim="800000"/>
                            <a:headEnd/>
                            <a:tailEnd/>
                          </a:ln>
                        </pic:spPr>
                      </pic:pic>
                    </a:graphicData>
                  </a:graphic>
                </wp:inline>
              </w:drawing>
            </w:r>
            <w:r>
              <w:rPr>
                <w:color w:val="auto"/>
                <w:szCs w:val="21"/>
              </w:rPr>
              <w:t xml:space="preserve">    </w:t>
            </w:r>
            <w:r>
              <w:rPr>
                <w:color w:val="auto"/>
                <w:szCs w:val="21"/>
              </w:rPr>
              <w:drawing>
                <wp:inline distT="0" distB="0" distL="0" distR="0">
                  <wp:extent cx="2399665" cy="1799590"/>
                  <wp:effectExtent l="19050" t="0" r="510" b="0"/>
                  <wp:docPr id="16" name="图片 69" descr="D:\Documents\Tencent Files\767025510\FileRecv\MobileFile\IMG_7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9" descr="D:\Documents\Tencent Files\767025510\FileRecv\MobileFile\IMG_7369.JPG"/>
                          <pic:cNvPicPr>
                            <a:picLocks noChangeAspect="1" noChangeArrowheads="1"/>
                          </pic:cNvPicPr>
                        </pic:nvPicPr>
                        <pic:blipFill>
                          <a:blip r:embed="rId20" cstate="print"/>
                          <a:srcRect/>
                          <a:stretch>
                            <a:fillRect/>
                          </a:stretch>
                        </pic:blipFill>
                        <pic:spPr>
                          <a:xfrm>
                            <a:off x="0" y="0"/>
                            <a:ext cx="2399790" cy="1800000"/>
                          </a:xfrm>
                          <a:prstGeom prst="rect">
                            <a:avLst/>
                          </a:prstGeom>
                          <a:noFill/>
                          <a:ln w="9525">
                            <a:noFill/>
                            <a:miter lim="800000"/>
                            <a:headEnd/>
                            <a:tailEnd/>
                          </a:ln>
                        </pic:spPr>
                      </pic:pic>
                    </a:graphicData>
                  </a:graphic>
                </wp:inline>
              </w:drawing>
            </w:r>
          </w:p>
          <w:p>
            <w:pPr>
              <w:pStyle w:val="40"/>
              <w:jc w:val="left"/>
              <w:rPr>
                <w:color w:val="auto"/>
                <w:szCs w:val="21"/>
              </w:rPr>
            </w:pPr>
            <w:r>
              <w:rPr>
                <w:color w:val="auto"/>
                <w:szCs w:val="21"/>
              </w:rPr>
              <w:t xml:space="preserve">       荧光粉贮存区（1#危险废物贮存间）              荧光粉贮存标识牌</w:t>
            </w:r>
          </w:p>
          <w:p>
            <w:pPr>
              <w:pStyle w:val="40"/>
              <w:rPr>
                <w:color w:val="auto"/>
                <w:szCs w:val="21"/>
              </w:rPr>
            </w:pPr>
            <w:r>
              <w:rPr>
                <w:color w:val="auto"/>
                <w:szCs w:val="21"/>
              </w:rPr>
              <w:drawing>
                <wp:inline distT="0" distB="0" distL="0" distR="0">
                  <wp:extent cx="2399665" cy="1799590"/>
                  <wp:effectExtent l="19050" t="0" r="510" b="0"/>
                  <wp:docPr id="66" name="图片 66" descr="D:\Documents\Tencent Files\767025510\FileRecv\MobileFile\IMG_7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D:\Documents\Tencent Files\767025510\FileRecv\MobileFile\IMG_7370.JPG"/>
                          <pic:cNvPicPr>
                            <a:picLocks noChangeAspect="1" noChangeArrowheads="1"/>
                          </pic:cNvPicPr>
                        </pic:nvPicPr>
                        <pic:blipFill>
                          <a:blip r:embed="rId21" cstate="print"/>
                          <a:srcRect/>
                          <a:stretch>
                            <a:fillRect/>
                          </a:stretch>
                        </pic:blipFill>
                        <pic:spPr>
                          <a:xfrm>
                            <a:off x="0" y="0"/>
                            <a:ext cx="2399790" cy="1800000"/>
                          </a:xfrm>
                          <a:prstGeom prst="rect">
                            <a:avLst/>
                          </a:prstGeom>
                          <a:noFill/>
                          <a:ln w="9525">
                            <a:noFill/>
                            <a:miter lim="800000"/>
                            <a:headEnd/>
                            <a:tailEnd/>
                          </a:ln>
                        </pic:spPr>
                      </pic:pic>
                    </a:graphicData>
                  </a:graphic>
                </wp:inline>
              </w:drawing>
            </w:r>
            <w:r>
              <w:rPr>
                <w:color w:val="auto"/>
                <w:szCs w:val="21"/>
              </w:rPr>
              <w:t xml:space="preserve">    </w:t>
            </w:r>
            <w:r>
              <w:rPr>
                <w:color w:val="auto"/>
                <w:szCs w:val="21"/>
              </w:rPr>
              <w:drawing>
                <wp:inline distT="0" distB="0" distL="0" distR="0">
                  <wp:extent cx="2399665" cy="1799590"/>
                  <wp:effectExtent l="19050" t="0" r="510" b="0"/>
                  <wp:docPr id="12" name="图片 68" descr="D:\Documents\Tencent Files\767025510\FileRecv\MobileFile\IMG_7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8" descr="D:\Documents\Tencent Files\767025510\FileRecv\MobileFile\IMG_7368.JPG"/>
                          <pic:cNvPicPr>
                            <a:picLocks noChangeAspect="1" noChangeArrowheads="1"/>
                          </pic:cNvPicPr>
                        </pic:nvPicPr>
                        <pic:blipFill>
                          <a:blip r:embed="rId22" cstate="print"/>
                          <a:srcRect/>
                          <a:stretch>
                            <a:fillRect/>
                          </a:stretch>
                        </pic:blipFill>
                        <pic:spPr>
                          <a:xfrm>
                            <a:off x="0" y="0"/>
                            <a:ext cx="2399790" cy="1800000"/>
                          </a:xfrm>
                          <a:prstGeom prst="rect">
                            <a:avLst/>
                          </a:prstGeom>
                          <a:noFill/>
                          <a:ln w="9525">
                            <a:noFill/>
                            <a:miter lim="800000"/>
                            <a:headEnd/>
                            <a:tailEnd/>
                          </a:ln>
                        </pic:spPr>
                      </pic:pic>
                    </a:graphicData>
                  </a:graphic>
                </wp:inline>
              </w:drawing>
            </w:r>
          </w:p>
          <w:p>
            <w:pPr>
              <w:pStyle w:val="40"/>
              <w:jc w:val="left"/>
              <w:rPr>
                <w:color w:val="auto"/>
                <w:szCs w:val="21"/>
              </w:rPr>
            </w:pPr>
            <w:r>
              <w:rPr>
                <w:color w:val="auto"/>
                <w:szCs w:val="21"/>
              </w:rPr>
              <w:t xml:space="preserve">   含汞灯管、含铅粉尘贮存区（1#危险废物贮存间）      含汞灯管、含铅粉尘贮存标识牌</w:t>
            </w:r>
          </w:p>
          <w:p>
            <w:pPr>
              <w:pStyle w:val="40"/>
              <w:rPr>
                <w:color w:val="auto"/>
                <w:szCs w:val="21"/>
              </w:rPr>
            </w:pPr>
            <w:r>
              <w:rPr>
                <w:color w:val="auto"/>
                <w:szCs w:val="21"/>
              </w:rPr>
              <w:drawing>
                <wp:inline distT="0" distB="0" distL="0" distR="0">
                  <wp:extent cx="2401570" cy="1799590"/>
                  <wp:effectExtent l="19050" t="0" r="0" b="0"/>
                  <wp:docPr id="17" name="图片 4" descr="E:\工作\2东川\1冰箱线项目\现场照片\新建文件夹 (2)\IMG_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E:\工作\2东川\1冰箱线项目\现场照片\新建文件夹 (2)\IMG_1936.JPG"/>
                          <pic:cNvPicPr>
                            <a:picLocks noChangeAspect="1" noChangeArrowheads="1"/>
                          </pic:cNvPicPr>
                        </pic:nvPicPr>
                        <pic:blipFill>
                          <a:blip r:embed="rId23" cstate="print"/>
                          <a:srcRect/>
                          <a:stretch>
                            <a:fillRect/>
                          </a:stretch>
                        </pic:blipFill>
                        <pic:spPr>
                          <a:xfrm>
                            <a:off x="0" y="0"/>
                            <a:ext cx="2401735" cy="1800000"/>
                          </a:xfrm>
                          <a:prstGeom prst="rect">
                            <a:avLst/>
                          </a:prstGeom>
                          <a:noFill/>
                          <a:ln w="9525">
                            <a:noFill/>
                            <a:miter lim="800000"/>
                            <a:headEnd/>
                            <a:tailEnd/>
                          </a:ln>
                        </pic:spPr>
                      </pic:pic>
                    </a:graphicData>
                  </a:graphic>
                </wp:inline>
              </w:drawing>
            </w:r>
            <w:r>
              <w:rPr>
                <w:color w:val="auto"/>
                <w:szCs w:val="21"/>
              </w:rPr>
              <w:t xml:space="preserve">    </w:t>
            </w:r>
            <w:r>
              <w:rPr>
                <w:color w:val="auto"/>
                <w:szCs w:val="21"/>
              </w:rPr>
              <w:drawing>
                <wp:inline distT="0" distB="0" distL="0" distR="0">
                  <wp:extent cx="2399665" cy="1799590"/>
                  <wp:effectExtent l="19050" t="0" r="300" b="0"/>
                  <wp:docPr id="18" name="图片 3" descr="E:\工作\2东川\1冰箱线项目\现场照片\新建文件夹 (2)\IMG_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E:\工作\2东川\1冰箱线项目\现场照片\新建文件夹 (2)\IMG_1933.JPG"/>
                          <pic:cNvPicPr>
                            <a:picLocks noChangeAspect="1" noChangeArrowheads="1"/>
                          </pic:cNvPicPr>
                        </pic:nvPicPr>
                        <pic:blipFill>
                          <a:blip r:embed="rId24" cstate="print"/>
                          <a:srcRect/>
                          <a:stretch>
                            <a:fillRect/>
                          </a:stretch>
                        </pic:blipFill>
                        <pic:spPr>
                          <a:xfrm>
                            <a:off x="0" y="0"/>
                            <a:ext cx="2400000" cy="1800000"/>
                          </a:xfrm>
                          <a:prstGeom prst="rect">
                            <a:avLst/>
                          </a:prstGeom>
                          <a:noFill/>
                          <a:ln w="9525">
                            <a:noFill/>
                            <a:miter lim="800000"/>
                            <a:headEnd/>
                            <a:tailEnd/>
                          </a:ln>
                        </pic:spPr>
                      </pic:pic>
                    </a:graphicData>
                  </a:graphic>
                </wp:inline>
              </w:drawing>
            </w:r>
          </w:p>
          <w:p>
            <w:pPr>
              <w:pStyle w:val="40"/>
              <w:jc w:val="left"/>
              <w:rPr>
                <w:color w:val="auto"/>
                <w:szCs w:val="21"/>
              </w:rPr>
            </w:pPr>
            <w:r>
              <w:rPr>
                <w:color w:val="auto"/>
                <w:szCs w:val="21"/>
              </w:rPr>
              <w:t xml:space="preserve">        废矿物油贮存区（2#危险废物贮存间）               废矿物油贮存标识牌</w:t>
            </w:r>
          </w:p>
          <w:p>
            <w:pPr>
              <w:pStyle w:val="40"/>
              <w:rPr>
                <w:color w:val="auto"/>
                <w:szCs w:val="21"/>
              </w:rPr>
            </w:pPr>
            <w:r>
              <w:rPr>
                <w:color w:val="auto"/>
                <w:szCs w:val="21"/>
              </w:rPr>
              <w:drawing>
                <wp:inline distT="0" distB="0" distL="0" distR="0">
                  <wp:extent cx="2400935" cy="1800860"/>
                  <wp:effectExtent l="19050" t="0" r="0" b="0"/>
                  <wp:docPr id="6" name="图片 15" descr="C:\Users\ADMINI~1\AppData\Local\Temp\WeChat Files\ddebc9a3383a79fd39c876c3297f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C:\Users\ADMINI~1\AppData\Local\Temp\WeChat Files\ddebc9a3383a79fd39c876c3297fb23.jpg"/>
                          <pic:cNvPicPr>
                            <a:picLocks noChangeAspect="1" noChangeArrowheads="1"/>
                          </pic:cNvPicPr>
                        </pic:nvPicPr>
                        <pic:blipFill>
                          <a:blip r:embed="rId25" cstate="print"/>
                          <a:srcRect/>
                          <a:stretch>
                            <a:fillRect/>
                          </a:stretch>
                        </pic:blipFill>
                        <pic:spPr>
                          <a:xfrm>
                            <a:off x="0" y="0"/>
                            <a:ext cx="2401200" cy="1801368"/>
                          </a:xfrm>
                          <a:prstGeom prst="rect">
                            <a:avLst/>
                          </a:prstGeom>
                          <a:noFill/>
                          <a:ln w="9525">
                            <a:noFill/>
                            <a:miter lim="800000"/>
                            <a:headEnd/>
                            <a:tailEnd/>
                          </a:ln>
                        </pic:spPr>
                      </pic:pic>
                    </a:graphicData>
                  </a:graphic>
                </wp:inline>
              </w:drawing>
            </w:r>
            <w:r>
              <w:rPr>
                <w:color w:val="auto"/>
                <w:szCs w:val="21"/>
              </w:rPr>
              <w:t xml:space="preserve">    </w:t>
            </w:r>
            <w:r>
              <w:rPr>
                <w:color w:val="auto"/>
                <w:szCs w:val="21"/>
              </w:rPr>
              <w:drawing>
                <wp:inline distT="0" distB="0" distL="0" distR="0">
                  <wp:extent cx="2400935" cy="1800225"/>
                  <wp:effectExtent l="19050" t="0" r="0" b="0"/>
                  <wp:docPr id="9" name="图片 1" descr="C:\Users\ADMINI~1\AppData\Local\Temp\WeChat Files\c6208be6832cbe0c3fbaee5da31e8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ADMINI~1\AppData\Local\Temp\WeChat Files\c6208be6832cbe0c3fbaee5da31e8f6.jpg"/>
                          <pic:cNvPicPr>
                            <a:picLocks noChangeAspect="1" noChangeArrowheads="1"/>
                          </pic:cNvPicPr>
                        </pic:nvPicPr>
                        <pic:blipFill>
                          <a:blip r:embed="rId26" cstate="print"/>
                          <a:srcRect/>
                          <a:stretch>
                            <a:fillRect/>
                          </a:stretch>
                        </pic:blipFill>
                        <pic:spPr>
                          <a:xfrm>
                            <a:off x="0" y="0"/>
                            <a:ext cx="2401200" cy="1800225"/>
                          </a:xfrm>
                          <a:prstGeom prst="rect">
                            <a:avLst/>
                          </a:prstGeom>
                          <a:noFill/>
                          <a:ln w="9525">
                            <a:noFill/>
                            <a:miter lim="800000"/>
                            <a:headEnd/>
                            <a:tailEnd/>
                          </a:ln>
                        </pic:spPr>
                      </pic:pic>
                    </a:graphicData>
                  </a:graphic>
                </wp:inline>
              </w:drawing>
            </w:r>
          </w:p>
          <w:p>
            <w:pPr>
              <w:pStyle w:val="40"/>
              <w:jc w:val="left"/>
              <w:rPr>
                <w:color w:val="auto"/>
                <w:szCs w:val="21"/>
              </w:rPr>
            </w:pPr>
            <w:r>
              <w:rPr>
                <w:color w:val="auto"/>
                <w:szCs w:val="21"/>
              </w:rPr>
              <w:t xml:space="preserve">        制冷剂贮存区（4危险废物贮存间）              制冷剂贮存标识牌</w:t>
            </w:r>
          </w:p>
          <w:p>
            <w:pPr>
              <w:jc w:val="center"/>
              <w:rPr>
                <w:rFonts w:ascii="Times New Roman" w:hAnsi="Times New Roman" w:cs="Times New Roman"/>
                <w:color w:val="auto"/>
              </w:rPr>
            </w:pPr>
            <w:r>
              <w:rPr>
                <w:rFonts w:ascii="Times New Roman" w:hAnsi="Times New Roman" w:cs="Times New Roman"/>
                <w:color w:val="auto"/>
              </w:rPr>
              <w:drawing>
                <wp:inline distT="0" distB="0" distL="0" distR="0">
                  <wp:extent cx="2399665" cy="1799590"/>
                  <wp:effectExtent l="19050" t="0" r="510" b="0"/>
                  <wp:docPr id="60" name="图片 60" descr="D:\Documents\Tencent Files\767025510\FileRecv\MobileFile\IMG_7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D:\Documents\Tencent Files\767025510\FileRecv\MobileFile\IMG_7354.JPG"/>
                          <pic:cNvPicPr>
                            <a:picLocks noChangeAspect="1" noChangeArrowheads="1"/>
                          </pic:cNvPicPr>
                        </pic:nvPicPr>
                        <pic:blipFill>
                          <a:blip r:embed="rId27" cstate="print"/>
                          <a:srcRect/>
                          <a:stretch>
                            <a:fillRect/>
                          </a:stretch>
                        </pic:blipFill>
                        <pic:spPr>
                          <a:xfrm>
                            <a:off x="0" y="0"/>
                            <a:ext cx="2399790" cy="1800000"/>
                          </a:xfrm>
                          <a:prstGeom prst="rect">
                            <a:avLst/>
                          </a:prstGeom>
                          <a:noFill/>
                          <a:ln w="9525">
                            <a:noFill/>
                            <a:miter lim="800000"/>
                            <a:headEnd/>
                            <a:tailEnd/>
                          </a:ln>
                        </pic:spPr>
                      </pic:pic>
                    </a:graphicData>
                  </a:graphic>
                </wp:inline>
              </w:drawing>
            </w:r>
            <w:r>
              <w:rPr>
                <w:rFonts w:ascii="Times New Roman" w:hAnsi="Times New Roman" w:cs="Times New Roman"/>
                <w:color w:val="auto"/>
              </w:rPr>
              <w:t xml:space="preserve">    </w:t>
            </w:r>
            <w:r>
              <w:rPr>
                <w:rFonts w:ascii="Times New Roman" w:hAnsi="Times New Roman" w:cs="Times New Roman"/>
                <w:color w:val="auto"/>
              </w:rPr>
              <w:drawing>
                <wp:inline distT="0" distB="0" distL="0" distR="0">
                  <wp:extent cx="2399665" cy="1799590"/>
                  <wp:effectExtent l="19050" t="0" r="510" b="0"/>
                  <wp:docPr id="3" name="图片 61" descr="D:\Documents\Tencent Files\767025510\FileRecv\MobileFile\IMG_7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1" descr="D:\Documents\Tencent Files\767025510\FileRecv\MobileFile\IMG_7358.JPG"/>
                          <pic:cNvPicPr>
                            <a:picLocks noChangeAspect="1" noChangeArrowheads="1"/>
                          </pic:cNvPicPr>
                        </pic:nvPicPr>
                        <pic:blipFill>
                          <a:blip r:embed="rId28" cstate="print"/>
                          <a:srcRect/>
                          <a:stretch>
                            <a:fillRect/>
                          </a:stretch>
                        </pic:blipFill>
                        <pic:spPr>
                          <a:xfrm>
                            <a:off x="0" y="0"/>
                            <a:ext cx="2399790" cy="1800000"/>
                          </a:xfrm>
                          <a:prstGeom prst="rect">
                            <a:avLst/>
                          </a:prstGeom>
                          <a:noFill/>
                          <a:ln w="9525">
                            <a:noFill/>
                            <a:miter lim="800000"/>
                            <a:headEnd/>
                            <a:tailEnd/>
                          </a:ln>
                        </pic:spPr>
                      </pic:pic>
                    </a:graphicData>
                  </a:graphic>
                </wp:inline>
              </w:drawing>
            </w:r>
          </w:p>
          <w:p>
            <w:pPr>
              <w:pStyle w:val="40"/>
              <w:rPr>
                <w:color w:val="auto"/>
                <w:szCs w:val="21"/>
              </w:rPr>
            </w:pPr>
            <w:r>
              <w:rPr>
                <w:color w:val="auto"/>
                <w:szCs w:val="21"/>
              </w:rPr>
              <w:t>废电路板贮存区                   废电路板贮存标识牌</w:t>
            </w:r>
          </w:p>
          <w:p>
            <w:pPr>
              <w:pStyle w:val="40"/>
              <w:rPr>
                <w:color w:val="auto"/>
                <w:szCs w:val="21"/>
              </w:rPr>
            </w:pPr>
            <w:r>
              <w:rPr>
                <w:color w:val="auto"/>
                <w:szCs w:val="21"/>
              </w:rPr>
              <w:drawing>
                <wp:inline distT="0" distB="0" distL="0" distR="0">
                  <wp:extent cx="2399665" cy="1799590"/>
                  <wp:effectExtent l="19050" t="0" r="510" b="0"/>
                  <wp:docPr id="62" name="图片 62" descr="D:\Documents\Tencent Files\767025510\FileRecv\MobileFile\IMG_7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Documents\Tencent Files\767025510\FileRecv\MobileFile\IMG_7360.JPG"/>
                          <pic:cNvPicPr>
                            <a:picLocks noChangeAspect="1" noChangeArrowheads="1"/>
                          </pic:cNvPicPr>
                        </pic:nvPicPr>
                        <pic:blipFill>
                          <a:blip r:embed="rId29" cstate="print"/>
                          <a:srcRect/>
                          <a:stretch>
                            <a:fillRect/>
                          </a:stretch>
                        </pic:blipFill>
                        <pic:spPr>
                          <a:xfrm>
                            <a:off x="0" y="0"/>
                            <a:ext cx="2399790" cy="1800000"/>
                          </a:xfrm>
                          <a:prstGeom prst="rect">
                            <a:avLst/>
                          </a:prstGeom>
                          <a:noFill/>
                          <a:ln w="9525">
                            <a:noFill/>
                            <a:miter lim="800000"/>
                            <a:headEnd/>
                            <a:tailEnd/>
                          </a:ln>
                        </pic:spPr>
                      </pic:pic>
                    </a:graphicData>
                  </a:graphic>
                </wp:inline>
              </w:drawing>
            </w:r>
            <w:r>
              <w:rPr>
                <w:color w:val="auto"/>
                <w:szCs w:val="21"/>
              </w:rPr>
              <w:t xml:space="preserve">    </w:t>
            </w:r>
            <w:r>
              <w:rPr>
                <w:color w:val="auto"/>
                <w:szCs w:val="21"/>
              </w:rPr>
              <w:drawing>
                <wp:inline distT="0" distB="0" distL="0" distR="0">
                  <wp:extent cx="2399665" cy="1799590"/>
                  <wp:effectExtent l="19050" t="0" r="510" b="0"/>
                  <wp:docPr id="5" name="图片 63" descr="D:\Documents\Tencent Files\767025510\FileRecv\MobileFile\IMG_7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3" descr="D:\Documents\Tencent Files\767025510\FileRecv\MobileFile\IMG_7359.JPG"/>
                          <pic:cNvPicPr>
                            <a:picLocks noChangeAspect="1" noChangeArrowheads="1"/>
                          </pic:cNvPicPr>
                        </pic:nvPicPr>
                        <pic:blipFill>
                          <a:blip r:embed="rId30" cstate="print"/>
                          <a:srcRect/>
                          <a:stretch>
                            <a:fillRect/>
                          </a:stretch>
                        </pic:blipFill>
                        <pic:spPr>
                          <a:xfrm>
                            <a:off x="0" y="0"/>
                            <a:ext cx="2399790" cy="1800000"/>
                          </a:xfrm>
                          <a:prstGeom prst="rect">
                            <a:avLst/>
                          </a:prstGeom>
                          <a:noFill/>
                          <a:ln w="9525">
                            <a:noFill/>
                            <a:miter lim="800000"/>
                            <a:headEnd/>
                            <a:tailEnd/>
                          </a:ln>
                        </pic:spPr>
                      </pic:pic>
                    </a:graphicData>
                  </a:graphic>
                </wp:inline>
              </w:drawing>
            </w:r>
          </w:p>
          <w:p>
            <w:pPr>
              <w:pStyle w:val="40"/>
              <w:jc w:val="left"/>
              <w:rPr>
                <w:color w:val="auto"/>
                <w:szCs w:val="21"/>
              </w:rPr>
            </w:pPr>
            <w:r>
              <w:rPr>
                <w:color w:val="auto"/>
                <w:szCs w:val="21"/>
              </w:rPr>
              <w:t xml:space="preserve">    废弃的阴极射线管（锥玻璃）含铅贮存区            锥玻璃贮存标识牌</w:t>
            </w:r>
          </w:p>
          <w:p>
            <w:pPr>
              <w:pStyle w:val="40"/>
              <w:rPr>
                <w:color w:val="auto"/>
                <w:szCs w:val="21"/>
              </w:rPr>
            </w:pPr>
            <w:r>
              <w:rPr>
                <w:color w:val="auto"/>
                <w:szCs w:val="21"/>
              </w:rPr>
              <w:drawing>
                <wp:inline distT="0" distB="0" distL="0" distR="0">
                  <wp:extent cx="2399665" cy="1799590"/>
                  <wp:effectExtent l="19050" t="0" r="510" b="0"/>
                  <wp:docPr id="65" name="图片 65" descr="D:\Documents\Tencent Files\767025510\FileRecv\MobileFile\IMG_7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D:\Documents\Tencent Files\767025510\FileRecv\MobileFile\IMG_7366.JPG"/>
                          <pic:cNvPicPr>
                            <a:picLocks noChangeAspect="1" noChangeArrowheads="1"/>
                          </pic:cNvPicPr>
                        </pic:nvPicPr>
                        <pic:blipFill>
                          <a:blip r:embed="rId31" cstate="print"/>
                          <a:srcRect/>
                          <a:stretch>
                            <a:fillRect/>
                          </a:stretch>
                        </pic:blipFill>
                        <pic:spPr>
                          <a:xfrm>
                            <a:off x="0" y="0"/>
                            <a:ext cx="2399790" cy="1800000"/>
                          </a:xfrm>
                          <a:prstGeom prst="rect">
                            <a:avLst/>
                          </a:prstGeom>
                          <a:noFill/>
                          <a:ln w="9525">
                            <a:noFill/>
                            <a:miter lim="800000"/>
                            <a:headEnd/>
                            <a:tailEnd/>
                          </a:ln>
                        </pic:spPr>
                      </pic:pic>
                    </a:graphicData>
                  </a:graphic>
                </wp:inline>
              </w:drawing>
            </w:r>
            <w:r>
              <w:rPr>
                <w:color w:val="auto"/>
                <w:szCs w:val="21"/>
              </w:rPr>
              <w:t xml:space="preserve">    </w:t>
            </w:r>
            <w:r>
              <w:rPr>
                <w:color w:val="auto"/>
                <w:szCs w:val="21"/>
              </w:rPr>
              <w:drawing>
                <wp:inline distT="0" distB="0" distL="0" distR="0">
                  <wp:extent cx="2399665" cy="1799590"/>
                  <wp:effectExtent l="19050" t="0" r="510" b="0"/>
                  <wp:docPr id="64" name="图片 64" descr="D:\Documents\Tencent Files\767025510\FileRecv\MobileFile\IMG_7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D:\Documents\Tencent Files\767025510\FileRecv\MobileFile\IMG_7364.JPG"/>
                          <pic:cNvPicPr>
                            <a:picLocks noChangeAspect="1" noChangeArrowheads="1"/>
                          </pic:cNvPicPr>
                        </pic:nvPicPr>
                        <pic:blipFill>
                          <a:blip r:embed="rId32" cstate="print"/>
                          <a:srcRect/>
                          <a:stretch>
                            <a:fillRect/>
                          </a:stretch>
                        </pic:blipFill>
                        <pic:spPr>
                          <a:xfrm>
                            <a:off x="0" y="0"/>
                            <a:ext cx="2399790" cy="1800000"/>
                          </a:xfrm>
                          <a:prstGeom prst="rect">
                            <a:avLst/>
                          </a:prstGeom>
                          <a:noFill/>
                          <a:ln w="9525">
                            <a:noFill/>
                            <a:miter lim="800000"/>
                            <a:headEnd/>
                            <a:tailEnd/>
                          </a:ln>
                        </pic:spPr>
                      </pic:pic>
                    </a:graphicData>
                  </a:graphic>
                </wp:inline>
              </w:drawing>
            </w:r>
          </w:p>
          <w:p>
            <w:pPr>
              <w:pStyle w:val="40"/>
              <w:jc w:val="left"/>
              <w:rPr>
                <w:color w:val="auto"/>
                <w:szCs w:val="21"/>
              </w:rPr>
            </w:pPr>
            <w:r>
              <w:rPr>
                <w:color w:val="auto"/>
                <w:szCs w:val="21"/>
              </w:rPr>
              <w:t xml:space="preserve">         屏玻璃（普通玻璃）贮存场所                    屏玻璃贮存标识牌</w:t>
            </w:r>
          </w:p>
          <w:p>
            <w:pPr>
              <w:pStyle w:val="40"/>
              <w:rPr>
                <w:color w:val="auto"/>
                <w:szCs w:val="21"/>
              </w:rPr>
            </w:pPr>
            <w:r>
              <w:rPr>
                <w:color w:val="auto"/>
                <w:szCs w:val="21"/>
              </w:rPr>
              <w:drawing>
                <wp:inline distT="0" distB="0" distL="0" distR="0">
                  <wp:extent cx="2401570" cy="1799590"/>
                  <wp:effectExtent l="19050" t="0" r="0" b="0"/>
                  <wp:docPr id="10" name="图片 7" descr="E:\工作\2东川\1冰箱线项目\现场照片\新建文件夹 (2)\IMG_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E:\工作\2东川\1冰箱线项目\现场照片\新建文件夹 (2)\IMG_1902.JPG"/>
                          <pic:cNvPicPr>
                            <a:picLocks noChangeAspect="1" noChangeArrowheads="1"/>
                          </pic:cNvPicPr>
                        </pic:nvPicPr>
                        <pic:blipFill>
                          <a:blip r:embed="rId33" cstate="print"/>
                          <a:srcRect/>
                          <a:stretch>
                            <a:fillRect/>
                          </a:stretch>
                        </pic:blipFill>
                        <pic:spPr>
                          <a:xfrm>
                            <a:off x="0" y="0"/>
                            <a:ext cx="2401735" cy="1800000"/>
                          </a:xfrm>
                          <a:prstGeom prst="rect">
                            <a:avLst/>
                          </a:prstGeom>
                          <a:noFill/>
                          <a:ln w="9525">
                            <a:noFill/>
                            <a:miter lim="800000"/>
                            <a:headEnd/>
                            <a:tailEnd/>
                          </a:ln>
                        </pic:spPr>
                      </pic:pic>
                    </a:graphicData>
                  </a:graphic>
                </wp:inline>
              </w:drawing>
            </w:r>
            <w:r>
              <w:rPr>
                <w:color w:val="auto"/>
                <w:szCs w:val="21"/>
              </w:rPr>
              <w:t xml:space="preserve">    </w:t>
            </w:r>
            <w:r>
              <w:rPr>
                <w:color w:val="auto"/>
                <w:szCs w:val="21"/>
              </w:rPr>
              <w:drawing>
                <wp:inline distT="0" distB="0" distL="0" distR="0">
                  <wp:extent cx="2401570" cy="1799590"/>
                  <wp:effectExtent l="19050" t="0" r="0" b="0"/>
                  <wp:docPr id="11" name="图片 9" descr="E:\工作\2东川\1冰箱线项目\现场照片\新建文件夹 (2)\IMG_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E:\工作\2东川\1冰箱线项目\现场照片\新建文件夹 (2)\IMG_1923.JPG"/>
                          <pic:cNvPicPr>
                            <a:picLocks noChangeAspect="1" noChangeArrowheads="1"/>
                          </pic:cNvPicPr>
                        </pic:nvPicPr>
                        <pic:blipFill>
                          <a:blip r:embed="rId34" cstate="print"/>
                          <a:srcRect/>
                          <a:stretch>
                            <a:fillRect/>
                          </a:stretch>
                        </pic:blipFill>
                        <pic:spPr>
                          <a:xfrm>
                            <a:off x="0" y="0"/>
                            <a:ext cx="2401735" cy="1800000"/>
                          </a:xfrm>
                          <a:prstGeom prst="rect">
                            <a:avLst/>
                          </a:prstGeom>
                          <a:noFill/>
                          <a:ln w="9525">
                            <a:noFill/>
                            <a:miter lim="800000"/>
                            <a:headEnd/>
                            <a:tailEnd/>
                          </a:ln>
                        </pic:spPr>
                      </pic:pic>
                    </a:graphicData>
                  </a:graphic>
                </wp:inline>
              </w:drawing>
            </w:r>
          </w:p>
          <w:p>
            <w:pPr>
              <w:pStyle w:val="40"/>
              <w:jc w:val="left"/>
              <w:rPr>
                <w:color w:val="auto"/>
                <w:szCs w:val="21"/>
              </w:rPr>
            </w:pPr>
            <w:r>
              <w:rPr>
                <w:color w:val="auto"/>
                <w:szCs w:val="21"/>
              </w:rPr>
              <w:t xml:space="preserve">                 钢/铁暂存区                      废旧有色金属（铜/铝）暂存区</w:t>
            </w:r>
          </w:p>
          <w:p>
            <w:pPr>
              <w:pStyle w:val="40"/>
              <w:rPr>
                <w:color w:val="auto"/>
                <w:szCs w:val="21"/>
              </w:rPr>
            </w:pPr>
            <w:r>
              <w:rPr>
                <w:color w:val="auto"/>
                <w:szCs w:val="21"/>
              </w:rPr>
              <w:drawing>
                <wp:inline distT="0" distB="0" distL="0" distR="0">
                  <wp:extent cx="2401570" cy="1799590"/>
                  <wp:effectExtent l="19050" t="0" r="0" b="0"/>
                  <wp:docPr id="13" name="图片 10" descr="E:\工作\2东川\1冰箱线项目\现场照片\新建文件夹 (2)\IMG_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E:\工作\2东川\1冰箱线项目\现场照片\新建文件夹 (2)\IMG_1928.JPG"/>
                          <pic:cNvPicPr>
                            <a:picLocks noChangeAspect="1" noChangeArrowheads="1"/>
                          </pic:cNvPicPr>
                        </pic:nvPicPr>
                        <pic:blipFill>
                          <a:blip r:embed="rId35" cstate="print"/>
                          <a:srcRect/>
                          <a:stretch>
                            <a:fillRect/>
                          </a:stretch>
                        </pic:blipFill>
                        <pic:spPr>
                          <a:xfrm>
                            <a:off x="0" y="0"/>
                            <a:ext cx="2401735" cy="1800000"/>
                          </a:xfrm>
                          <a:prstGeom prst="rect">
                            <a:avLst/>
                          </a:prstGeom>
                          <a:noFill/>
                          <a:ln w="9525">
                            <a:noFill/>
                            <a:miter lim="800000"/>
                            <a:headEnd/>
                            <a:tailEnd/>
                          </a:ln>
                        </pic:spPr>
                      </pic:pic>
                    </a:graphicData>
                  </a:graphic>
                </wp:inline>
              </w:drawing>
            </w:r>
            <w:r>
              <w:rPr>
                <w:color w:val="auto"/>
                <w:szCs w:val="21"/>
              </w:rPr>
              <w:t xml:space="preserve">     </w:t>
            </w:r>
            <w:r>
              <w:rPr>
                <w:color w:val="auto"/>
                <w:szCs w:val="21"/>
              </w:rPr>
              <w:drawing>
                <wp:inline distT="0" distB="0" distL="0" distR="0">
                  <wp:extent cx="2401570" cy="1799590"/>
                  <wp:effectExtent l="19050" t="0" r="0" b="0"/>
                  <wp:docPr id="14" name="图片 11" descr="E:\工作\2东川\1冰箱线项目\现场照片\新建文件夹 (2)\IMG_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E:\工作\2东川\1冰箱线项目\现场照片\新建文件夹 (2)\IMG_1926.JPG"/>
                          <pic:cNvPicPr>
                            <a:picLocks noChangeAspect="1" noChangeArrowheads="1"/>
                          </pic:cNvPicPr>
                        </pic:nvPicPr>
                        <pic:blipFill>
                          <a:blip r:embed="rId36" cstate="print"/>
                          <a:srcRect/>
                          <a:stretch>
                            <a:fillRect/>
                          </a:stretch>
                        </pic:blipFill>
                        <pic:spPr>
                          <a:xfrm>
                            <a:off x="0" y="0"/>
                            <a:ext cx="2401735" cy="1800000"/>
                          </a:xfrm>
                          <a:prstGeom prst="rect">
                            <a:avLst/>
                          </a:prstGeom>
                          <a:noFill/>
                          <a:ln w="9525">
                            <a:noFill/>
                            <a:miter lim="800000"/>
                            <a:headEnd/>
                            <a:tailEnd/>
                          </a:ln>
                        </pic:spPr>
                      </pic:pic>
                    </a:graphicData>
                  </a:graphic>
                </wp:inline>
              </w:drawing>
            </w:r>
          </w:p>
          <w:p>
            <w:pPr>
              <w:pStyle w:val="40"/>
              <w:rPr>
                <w:color w:val="auto"/>
                <w:szCs w:val="21"/>
              </w:rPr>
            </w:pPr>
            <w:r>
              <w:rPr>
                <w:color w:val="auto"/>
                <w:szCs w:val="21"/>
              </w:rPr>
              <w:t>废塑料暂存区                         废塑料暂存区</w:t>
            </w:r>
          </w:p>
          <w:p>
            <w:pPr>
              <w:spacing w:beforeLines="50" w:line="360" w:lineRule="auto"/>
              <w:ind w:firstLine="361" w:firstLineChars="150"/>
              <w:rPr>
                <w:rFonts w:ascii="Times New Roman" w:hAnsi="Times New Roman" w:cs="Times New Roman"/>
                <w:b/>
                <w:color w:val="auto"/>
                <w:sz w:val="24"/>
              </w:rPr>
            </w:pPr>
            <w:r>
              <w:rPr>
                <w:rFonts w:ascii="Times New Roman" w:hAnsi="Times New Roman" w:cs="Times New Roman"/>
                <w:b/>
                <w:color w:val="auto"/>
                <w:sz w:val="24"/>
              </w:rPr>
              <w:t>（3）产生量及处置情况</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根据业主提供的资料核算，以及业主提供的处置措施，项目固体废物处置情况如下表所示。</w:t>
            </w:r>
          </w:p>
          <w:p>
            <w:pPr>
              <w:spacing w:line="360" w:lineRule="auto"/>
              <w:ind w:firstLine="480" w:firstLineChars="200"/>
              <w:rPr>
                <w:rFonts w:ascii="Times New Roman" w:hAnsi="Times New Roman" w:cs="Times New Roman"/>
                <w:color w:val="auto"/>
                <w:sz w:val="24"/>
              </w:rPr>
            </w:pPr>
          </w:p>
          <w:p>
            <w:pPr>
              <w:spacing w:line="360" w:lineRule="auto"/>
              <w:ind w:firstLine="480" w:firstLineChars="200"/>
              <w:rPr>
                <w:rFonts w:ascii="Times New Roman" w:hAnsi="Times New Roman" w:cs="Times New Roman"/>
                <w:color w:val="auto"/>
                <w:sz w:val="24"/>
              </w:rPr>
            </w:pPr>
          </w:p>
          <w:p>
            <w:pPr>
              <w:spacing w:line="360" w:lineRule="auto"/>
              <w:ind w:firstLine="480" w:firstLineChars="200"/>
              <w:rPr>
                <w:rFonts w:ascii="Times New Roman" w:hAnsi="Times New Roman" w:cs="Times New Roman"/>
                <w:color w:val="auto"/>
                <w:sz w:val="24"/>
              </w:rPr>
            </w:pPr>
          </w:p>
          <w:p>
            <w:pPr>
              <w:spacing w:line="360" w:lineRule="auto"/>
              <w:ind w:firstLine="480" w:firstLineChars="200"/>
              <w:rPr>
                <w:rFonts w:ascii="Times New Roman" w:hAnsi="Times New Roman" w:cs="Times New Roman"/>
                <w:color w:val="auto"/>
                <w:sz w:val="24"/>
              </w:rPr>
            </w:pPr>
          </w:p>
          <w:p>
            <w:pPr>
              <w:pStyle w:val="15"/>
              <w:spacing w:after="0"/>
              <w:ind w:left="0" w:leftChars="0"/>
              <w:jc w:val="center"/>
              <w:rPr>
                <w:b/>
                <w:color w:val="auto"/>
                <w:sz w:val="21"/>
                <w:szCs w:val="21"/>
              </w:rPr>
            </w:pPr>
            <w:r>
              <w:rPr>
                <w:b/>
                <w:color w:val="auto"/>
                <w:sz w:val="21"/>
                <w:szCs w:val="21"/>
              </w:rPr>
              <w:t>表2.11.4-3 现有项目固体废物产生及处置情况一览表</w:t>
            </w:r>
          </w:p>
          <w:tbl>
            <w:tblPr>
              <w:tblStyle w:val="20"/>
              <w:tblW w:w="904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90"/>
              <w:gridCol w:w="910"/>
              <w:gridCol w:w="1134"/>
              <w:gridCol w:w="1134"/>
              <w:gridCol w:w="1134"/>
              <w:gridCol w:w="1276"/>
              <w:gridCol w:w="286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2" w:hRule="atLeast"/>
              </w:trPr>
              <w:tc>
                <w:tcPr>
                  <w:tcW w:w="590" w:type="dxa"/>
                  <w:vMerge w:val="restart"/>
                  <w:vAlign w:val="center"/>
                </w:tcPr>
                <w:p>
                  <w:pPr>
                    <w:pStyle w:val="30"/>
                    <w:spacing w:line="360" w:lineRule="exact"/>
                    <w:rPr>
                      <w:color w:val="auto"/>
                      <w:szCs w:val="21"/>
                    </w:rPr>
                  </w:pPr>
                  <w:r>
                    <w:rPr>
                      <w:color w:val="auto"/>
                      <w:szCs w:val="21"/>
                    </w:rPr>
                    <w:t>序号</w:t>
                  </w:r>
                </w:p>
              </w:tc>
              <w:tc>
                <w:tcPr>
                  <w:tcW w:w="910" w:type="dxa"/>
                  <w:vMerge w:val="restart"/>
                  <w:vAlign w:val="center"/>
                </w:tcPr>
                <w:p>
                  <w:pPr>
                    <w:pStyle w:val="30"/>
                    <w:spacing w:line="360" w:lineRule="exact"/>
                    <w:rPr>
                      <w:color w:val="auto"/>
                      <w:szCs w:val="21"/>
                    </w:rPr>
                  </w:pPr>
                  <w:r>
                    <w:rPr>
                      <w:color w:val="auto"/>
                      <w:szCs w:val="21"/>
                    </w:rPr>
                    <w:t>固废名称</w:t>
                  </w:r>
                </w:p>
              </w:tc>
              <w:tc>
                <w:tcPr>
                  <w:tcW w:w="2268" w:type="dxa"/>
                  <w:gridSpan w:val="2"/>
                  <w:vAlign w:val="center"/>
                </w:tcPr>
                <w:p>
                  <w:pPr>
                    <w:pStyle w:val="30"/>
                    <w:spacing w:line="360" w:lineRule="exact"/>
                    <w:rPr>
                      <w:color w:val="auto"/>
                      <w:szCs w:val="21"/>
                    </w:rPr>
                  </w:pPr>
                  <w:r>
                    <w:rPr>
                      <w:color w:val="auto"/>
                      <w:szCs w:val="21"/>
                    </w:rPr>
                    <w:t>固体废物产生量</w:t>
                  </w:r>
                </w:p>
              </w:tc>
              <w:tc>
                <w:tcPr>
                  <w:tcW w:w="1134" w:type="dxa"/>
                  <w:vMerge w:val="restart"/>
                  <w:vAlign w:val="center"/>
                </w:tcPr>
                <w:p>
                  <w:pPr>
                    <w:pStyle w:val="30"/>
                    <w:spacing w:line="360" w:lineRule="exact"/>
                    <w:rPr>
                      <w:color w:val="auto"/>
                      <w:szCs w:val="21"/>
                    </w:rPr>
                  </w:pPr>
                  <w:r>
                    <w:rPr>
                      <w:color w:val="auto"/>
                      <w:szCs w:val="21"/>
                    </w:rPr>
                    <w:t>固废属性</w:t>
                  </w:r>
                </w:p>
              </w:tc>
              <w:tc>
                <w:tcPr>
                  <w:tcW w:w="1276" w:type="dxa"/>
                  <w:vMerge w:val="restart"/>
                  <w:tcBorders>
                    <w:right w:val="single" w:color="auto" w:sz="4" w:space="0"/>
                  </w:tcBorders>
                  <w:vAlign w:val="center"/>
                </w:tcPr>
                <w:p>
                  <w:pPr>
                    <w:pStyle w:val="30"/>
                    <w:spacing w:line="360" w:lineRule="exact"/>
                    <w:rPr>
                      <w:color w:val="auto"/>
                      <w:szCs w:val="21"/>
                    </w:rPr>
                  </w:pPr>
                  <w:r>
                    <w:rPr>
                      <w:rFonts w:eastAsiaTheme="minorEastAsia"/>
                      <w:color w:val="auto"/>
                      <w:szCs w:val="21"/>
                    </w:rPr>
                    <w:t>贮存方式</w:t>
                  </w:r>
                </w:p>
              </w:tc>
              <w:tc>
                <w:tcPr>
                  <w:tcW w:w="2866" w:type="dxa"/>
                  <w:vMerge w:val="restart"/>
                  <w:tcBorders>
                    <w:left w:val="single" w:color="auto" w:sz="4" w:space="0"/>
                  </w:tcBorders>
                  <w:vAlign w:val="center"/>
                </w:tcPr>
                <w:p>
                  <w:pPr>
                    <w:pStyle w:val="30"/>
                    <w:spacing w:line="360" w:lineRule="exact"/>
                    <w:rPr>
                      <w:color w:val="auto"/>
                      <w:szCs w:val="21"/>
                    </w:rPr>
                  </w:pPr>
                  <w:r>
                    <w:rPr>
                      <w:rFonts w:eastAsiaTheme="minorEastAsia"/>
                      <w:color w:val="auto"/>
                      <w:szCs w:val="21"/>
                    </w:rPr>
                    <w:t>利用处置方式和去向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9" w:hRule="atLeast"/>
              </w:trPr>
              <w:tc>
                <w:tcPr>
                  <w:tcW w:w="590" w:type="dxa"/>
                  <w:vMerge w:val="continue"/>
                  <w:vAlign w:val="center"/>
                </w:tcPr>
                <w:p>
                  <w:pPr>
                    <w:pStyle w:val="30"/>
                    <w:spacing w:line="360" w:lineRule="exact"/>
                    <w:rPr>
                      <w:color w:val="auto"/>
                      <w:szCs w:val="21"/>
                    </w:rPr>
                  </w:pPr>
                </w:p>
              </w:tc>
              <w:tc>
                <w:tcPr>
                  <w:tcW w:w="910" w:type="dxa"/>
                  <w:vMerge w:val="continue"/>
                  <w:vAlign w:val="center"/>
                </w:tcPr>
                <w:p>
                  <w:pPr>
                    <w:pStyle w:val="30"/>
                    <w:spacing w:line="360" w:lineRule="exact"/>
                    <w:rPr>
                      <w:color w:val="auto"/>
                      <w:szCs w:val="21"/>
                    </w:rPr>
                  </w:pPr>
                </w:p>
              </w:tc>
              <w:tc>
                <w:tcPr>
                  <w:tcW w:w="1134" w:type="dxa"/>
                  <w:vAlign w:val="center"/>
                </w:tcPr>
                <w:p>
                  <w:pPr>
                    <w:pStyle w:val="30"/>
                    <w:spacing w:line="360" w:lineRule="exact"/>
                    <w:rPr>
                      <w:color w:val="auto"/>
                      <w:szCs w:val="21"/>
                    </w:rPr>
                  </w:pPr>
                  <w:r>
                    <w:rPr>
                      <w:color w:val="auto"/>
                      <w:szCs w:val="21"/>
                    </w:rPr>
                    <w:t>实际平均产生量（t/a）</w:t>
                  </w:r>
                </w:p>
              </w:tc>
              <w:tc>
                <w:tcPr>
                  <w:tcW w:w="1134" w:type="dxa"/>
                  <w:vAlign w:val="center"/>
                </w:tcPr>
                <w:p>
                  <w:pPr>
                    <w:pStyle w:val="30"/>
                    <w:spacing w:line="360" w:lineRule="exact"/>
                    <w:rPr>
                      <w:color w:val="auto"/>
                      <w:szCs w:val="21"/>
                    </w:rPr>
                  </w:pPr>
                  <w:r>
                    <w:rPr>
                      <w:color w:val="auto"/>
                      <w:szCs w:val="21"/>
                    </w:rPr>
                    <w:t>满负荷产生量（t/a）</w:t>
                  </w:r>
                </w:p>
              </w:tc>
              <w:tc>
                <w:tcPr>
                  <w:tcW w:w="1134" w:type="dxa"/>
                  <w:vMerge w:val="continue"/>
                  <w:vAlign w:val="center"/>
                </w:tcPr>
                <w:p>
                  <w:pPr>
                    <w:pStyle w:val="30"/>
                    <w:spacing w:line="360" w:lineRule="exact"/>
                    <w:rPr>
                      <w:color w:val="auto"/>
                      <w:szCs w:val="21"/>
                    </w:rPr>
                  </w:pPr>
                </w:p>
              </w:tc>
              <w:tc>
                <w:tcPr>
                  <w:tcW w:w="1276" w:type="dxa"/>
                  <w:vMerge w:val="continue"/>
                  <w:tcBorders>
                    <w:right w:val="single" w:color="auto" w:sz="4" w:space="0"/>
                  </w:tcBorders>
                  <w:vAlign w:val="center"/>
                </w:tcPr>
                <w:p>
                  <w:pPr>
                    <w:pStyle w:val="30"/>
                    <w:spacing w:line="360" w:lineRule="exact"/>
                    <w:rPr>
                      <w:color w:val="auto"/>
                      <w:szCs w:val="21"/>
                    </w:rPr>
                  </w:pPr>
                </w:p>
              </w:tc>
              <w:tc>
                <w:tcPr>
                  <w:tcW w:w="2866" w:type="dxa"/>
                  <w:vMerge w:val="continue"/>
                  <w:tcBorders>
                    <w:left w:val="single" w:color="auto" w:sz="4" w:space="0"/>
                  </w:tcBorders>
                  <w:vAlign w:val="center"/>
                </w:tcPr>
                <w:p>
                  <w:pPr>
                    <w:pStyle w:val="30"/>
                    <w:spacing w:line="360" w:lineRule="exact"/>
                    <w:rPr>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90" w:type="dxa"/>
                  <w:vAlign w:val="center"/>
                </w:tcPr>
                <w:p>
                  <w:pPr>
                    <w:pStyle w:val="30"/>
                    <w:spacing w:line="360" w:lineRule="exact"/>
                    <w:rPr>
                      <w:color w:val="auto"/>
                      <w:szCs w:val="21"/>
                    </w:rPr>
                  </w:pPr>
                  <w:r>
                    <w:rPr>
                      <w:color w:val="auto"/>
                      <w:szCs w:val="21"/>
                    </w:rPr>
                    <w:t>1</w:t>
                  </w:r>
                </w:p>
              </w:tc>
              <w:tc>
                <w:tcPr>
                  <w:tcW w:w="910" w:type="dxa"/>
                  <w:vAlign w:val="center"/>
                </w:tcPr>
                <w:p>
                  <w:pPr>
                    <w:pStyle w:val="30"/>
                    <w:spacing w:line="360" w:lineRule="exact"/>
                    <w:rPr>
                      <w:color w:val="auto"/>
                      <w:szCs w:val="21"/>
                    </w:rPr>
                  </w:pPr>
                  <w:r>
                    <w:rPr>
                      <w:color w:val="auto"/>
                      <w:szCs w:val="21"/>
                    </w:rPr>
                    <w:t>废塑料</w:t>
                  </w:r>
                </w:p>
              </w:tc>
              <w:tc>
                <w:tcPr>
                  <w:tcW w:w="1134" w:type="dxa"/>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5079.49</w:t>
                  </w:r>
                </w:p>
              </w:tc>
              <w:tc>
                <w:tcPr>
                  <w:tcW w:w="1134" w:type="dxa"/>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9013.84</w:t>
                  </w:r>
                </w:p>
              </w:tc>
              <w:tc>
                <w:tcPr>
                  <w:tcW w:w="1134" w:type="dxa"/>
                  <w:vAlign w:val="center"/>
                </w:tcPr>
                <w:p>
                  <w:pPr>
                    <w:pStyle w:val="30"/>
                    <w:spacing w:line="360" w:lineRule="exact"/>
                    <w:rPr>
                      <w:color w:val="auto"/>
                      <w:szCs w:val="21"/>
                    </w:rPr>
                  </w:pPr>
                  <w:r>
                    <w:rPr>
                      <w:color w:val="auto"/>
                      <w:szCs w:val="21"/>
                    </w:rPr>
                    <w:t>一般工业固体废物</w:t>
                  </w:r>
                </w:p>
              </w:tc>
              <w:tc>
                <w:tcPr>
                  <w:tcW w:w="1276" w:type="dxa"/>
                  <w:tcBorders>
                    <w:right w:val="single" w:color="auto" w:sz="4" w:space="0"/>
                  </w:tcBorders>
                  <w:vAlign w:val="center"/>
                </w:tcPr>
                <w:p>
                  <w:pPr>
                    <w:pStyle w:val="30"/>
                    <w:spacing w:line="360" w:lineRule="exact"/>
                    <w:ind w:firstLine="210" w:firstLineChars="100"/>
                    <w:jc w:val="left"/>
                    <w:rPr>
                      <w:color w:val="auto"/>
                      <w:szCs w:val="21"/>
                    </w:rPr>
                  </w:pPr>
                  <w:r>
                    <w:rPr>
                      <w:color w:val="auto"/>
                      <w:szCs w:val="21"/>
                    </w:rPr>
                    <w:t>暂存于塑料暂存区</w:t>
                  </w:r>
                </w:p>
              </w:tc>
              <w:tc>
                <w:tcPr>
                  <w:tcW w:w="2866" w:type="dxa"/>
                  <w:tcBorders>
                    <w:left w:val="single" w:color="auto" w:sz="4" w:space="0"/>
                  </w:tcBorders>
                  <w:vAlign w:val="center"/>
                </w:tcPr>
                <w:p>
                  <w:pPr>
                    <w:pStyle w:val="30"/>
                    <w:spacing w:line="360" w:lineRule="exact"/>
                    <w:ind w:firstLine="210" w:firstLineChars="100"/>
                    <w:jc w:val="left"/>
                    <w:rPr>
                      <w:color w:val="auto"/>
                      <w:szCs w:val="21"/>
                    </w:rPr>
                  </w:pPr>
                  <w:r>
                    <w:rPr>
                      <w:color w:val="auto"/>
                    </w:rPr>
                    <w:t>已和清远市联和再生资源有限公司、云南昆船环保技术有限公司等21家公司签订合同，通过招投标情况决定委托处置单位。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90" w:type="dxa"/>
                  <w:vAlign w:val="center"/>
                </w:tcPr>
                <w:p>
                  <w:pPr>
                    <w:pStyle w:val="30"/>
                    <w:spacing w:line="360" w:lineRule="exact"/>
                    <w:rPr>
                      <w:color w:val="auto"/>
                      <w:szCs w:val="21"/>
                    </w:rPr>
                  </w:pPr>
                  <w:r>
                    <w:rPr>
                      <w:color w:val="auto"/>
                      <w:szCs w:val="21"/>
                    </w:rPr>
                    <w:t>2</w:t>
                  </w:r>
                </w:p>
              </w:tc>
              <w:tc>
                <w:tcPr>
                  <w:tcW w:w="910" w:type="dxa"/>
                  <w:vAlign w:val="center"/>
                </w:tcPr>
                <w:p>
                  <w:pPr>
                    <w:pStyle w:val="30"/>
                    <w:spacing w:line="360" w:lineRule="exact"/>
                    <w:rPr>
                      <w:color w:val="auto"/>
                      <w:szCs w:val="21"/>
                    </w:rPr>
                  </w:pPr>
                  <w:r>
                    <w:rPr>
                      <w:color w:val="auto"/>
                      <w:szCs w:val="21"/>
                    </w:rPr>
                    <w:t>废旧有色金属（铜/铝等）</w:t>
                  </w:r>
                </w:p>
              </w:tc>
              <w:tc>
                <w:tcPr>
                  <w:tcW w:w="1134" w:type="dxa"/>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1542.24</w:t>
                  </w:r>
                </w:p>
              </w:tc>
              <w:tc>
                <w:tcPr>
                  <w:tcW w:w="1134" w:type="dxa"/>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5041.7</w:t>
                  </w:r>
                </w:p>
              </w:tc>
              <w:tc>
                <w:tcPr>
                  <w:tcW w:w="1134" w:type="dxa"/>
                  <w:vAlign w:val="center"/>
                </w:tcPr>
                <w:p>
                  <w:pPr>
                    <w:pStyle w:val="30"/>
                    <w:spacing w:line="360" w:lineRule="exact"/>
                    <w:rPr>
                      <w:color w:val="auto"/>
                      <w:szCs w:val="21"/>
                    </w:rPr>
                  </w:pPr>
                  <w:r>
                    <w:rPr>
                      <w:color w:val="auto"/>
                      <w:szCs w:val="21"/>
                    </w:rPr>
                    <w:t>一般工业固体废物</w:t>
                  </w:r>
                </w:p>
              </w:tc>
              <w:tc>
                <w:tcPr>
                  <w:tcW w:w="1276" w:type="dxa"/>
                  <w:tcBorders>
                    <w:right w:val="single" w:color="auto" w:sz="4" w:space="0"/>
                  </w:tcBorders>
                  <w:vAlign w:val="center"/>
                </w:tcPr>
                <w:p>
                  <w:pPr>
                    <w:pStyle w:val="30"/>
                    <w:spacing w:line="360" w:lineRule="exact"/>
                    <w:ind w:firstLine="210" w:firstLineChars="100"/>
                    <w:jc w:val="left"/>
                    <w:rPr>
                      <w:color w:val="auto"/>
                      <w:szCs w:val="21"/>
                    </w:rPr>
                  </w:pPr>
                  <w:r>
                    <w:rPr>
                      <w:color w:val="auto"/>
                      <w:szCs w:val="21"/>
                    </w:rPr>
                    <w:t>暂存于废旧有色金属（铜/铝）暂存区</w:t>
                  </w:r>
                </w:p>
              </w:tc>
              <w:tc>
                <w:tcPr>
                  <w:tcW w:w="2866" w:type="dxa"/>
                  <w:tcBorders>
                    <w:left w:val="single" w:color="auto" w:sz="4" w:space="0"/>
                  </w:tcBorders>
                  <w:vAlign w:val="center"/>
                </w:tcPr>
                <w:p>
                  <w:pPr>
                    <w:pStyle w:val="30"/>
                    <w:spacing w:line="360" w:lineRule="exact"/>
                    <w:ind w:firstLine="210" w:firstLineChars="100"/>
                    <w:jc w:val="left"/>
                    <w:rPr>
                      <w:color w:val="auto"/>
                      <w:szCs w:val="21"/>
                    </w:rPr>
                  </w:pPr>
                  <w:r>
                    <w:rPr>
                      <w:color w:val="auto"/>
                    </w:rPr>
                    <w:t>已和天津通宜顺金属制品有限公司、曲靖市马龙区巨龙机电制造有限公司等16家公司签订合同，通过招投标情况决定委托处置单位。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90" w:type="dxa"/>
                  <w:vAlign w:val="center"/>
                </w:tcPr>
                <w:p>
                  <w:pPr>
                    <w:pStyle w:val="30"/>
                    <w:spacing w:line="360" w:lineRule="exact"/>
                    <w:rPr>
                      <w:color w:val="auto"/>
                      <w:szCs w:val="21"/>
                    </w:rPr>
                  </w:pPr>
                  <w:r>
                    <w:rPr>
                      <w:color w:val="auto"/>
                      <w:szCs w:val="21"/>
                    </w:rPr>
                    <w:t>3</w:t>
                  </w:r>
                </w:p>
              </w:tc>
              <w:tc>
                <w:tcPr>
                  <w:tcW w:w="910" w:type="dxa"/>
                  <w:vAlign w:val="center"/>
                </w:tcPr>
                <w:p>
                  <w:pPr>
                    <w:pStyle w:val="30"/>
                    <w:spacing w:line="360" w:lineRule="exact"/>
                    <w:rPr>
                      <w:color w:val="auto"/>
                      <w:szCs w:val="21"/>
                    </w:rPr>
                  </w:pPr>
                  <w:r>
                    <w:rPr>
                      <w:color w:val="auto"/>
                      <w:szCs w:val="21"/>
                    </w:rPr>
                    <w:t>废钢/铁</w:t>
                  </w:r>
                </w:p>
              </w:tc>
              <w:tc>
                <w:tcPr>
                  <w:tcW w:w="1134" w:type="dxa"/>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11411.99</w:t>
                  </w:r>
                </w:p>
              </w:tc>
              <w:tc>
                <w:tcPr>
                  <w:tcW w:w="1134" w:type="dxa"/>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24859.77</w:t>
                  </w:r>
                </w:p>
              </w:tc>
              <w:tc>
                <w:tcPr>
                  <w:tcW w:w="1134" w:type="dxa"/>
                  <w:vAlign w:val="center"/>
                </w:tcPr>
                <w:p>
                  <w:pPr>
                    <w:pStyle w:val="30"/>
                    <w:spacing w:line="360" w:lineRule="exact"/>
                    <w:rPr>
                      <w:color w:val="auto"/>
                      <w:szCs w:val="21"/>
                    </w:rPr>
                  </w:pPr>
                  <w:r>
                    <w:rPr>
                      <w:color w:val="auto"/>
                      <w:szCs w:val="21"/>
                    </w:rPr>
                    <w:t>一般工业固体废物</w:t>
                  </w:r>
                </w:p>
              </w:tc>
              <w:tc>
                <w:tcPr>
                  <w:tcW w:w="1276" w:type="dxa"/>
                  <w:tcBorders>
                    <w:right w:val="single" w:color="auto" w:sz="4" w:space="0"/>
                  </w:tcBorders>
                  <w:vAlign w:val="center"/>
                </w:tcPr>
                <w:p>
                  <w:pPr>
                    <w:pStyle w:val="30"/>
                    <w:spacing w:line="360" w:lineRule="exact"/>
                    <w:ind w:firstLine="210" w:firstLineChars="100"/>
                    <w:jc w:val="left"/>
                    <w:rPr>
                      <w:color w:val="auto"/>
                      <w:szCs w:val="21"/>
                    </w:rPr>
                  </w:pPr>
                  <w:r>
                    <w:rPr>
                      <w:color w:val="auto"/>
                      <w:szCs w:val="21"/>
                    </w:rPr>
                    <w:t>暂存于钢/铁暂存区</w:t>
                  </w:r>
                </w:p>
              </w:tc>
              <w:tc>
                <w:tcPr>
                  <w:tcW w:w="2866" w:type="dxa"/>
                  <w:tcBorders>
                    <w:left w:val="single" w:color="auto" w:sz="4" w:space="0"/>
                  </w:tcBorders>
                  <w:vAlign w:val="center"/>
                </w:tcPr>
                <w:p>
                  <w:pPr>
                    <w:pStyle w:val="30"/>
                    <w:spacing w:line="360" w:lineRule="exact"/>
                    <w:ind w:firstLine="210" w:firstLineChars="100"/>
                    <w:jc w:val="left"/>
                    <w:rPr>
                      <w:color w:val="auto"/>
                      <w:szCs w:val="21"/>
                    </w:rPr>
                  </w:pPr>
                  <w:r>
                    <w:rPr>
                      <w:color w:val="auto"/>
                    </w:rPr>
                    <w:t>已和玉溪保家再生资源有限公司、天津凯成发金属制品有限公司、安宁市伟中铸造有限公司签订合同，通过招投标情况决定委托处置单位。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90" w:type="dxa"/>
                  <w:vAlign w:val="center"/>
                </w:tcPr>
                <w:p>
                  <w:pPr>
                    <w:pStyle w:val="30"/>
                    <w:spacing w:line="360" w:lineRule="exact"/>
                    <w:rPr>
                      <w:color w:val="auto"/>
                      <w:szCs w:val="21"/>
                    </w:rPr>
                  </w:pPr>
                  <w:r>
                    <w:rPr>
                      <w:color w:val="auto"/>
                      <w:szCs w:val="21"/>
                    </w:rPr>
                    <w:t>4</w:t>
                  </w:r>
                </w:p>
              </w:tc>
              <w:tc>
                <w:tcPr>
                  <w:tcW w:w="910" w:type="dxa"/>
                  <w:vAlign w:val="center"/>
                </w:tcPr>
                <w:p>
                  <w:pPr>
                    <w:pStyle w:val="30"/>
                    <w:spacing w:line="360" w:lineRule="exact"/>
                    <w:rPr>
                      <w:color w:val="auto"/>
                      <w:szCs w:val="21"/>
                    </w:rPr>
                  </w:pPr>
                  <w:r>
                    <w:rPr>
                      <w:color w:val="auto"/>
                      <w:szCs w:val="21"/>
                    </w:rPr>
                    <w:t>废玻璃</w:t>
                  </w:r>
                </w:p>
              </w:tc>
              <w:tc>
                <w:tcPr>
                  <w:tcW w:w="1134" w:type="dxa"/>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1936.72</w:t>
                  </w:r>
                </w:p>
              </w:tc>
              <w:tc>
                <w:tcPr>
                  <w:tcW w:w="1134" w:type="dxa"/>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4281.98</w:t>
                  </w:r>
                </w:p>
              </w:tc>
              <w:tc>
                <w:tcPr>
                  <w:tcW w:w="1134" w:type="dxa"/>
                  <w:vAlign w:val="center"/>
                </w:tcPr>
                <w:p>
                  <w:pPr>
                    <w:pStyle w:val="30"/>
                    <w:spacing w:line="360" w:lineRule="exact"/>
                    <w:rPr>
                      <w:color w:val="auto"/>
                      <w:szCs w:val="21"/>
                    </w:rPr>
                  </w:pPr>
                  <w:r>
                    <w:rPr>
                      <w:color w:val="auto"/>
                      <w:szCs w:val="21"/>
                    </w:rPr>
                    <w:t>一般工业固体废物</w:t>
                  </w:r>
                </w:p>
              </w:tc>
              <w:tc>
                <w:tcPr>
                  <w:tcW w:w="1276" w:type="dxa"/>
                  <w:tcBorders>
                    <w:right w:val="single" w:color="auto" w:sz="4" w:space="0"/>
                  </w:tcBorders>
                  <w:vAlign w:val="center"/>
                </w:tcPr>
                <w:p>
                  <w:pPr>
                    <w:pStyle w:val="30"/>
                    <w:spacing w:line="360" w:lineRule="exact"/>
                    <w:ind w:firstLine="210" w:firstLineChars="100"/>
                    <w:jc w:val="left"/>
                    <w:rPr>
                      <w:color w:val="auto"/>
                      <w:szCs w:val="21"/>
                    </w:rPr>
                  </w:pPr>
                  <w:r>
                    <w:rPr>
                      <w:color w:val="auto"/>
                      <w:szCs w:val="21"/>
                    </w:rPr>
                    <w:t>暂存于废玻璃暂存区</w:t>
                  </w:r>
                </w:p>
              </w:tc>
              <w:tc>
                <w:tcPr>
                  <w:tcW w:w="2866" w:type="dxa"/>
                  <w:tcBorders>
                    <w:left w:val="single" w:color="auto" w:sz="4" w:space="0"/>
                  </w:tcBorders>
                  <w:vAlign w:val="center"/>
                </w:tcPr>
                <w:p>
                  <w:pPr>
                    <w:pStyle w:val="30"/>
                    <w:spacing w:line="360" w:lineRule="exact"/>
                    <w:ind w:firstLine="210" w:firstLineChars="100"/>
                    <w:jc w:val="left"/>
                    <w:rPr>
                      <w:color w:val="auto"/>
                      <w:szCs w:val="21"/>
                    </w:rPr>
                  </w:pPr>
                  <w:r>
                    <w:rPr>
                      <w:color w:val="auto"/>
                    </w:rPr>
                    <w:t>已和泸州永恒玻璃有限公司、四川省泸州市海纳环保科技有限公司、四川吉晶安新材料科技有限公司签订合同，通过招投标情况决定委托处置单位。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90" w:type="dxa"/>
                  <w:vAlign w:val="center"/>
                </w:tcPr>
                <w:p>
                  <w:pPr>
                    <w:pStyle w:val="30"/>
                    <w:spacing w:line="360" w:lineRule="exact"/>
                    <w:rPr>
                      <w:color w:val="auto"/>
                      <w:szCs w:val="21"/>
                    </w:rPr>
                  </w:pPr>
                  <w:r>
                    <w:rPr>
                      <w:color w:val="auto"/>
                      <w:szCs w:val="21"/>
                    </w:rPr>
                    <w:t>5</w:t>
                  </w:r>
                </w:p>
              </w:tc>
              <w:tc>
                <w:tcPr>
                  <w:tcW w:w="910" w:type="dxa"/>
                  <w:vAlign w:val="center"/>
                </w:tcPr>
                <w:p>
                  <w:pPr>
                    <w:pStyle w:val="30"/>
                    <w:spacing w:line="360" w:lineRule="exact"/>
                    <w:rPr>
                      <w:color w:val="auto"/>
                      <w:szCs w:val="21"/>
                    </w:rPr>
                  </w:pPr>
                  <w:r>
                    <w:rPr>
                      <w:color w:val="auto"/>
                      <w:szCs w:val="21"/>
                    </w:rPr>
                    <w:t>泡棉</w:t>
                  </w:r>
                </w:p>
              </w:tc>
              <w:tc>
                <w:tcPr>
                  <w:tcW w:w="1134" w:type="dxa"/>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787.78</w:t>
                  </w:r>
                </w:p>
              </w:tc>
              <w:tc>
                <w:tcPr>
                  <w:tcW w:w="1134" w:type="dxa"/>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2625.92</w:t>
                  </w:r>
                </w:p>
              </w:tc>
              <w:tc>
                <w:tcPr>
                  <w:tcW w:w="1134" w:type="dxa"/>
                  <w:vAlign w:val="center"/>
                </w:tcPr>
                <w:p>
                  <w:pPr>
                    <w:pStyle w:val="30"/>
                    <w:spacing w:line="360" w:lineRule="exact"/>
                    <w:rPr>
                      <w:color w:val="auto"/>
                      <w:szCs w:val="21"/>
                    </w:rPr>
                  </w:pPr>
                  <w:r>
                    <w:rPr>
                      <w:color w:val="auto"/>
                      <w:szCs w:val="21"/>
                    </w:rPr>
                    <w:t>一般工业固体废物</w:t>
                  </w:r>
                </w:p>
              </w:tc>
              <w:tc>
                <w:tcPr>
                  <w:tcW w:w="1276" w:type="dxa"/>
                  <w:tcBorders>
                    <w:right w:val="single" w:color="auto" w:sz="4" w:space="0"/>
                  </w:tcBorders>
                  <w:vAlign w:val="center"/>
                </w:tcPr>
                <w:p>
                  <w:pPr>
                    <w:pStyle w:val="30"/>
                    <w:spacing w:line="360" w:lineRule="exact"/>
                    <w:ind w:firstLine="210" w:firstLineChars="100"/>
                    <w:jc w:val="left"/>
                    <w:rPr>
                      <w:color w:val="auto"/>
                      <w:szCs w:val="21"/>
                    </w:rPr>
                  </w:pPr>
                  <w:r>
                    <w:rPr>
                      <w:color w:val="auto"/>
                      <w:szCs w:val="21"/>
                    </w:rPr>
                    <w:t>暂存于仓储区</w:t>
                  </w:r>
                </w:p>
              </w:tc>
              <w:tc>
                <w:tcPr>
                  <w:tcW w:w="2866" w:type="dxa"/>
                  <w:tcBorders>
                    <w:left w:val="single" w:color="auto" w:sz="4" w:space="0"/>
                  </w:tcBorders>
                  <w:vAlign w:val="center"/>
                </w:tcPr>
                <w:p>
                  <w:pPr>
                    <w:pStyle w:val="30"/>
                    <w:spacing w:line="360" w:lineRule="exact"/>
                    <w:ind w:firstLine="210" w:firstLineChars="100"/>
                    <w:jc w:val="left"/>
                    <w:rPr>
                      <w:color w:val="auto"/>
                      <w:szCs w:val="21"/>
                    </w:rPr>
                  </w:pPr>
                  <w:r>
                    <w:rPr>
                      <w:color w:val="auto"/>
                      <w:szCs w:val="21"/>
                    </w:rPr>
                    <w:t>委托昆明涌诺保洁服务有限公司处置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90" w:type="dxa"/>
                  <w:vAlign w:val="center"/>
                </w:tcPr>
                <w:p>
                  <w:pPr>
                    <w:pStyle w:val="30"/>
                    <w:spacing w:line="360" w:lineRule="exact"/>
                    <w:rPr>
                      <w:color w:val="auto"/>
                      <w:szCs w:val="21"/>
                    </w:rPr>
                  </w:pPr>
                  <w:r>
                    <w:rPr>
                      <w:color w:val="auto"/>
                      <w:szCs w:val="21"/>
                    </w:rPr>
                    <w:t>6</w:t>
                  </w:r>
                </w:p>
              </w:tc>
              <w:tc>
                <w:tcPr>
                  <w:tcW w:w="910" w:type="dxa"/>
                  <w:vAlign w:val="center"/>
                </w:tcPr>
                <w:p>
                  <w:pPr>
                    <w:pStyle w:val="30"/>
                    <w:spacing w:line="360" w:lineRule="exact"/>
                    <w:rPr>
                      <w:color w:val="auto"/>
                      <w:szCs w:val="21"/>
                    </w:rPr>
                  </w:pPr>
                  <w:r>
                    <w:rPr>
                      <w:color w:val="auto"/>
                      <w:szCs w:val="21"/>
                    </w:rPr>
                    <w:t>废电子配件（开关、电容、电源线等）</w:t>
                  </w:r>
                </w:p>
              </w:tc>
              <w:tc>
                <w:tcPr>
                  <w:tcW w:w="1134" w:type="dxa"/>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315.322</w:t>
                  </w:r>
                </w:p>
              </w:tc>
              <w:tc>
                <w:tcPr>
                  <w:tcW w:w="1134" w:type="dxa"/>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658.39</w:t>
                  </w:r>
                </w:p>
              </w:tc>
              <w:tc>
                <w:tcPr>
                  <w:tcW w:w="1134" w:type="dxa"/>
                  <w:vAlign w:val="center"/>
                </w:tcPr>
                <w:p>
                  <w:pPr>
                    <w:pStyle w:val="30"/>
                    <w:spacing w:line="360" w:lineRule="exact"/>
                    <w:rPr>
                      <w:color w:val="auto"/>
                      <w:szCs w:val="21"/>
                    </w:rPr>
                  </w:pPr>
                  <w:r>
                    <w:rPr>
                      <w:color w:val="auto"/>
                      <w:szCs w:val="21"/>
                    </w:rPr>
                    <w:t>一般工业固体废物</w:t>
                  </w:r>
                </w:p>
              </w:tc>
              <w:tc>
                <w:tcPr>
                  <w:tcW w:w="1276" w:type="dxa"/>
                  <w:tcBorders>
                    <w:right w:val="single" w:color="auto" w:sz="4" w:space="0"/>
                  </w:tcBorders>
                  <w:vAlign w:val="center"/>
                </w:tcPr>
                <w:p>
                  <w:pPr>
                    <w:pStyle w:val="30"/>
                    <w:spacing w:line="360" w:lineRule="exact"/>
                    <w:ind w:firstLine="210" w:firstLineChars="100"/>
                    <w:jc w:val="left"/>
                    <w:rPr>
                      <w:color w:val="auto"/>
                      <w:szCs w:val="21"/>
                    </w:rPr>
                  </w:pPr>
                  <w:r>
                    <w:rPr>
                      <w:color w:val="auto"/>
                      <w:szCs w:val="21"/>
                    </w:rPr>
                    <w:t>暂存于仓储区</w:t>
                  </w:r>
                </w:p>
              </w:tc>
              <w:tc>
                <w:tcPr>
                  <w:tcW w:w="2866" w:type="dxa"/>
                  <w:tcBorders>
                    <w:left w:val="single" w:color="auto" w:sz="4" w:space="0"/>
                  </w:tcBorders>
                  <w:vAlign w:val="center"/>
                </w:tcPr>
                <w:p>
                  <w:pPr>
                    <w:pStyle w:val="30"/>
                    <w:spacing w:line="360" w:lineRule="exact"/>
                    <w:ind w:firstLine="210" w:firstLineChars="100"/>
                    <w:jc w:val="left"/>
                    <w:rPr>
                      <w:color w:val="auto"/>
                      <w:szCs w:val="21"/>
                    </w:rPr>
                  </w:pPr>
                  <w:r>
                    <w:rPr>
                      <w:color w:val="auto"/>
                    </w:rPr>
                    <w:t>已和北京国浩贸易有限公司、河南京飞再生资源有限公司签订合同，通过招投标情况决定委托处置单位。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90" w:type="dxa"/>
                  <w:vAlign w:val="center"/>
                </w:tcPr>
                <w:p>
                  <w:pPr>
                    <w:pStyle w:val="30"/>
                    <w:spacing w:line="360" w:lineRule="exact"/>
                    <w:rPr>
                      <w:color w:val="auto"/>
                      <w:szCs w:val="21"/>
                    </w:rPr>
                  </w:pPr>
                  <w:r>
                    <w:rPr>
                      <w:color w:val="auto"/>
                      <w:szCs w:val="21"/>
                    </w:rPr>
                    <w:t>7</w:t>
                  </w:r>
                </w:p>
              </w:tc>
              <w:tc>
                <w:tcPr>
                  <w:tcW w:w="910" w:type="dxa"/>
                  <w:vAlign w:val="center"/>
                </w:tcPr>
                <w:p>
                  <w:pPr>
                    <w:pStyle w:val="30"/>
                    <w:spacing w:line="360" w:lineRule="exact"/>
                    <w:rPr>
                      <w:color w:val="auto"/>
                      <w:szCs w:val="21"/>
                    </w:rPr>
                  </w:pPr>
                  <w:r>
                    <w:rPr>
                      <w:color w:val="auto"/>
                      <w:szCs w:val="21"/>
                    </w:rPr>
                    <w:t>废矿物油</w:t>
                  </w:r>
                </w:p>
              </w:tc>
              <w:tc>
                <w:tcPr>
                  <w:tcW w:w="1134" w:type="dxa"/>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8.09</w:t>
                  </w:r>
                </w:p>
              </w:tc>
              <w:tc>
                <w:tcPr>
                  <w:tcW w:w="1134" w:type="dxa"/>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27.41</w:t>
                  </w:r>
                </w:p>
              </w:tc>
              <w:tc>
                <w:tcPr>
                  <w:tcW w:w="1134" w:type="dxa"/>
                  <w:vAlign w:val="center"/>
                </w:tcPr>
                <w:p>
                  <w:pPr>
                    <w:pStyle w:val="30"/>
                    <w:spacing w:line="360" w:lineRule="exact"/>
                    <w:rPr>
                      <w:color w:val="auto"/>
                      <w:szCs w:val="21"/>
                    </w:rPr>
                  </w:pPr>
                  <w:r>
                    <w:rPr>
                      <w:color w:val="auto"/>
                      <w:szCs w:val="21"/>
                    </w:rPr>
                    <w:t>危险废物（危废代码：900-219-08）</w:t>
                  </w:r>
                </w:p>
              </w:tc>
              <w:tc>
                <w:tcPr>
                  <w:tcW w:w="1276" w:type="dxa"/>
                  <w:tcBorders>
                    <w:right w:val="single" w:color="auto" w:sz="4" w:space="0"/>
                  </w:tcBorders>
                  <w:vAlign w:val="center"/>
                </w:tcPr>
                <w:p>
                  <w:pPr>
                    <w:pStyle w:val="30"/>
                    <w:spacing w:line="360" w:lineRule="exact"/>
                    <w:ind w:firstLine="210" w:firstLineChars="100"/>
                    <w:jc w:val="left"/>
                    <w:rPr>
                      <w:color w:val="auto"/>
                      <w:szCs w:val="21"/>
                    </w:rPr>
                  </w:pPr>
                  <w:r>
                    <w:rPr>
                      <w:color w:val="auto"/>
                      <w:szCs w:val="21"/>
                    </w:rPr>
                    <w:t>暂存于2#危险废物贮存间</w:t>
                  </w:r>
                </w:p>
              </w:tc>
              <w:tc>
                <w:tcPr>
                  <w:tcW w:w="2866" w:type="dxa"/>
                  <w:tcBorders>
                    <w:left w:val="single" w:color="auto" w:sz="4" w:space="0"/>
                  </w:tcBorders>
                  <w:vAlign w:val="center"/>
                </w:tcPr>
                <w:p>
                  <w:pPr>
                    <w:pStyle w:val="30"/>
                    <w:spacing w:line="360" w:lineRule="exact"/>
                    <w:ind w:firstLine="210" w:firstLineChars="100"/>
                    <w:jc w:val="left"/>
                    <w:rPr>
                      <w:color w:val="auto"/>
                      <w:szCs w:val="21"/>
                    </w:rPr>
                  </w:pPr>
                  <w:r>
                    <w:rPr>
                      <w:color w:val="auto"/>
                      <w:szCs w:val="21"/>
                    </w:rPr>
                    <w:t>委托</w:t>
                  </w:r>
                  <w:r>
                    <w:rPr>
                      <w:color w:val="auto"/>
                    </w:rPr>
                    <w:t>云南圣邦科技有限公司</w:t>
                  </w:r>
                  <w:r>
                    <w:rPr>
                      <w:color w:val="auto"/>
                      <w:szCs w:val="21"/>
                    </w:rPr>
                    <w:t>处置。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90" w:type="dxa"/>
                  <w:vAlign w:val="center"/>
                </w:tcPr>
                <w:p>
                  <w:pPr>
                    <w:pStyle w:val="30"/>
                    <w:spacing w:line="360" w:lineRule="exact"/>
                    <w:rPr>
                      <w:color w:val="auto"/>
                      <w:szCs w:val="21"/>
                    </w:rPr>
                  </w:pPr>
                  <w:r>
                    <w:rPr>
                      <w:color w:val="auto"/>
                      <w:szCs w:val="21"/>
                    </w:rPr>
                    <w:t>8</w:t>
                  </w:r>
                </w:p>
              </w:tc>
              <w:tc>
                <w:tcPr>
                  <w:tcW w:w="910" w:type="dxa"/>
                  <w:vAlign w:val="center"/>
                </w:tcPr>
                <w:p>
                  <w:pPr>
                    <w:pStyle w:val="30"/>
                    <w:spacing w:line="360" w:lineRule="exact"/>
                    <w:rPr>
                      <w:color w:val="auto"/>
                      <w:szCs w:val="21"/>
                    </w:rPr>
                  </w:pPr>
                  <w:r>
                    <w:rPr>
                      <w:color w:val="auto"/>
                      <w:szCs w:val="21"/>
                    </w:rPr>
                    <w:t>废电路板</w:t>
                  </w:r>
                </w:p>
              </w:tc>
              <w:tc>
                <w:tcPr>
                  <w:tcW w:w="1134" w:type="dxa"/>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232.59</w:t>
                  </w:r>
                </w:p>
              </w:tc>
              <w:tc>
                <w:tcPr>
                  <w:tcW w:w="1134" w:type="dxa"/>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394.72</w:t>
                  </w:r>
                </w:p>
              </w:tc>
              <w:tc>
                <w:tcPr>
                  <w:tcW w:w="1134" w:type="dxa"/>
                  <w:vAlign w:val="center"/>
                </w:tcPr>
                <w:p>
                  <w:pPr>
                    <w:pStyle w:val="30"/>
                    <w:spacing w:line="360" w:lineRule="exact"/>
                    <w:rPr>
                      <w:color w:val="auto"/>
                      <w:szCs w:val="21"/>
                    </w:rPr>
                  </w:pPr>
                  <w:r>
                    <w:rPr>
                      <w:color w:val="auto"/>
                      <w:szCs w:val="21"/>
                    </w:rPr>
                    <w:t>危险废物（危废代码：900-045-49）</w:t>
                  </w:r>
                </w:p>
              </w:tc>
              <w:tc>
                <w:tcPr>
                  <w:tcW w:w="1276" w:type="dxa"/>
                  <w:tcBorders>
                    <w:right w:val="single" w:color="auto" w:sz="4" w:space="0"/>
                  </w:tcBorders>
                  <w:vAlign w:val="center"/>
                </w:tcPr>
                <w:p>
                  <w:pPr>
                    <w:pStyle w:val="30"/>
                    <w:spacing w:line="360" w:lineRule="exact"/>
                    <w:ind w:firstLine="210" w:firstLineChars="100"/>
                    <w:jc w:val="left"/>
                    <w:rPr>
                      <w:color w:val="auto"/>
                      <w:szCs w:val="21"/>
                    </w:rPr>
                  </w:pPr>
                  <w:r>
                    <w:rPr>
                      <w:color w:val="auto"/>
                      <w:szCs w:val="21"/>
                    </w:rPr>
                    <w:t>暂存于废电路板贮存区</w:t>
                  </w:r>
                </w:p>
              </w:tc>
              <w:tc>
                <w:tcPr>
                  <w:tcW w:w="2866" w:type="dxa"/>
                  <w:tcBorders>
                    <w:left w:val="single" w:color="auto" w:sz="4" w:space="0"/>
                  </w:tcBorders>
                  <w:vAlign w:val="center"/>
                </w:tcPr>
                <w:p>
                  <w:pPr>
                    <w:pStyle w:val="30"/>
                    <w:spacing w:line="360" w:lineRule="exact"/>
                    <w:ind w:firstLine="210" w:firstLineChars="100"/>
                    <w:jc w:val="left"/>
                    <w:rPr>
                      <w:color w:val="auto"/>
                      <w:szCs w:val="21"/>
                    </w:rPr>
                  </w:pPr>
                  <w:r>
                    <w:rPr>
                      <w:color w:val="auto"/>
                      <w:szCs w:val="21"/>
                    </w:rPr>
                    <w:t>委托</w:t>
                  </w:r>
                  <w:r>
                    <w:rPr>
                      <w:color w:val="auto"/>
                    </w:rPr>
                    <w:t>贵州鸿鹄环保实业有限公司</w:t>
                  </w:r>
                  <w:r>
                    <w:rPr>
                      <w:color w:val="auto"/>
                      <w:szCs w:val="21"/>
                    </w:rPr>
                    <w:t>处置。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90" w:type="dxa"/>
                  <w:vAlign w:val="center"/>
                </w:tcPr>
                <w:p>
                  <w:pPr>
                    <w:pStyle w:val="30"/>
                    <w:spacing w:line="360" w:lineRule="exact"/>
                    <w:rPr>
                      <w:color w:val="auto"/>
                      <w:szCs w:val="21"/>
                    </w:rPr>
                  </w:pPr>
                  <w:r>
                    <w:rPr>
                      <w:color w:val="auto"/>
                      <w:szCs w:val="21"/>
                    </w:rPr>
                    <w:t>9</w:t>
                  </w:r>
                </w:p>
              </w:tc>
              <w:tc>
                <w:tcPr>
                  <w:tcW w:w="910" w:type="dxa"/>
                  <w:vAlign w:val="center"/>
                </w:tcPr>
                <w:p>
                  <w:pPr>
                    <w:pStyle w:val="30"/>
                    <w:spacing w:line="360" w:lineRule="exact"/>
                    <w:rPr>
                      <w:color w:val="auto"/>
                      <w:szCs w:val="21"/>
                    </w:rPr>
                  </w:pPr>
                  <w:r>
                    <w:rPr>
                      <w:color w:val="auto"/>
                      <w:szCs w:val="21"/>
                    </w:rPr>
                    <w:t>含汞灯管</w:t>
                  </w:r>
                </w:p>
              </w:tc>
              <w:tc>
                <w:tcPr>
                  <w:tcW w:w="1134" w:type="dxa"/>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0.02</w:t>
                  </w:r>
                </w:p>
              </w:tc>
              <w:tc>
                <w:tcPr>
                  <w:tcW w:w="1134" w:type="dxa"/>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11.77</w:t>
                  </w:r>
                </w:p>
              </w:tc>
              <w:tc>
                <w:tcPr>
                  <w:tcW w:w="1134" w:type="dxa"/>
                  <w:vAlign w:val="center"/>
                </w:tcPr>
                <w:p>
                  <w:pPr>
                    <w:pStyle w:val="30"/>
                    <w:spacing w:line="360" w:lineRule="exact"/>
                    <w:rPr>
                      <w:color w:val="auto"/>
                      <w:szCs w:val="21"/>
                    </w:rPr>
                  </w:pPr>
                  <w:r>
                    <w:rPr>
                      <w:color w:val="auto"/>
                      <w:szCs w:val="21"/>
                    </w:rPr>
                    <w:t>危险废物（危废代码：900-023-29）</w:t>
                  </w:r>
                </w:p>
              </w:tc>
              <w:tc>
                <w:tcPr>
                  <w:tcW w:w="1276" w:type="dxa"/>
                  <w:tcBorders>
                    <w:right w:val="single" w:color="auto" w:sz="4" w:space="0"/>
                  </w:tcBorders>
                  <w:vAlign w:val="center"/>
                </w:tcPr>
                <w:p>
                  <w:pPr>
                    <w:pStyle w:val="30"/>
                    <w:spacing w:line="360" w:lineRule="exact"/>
                    <w:ind w:firstLine="210" w:firstLineChars="100"/>
                    <w:jc w:val="left"/>
                    <w:rPr>
                      <w:color w:val="auto"/>
                      <w:szCs w:val="21"/>
                    </w:rPr>
                  </w:pPr>
                  <w:r>
                    <w:rPr>
                      <w:color w:val="auto"/>
                      <w:szCs w:val="21"/>
                    </w:rPr>
                    <w:t>暂存于1#危险废物贮存间</w:t>
                  </w:r>
                </w:p>
              </w:tc>
              <w:tc>
                <w:tcPr>
                  <w:tcW w:w="2866" w:type="dxa"/>
                  <w:tcBorders>
                    <w:left w:val="single" w:color="auto" w:sz="4" w:space="0"/>
                  </w:tcBorders>
                  <w:vAlign w:val="center"/>
                </w:tcPr>
                <w:p>
                  <w:pPr>
                    <w:pStyle w:val="30"/>
                    <w:spacing w:line="360" w:lineRule="exact"/>
                    <w:ind w:firstLine="210" w:firstLineChars="100"/>
                    <w:jc w:val="left"/>
                    <w:rPr>
                      <w:color w:val="auto"/>
                      <w:szCs w:val="21"/>
                    </w:rPr>
                  </w:pPr>
                  <w:r>
                    <w:rPr>
                      <w:color w:val="auto"/>
                      <w:szCs w:val="21"/>
                    </w:rPr>
                    <w:t>委托陕西安信显像管循环处理应用有限公司处置。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90" w:type="dxa"/>
                  <w:vAlign w:val="center"/>
                </w:tcPr>
                <w:p>
                  <w:pPr>
                    <w:pStyle w:val="30"/>
                    <w:spacing w:line="360" w:lineRule="exact"/>
                    <w:rPr>
                      <w:color w:val="auto"/>
                      <w:szCs w:val="21"/>
                    </w:rPr>
                  </w:pPr>
                  <w:r>
                    <w:rPr>
                      <w:color w:val="auto"/>
                      <w:szCs w:val="21"/>
                    </w:rPr>
                    <w:t>10</w:t>
                  </w:r>
                </w:p>
              </w:tc>
              <w:tc>
                <w:tcPr>
                  <w:tcW w:w="910" w:type="dxa"/>
                  <w:vAlign w:val="center"/>
                </w:tcPr>
                <w:p>
                  <w:pPr>
                    <w:pStyle w:val="30"/>
                    <w:spacing w:line="360" w:lineRule="exact"/>
                    <w:rPr>
                      <w:color w:val="auto"/>
                      <w:szCs w:val="21"/>
                    </w:rPr>
                  </w:pPr>
                  <w:r>
                    <w:rPr>
                      <w:color w:val="auto"/>
                      <w:szCs w:val="21"/>
                    </w:rPr>
                    <w:t>制冷剂</w:t>
                  </w:r>
                </w:p>
              </w:tc>
              <w:tc>
                <w:tcPr>
                  <w:tcW w:w="1134" w:type="dxa"/>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0.35</w:t>
                  </w:r>
                </w:p>
              </w:tc>
              <w:tc>
                <w:tcPr>
                  <w:tcW w:w="1134" w:type="dxa"/>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2.49</w:t>
                  </w:r>
                </w:p>
              </w:tc>
              <w:tc>
                <w:tcPr>
                  <w:tcW w:w="1134" w:type="dxa"/>
                  <w:vAlign w:val="center"/>
                </w:tcPr>
                <w:p>
                  <w:pPr>
                    <w:pStyle w:val="30"/>
                    <w:spacing w:line="360" w:lineRule="exact"/>
                    <w:rPr>
                      <w:color w:val="auto"/>
                      <w:szCs w:val="21"/>
                    </w:rPr>
                  </w:pPr>
                  <w:r>
                    <w:rPr>
                      <w:color w:val="auto"/>
                      <w:szCs w:val="21"/>
                    </w:rPr>
                    <w:t>一般工业固体废物</w:t>
                  </w:r>
                </w:p>
              </w:tc>
              <w:tc>
                <w:tcPr>
                  <w:tcW w:w="1276" w:type="dxa"/>
                  <w:tcBorders>
                    <w:right w:val="single" w:color="auto" w:sz="4" w:space="0"/>
                  </w:tcBorders>
                  <w:vAlign w:val="center"/>
                </w:tcPr>
                <w:p>
                  <w:pPr>
                    <w:pStyle w:val="30"/>
                    <w:spacing w:line="360" w:lineRule="exact"/>
                    <w:ind w:firstLine="210" w:firstLineChars="100"/>
                    <w:jc w:val="left"/>
                    <w:rPr>
                      <w:color w:val="auto"/>
                      <w:szCs w:val="21"/>
                    </w:rPr>
                  </w:pPr>
                  <w:r>
                    <w:rPr>
                      <w:color w:val="auto"/>
                      <w:szCs w:val="21"/>
                    </w:rPr>
                    <w:t>暂存于4危险废物贮存间</w:t>
                  </w:r>
                </w:p>
              </w:tc>
              <w:tc>
                <w:tcPr>
                  <w:tcW w:w="2866" w:type="dxa"/>
                  <w:tcBorders>
                    <w:left w:val="single" w:color="auto" w:sz="4" w:space="0"/>
                  </w:tcBorders>
                  <w:vAlign w:val="center"/>
                </w:tcPr>
                <w:p>
                  <w:pPr>
                    <w:pStyle w:val="30"/>
                    <w:spacing w:line="360" w:lineRule="exact"/>
                    <w:ind w:firstLine="210" w:firstLineChars="100"/>
                    <w:jc w:val="left"/>
                    <w:rPr>
                      <w:color w:val="auto"/>
                      <w:szCs w:val="21"/>
                    </w:rPr>
                  </w:pPr>
                  <w:r>
                    <w:rPr>
                      <w:color w:val="auto"/>
                      <w:szCs w:val="21"/>
                    </w:rPr>
                    <w:t>委托天津澳宏环保材料有限公司处置。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90" w:type="dxa"/>
                  <w:vAlign w:val="center"/>
                </w:tcPr>
                <w:p>
                  <w:pPr>
                    <w:pStyle w:val="30"/>
                    <w:spacing w:line="360" w:lineRule="exact"/>
                    <w:rPr>
                      <w:color w:val="auto"/>
                      <w:szCs w:val="21"/>
                    </w:rPr>
                  </w:pPr>
                  <w:r>
                    <w:rPr>
                      <w:color w:val="auto"/>
                      <w:szCs w:val="21"/>
                    </w:rPr>
                    <w:t>11</w:t>
                  </w:r>
                </w:p>
              </w:tc>
              <w:tc>
                <w:tcPr>
                  <w:tcW w:w="910" w:type="dxa"/>
                  <w:vAlign w:val="center"/>
                </w:tcPr>
                <w:p>
                  <w:pPr>
                    <w:pStyle w:val="30"/>
                    <w:spacing w:line="360" w:lineRule="exact"/>
                    <w:rPr>
                      <w:color w:val="auto"/>
                      <w:szCs w:val="21"/>
                    </w:rPr>
                  </w:pPr>
                  <w:r>
                    <w:rPr>
                      <w:color w:val="auto"/>
                      <w:szCs w:val="21"/>
                    </w:rPr>
                    <w:t>背光模组</w:t>
                  </w:r>
                </w:p>
              </w:tc>
              <w:tc>
                <w:tcPr>
                  <w:tcW w:w="1134" w:type="dxa"/>
                  <w:vAlign w:val="center"/>
                </w:tcPr>
                <w:p>
                  <w:pPr>
                    <w:pStyle w:val="30"/>
                    <w:spacing w:line="360" w:lineRule="exact"/>
                    <w:rPr>
                      <w:color w:val="auto"/>
                      <w:szCs w:val="21"/>
                    </w:rPr>
                  </w:pPr>
                  <w:r>
                    <w:rPr>
                      <w:color w:val="auto"/>
                      <w:szCs w:val="21"/>
                    </w:rPr>
                    <w:t>1.55</w:t>
                  </w:r>
                </w:p>
              </w:tc>
              <w:tc>
                <w:tcPr>
                  <w:tcW w:w="1134" w:type="dxa"/>
                  <w:vAlign w:val="center"/>
                </w:tcPr>
                <w:p>
                  <w:pPr>
                    <w:pStyle w:val="30"/>
                    <w:spacing w:line="360" w:lineRule="exact"/>
                    <w:rPr>
                      <w:color w:val="auto"/>
                      <w:szCs w:val="21"/>
                    </w:rPr>
                  </w:pPr>
                  <w:r>
                    <w:rPr>
                      <w:color w:val="auto"/>
                      <w:szCs w:val="21"/>
                    </w:rPr>
                    <w:t>15.52</w:t>
                  </w:r>
                </w:p>
              </w:tc>
              <w:tc>
                <w:tcPr>
                  <w:tcW w:w="1134" w:type="dxa"/>
                  <w:vAlign w:val="center"/>
                </w:tcPr>
                <w:p>
                  <w:pPr>
                    <w:pStyle w:val="30"/>
                    <w:spacing w:line="360" w:lineRule="exact"/>
                    <w:rPr>
                      <w:color w:val="auto"/>
                      <w:szCs w:val="21"/>
                    </w:rPr>
                  </w:pPr>
                  <w:r>
                    <w:rPr>
                      <w:color w:val="auto"/>
                      <w:szCs w:val="21"/>
                    </w:rPr>
                    <w:t>危险废物（危废代码：900-023-29）</w:t>
                  </w:r>
                </w:p>
              </w:tc>
              <w:tc>
                <w:tcPr>
                  <w:tcW w:w="1276" w:type="dxa"/>
                  <w:tcBorders>
                    <w:right w:val="single" w:color="auto" w:sz="4" w:space="0"/>
                  </w:tcBorders>
                  <w:vAlign w:val="center"/>
                </w:tcPr>
                <w:p>
                  <w:pPr>
                    <w:pStyle w:val="30"/>
                    <w:spacing w:line="360" w:lineRule="exact"/>
                    <w:ind w:firstLine="210" w:firstLineChars="100"/>
                    <w:jc w:val="left"/>
                    <w:rPr>
                      <w:color w:val="auto"/>
                      <w:szCs w:val="21"/>
                    </w:rPr>
                  </w:pPr>
                  <w:r>
                    <w:rPr>
                      <w:color w:val="auto"/>
                      <w:szCs w:val="21"/>
                    </w:rPr>
                    <w:t>暂存于1#危险废物贮存间</w:t>
                  </w:r>
                </w:p>
              </w:tc>
              <w:tc>
                <w:tcPr>
                  <w:tcW w:w="2866" w:type="dxa"/>
                  <w:tcBorders>
                    <w:left w:val="single" w:color="auto" w:sz="4" w:space="0"/>
                  </w:tcBorders>
                  <w:vAlign w:val="center"/>
                </w:tcPr>
                <w:p>
                  <w:pPr>
                    <w:pStyle w:val="30"/>
                    <w:spacing w:line="360" w:lineRule="exact"/>
                    <w:ind w:firstLine="210" w:firstLineChars="100"/>
                    <w:jc w:val="left"/>
                    <w:rPr>
                      <w:color w:val="auto"/>
                      <w:szCs w:val="21"/>
                    </w:rPr>
                  </w:pPr>
                  <w:r>
                    <w:rPr>
                      <w:color w:val="auto"/>
                      <w:szCs w:val="21"/>
                    </w:rPr>
                    <w:t>委托陕西安信显像管循环处理应用有限公司处置。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90" w:type="dxa"/>
                  <w:vAlign w:val="center"/>
                </w:tcPr>
                <w:p>
                  <w:pPr>
                    <w:pStyle w:val="30"/>
                    <w:spacing w:line="360" w:lineRule="exact"/>
                    <w:rPr>
                      <w:color w:val="auto"/>
                      <w:szCs w:val="21"/>
                    </w:rPr>
                  </w:pPr>
                  <w:r>
                    <w:rPr>
                      <w:color w:val="auto"/>
                      <w:szCs w:val="21"/>
                    </w:rPr>
                    <w:t>12</w:t>
                  </w:r>
                </w:p>
              </w:tc>
              <w:tc>
                <w:tcPr>
                  <w:tcW w:w="910" w:type="dxa"/>
                  <w:vAlign w:val="center"/>
                </w:tcPr>
                <w:p>
                  <w:pPr>
                    <w:pStyle w:val="30"/>
                    <w:spacing w:line="360" w:lineRule="exact"/>
                    <w:rPr>
                      <w:color w:val="auto"/>
                      <w:szCs w:val="21"/>
                    </w:rPr>
                  </w:pPr>
                  <w:r>
                    <w:rPr>
                      <w:color w:val="auto"/>
                      <w:szCs w:val="21"/>
                    </w:rPr>
                    <w:t>废弃的阴极射线管（锥玻璃）</w:t>
                  </w:r>
                </w:p>
              </w:tc>
              <w:tc>
                <w:tcPr>
                  <w:tcW w:w="1134" w:type="dxa"/>
                  <w:vAlign w:val="center"/>
                </w:tcPr>
                <w:p>
                  <w:pPr>
                    <w:pStyle w:val="30"/>
                    <w:spacing w:line="360" w:lineRule="exact"/>
                    <w:rPr>
                      <w:color w:val="auto"/>
                      <w:szCs w:val="21"/>
                    </w:rPr>
                  </w:pPr>
                  <w:r>
                    <w:rPr>
                      <w:color w:val="auto"/>
                      <w:szCs w:val="21"/>
                    </w:rPr>
                    <w:t>1980</w:t>
                  </w:r>
                </w:p>
              </w:tc>
              <w:tc>
                <w:tcPr>
                  <w:tcW w:w="1134" w:type="dxa"/>
                  <w:vAlign w:val="center"/>
                </w:tcPr>
                <w:p>
                  <w:pPr>
                    <w:pStyle w:val="30"/>
                    <w:spacing w:line="360" w:lineRule="exact"/>
                    <w:rPr>
                      <w:color w:val="auto"/>
                      <w:szCs w:val="21"/>
                    </w:rPr>
                  </w:pPr>
                  <w:r>
                    <w:rPr>
                      <w:color w:val="auto"/>
                      <w:szCs w:val="21"/>
                    </w:rPr>
                    <w:t>2475</w:t>
                  </w:r>
                </w:p>
              </w:tc>
              <w:tc>
                <w:tcPr>
                  <w:tcW w:w="1134" w:type="dxa"/>
                  <w:vAlign w:val="center"/>
                </w:tcPr>
                <w:p>
                  <w:pPr>
                    <w:pStyle w:val="30"/>
                    <w:spacing w:line="360" w:lineRule="exact"/>
                    <w:rPr>
                      <w:color w:val="auto"/>
                      <w:szCs w:val="21"/>
                    </w:rPr>
                  </w:pPr>
                  <w:r>
                    <w:rPr>
                      <w:color w:val="auto"/>
                      <w:szCs w:val="21"/>
                    </w:rPr>
                    <w:t>危险废物（危废代码：900-044-49）</w:t>
                  </w:r>
                </w:p>
              </w:tc>
              <w:tc>
                <w:tcPr>
                  <w:tcW w:w="1276" w:type="dxa"/>
                  <w:tcBorders>
                    <w:right w:val="single" w:color="auto" w:sz="4" w:space="0"/>
                  </w:tcBorders>
                  <w:vAlign w:val="center"/>
                </w:tcPr>
                <w:p>
                  <w:pPr>
                    <w:pStyle w:val="30"/>
                    <w:spacing w:line="360" w:lineRule="exact"/>
                    <w:ind w:firstLine="210" w:firstLineChars="100"/>
                    <w:jc w:val="left"/>
                    <w:rPr>
                      <w:color w:val="auto"/>
                      <w:szCs w:val="21"/>
                    </w:rPr>
                  </w:pPr>
                  <w:r>
                    <w:rPr>
                      <w:color w:val="auto"/>
                      <w:szCs w:val="21"/>
                    </w:rPr>
                    <w:t>暂存于废弃的阴极射线管（锥玻璃）含铅贮存区</w:t>
                  </w:r>
                </w:p>
              </w:tc>
              <w:tc>
                <w:tcPr>
                  <w:tcW w:w="2866" w:type="dxa"/>
                  <w:tcBorders>
                    <w:left w:val="single" w:color="auto" w:sz="4" w:space="0"/>
                  </w:tcBorders>
                  <w:vAlign w:val="center"/>
                </w:tcPr>
                <w:p>
                  <w:pPr>
                    <w:pStyle w:val="30"/>
                    <w:spacing w:line="360" w:lineRule="exact"/>
                    <w:ind w:firstLine="210" w:firstLineChars="100"/>
                    <w:jc w:val="left"/>
                    <w:rPr>
                      <w:color w:val="auto"/>
                      <w:szCs w:val="21"/>
                    </w:rPr>
                  </w:pPr>
                  <w:r>
                    <w:rPr>
                      <w:color w:val="auto"/>
                      <w:szCs w:val="21"/>
                    </w:rPr>
                    <w:t>委托</w:t>
                  </w:r>
                  <w:r>
                    <w:rPr>
                      <w:color w:val="auto"/>
                    </w:rPr>
                    <w:t>云南沙甸铅业股份有限公司、贵州鸿鹄环保实业有限公司</w:t>
                  </w:r>
                  <w:r>
                    <w:rPr>
                      <w:color w:val="auto"/>
                      <w:szCs w:val="21"/>
                    </w:rPr>
                    <w:t>处置。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90" w:type="dxa"/>
                  <w:vAlign w:val="center"/>
                </w:tcPr>
                <w:p>
                  <w:pPr>
                    <w:pStyle w:val="30"/>
                    <w:spacing w:line="360" w:lineRule="exact"/>
                    <w:rPr>
                      <w:color w:val="auto"/>
                      <w:szCs w:val="21"/>
                    </w:rPr>
                  </w:pPr>
                  <w:r>
                    <w:rPr>
                      <w:color w:val="auto"/>
                      <w:szCs w:val="21"/>
                    </w:rPr>
                    <w:t>13</w:t>
                  </w:r>
                </w:p>
              </w:tc>
              <w:tc>
                <w:tcPr>
                  <w:tcW w:w="910" w:type="dxa"/>
                  <w:vAlign w:val="center"/>
                </w:tcPr>
                <w:p>
                  <w:pPr>
                    <w:pStyle w:val="30"/>
                    <w:spacing w:line="360" w:lineRule="exact"/>
                    <w:rPr>
                      <w:color w:val="auto"/>
                      <w:szCs w:val="21"/>
                    </w:rPr>
                  </w:pPr>
                  <w:r>
                    <w:rPr>
                      <w:color w:val="auto"/>
                      <w:szCs w:val="21"/>
                    </w:rPr>
                    <w:t>荧光粉</w:t>
                  </w:r>
                </w:p>
              </w:tc>
              <w:tc>
                <w:tcPr>
                  <w:tcW w:w="1134" w:type="dxa"/>
                  <w:vAlign w:val="center"/>
                </w:tcPr>
                <w:p>
                  <w:pPr>
                    <w:pStyle w:val="30"/>
                    <w:spacing w:line="360" w:lineRule="exact"/>
                    <w:rPr>
                      <w:color w:val="auto"/>
                      <w:szCs w:val="21"/>
                    </w:rPr>
                  </w:pPr>
                  <w:r>
                    <w:rPr>
                      <w:color w:val="auto"/>
                      <w:szCs w:val="21"/>
                    </w:rPr>
                    <w:t>180</w:t>
                  </w:r>
                </w:p>
              </w:tc>
              <w:tc>
                <w:tcPr>
                  <w:tcW w:w="1134" w:type="dxa"/>
                  <w:vAlign w:val="center"/>
                </w:tcPr>
                <w:p>
                  <w:pPr>
                    <w:pStyle w:val="30"/>
                    <w:spacing w:line="360" w:lineRule="exact"/>
                    <w:rPr>
                      <w:color w:val="auto"/>
                      <w:szCs w:val="21"/>
                    </w:rPr>
                  </w:pPr>
                  <w:r>
                    <w:rPr>
                      <w:color w:val="auto"/>
                      <w:szCs w:val="21"/>
                    </w:rPr>
                    <w:t>225</w:t>
                  </w:r>
                </w:p>
              </w:tc>
              <w:tc>
                <w:tcPr>
                  <w:tcW w:w="1134" w:type="dxa"/>
                  <w:vAlign w:val="center"/>
                </w:tcPr>
                <w:p>
                  <w:pPr>
                    <w:pStyle w:val="30"/>
                    <w:spacing w:line="360" w:lineRule="exact"/>
                    <w:rPr>
                      <w:color w:val="auto"/>
                      <w:szCs w:val="21"/>
                    </w:rPr>
                  </w:pPr>
                  <w:r>
                    <w:rPr>
                      <w:color w:val="auto"/>
                      <w:szCs w:val="21"/>
                    </w:rPr>
                    <w:t>危险废物（危废代码：900-044-49）</w:t>
                  </w:r>
                </w:p>
              </w:tc>
              <w:tc>
                <w:tcPr>
                  <w:tcW w:w="1276" w:type="dxa"/>
                  <w:tcBorders>
                    <w:right w:val="single" w:color="auto" w:sz="4" w:space="0"/>
                  </w:tcBorders>
                  <w:vAlign w:val="center"/>
                </w:tcPr>
                <w:p>
                  <w:pPr>
                    <w:pStyle w:val="30"/>
                    <w:spacing w:line="360" w:lineRule="exact"/>
                    <w:ind w:firstLine="210" w:firstLineChars="100"/>
                    <w:jc w:val="left"/>
                    <w:rPr>
                      <w:color w:val="auto"/>
                      <w:szCs w:val="21"/>
                    </w:rPr>
                  </w:pPr>
                  <w:r>
                    <w:rPr>
                      <w:color w:val="auto"/>
                      <w:szCs w:val="21"/>
                    </w:rPr>
                    <w:t>暂存于1#危险废物贮存间</w:t>
                  </w:r>
                </w:p>
              </w:tc>
              <w:tc>
                <w:tcPr>
                  <w:tcW w:w="2866" w:type="dxa"/>
                  <w:tcBorders>
                    <w:left w:val="single" w:color="auto" w:sz="4" w:space="0"/>
                  </w:tcBorders>
                  <w:vAlign w:val="center"/>
                </w:tcPr>
                <w:p>
                  <w:pPr>
                    <w:pStyle w:val="30"/>
                    <w:spacing w:line="360" w:lineRule="exact"/>
                    <w:ind w:firstLine="210" w:firstLineChars="100"/>
                    <w:jc w:val="left"/>
                    <w:rPr>
                      <w:color w:val="auto"/>
                      <w:szCs w:val="21"/>
                    </w:rPr>
                  </w:pPr>
                  <w:r>
                    <w:rPr>
                      <w:color w:val="auto"/>
                      <w:szCs w:val="21"/>
                    </w:rPr>
                    <w:t>委托陕西安信显像管循环处理应用有限公司处置。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90" w:type="dxa"/>
                  <w:vAlign w:val="center"/>
                </w:tcPr>
                <w:p>
                  <w:pPr>
                    <w:pStyle w:val="30"/>
                    <w:spacing w:line="360" w:lineRule="exact"/>
                    <w:rPr>
                      <w:color w:val="auto"/>
                      <w:szCs w:val="21"/>
                    </w:rPr>
                  </w:pPr>
                  <w:r>
                    <w:rPr>
                      <w:color w:val="auto"/>
                      <w:szCs w:val="21"/>
                    </w:rPr>
                    <w:t>14</w:t>
                  </w:r>
                </w:p>
              </w:tc>
              <w:tc>
                <w:tcPr>
                  <w:tcW w:w="910" w:type="dxa"/>
                  <w:vAlign w:val="center"/>
                </w:tcPr>
                <w:p>
                  <w:pPr>
                    <w:pStyle w:val="30"/>
                    <w:spacing w:line="360" w:lineRule="exact"/>
                    <w:rPr>
                      <w:color w:val="auto"/>
                      <w:szCs w:val="21"/>
                    </w:rPr>
                  </w:pPr>
                  <w:r>
                    <w:rPr>
                      <w:color w:val="auto"/>
                      <w:szCs w:val="21"/>
                    </w:rPr>
                    <w:t>废弃细碎料</w:t>
                  </w:r>
                </w:p>
              </w:tc>
              <w:tc>
                <w:tcPr>
                  <w:tcW w:w="1134" w:type="dxa"/>
                  <w:vAlign w:val="center"/>
                </w:tcPr>
                <w:p>
                  <w:pPr>
                    <w:pStyle w:val="30"/>
                    <w:spacing w:line="360" w:lineRule="exact"/>
                    <w:rPr>
                      <w:color w:val="auto"/>
                      <w:szCs w:val="21"/>
                    </w:rPr>
                  </w:pPr>
                  <w:r>
                    <w:rPr>
                      <w:color w:val="auto"/>
                      <w:szCs w:val="21"/>
                    </w:rPr>
                    <w:t>428.4</w:t>
                  </w:r>
                </w:p>
              </w:tc>
              <w:tc>
                <w:tcPr>
                  <w:tcW w:w="1134" w:type="dxa"/>
                  <w:vAlign w:val="center"/>
                </w:tcPr>
                <w:p>
                  <w:pPr>
                    <w:pStyle w:val="30"/>
                    <w:spacing w:line="360" w:lineRule="exact"/>
                    <w:rPr>
                      <w:color w:val="auto"/>
                      <w:szCs w:val="21"/>
                    </w:rPr>
                  </w:pPr>
                  <w:r>
                    <w:rPr>
                      <w:color w:val="auto"/>
                      <w:szCs w:val="21"/>
                    </w:rPr>
                    <w:t>1057.2</w:t>
                  </w:r>
                </w:p>
              </w:tc>
              <w:tc>
                <w:tcPr>
                  <w:tcW w:w="1134" w:type="dxa"/>
                  <w:vAlign w:val="center"/>
                </w:tcPr>
                <w:p>
                  <w:pPr>
                    <w:pStyle w:val="30"/>
                    <w:spacing w:line="360" w:lineRule="exact"/>
                    <w:rPr>
                      <w:color w:val="auto"/>
                      <w:szCs w:val="21"/>
                    </w:rPr>
                  </w:pPr>
                  <w:r>
                    <w:rPr>
                      <w:color w:val="auto"/>
                      <w:szCs w:val="21"/>
                    </w:rPr>
                    <w:t>一般工业固体废物</w:t>
                  </w:r>
                </w:p>
              </w:tc>
              <w:tc>
                <w:tcPr>
                  <w:tcW w:w="1276" w:type="dxa"/>
                  <w:tcBorders>
                    <w:right w:val="single" w:color="auto" w:sz="4" w:space="0"/>
                  </w:tcBorders>
                  <w:vAlign w:val="center"/>
                </w:tcPr>
                <w:p>
                  <w:pPr>
                    <w:pStyle w:val="30"/>
                    <w:spacing w:line="360" w:lineRule="exact"/>
                    <w:ind w:firstLine="210" w:firstLineChars="100"/>
                    <w:jc w:val="left"/>
                    <w:rPr>
                      <w:color w:val="auto"/>
                      <w:szCs w:val="21"/>
                    </w:rPr>
                  </w:pPr>
                  <w:r>
                    <w:rPr>
                      <w:color w:val="auto"/>
                      <w:szCs w:val="21"/>
                    </w:rPr>
                    <w:t>暂存于仓储区</w:t>
                  </w:r>
                </w:p>
              </w:tc>
              <w:tc>
                <w:tcPr>
                  <w:tcW w:w="2866" w:type="dxa"/>
                  <w:tcBorders>
                    <w:left w:val="single" w:color="auto" w:sz="4" w:space="0"/>
                  </w:tcBorders>
                  <w:vAlign w:val="center"/>
                </w:tcPr>
                <w:p>
                  <w:pPr>
                    <w:pStyle w:val="30"/>
                    <w:spacing w:line="360" w:lineRule="exact"/>
                    <w:ind w:firstLine="210" w:firstLineChars="100"/>
                    <w:jc w:val="left"/>
                    <w:rPr>
                      <w:color w:val="auto"/>
                      <w:szCs w:val="21"/>
                    </w:rPr>
                  </w:pPr>
                  <w:r>
                    <w:rPr>
                      <w:color w:val="auto"/>
                      <w:szCs w:val="21"/>
                    </w:rPr>
                    <w:t>委托昆明涌诺保洁服务有限公司处置。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90" w:type="dxa"/>
                  <w:vAlign w:val="center"/>
                </w:tcPr>
                <w:p>
                  <w:pPr>
                    <w:pStyle w:val="30"/>
                    <w:spacing w:line="360" w:lineRule="exact"/>
                    <w:rPr>
                      <w:color w:val="auto"/>
                      <w:szCs w:val="21"/>
                    </w:rPr>
                  </w:pPr>
                  <w:r>
                    <w:rPr>
                      <w:color w:val="auto"/>
                      <w:szCs w:val="21"/>
                    </w:rPr>
                    <w:t>15</w:t>
                  </w:r>
                </w:p>
              </w:tc>
              <w:tc>
                <w:tcPr>
                  <w:tcW w:w="910" w:type="dxa"/>
                  <w:vAlign w:val="center"/>
                </w:tcPr>
                <w:p>
                  <w:pPr>
                    <w:pStyle w:val="30"/>
                    <w:spacing w:line="360" w:lineRule="exact"/>
                    <w:rPr>
                      <w:color w:val="auto"/>
                      <w:szCs w:val="21"/>
                    </w:rPr>
                  </w:pPr>
                  <w:r>
                    <w:rPr>
                      <w:color w:val="auto"/>
                      <w:szCs w:val="21"/>
                    </w:rPr>
                    <w:t>废活性炭（吸附有机废气）</w:t>
                  </w:r>
                </w:p>
              </w:tc>
              <w:tc>
                <w:tcPr>
                  <w:tcW w:w="1134" w:type="dxa"/>
                  <w:vAlign w:val="center"/>
                </w:tcPr>
                <w:p>
                  <w:pPr>
                    <w:pStyle w:val="30"/>
                    <w:spacing w:line="360" w:lineRule="exact"/>
                    <w:rPr>
                      <w:color w:val="auto"/>
                      <w:szCs w:val="21"/>
                    </w:rPr>
                  </w:pPr>
                  <w:r>
                    <w:rPr>
                      <w:color w:val="auto"/>
                      <w:szCs w:val="21"/>
                    </w:rPr>
                    <w:t>0.05</w:t>
                  </w:r>
                </w:p>
              </w:tc>
              <w:tc>
                <w:tcPr>
                  <w:tcW w:w="1134" w:type="dxa"/>
                  <w:vAlign w:val="center"/>
                </w:tcPr>
                <w:p>
                  <w:pPr>
                    <w:pStyle w:val="30"/>
                    <w:spacing w:line="360" w:lineRule="exact"/>
                    <w:rPr>
                      <w:color w:val="auto"/>
                      <w:szCs w:val="21"/>
                    </w:rPr>
                  </w:pPr>
                  <w:r>
                    <w:rPr>
                      <w:color w:val="auto"/>
                      <w:szCs w:val="21"/>
                    </w:rPr>
                    <w:t>0.06</w:t>
                  </w:r>
                </w:p>
              </w:tc>
              <w:tc>
                <w:tcPr>
                  <w:tcW w:w="1134" w:type="dxa"/>
                  <w:vAlign w:val="center"/>
                </w:tcPr>
                <w:p>
                  <w:pPr>
                    <w:pStyle w:val="30"/>
                    <w:spacing w:line="360" w:lineRule="exact"/>
                    <w:rPr>
                      <w:color w:val="auto"/>
                      <w:szCs w:val="21"/>
                    </w:rPr>
                  </w:pPr>
                  <w:r>
                    <w:rPr>
                      <w:color w:val="auto"/>
                      <w:szCs w:val="21"/>
                    </w:rPr>
                    <w:t>危险废物（危废代码：900-039-49）</w:t>
                  </w:r>
                </w:p>
              </w:tc>
              <w:tc>
                <w:tcPr>
                  <w:tcW w:w="1276" w:type="dxa"/>
                  <w:tcBorders>
                    <w:right w:val="single" w:color="auto" w:sz="4" w:space="0"/>
                  </w:tcBorders>
                  <w:vAlign w:val="center"/>
                </w:tcPr>
                <w:p>
                  <w:pPr>
                    <w:pStyle w:val="30"/>
                    <w:spacing w:line="360" w:lineRule="exact"/>
                    <w:ind w:firstLine="210" w:firstLineChars="100"/>
                    <w:jc w:val="left"/>
                    <w:rPr>
                      <w:color w:val="auto"/>
                      <w:szCs w:val="21"/>
                    </w:rPr>
                  </w:pPr>
                  <w:r>
                    <w:rPr>
                      <w:color w:val="auto"/>
                      <w:szCs w:val="21"/>
                    </w:rPr>
                    <w:t>暂存于3#危险废物贮存间</w:t>
                  </w:r>
                </w:p>
              </w:tc>
              <w:tc>
                <w:tcPr>
                  <w:tcW w:w="2866" w:type="dxa"/>
                  <w:tcBorders>
                    <w:left w:val="single" w:color="auto" w:sz="4" w:space="0"/>
                  </w:tcBorders>
                  <w:vAlign w:val="center"/>
                </w:tcPr>
                <w:p>
                  <w:pPr>
                    <w:pStyle w:val="30"/>
                    <w:spacing w:line="360" w:lineRule="exact"/>
                    <w:ind w:firstLine="210" w:firstLineChars="100"/>
                    <w:jc w:val="left"/>
                    <w:rPr>
                      <w:color w:val="auto"/>
                      <w:szCs w:val="21"/>
                    </w:rPr>
                  </w:pPr>
                  <w:r>
                    <w:rPr>
                      <w:color w:val="auto"/>
                      <w:szCs w:val="21"/>
                    </w:rPr>
                    <w:t>委托</w:t>
                  </w:r>
                  <w:r>
                    <w:rPr>
                      <w:rFonts w:hint="eastAsia"/>
                      <w:color w:val="auto"/>
                    </w:rPr>
                    <w:t>云南大地丰源环保有限公司</w:t>
                  </w:r>
                  <w:r>
                    <w:rPr>
                      <w:color w:val="auto"/>
                      <w:szCs w:val="21"/>
                    </w:rPr>
                    <w:t>处置。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90" w:type="dxa"/>
                  <w:vAlign w:val="center"/>
                </w:tcPr>
                <w:p>
                  <w:pPr>
                    <w:pStyle w:val="30"/>
                    <w:spacing w:line="360" w:lineRule="exact"/>
                    <w:rPr>
                      <w:color w:val="auto"/>
                      <w:szCs w:val="21"/>
                    </w:rPr>
                  </w:pPr>
                  <w:r>
                    <w:rPr>
                      <w:color w:val="auto"/>
                      <w:szCs w:val="21"/>
                    </w:rPr>
                    <w:t>16</w:t>
                  </w:r>
                </w:p>
              </w:tc>
              <w:tc>
                <w:tcPr>
                  <w:tcW w:w="910" w:type="dxa"/>
                  <w:vAlign w:val="center"/>
                </w:tcPr>
                <w:p>
                  <w:pPr>
                    <w:pStyle w:val="30"/>
                    <w:spacing w:line="360" w:lineRule="exact"/>
                    <w:rPr>
                      <w:color w:val="auto"/>
                      <w:szCs w:val="21"/>
                    </w:rPr>
                  </w:pPr>
                  <w:r>
                    <w:rPr>
                      <w:color w:val="auto"/>
                      <w:szCs w:val="21"/>
                    </w:rPr>
                    <w:t>收集粉尘</w:t>
                  </w:r>
                </w:p>
              </w:tc>
              <w:tc>
                <w:tcPr>
                  <w:tcW w:w="1134" w:type="dxa"/>
                  <w:vAlign w:val="center"/>
                </w:tcPr>
                <w:p>
                  <w:pPr>
                    <w:pStyle w:val="30"/>
                    <w:spacing w:line="360" w:lineRule="exact"/>
                    <w:rPr>
                      <w:color w:val="auto"/>
                      <w:szCs w:val="21"/>
                    </w:rPr>
                  </w:pPr>
                  <w:r>
                    <w:rPr>
                      <w:color w:val="auto"/>
                      <w:szCs w:val="21"/>
                    </w:rPr>
                    <w:t>20.65</w:t>
                  </w:r>
                </w:p>
              </w:tc>
              <w:tc>
                <w:tcPr>
                  <w:tcW w:w="1134" w:type="dxa"/>
                  <w:vAlign w:val="center"/>
                </w:tcPr>
                <w:p>
                  <w:pPr>
                    <w:pStyle w:val="30"/>
                    <w:spacing w:line="360" w:lineRule="exact"/>
                    <w:rPr>
                      <w:color w:val="auto"/>
                      <w:szCs w:val="21"/>
                    </w:rPr>
                  </w:pPr>
                  <w:r>
                    <w:rPr>
                      <w:color w:val="auto"/>
                      <w:szCs w:val="21"/>
                    </w:rPr>
                    <w:t>25.12</w:t>
                  </w:r>
                </w:p>
              </w:tc>
              <w:tc>
                <w:tcPr>
                  <w:tcW w:w="1134" w:type="dxa"/>
                  <w:vAlign w:val="center"/>
                </w:tcPr>
                <w:p>
                  <w:pPr>
                    <w:pStyle w:val="30"/>
                    <w:spacing w:line="360" w:lineRule="exact"/>
                    <w:rPr>
                      <w:color w:val="auto"/>
                      <w:szCs w:val="21"/>
                    </w:rPr>
                  </w:pPr>
                  <w:r>
                    <w:rPr>
                      <w:color w:val="auto"/>
                      <w:szCs w:val="21"/>
                    </w:rPr>
                    <w:t>一般工业固体废物</w:t>
                  </w:r>
                </w:p>
              </w:tc>
              <w:tc>
                <w:tcPr>
                  <w:tcW w:w="1276" w:type="dxa"/>
                  <w:tcBorders>
                    <w:right w:val="single" w:color="auto" w:sz="4" w:space="0"/>
                  </w:tcBorders>
                  <w:vAlign w:val="center"/>
                </w:tcPr>
                <w:p>
                  <w:pPr>
                    <w:pStyle w:val="30"/>
                    <w:spacing w:line="360" w:lineRule="exact"/>
                    <w:ind w:firstLine="210" w:firstLineChars="100"/>
                    <w:jc w:val="left"/>
                    <w:rPr>
                      <w:color w:val="auto"/>
                      <w:szCs w:val="21"/>
                    </w:rPr>
                  </w:pPr>
                  <w:r>
                    <w:rPr>
                      <w:color w:val="auto"/>
                      <w:szCs w:val="21"/>
                    </w:rPr>
                    <w:t>暂存于仓储区</w:t>
                  </w:r>
                </w:p>
              </w:tc>
              <w:tc>
                <w:tcPr>
                  <w:tcW w:w="2866" w:type="dxa"/>
                  <w:tcBorders>
                    <w:left w:val="single" w:color="auto" w:sz="4" w:space="0"/>
                  </w:tcBorders>
                  <w:vAlign w:val="center"/>
                </w:tcPr>
                <w:p>
                  <w:pPr>
                    <w:pStyle w:val="30"/>
                    <w:spacing w:line="360" w:lineRule="exact"/>
                    <w:ind w:firstLine="210" w:firstLineChars="100"/>
                    <w:jc w:val="left"/>
                    <w:rPr>
                      <w:color w:val="auto"/>
                      <w:szCs w:val="21"/>
                    </w:rPr>
                  </w:pPr>
                  <w:r>
                    <w:rPr>
                      <w:color w:val="auto"/>
                      <w:szCs w:val="21"/>
                    </w:rPr>
                    <w:t>委托昆明涌诺保洁服务有限公司处置。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90" w:type="dxa"/>
                  <w:vAlign w:val="center"/>
                </w:tcPr>
                <w:p>
                  <w:pPr>
                    <w:pStyle w:val="30"/>
                    <w:spacing w:line="360" w:lineRule="exact"/>
                    <w:rPr>
                      <w:color w:val="auto"/>
                      <w:szCs w:val="21"/>
                    </w:rPr>
                  </w:pPr>
                  <w:r>
                    <w:rPr>
                      <w:color w:val="auto"/>
                      <w:szCs w:val="21"/>
                    </w:rPr>
                    <w:t>17</w:t>
                  </w:r>
                </w:p>
              </w:tc>
              <w:tc>
                <w:tcPr>
                  <w:tcW w:w="910" w:type="dxa"/>
                  <w:vAlign w:val="center"/>
                </w:tcPr>
                <w:p>
                  <w:pPr>
                    <w:pStyle w:val="30"/>
                    <w:spacing w:line="360" w:lineRule="exact"/>
                    <w:rPr>
                      <w:color w:val="auto"/>
                      <w:szCs w:val="21"/>
                    </w:rPr>
                  </w:pPr>
                  <w:r>
                    <w:rPr>
                      <w:color w:val="auto"/>
                      <w:szCs w:val="21"/>
                    </w:rPr>
                    <w:t>收集含铅粉尘</w:t>
                  </w:r>
                </w:p>
              </w:tc>
              <w:tc>
                <w:tcPr>
                  <w:tcW w:w="1134" w:type="dxa"/>
                  <w:vAlign w:val="center"/>
                </w:tcPr>
                <w:p>
                  <w:pPr>
                    <w:pStyle w:val="30"/>
                    <w:spacing w:line="360" w:lineRule="exact"/>
                    <w:rPr>
                      <w:color w:val="auto"/>
                      <w:szCs w:val="21"/>
                    </w:rPr>
                  </w:pPr>
                  <w:r>
                    <w:rPr>
                      <w:color w:val="auto"/>
                      <w:szCs w:val="21"/>
                    </w:rPr>
                    <w:t>0.58</w:t>
                  </w:r>
                </w:p>
              </w:tc>
              <w:tc>
                <w:tcPr>
                  <w:tcW w:w="1134" w:type="dxa"/>
                  <w:vAlign w:val="center"/>
                </w:tcPr>
                <w:p>
                  <w:pPr>
                    <w:pStyle w:val="30"/>
                    <w:spacing w:line="360" w:lineRule="exact"/>
                    <w:rPr>
                      <w:color w:val="auto"/>
                      <w:szCs w:val="21"/>
                    </w:rPr>
                  </w:pPr>
                  <w:r>
                    <w:rPr>
                      <w:color w:val="auto"/>
                      <w:szCs w:val="21"/>
                    </w:rPr>
                    <w:t>0.65</w:t>
                  </w:r>
                </w:p>
              </w:tc>
              <w:tc>
                <w:tcPr>
                  <w:tcW w:w="1134" w:type="dxa"/>
                  <w:vAlign w:val="center"/>
                </w:tcPr>
                <w:p>
                  <w:pPr>
                    <w:pStyle w:val="30"/>
                    <w:spacing w:line="360" w:lineRule="exact"/>
                    <w:rPr>
                      <w:color w:val="auto"/>
                      <w:szCs w:val="21"/>
                    </w:rPr>
                  </w:pPr>
                  <w:r>
                    <w:rPr>
                      <w:color w:val="auto"/>
                      <w:szCs w:val="21"/>
                    </w:rPr>
                    <w:t>危险废物（危废代码：900-044-49）</w:t>
                  </w:r>
                </w:p>
              </w:tc>
              <w:tc>
                <w:tcPr>
                  <w:tcW w:w="1276" w:type="dxa"/>
                  <w:tcBorders>
                    <w:right w:val="single" w:color="auto" w:sz="4" w:space="0"/>
                  </w:tcBorders>
                  <w:vAlign w:val="center"/>
                </w:tcPr>
                <w:p>
                  <w:pPr>
                    <w:pStyle w:val="30"/>
                    <w:spacing w:line="360" w:lineRule="exact"/>
                    <w:ind w:firstLine="210" w:firstLineChars="100"/>
                    <w:jc w:val="left"/>
                    <w:rPr>
                      <w:color w:val="auto"/>
                      <w:szCs w:val="21"/>
                    </w:rPr>
                  </w:pPr>
                  <w:r>
                    <w:rPr>
                      <w:color w:val="auto"/>
                      <w:szCs w:val="21"/>
                    </w:rPr>
                    <w:t>暂存于1#危险废物贮存间</w:t>
                  </w:r>
                </w:p>
              </w:tc>
              <w:tc>
                <w:tcPr>
                  <w:tcW w:w="2866" w:type="dxa"/>
                  <w:tcBorders>
                    <w:left w:val="single" w:color="auto" w:sz="4" w:space="0"/>
                  </w:tcBorders>
                  <w:vAlign w:val="center"/>
                </w:tcPr>
                <w:p>
                  <w:pPr>
                    <w:pStyle w:val="30"/>
                    <w:spacing w:line="360" w:lineRule="exact"/>
                    <w:ind w:firstLine="210" w:firstLineChars="100"/>
                    <w:jc w:val="left"/>
                    <w:rPr>
                      <w:color w:val="auto"/>
                      <w:szCs w:val="21"/>
                    </w:rPr>
                  </w:pPr>
                  <w:r>
                    <w:rPr>
                      <w:color w:val="auto"/>
                      <w:szCs w:val="21"/>
                    </w:rPr>
                    <w:t>委托陕西安信显像管循环处理应用有限公司处置。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90" w:type="dxa"/>
                  <w:vAlign w:val="center"/>
                </w:tcPr>
                <w:p>
                  <w:pPr>
                    <w:pStyle w:val="30"/>
                    <w:spacing w:line="360" w:lineRule="exact"/>
                    <w:rPr>
                      <w:color w:val="auto"/>
                      <w:szCs w:val="21"/>
                    </w:rPr>
                  </w:pPr>
                  <w:r>
                    <w:rPr>
                      <w:color w:val="auto"/>
                      <w:szCs w:val="21"/>
                    </w:rPr>
                    <w:t>18</w:t>
                  </w:r>
                </w:p>
              </w:tc>
              <w:tc>
                <w:tcPr>
                  <w:tcW w:w="910" w:type="dxa"/>
                  <w:vAlign w:val="center"/>
                </w:tcPr>
                <w:p>
                  <w:pPr>
                    <w:pStyle w:val="30"/>
                    <w:spacing w:line="360" w:lineRule="exact"/>
                    <w:rPr>
                      <w:color w:val="auto"/>
                      <w:szCs w:val="21"/>
                    </w:rPr>
                  </w:pPr>
                  <w:r>
                    <w:rPr>
                      <w:color w:val="auto"/>
                      <w:szCs w:val="21"/>
                    </w:rPr>
                    <w:t>生活垃圾</w:t>
                  </w:r>
                </w:p>
              </w:tc>
              <w:tc>
                <w:tcPr>
                  <w:tcW w:w="1134" w:type="dxa"/>
                  <w:vAlign w:val="center"/>
                </w:tcPr>
                <w:p>
                  <w:pPr>
                    <w:pStyle w:val="30"/>
                    <w:spacing w:line="360" w:lineRule="exact"/>
                    <w:rPr>
                      <w:color w:val="auto"/>
                      <w:szCs w:val="21"/>
                    </w:rPr>
                  </w:pPr>
                  <w:r>
                    <w:rPr>
                      <w:color w:val="auto"/>
                      <w:szCs w:val="21"/>
                    </w:rPr>
                    <w:t>24.6</w:t>
                  </w:r>
                </w:p>
              </w:tc>
              <w:tc>
                <w:tcPr>
                  <w:tcW w:w="1134" w:type="dxa"/>
                  <w:vAlign w:val="center"/>
                </w:tcPr>
                <w:p>
                  <w:pPr>
                    <w:pStyle w:val="30"/>
                    <w:spacing w:line="360" w:lineRule="exact"/>
                    <w:rPr>
                      <w:color w:val="auto"/>
                      <w:szCs w:val="21"/>
                    </w:rPr>
                  </w:pPr>
                  <w:r>
                    <w:rPr>
                      <w:color w:val="auto"/>
                      <w:szCs w:val="21"/>
                    </w:rPr>
                    <w:t>24.6</w:t>
                  </w:r>
                </w:p>
              </w:tc>
              <w:tc>
                <w:tcPr>
                  <w:tcW w:w="1134" w:type="dxa"/>
                  <w:vMerge w:val="restart"/>
                  <w:vAlign w:val="center"/>
                </w:tcPr>
                <w:p>
                  <w:pPr>
                    <w:pStyle w:val="30"/>
                    <w:spacing w:line="360" w:lineRule="exact"/>
                    <w:rPr>
                      <w:color w:val="auto"/>
                      <w:szCs w:val="21"/>
                    </w:rPr>
                  </w:pPr>
                  <w:r>
                    <w:rPr>
                      <w:color w:val="auto"/>
                      <w:szCs w:val="21"/>
                    </w:rPr>
                    <w:t>生活固废</w:t>
                  </w:r>
                </w:p>
              </w:tc>
              <w:tc>
                <w:tcPr>
                  <w:tcW w:w="1276" w:type="dxa"/>
                  <w:tcBorders>
                    <w:right w:val="single" w:color="auto" w:sz="4" w:space="0"/>
                  </w:tcBorders>
                  <w:vAlign w:val="center"/>
                </w:tcPr>
                <w:p>
                  <w:pPr>
                    <w:pStyle w:val="30"/>
                    <w:spacing w:line="360" w:lineRule="exact"/>
                    <w:ind w:firstLine="210" w:firstLineChars="100"/>
                    <w:jc w:val="left"/>
                    <w:rPr>
                      <w:color w:val="auto"/>
                      <w:szCs w:val="21"/>
                    </w:rPr>
                  </w:pPr>
                  <w:r>
                    <w:rPr>
                      <w:color w:val="auto"/>
                      <w:szCs w:val="21"/>
                    </w:rPr>
                    <w:t>日产日清</w:t>
                  </w:r>
                </w:p>
              </w:tc>
              <w:tc>
                <w:tcPr>
                  <w:tcW w:w="2866" w:type="dxa"/>
                  <w:vMerge w:val="restart"/>
                  <w:tcBorders>
                    <w:left w:val="single" w:color="auto" w:sz="4" w:space="0"/>
                  </w:tcBorders>
                  <w:vAlign w:val="center"/>
                </w:tcPr>
                <w:p>
                  <w:pPr>
                    <w:pStyle w:val="30"/>
                    <w:spacing w:line="360" w:lineRule="exact"/>
                    <w:ind w:firstLine="210" w:firstLineChars="100"/>
                    <w:jc w:val="left"/>
                    <w:rPr>
                      <w:color w:val="auto"/>
                      <w:szCs w:val="21"/>
                    </w:rPr>
                  </w:pPr>
                  <w:r>
                    <w:rPr>
                      <w:color w:val="auto"/>
                      <w:szCs w:val="21"/>
                    </w:rPr>
                    <w:t>委托环卫部门处置。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90" w:type="dxa"/>
                  <w:vAlign w:val="center"/>
                </w:tcPr>
                <w:p>
                  <w:pPr>
                    <w:pStyle w:val="30"/>
                    <w:spacing w:line="360" w:lineRule="exact"/>
                    <w:rPr>
                      <w:color w:val="auto"/>
                      <w:szCs w:val="21"/>
                    </w:rPr>
                  </w:pPr>
                  <w:r>
                    <w:rPr>
                      <w:color w:val="auto"/>
                      <w:szCs w:val="21"/>
                    </w:rPr>
                    <w:t>19</w:t>
                  </w:r>
                </w:p>
              </w:tc>
              <w:tc>
                <w:tcPr>
                  <w:tcW w:w="910" w:type="dxa"/>
                  <w:vAlign w:val="center"/>
                </w:tcPr>
                <w:p>
                  <w:pPr>
                    <w:pStyle w:val="30"/>
                    <w:spacing w:line="360" w:lineRule="exact"/>
                    <w:rPr>
                      <w:rFonts w:eastAsiaTheme="minorEastAsia"/>
                      <w:color w:val="auto"/>
                      <w:szCs w:val="21"/>
                    </w:rPr>
                  </w:pPr>
                  <w:r>
                    <w:rPr>
                      <w:rFonts w:eastAsiaTheme="minorEastAsia"/>
                      <w:color w:val="auto"/>
                      <w:szCs w:val="21"/>
                    </w:rPr>
                    <w:t>餐厨废物</w:t>
                  </w:r>
                </w:p>
              </w:tc>
              <w:tc>
                <w:tcPr>
                  <w:tcW w:w="1134" w:type="dxa"/>
                  <w:vAlign w:val="center"/>
                </w:tcPr>
                <w:p>
                  <w:pPr>
                    <w:pStyle w:val="30"/>
                    <w:spacing w:line="360" w:lineRule="exact"/>
                    <w:rPr>
                      <w:rFonts w:eastAsiaTheme="minorEastAsia"/>
                      <w:color w:val="auto"/>
                      <w:szCs w:val="21"/>
                    </w:rPr>
                  </w:pPr>
                  <w:r>
                    <w:rPr>
                      <w:rFonts w:eastAsiaTheme="minorEastAsia"/>
                      <w:color w:val="auto"/>
                      <w:szCs w:val="21"/>
                    </w:rPr>
                    <w:t>6</w:t>
                  </w:r>
                </w:p>
              </w:tc>
              <w:tc>
                <w:tcPr>
                  <w:tcW w:w="1134" w:type="dxa"/>
                  <w:vAlign w:val="center"/>
                </w:tcPr>
                <w:p>
                  <w:pPr>
                    <w:pStyle w:val="30"/>
                    <w:spacing w:line="360" w:lineRule="exact"/>
                    <w:rPr>
                      <w:rFonts w:eastAsiaTheme="minorEastAsia"/>
                      <w:color w:val="auto"/>
                      <w:szCs w:val="21"/>
                    </w:rPr>
                  </w:pPr>
                  <w:r>
                    <w:rPr>
                      <w:rFonts w:eastAsiaTheme="minorEastAsia"/>
                      <w:color w:val="auto"/>
                      <w:szCs w:val="21"/>
                    </w:rPr>
                    <w:t>6</w:t>
                  </w:r>
                </w:p>
              </w:tc>
              <w:tc>
                <w:tcPr>
                  <w:tcW w:w="1134" w:type="dxa"/>
                  <w:vMerge w:val="continue"/>
                  <w:vAlign w:val="center"/>
                </w:tcPr>
                <w:p>
                  <w:pPr>
                    <w:pStyle w:val="30"/>
                    <w:spacing w:line="360" w:lineRule="exact"/>
                    <w:rPr>
                      <w:color w:val="auto"/>
                      <w:szCs w:val="21"/>
                    </w:rPr>
                  </w:pPr>
                </w:p>
              </w:tc>
              <w:tc>
                <w:tcPr>
                  <w:tcW w:w="1276" w:type="dxa"/>
                  <w:tcBorders>
                    <w:right w:val="single" w:color="auto" w:sz="4" w:space="0"/>
                  </w:tcBorders>
                  <w:vAlign w:val="center"/>
                </w:tcPr>
                <w:p>
                  <w:pPr>
                    <w:pStyle w:val="30"/>
                    <w:spacing w:line="360" w:lineRule="exact"/>
                    <w:ind w:firstLine="210" w:firstLineChars="100"/>
                    <w:jc w:val="left"/>
                    <w:rPr>
                      <w:color w:val="auto"/>
                      <w:szCs w:val="21"/>
                    </w:rPr>
                  </w:pPr>
                  <w:r>
                    <w:rPr>
                      <w:color w:val="auto"/>
                      <w:szCs w:val="21"/>
                    </w:rPr>
                    <w:t>--</w:t>
                  </w:r>
                </w:p>
              </w:tc>
              <w:tc>
                <w:tcPr>
                  <w:tcW w:w="2866" w:type="dxa"/>
                  <w:vMerge w:val="continue"/>
                  <w:tcBorders>
                    <w:left w:val="single" w:color="auto" w:sz="4" w:space="0"/>
                  </w:tcBorders>
                  <w:vAlign w:val="center"/>
                </w:tcPr>
                <w:p>
                  <w:pPr>
                    <w:pStyle w:val="30"/>
                    <w:spacing w:line="360" w:lineRule="exact"/>
                    <w:ind w:firstLine="210" w:firstLineChars="100"/>
                    <w:jc w:val="left"/>
                    <w:rPr>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90" w:type="dxa"/>
                  <w:vAlign w:val="center"/>
                </w:tcPr>
                <w:p>
                  <w:pPr>
                    <w:pStyle w:val="30"/>
                    <w:spacing w:line="360" w:lineRule="exact"/>
                    <w:rPr>
                      <w:color w:val="auto"/>
                      <w:szCs w:val="21"/>
                    </w:rPr>
                  </w:pPr>
                  <w:r>
                    <w:rPr>
                      <w:color w:val="auto"/>
                      <w:szCs w:val="21"/>
                    </w:rPr>
                    <w:t>20</w:t>
                  </w:r>
                </w:p>
              </w:tc>
              <w:tc>
                <w:tcPr>
                  <w:tcW w:w="910" w:type="dxa"/>
                  <w:vAlign w:val="center"/>
                </w:tcPr>
                <w:p>
                  <w:pPr>
                    <w:pStyle w:val="30"/>
                    <w:spacing w:line="360" w:lineRule="exact"/>
                    <w:rPr>
                      <w:rFonts w:eastAsiaTheme="minorEastAsia"/>
                      <w:color w:val="auto"/>
                      <w:szCs w:val="21"/>
                    </w:rPr>
                  </w:pPr>
                  <w:r>
                    <w:rPr>
                      <w:rFonts w:eastAsiaTheme="minorEastAsia"/>
                      <w:color w:val="auto"/>
                      <w:szCs w:val="21"/>
                    </w:rPr>
                    <w:t>隔油池浮油</w:t>
                  </w:r>
                </w:p>
              </w:tc>
              <w:tc>
                <w:tcPr>
                  <w:tcW w:w="1134" w:type="dxa"/>
                  <w:vAlign w:val="center"/>
                </w:tcPr>
                <w:p>
                  <w:pPr>
                    <w:pStyle w:val="30"/>
                    <w:spacing w:line="360" w:lineRule="exact"/>
                    <w:rPr>
                      <w:rFonts w:eastAsiaTheme="minorEastAsia"/>
                      <w:color w:val="auto"/>
                      <w:szCs w:val="21"/>
                    </w:rPr>
                  </w:pPr>
                  <w:r>
                    <w:rPr>
                      <w:rFonts w:eastAsiaTheme="minorEastAsia"/>
                      <w:color w:val="auto"/>
                      <w:szCs w:val="21"/>
                    </w:rPr>
                    <w:t>0.09</w:t>
                  </w:r>
                </w:p>
              </w:tc>
              <w:tc>
                <w:tcPr>
                  <w:tcW w:w="1134" w:type="dxa"/>
                  <w:vAlign w:val="center"/>
                </w:tcPr>
                <w:p>
                  <w:pPr>
                    <w:pStyle w:val="30"/>
                    <w:spacing w:line="360" w:lineRule="exact"/>
                    <w:rPr>
                      <w:rFonts w:eastAsiaTheme="minorEastAsia"/>
                      <w:color w:val="auto"/>
                      <w:szCs w:val="21"/>
                    </w:rPr>
                  </w:pPr>
                  <w:r>
                    <w:rPr>
                      <w:rFonts w:eastAsiaTheme="minorEastAsia"/>
                      <w:color w:val="auto"/>
                      <w:szCs w:val="21"/>
                    </w:rPr>
                    <w:t>0.09</w:t>
                  </w:r>
                </w:p>
              </w:tc>
              <w:tc>
                <w:tcPr>
                  <w:tcW w:w="1134" w:type="dxa"/>
                  <w:vMerge w:val="continue"/>
                  <w:vAlign w:val="center"/>
                </w:tcPr>
                <w:p>
                  <w:pPr>
                    <w:pStyle w:val="30"/>
                    <w:spacing w:line="360" w:lineRule="exact"/>
                    <w:rPr>
                      <w:color w:val="auto"/>
                      <w:szCs w:val="21"/>
                    </w:rPr>
                  </w:pPr>
                </w:p>
              </w:tc>
              <w:tc>
                <w:tcPr>
                  <w:tcW w:w="1276" w:type="dxa"/>
                  <w:tcBorders>
                    <w:right w:val="single" w:color="auto" w:sz="4" w:space="0"/>
                  </w:tcBorders>
                  <w:vAlign w:val="center"/>
                </w:tcPr>
                <w:p>
                  <w:pPr>
                    <w:pStyle w:val="30"/>
                    <w:spacing w:line="360" w:lineRule="exact"/>
                    <w:ind w:firstLine="210" w:firstLineChars="100"/>
                    <w:jc w:val="left"/>
                    <w:rPr>
                      <w:color w:val="auto"/>
                      <w:szCs w:val="21"/>
                    </w:rPr>
                  </w:pPr>
                  <w:r>
                    <w:rPr>
                      <w:color w:val="auto"/>
                      <w:szCs w:val="21"/>
                    </w:rPr>
                    <w:t>--</w:t>
                  </w:r>
                </w:p>
              </w:tc>
              <w:tc>
                <w:tcPr>
                  <w:tcW w:w="2866" w:type="dxa"/>
                  <w:vMerge w:val="continue"/>
                  <w:tcBorders>
                    <w:left w:val="single" w:color="auto" w:sz="4" w:space="0"/>
                  </w:tcBorders>
                  <w:vAlign w:val="center"/>
                </w:tcPr>
                <w:p>
                  <w:pPr>
                    <w:pStyle w:val="30"/>
                    <w:spacing w:line="360" w:lineRule="exact"/>
                    <w:ind w:firstLine="210" w:firstLineChars="100"/>
                    <w:jc w:val="left"/>
                    <w:rPr>
                      <w:color w:val="auto"/>
                      <w:szCs w:val="21"/>
                    </w:rPr>
                  </w:pPr>
                </w:p>
              </w:tc>
            </w:tr>
          </w:tbl>
          <w:p>
            <w:pPr>
              <w:spacing w:beforeLines="50"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由上表可知，现有项目产生的危险废物处置可达到《危险废物贮存污染控制标准》（GB18597-2001）及修改单的要求，而制冷剂处置可达到《废弃电器电子产品处理污染控制技术规范》（HJ527-2010）的要求，一般工业固体废物处置率为100%，对环境影响较小。</w:t>
            </w:r>
          </w:p>
          <w:p>
            <w:pPr>
              <w:autoSpaceDE w:val="0"/>
              <w:autoSpaceDN w:val="0"/>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2.1</w:t>
            </w:r>
            <w:r>
              <w:rPr>
                <w:rFonts w:hint="eastAsia" w:ascii="Times New Roman" w:hAnsi="Times New Roman" w:cs="Times New Roman"/>
                <w:b/>
                <w:color w:val="auto"/>
                <w:sz w:val="24"/>
                <w:szCs w:val="24"/>
              </w:rPr>
              <w:t>2</w:t>
            </w:r>
            <w:r>
              <w:rPr>
                <w:rFonts w:ascii="Times New Roman" w:hAnsi="Times New Roman" w:cs="Times New Roman"/>
                <w:b/>
                <w:color w:val="auto"/>
                <w:sz w:val="24"/>
                <w:szCs w:val="24"/>
              </w:rPr>
              <w:t xml:space="preserve"> 与现有工程有关的主要环境问题及整改措施</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2.1</w:t>
            </w:r>
            <w:r>
              <w:rPr>
                <w:rFonts w:hint="eastAsia" w:ascii="Times New Roman" w:hAnsi="Times New Roman" w:cs="Times New Roman"/>
                <w:b/>
                <w:color w:val="auto"/>
                <w:sz w:val="24"/>
                <w:szCs w:val="24"/>
              </w:rPr>
              <w:t>2</w:t>
            </w:r>
            <w:r>
              <w:rPr>
                <w:rFonts w:ascii="Times New Roman" w:hAnsi="Times New Roman" w:cs="Times New Roman"/>
                <w:b/>
                <w:color w:val="auto"/>
                <w:sz w:val="24"/>
                <w:szCs w:val="24"/>
              </w:rPr>
              <w:t>.1 存在的主要问题</w:t>
            </w:r>
          </w:p>
          <w:p>
            <w:pPr>
              <w:pStyle w:val="38"/>
              <w:ind w:firstLine="480"/>
              <w:rPr>
                <w:color w:val="auto"/>
                <w:szCs w:val="21"/>
              </w:rPr>
            </w:pPr>
            <w:r>
              <w:rPr>
                <w:color w:val="auto"/>
                <w:szCs w:val="21"/>
              </w:rPr>
              <w:t>根据调查，目前项目主要存在的问题如下：</w:t>
            </w:r>
          </w:p>
          <w:p>
            <w:pPr>
              <w:pStyle w:val="38"/>
              <w:ind w:firstLine="480"/>
              <w:rPr>
                <w:color w:val="auto"/>
                <w:szCs w:val="21"/>
              </w:rPr>
            </w:pPr>
            <w:r>
              <w:rPr>
                <w:color w:val="auto"/>
                <w:szCs w:val="21"/>
              </w:rPr>
              <w:t>①2号废旧电视机（CRT）处理线废气处理设施的1个破碎区的破碎粉尘收集设施存在维护不到位的情况，使其粉尘无法有效收集和处置。</w:t>
            </w:r>
          </w:p>
          <w:p>
            <w:pPr>
              <w:pStyle w:val="38"/>
              <w:ind w:firstLine="480"/>
              <w:rPr>
                <w:color w:val="auto"/>
                <w:szCs w:val="21"/>
              </w:rPr>
            </w:pPr>
            <w:r>
              <w:rPr>
                <w:color w:val="auto"/>
                <w:szCs w:val="21"/>
              </w:rPr>
              <w:t>②项目针对办公生活区，已配套设置了1个2m³的隔油池、3个5m³的化粪池和1个10m³/d的污水收集池对生活污水进行处理，处理后回用于绿化不外排；但不能稳定达到《城市污水再生利用 城市杂用水水质》（GB/T18920-2020）城市绿化标准。</w:t>
            </w:r>
          </w:p>
          <w:p>
            <w:pPr>
              <w:pStyle w:val="38"/>
              <w:ind w:firstLine="480"/>
              <w:rPr>
                <w:color w:val="auto"/>
                <w:szCs w:val="21"/>
              </w:rPr>
            </w:pPr>
            <w:r>
              <w:rPr>
                <w:color w:val="auto"/>
                <w:szCs w:val="21"/>
              </w:rPr>
              <w:t>③目前项目未考虑厂区初期雨水的收集和处置，不能满足《排污许可证申请与核发技术规范 废弃资源加工工业》（HJ1034-2019）的管理要求。</w:t>
            </w:r>
          </w:p>
          <w:p>
            <w:pPr>
              <w:pStyle w:val="38"/>
              <w:ind w:firstLine="480"/>
              <w:rPr>
                <w:color w:val="auto"/>
                <w:szCs w:val="21"/>
              </w:rPr>
            </w:pPr>
            <w:r>
              <w:rPr>
                <w:color w:val="auto"/>
                <w:szCs w:val="21"/>
              </w:rPr>
              <w:t>④项目排污许可证中排气筒和实际情况不符；且项目现在排气筒存在交叉排放各生产线废气情况，不利于后期管理。</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2.1</w:t>
            </w:r>
            <w:r>
              <w:rPr>
                <w:rFonts w:hint="eastAsia" w:ascii="Times New Roman" w:hAnsi="Times New Roman" w:cs="Times New Roman"/>
                <w:b/>
                <w:color w:val="auto"/>
                <w:sz w:val="24"/>
                <w:szCs w:val="24"/>
              </w:rPr>
              <w:t>2</w:t>
            </w:r>
            <w:r>
              <w:rPr>
                <w:rFonts w:ascii="Times New Roman" w:hAnsi="Times New Roman" w:cs="Times New Roman"/>
                <w:b/>
                <w:color w:val="auto"/>
                <w:sz w:val="24"/>
                <w:szCs w:val="24"/>
              </w:rPr>
              <w:t>.2 整改措施</w:t>
            </w:r>
          </w:p>
          <w:p>
            <w:pPr>
              <w:pStyle w:val="38"/>
              <w:ind w:firstLine="480"/>
              <w:rPr>
                <w:color w:val="auto"/>
                <w:szCs w:val="21"/>
              </w:rPr>
            </w:pPr>
            <w:r>
              <w:rPr>
                <w:color w:val="auto"/>
                <w:szCs w:val="21"/>
              </w:rPr>
              <w:t>①加强对废旧电视机（CRT）处理线废气处理设施的1个破碎区的破碎粉尘收集设施及其他污染物收集和处置设施的检查和维修，确保各污染防治措施可得到合理处置，达标排放。</w:t>
            </w:r>
          </w:p>
          <w:p>
            <w:pPr>
              <w:pStyle w:val="38"/>
              <w:ind w:firstLine="480"/>
              <w:rPr>
                <w:color w:val="auto"/>
                <w:szCs w:val="21"/>
              </w:rPr>
            </w:pPr>
            <w:r>
              <w:rPr>
                <w:color w:val="auto"/>
                <w:szCs w:val="21"/>
              </w:rPr>
              <w:t>②项目拟建设1套处理能力为30m³/d的一体化污水处理设施对生活污水进行处理，生活污水经隔油池、化粪池和一体化污水处理设施处理后，可稳定达到《城市污水再生利用 城市杂用水水质》（GB/T18920-2020）城市绿化标准回用于绿化，不外排。</w:t>
            </w:r>
          </w:p>
          <w:p>
            <w:pPr>
              <w:pStyle w:val="38"/>
              <w:ind w:firstLine="480"/>
              <w:rPr>
                <w:color w:val="auto"/>
                <w:szCs w:val="21"/>
              </w:rPr>
            </w:pPr>
            <w:r>
              <w:rPr>
                <w:color w:val="auto"/>
                <w:szCs w:val="21"/>
              </w:rPr>
              <w:t>③项目拟建设1个30m³的初期雨水收集池，对厂区的初期雨水进行收集；收集沉淀处理后回用于项目区绿化，不外排。</w:t>
            </w:r>
          </w:p>
          <w:p>
            <w:pPr>
              <w:pStyle w:val="38"/>
              <w:ind w:firstLine="480"/>
              <w:rPr>
                <w:color w:val="auto"/>
                <w:szCs w:val="21"/>
              </w:rPr>
            </w:pPr>
            <w:r>
              <w:rPr>
                <w:color w:val="auto"/>
                <w:szCs w:val="21"/>
              </w:rPr>
              <w:t>④项目拟严格按照本次环评要求对排气筒进行整改；整改后项目废旧冰箱处理线废气通过DA001排气筒外排；空调/小家电/废手机及其视听设备消费电子产品处理线废气通过DA002排气筒外排；废旧洗衣机处理线通过DA003排气筒外排；1号废旧电视机（液晶电视）处理线废气通过DA004排气筒外排；2号废旧电视机（CRT）处理线中普通粉尘通过DA005排气筒外排、废旧电视机（CRT）含铅粉尘通过DA006排气筒外排。</w:t>
            </w:r>
          </w:p>
          <w:p>
            <w:pPr>
              <w:pStyle w:val="38"/>
              <w:ind w:firstLine="480"/>
              <w:rPr>
                <w:color w:val="auto"/>
                <w:szCs w:val="21"/>
              </w:rPr>
            </w:pPr>
          </w:p>
          <w:p>
            <w:pPr>
              <w:pStyle w:val="38"/>
              <w:ind w:firstLine="480"/>
              <w:rPr>
                <w:color w:val="auto"/>
                <w:szCs w:val="21"/>
              </w:rPr>
            </w:pPr>
          </w:p>
          <w:p>
            <w:pPr>
              <w:pStyle w:val="38"/>
              <w:ind w:firstLine="480"/>
              <w:rPr>
                <w:color w:val="auto"/>
                <w:szCs w:val="21"/>
              </w:rPr>
            </w:pPr>
          </w:p>
          <w:p>
            <w:pPr>
              <w:pStyle w:val="38"/>
              <w:ind w:firstLine="480"/>
              <w:rPr>
                <w:color w:val="auto"/>
                <w:szCs w:val="21"/>
              </w:rPr>
            </w:pPr>
          </w:p>
          <w:p>
            <w:pPr>
              <w:pStyle w:val="38"/>
              <w:ind w:firstLine="480"/>
              <w:rPr>
                <w:color w:val="auto"/>
                <w:szCs w:val="21"/>
              </w:rPr>
            </w:pPr>
          </w:p>
          <w:p>
            <w:pPr>
              <w:pStyle w:val="38"/>
              <w:ind w:firstLine="480"/>
              <w:rPr>
                <w:color w:val="auto"/>
                <w:szCs w:val="21"/>
              </w:rPr>
            </w:pPr>
          </w:p>
          <w:p>
            <w:pPr>
              <w:pStyle w:val="38"/>
              <w:ind w:firstLine="480"/>
              <w:rPr>
                <w:color w:val="auto"/>
                <w:szCs w:val="21"/>
              </w:rPr>
            </w:pPr>
          </w:p>
          <w:p>
            <w:pPr>
              <w:pStyle w:val="38"/>
              <w:ind w:firstLine="480"/>
              <w:rPr>
                <w:color w:val="auto"/>
                <w:szCs w:val="21"/>
              </w:rPr>
            </w:pPr>
          </w:p>
          <w:p>
            <w:pPr>
              <w:pStyle w:val="38"/>
              <w:ind w:firstLine="480"/>
              <w:rPr>
                <w:color w:val="auto"/>
                <w:szCs w:val="21"/>
              </w:rPr>
            </w:pPr>
          </w:p>
          <w:p>
            <w:pPr>
              <w:pStyle w:val="38"/>
              <w:ind w:firstLine="480"/>
              <w:rPr>
                <w:color w:val="auto"/>
                <w:szCs w:val="21"/>
              </w:rPr>
            </w:pPr>
          </w:p>
          <w:p>
            <w:pPr>
              <w:pStyle w:val="38"/>
              <w:ind w:firstLine="480"/>
              <w:rPr>
                <w:color w:val="auto"/>
                <w:szCs w:val="21"/>
              </w:rPr>
            </w:pPr>
          </w:p>
          <w:p>
            <w:pPr>
              <w:pStyle w:val="38"/>
              <w:ind w:firstLine="480"/>
              <w:rPr>
                <w:color w:val="auto"/>
                <w:szCs w:val="21"/>
              </w:rPr>
            </w:pPr>
          </w:p>
          <w:p>
            <w:pPr>
              <w:pStyle w:val="38"/>
              <w:ind w:firstLine="480"/>
              <w:rPr>
                <w:color w:val="auto"/>
                <w:szCs w:val="21"/>
              </w:rPr>
            </w:pPr>
          </w:p>
          <w:p>
            <w:pPr>
              <w:pStyle w:val="38"/>
              <w:ind w:firstLine="480"/>
              <w:rPr>
                <w:color w:val="auto"/>
                <w:szCs w:val="21"/>
              </w:rPr>
            </w:pPr>
          </w:p>
          <w:p>
            <w:pPr>
              <w:pStyle w:val="38"/>
              <w:ind w:firstLine="480"/>
              <w:rPr>
                <w:color w:val="auto"/>
                <w:szCs w:val="21"/>
              </w:rPr>
            </w:pPr>
          </w:p>
          <w:p>
            <w:pPr>
              <w:pStyle w:val="38"/>
              <w:ind w:firstLine="480"/>
              <w:rPr>
                <w:color w:val="auto"/>
                <w:szCs w:val="21"/>
              </w:rPr>
            </w:pPr>
          </w:p>
          <w:p>
            <w:pPr>
              <w:pStyle w:val="38"/>
              <w:ind w:firstLine="480"/>
              <w:rPr>
                <w:color w:val="auto"/>
                <w:szCs w:val="21"/>
              </w:rPr>
            </w:pPr>
          </w:p>
          <w:p>
            <w:pPr>
              <w:pStyle w:val="38"/>
              <w:ind w:firstLine="480"/>
              <w:rPr>
                <w:color w:val="auto"/>
                <w:szCs w:val="21"/>
              </w:rPr>
            </w:pPr>
          </w:p>
          <w:p>
            <w:pPr>
              <w:pStyle w:val="38"/>
              <w:ind w:firstLine="480"/>
              <w:rPr>
                <w:color w:val="auto"/>
                <w:szCs w:val="24"/>
              </w:rPr>
            </w:pPr>
          </w:p>
        </w:tc>
      </w:tr>
    </w:tbl>
    <w:p>
      <w:pPr>
        <w:spacing w:line="360" w:lineRule="auto"/>
        <w:jc w:val="left"/>
        <w:outlineLvl w:val="0"/>
        <w:rPr>
          <w:rFonts w:ascii="Times New Roman" w:hAnsi="Times New Roman" w:cs="Times New Roman"/>
          <w:b/>
          <w:color w:val="auto"/>
          <w:sz w:val="28"/>
          <w:szCs w:val="20"/>
        </w:rPr>
      </w:pPr>
      <w:r>
        <w:rPr>
          <w:rFonts w:ascii="Times New Roman" w:hAnsi="Times New Roman" w:cs="Times New Roman"/>
          <w:b/>
          <w:color w:val="auto"/>
          <w:sz w:val="28"/>
          <w:szCs w:val="20"/>
        </w:rPr>
        <w:t>三、区域环境质量现状、环境保护目标及评价标准</w:t>
      </w:r>
    </w:p>
    <w:tbl>
      <w:tblPr>
        <w:tblStyle w:val="20"/>
        <w:tblW w:w="9270"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27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270" w:type="dxa"/>
            <w:vAlign w:val="center"/>
          </w:tcPr>
          <w:p>
            <w:pPr>
              <w:spacing w:line="360" w:lineRule="auto"/>
              <w:ind w:firstLine="360" w:firstLineChars="150"/>
              <w:rPr>
                <w:rFonts w:ascii="Times New Roman" w:hAnsi="Times New Roman" w:eastAsia="微软雅黑" w:cs="Times New Roman"/>
                <w:b/>
                <w:color w:val="auto"/>
                <w:sz w:val="24"/>
                <w:szCs w:val="24"/>
              </w:rPr>
            </w:pPr>
            <w:r>
              <w:rPr>
                <w:rFonts w:ascii="Times New Roman" w:hAnsi="Times New Roman" w:eastAsia="微软雅黑" w:cs="Times New Roman"/>
                <w:b/>
                <w:color w:val="auto"/>
                <w:sz w:val="24"/>
                <w:szCs w:val="24"/>
              </w:rPr>
              <w:t>区域环境质量现状</w:t>
            </w:r>
          </w:p>
          <w:p>
            <w:pPr>
              <w:autoSpaceDE w:val="0"/>
              <w:autoSpaceDN w:val="0"/>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3.1 环境质量现状</w:t>
            </w:r>
          </w:p>
          <w:p>
            <w:pPr>
              <w:pStyle w:val="38"/>
              <w:ind w:firstLine="482"/>
              <w:rPr>
                <w:rFonts w:eastAsiaTheme="minorEastAsia"/>
                <w:b/>
                <w:color w:val="auto"/>
                <w:szCs w:val="24"/>
              </w:rPr>
            </w:pPr>
            <w:r>
              <w:rPr>
                <w:rFonts w:eastAsiaTheme="minorEastAsia"/>
                <w:b/>
                <w:color w:val="auto"/>
                <w:szCs w:val="24"/>
              </w:rPr>
              <w:t>3.1.1 环境空气质量现状</w:t>
            </w:r>
          </w:p>
          <w:p>
            <w:pPr>
              <w:pStyle w:val="38"/>
              <w:ind w:firstLine="361" w:firstLineChars="150"/>
              <w:rPr>
                <w:rFonts w:eastAsiaTheme="minorEastAsia"/>
                <w:color w:val="auto"/>
                <w:szCs w:val="24"/>
              </w:rPr>
            </w:pPr>
            <w:r>
              <w:rPr>
                <w:b/>
                <w:color w:val="auto"/>
                <w:szCs w:val="24"/>
              </w:rPr>
              <w:t>（1）常规污染物达标情况</w:t>
            </w:r>
          </w:p>
          <w:p>
            <w:pPr>
              <w:pStyle w:val="38"/>
              <w:ind w:firstLine="480"/>
              <w:rPr>
                <w:rFonts w:eastAsiaTheme="minorEastAsia"/>
                <w:color w:val="auto"/>
                <w:szCs w:val="24"/>
              </w:rPr>
            </w:pPr>
            <w:r>
              <w:rPr>
                <w:rFonts w:eastAsiaTheme="minorEastAsia"/>
                <w:color w:val="auto"/>
                <w:szCs w:val="24"/>
              </w:rPr>
              <w:t>项目位于昆明市东川区再就业特区天生桥特色产业园，属于环境空气二类区，执行《环境空气质量标准》（GB3095-2012）二级标准。该园区属于东川区管辖的异地工业园区，该区域位于寻甸县境内；根据寻甸回族彝族自治县人民政府发布的《2020-02寻甸县监测站空气质量月报表》，2020年2月寻甸县监测站空气质量如下表所示。</w:t>
            </w:r>
          </w:p>
          <w:p>
            <w:pPr>
              <w:pStyle w:val="32"/>
              <w:widowControl/>
              <w:tabs>
                <w:tab w:val="left" w:pos="540"/>
                <w:tab w:val="left" w:pos="851"/>
                <w:tab w:val="left" w:pos="994"/>
                <w:tab w:val="left" w:pos="1260"/>
                <w:tab w:val="left" w:pos="3108"/>
                <w:tab w:val="left" w:pos="3150"/>
              </w:tabs>
              <w:snapToGrid/>
              <w:spacing w:beforeLines="0"/>
              <w:textAlignment w:val="auto"/>
              <w:rPr>
                <w:rFonts w:hAnsi="Times New Roman" w:eastAsia="宋体"/>
                <w:bCs/>
                <w:snapToGrid w:val="0"/>
                <w:color w:val="auto"/>
                <w:sz w:val="21"/>
                <w:szCs w:val="21"/>
              </w:rPr>
            </w:pPr>
            <w:r>
              <w:rPr>
                <w:rFonts w:hAnsi="Times New Roman" w:eastAsia="宋体"/>
                <w:bCs/>
                <w:snapToGrid w:val="0"/>
                <w:color w:val="auto"/>
                <w:sz w:val="21"/>
                <w:szCs w:val="21"/>
              </w:rPr>
              <w:t>表3.1.1-1   2020年2月寻甸县监测站空气质量月报表</w:t>
            </w:r>
          </w:p>
          <w:tbl>
            <w:tblPr>
              <w:tblStyle w:val="19"/>
              <w:tblW w:w="9044" w:type="dxa"/>
              <w:tblInd w:w="0" w:type="dxa"/>
              <w:tblLayout w:type="fixed"/>
              <w:tblCellMar>
                <w:top w:w="0" w:type="dxa"/>
                <w:left w:w="108" w:type="dxa"/>
                <w:bottom w:w="0" w:type="dxa"/>
                <w:right w:w="108" w:type="dxa"/>
              </w:tblCellMar>
            </w:tblPr>
            <w:tblGrid>
              <w:gridCol w:w="927"/>
              <w:gridCol w:w="1190"/>
              <w:gridCol w:w="1190"/>
              <w:gridCol w:w="1488"/>
              <w:gridCol w:w="1489"/>
              <w:gridCol w:w="1338"/>
              <w:gridCol w:w="1422"/>
            </w:tblGrid>
            <w:tr>
              <w:tblPrEx>
                <w:tblLayout w:type="fixed"/>
                <w:tblCellMar>
                  <w:top w:w="0" w:type="dxa"/>
                  <w:left w:w="108" w:type="dxa"/>
                  <w:bottom w:w="0" w:type="dxa"/>
                  <w:right w:w="108" w:type="dxa"/>
                </w:tblCellMar>
              </w:tblPrEx>
              <w:trPr>
                <w:trHeight w:val="282" w:hRule="atLeast"/>
              </w:trPr>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pacing w:line="360" w:lineRule="exact"/>
                    <w:rPr>
                      <w:rFonts w:eastAsiaTheme="minorEastAsia"/>
                      <w:color w:val="auto"/>
                      <w:szCs w:val="21"/>
                      <w:lang w:val="en-US"/>
                    </w:rPr>
                  </w:pPr>
                  <w:r>
                    <w:rPr>
                      <w:rFonts w:eastAsiaTheme="minorEastAsia"/>
                      <w:color w:val="auto"/>
                      <w:szCs w:val="21"/>
                      <w:lang w:val="en-US"/>
                    </w:rPr>
                    <w:t>监测时间</w:t>
                  </w:r>
                </w:p>
              </w:tc>
              <w:tc>
                <w:tcPr>
                  <w:tcW w:w="1190" w:type="dxa"/>
                  <w:tcBorders>
                    <w:top w:val="single" w:color="000000" w:sz="4" w:space="0"/>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SO</w:t>
                  </w:r>
                  <w:r>
                    <w:rPr>
                      <w:rFonts w:eastAsiaTheme="minorEastAsia"/>
                      <w:color w:val="auto"/>
                      <w:szCs w:val="21"/>
                      <w:vertAlign w:val="subscript"/>
                      <w:lang w:val="en-US"/>
                    </w:rPr>
                    <w:t>2</w:t>
                  </w:r>
                </w:p>
                <w:p>
                  <w:pPr>
                    <w:pStyle w:val="30"/>
                    <w:spacing w:line="360" w:lineRule="exact"/>
                    <w:ind w:left="11"/>
                    <w:rPr>
                      <w:rFonts w:eastAsiaTheme="minorEastAsia"/>
                      <w:color w:val="auto"/>
                      <w:szCs w:val="21"/>
                      <w:lang w:val="en-US"/>
                    </w:rPr>
                  </w:pPr>
                  <w:r>
                    <w:rPr>
                      <w:rFonts w:eastAsiaTheme="minorEastAsia"/>
                      <w:color w:val="auto"/>
                      <w:szCs w:val="21"/>
                      <w:lang w:val="en-US"/>
                    </w:rPr>
                    <w:t>（ug/m³）</w:t>
                  </w:r>
                </w:p>
              </w:tc>
              <w:tc>
                <w:tcPr>
                  <w:tcW w:w="1190" w:type="dxa"/>
                  <w:tcBorders>
                    <w:top w:val="single" w:color="000000" w:sz="4" w:space="0"/>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vertAlign w:val="subscript"/>
                      <w:lang w:val="en-US"/>
                    </w:rPr>
                  </w:pPr>
                  <w:r>
                    <w:rPr>
                      <w:rFonts w:eastAsiaTheme="minorEastAsia"/>
                      <w:color w:val="auto"/>
                      <w:szCs w:val="21"/>
                      <w:lang w:val="en-US"/>
                    </w:rPr>
                    <w:t>NO</w:t>
                  </w:r>
                  <w:r>
                    <w:rPr>
                      <w:rFonts w:eastAsiaTheme="minorEastAsia"/>
                      <w:color w:val="auto"/>
                      <w:szCs w:val="21"/>
                      <w:vertAlign w:val="subscript"/>
                      <w:lang w:val="en-US"/>
                    </w:rPr>
                    <w:t>2</w:t>
                  </w:r>
                </w:p>
                <w:p>
                  <w:pPr>
                    <w:pStyle w:val="30"/>
                    <w:spacing w:line="360" w:lineRule="exact"/>
                    <w:ind w:left="11"/>
                    <w:rPr>
                      <w:rFonts w:eastAsiaTheme="minorEastAsia"/>
                      <w:color w:val="auto"/>
                      <w:szCs w:val="21"/>
                      <w:lang w:val="en-US"/>
                    </w:rPr>
                  </w:pPr>
                  <w:r>
                    <w:rPr>
                      <w:rFonts w:eastAsiaTheme="minorEastAsia"/>
                      <w:color w:val="auto"/>
                      <w:szCs w:val="21"/>
                      <w:lang w:val="en-US"/>
                    </w:rPr>
                    <w:t>（ug/m³）</w:t>
                  </w:r>
                </w:p>
              </w:tc>
              <w:tc>
                <w:tcPr>
                  <w:tcW w:w="1488" w:type="dxa"/>
                  <w:tcBorders>
                    <w:top w:val="single" w:color="000000" w:sz="4" w:space="0"/>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CO</w:t>
                  </w:r>
                </w:p>
                <w:p>
                  <w:pPr>
                    <w:pStyle w:val="30"/>
                    <w:spacing w:line="360" w:lineRule="exact"/>
                    <w:ind w:left="11"/>
                    <w:rPr>
                      <w:rFonts w:eastAsiaTheme="minorEastAsia"/>
                      <w:color w:val="auto"/>
                      <w:szCs w:val="21"/>
                      <w:lang w:val="en-US"/>
                    </w:rPr>
                  </w:pPr>
                  <w:r>
                    <w:rPr>
                      <w:rFonts w:eastAsiaTheme="minorEastAsia"/>
                      <w:color w:val="auto"/>
                      <w:szCs w:val="21"/>
                      <w:lang w:val="en-US"/>
                    </w:rPr>
                    <w:t>（mg/m³）</w:t>
                  </w:r>
                </w:p>
              </w:tc>
              <w:tc>
                <w:tcPr>
                  <w:tcW w:w="1489" w:type="dxa"/>
                  <w:tcBorders>
                    <w:top w:val="single" w:color="000000" w:sz="4" w:space="0"/>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O</w:t>
                  </w:r>
                  <w:r>
                    <w:rPr>
                      <w:rFonts w:eastAsiaTheme="minorEastAsia"/>
                      <w:color w:val="auto"/>
                      <w:szCs w:val="21"/>
                      <w:vertAlign w:val="subscript"/>
                      <w:lang w:val="en-US"/>
                    </w:rPr>
                    <w:t>3</w:t>
                  </w:r>
                  <w:r>
                    <w:rPr>
                      <w:rFonts w:eastAsiaTheme="minorEastAsia"/>
                      <w:color w:val="auto"/>
                      <w:szCs w:val="21"/>
                      <w:lang w:val="en-US"/>
                    </w:rPr>
                    <w:t>-8h</w:t>
                  </w:r>
                </w:p>
                <w:p>
                  <w:pPr>
                    <w:pStyle w:val="30"/>
                    <w:spacing w:line="360" w:lineRule="exact"/>
                    <w:ind w:left="11"/>
                    <w:rPr>
                      <w:rFonts w:eastAsiaTheme="minorEastAsia"/>
                      <w:color w:val="auto"/>
                      <w:szCs w:val="21"/>
                      <w:lang w:val="en-US"/>
                    </w:rPr>
                  </w:pPr>
                  <w:r>
                    <w:rPr>
                      <w:rFonts w:eastAsiaTheme="minorEastAsia"/>
                      <w:color w:val="auto"/>
                      <w:szCs w:val="21"/>
                      <w:lang w:val="en-US"/>
                    </w:rPr>
                    <w:t>（ug/m³）</w:t>
                  </w:r>
                </w:p>
              </w:tc>
              <w:tc>
                <w:tcPr>
                  <w:tcW w:w="1338" w:type="dxa"/>
                  <w:tcBorders>
                    <w:top w:val="single" w:color="000000" w:sz="4" w:space="0"/>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vertAlign w:val="subscript"/>
                      <w:lang w:val="en-US"/>
                    </w:rPr>
                  </w:pPr>
                  <w:r>
                    <w:rPr>
                      <w:rFonts w:eastAsiaTheme="minorEastAsia"/>
                      <w:color w:val="auto"/>
                      <w:szCs w:val="21"/>
                      <w:lang w:val="en-US"/>
                    </w:rPr>
                    <w:t>PM</w:t>
                  </w:r>
                  <w:r>
                    <w:rPr>
                      <w:rFonts w:eastAsiaTheme="minorEastAsia"/>
                      <w:color w:val="auto"/>
                      <w:szCs w:val="21"/>
                      <w:vertAlign w:val="subscript"/>
                      <w:lang w:val="en-US"/>
                    </w:rPr>
                    <w:t>10</w:t>
                  </w:r>
                </w:p>
                <w:p>
                  <w:pPr>
                    <w:pStyle w:val="30"/>
                    <w:spacing w:line="360" w:lineRule="exact"/>
                    <w:ind w:left="11"/>
                    <w:rPr>
                      <w:rFonts w:eastAsiaTheme="minorEastAsia"/>
                      <w:color w:val="auto"/>
                      <w:szCs w:val="21"/>
                      <w:lang w:val="en-US"/>
                    </w:rPr>
                  </w:pPr>
                  <w:r>
                    <w:rPr>
                      <w:rFonts w:eastAsiaTheme="minorEastAsia"/>
                      <w:color w:val="auto"/>
                      <w:szCs w:val="21"/>
                      <w:lang w:val="en-US"/>
                    </w:rPr>
                    <w:t>（ug/m³）</w:t>
                  </w:r>
                </w:p>
              </w:tc>
              <w:tc>
                <w:tcPr>
                  <w:tcW w:w="1422" w:type="dxa"/>
                  <w:tcBorders>
                    <w:top w:val="single" w:color="000000" w:sz="4" w:space="0"/>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PM</w:t>
                  </w:r>
                  <w:r>
                    <w:rPr>
                      <w:rFonts w:eastAsiaTheme="minorEastAsia"/>
                      <w:color w:val="auto"/>
                      <w:szCs w:val="21"/>
                      <w:vertAlign w:val="subscript"/>
                      <w:lang w:val="en-US"/>
                    </w:rPr>
                    <w:t>2.5</w:t>
                  </w:r>
                  <w:r>
                    <w:rPr>
                      <w:rFonts w:eastAsiaTheme="minorEastAsia"/>
                      <w:color w:val="auto"/>
                      <w:szCs w:val="21"/>
                      <w:lang w:val="en-US"/>
                    </w:rPr>
                    <w:t>（ug/m³）</w:t>
                  </w:r>
                </w:p>
              </w:tc>
            </w:tr>
            <w:tr>
              <w:tblPrEx>
                <w:tblLayout w:type="fixed"/>
                <w:tblCellMar>
                  <w:top w:w="0" w:type="dxa"/>
                  <w:left w:w="108" w:type="dxa"/>
                  <w:bottom w:w="0" w:type="dxa"/>
                  <w:right w:w="108" w:type="dxa"/>
                </w:tblCellMar>
              </w:tblPrEx>
              <w:trPr>
                <w:trHeight w:val="300" w:hRule="atLeast"/>
              </w:trPr>
              <w:tc>
                <w:tcPr>
                  <w:tcW w:w="927"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02-01</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8</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10</w:t>
                  </w:r>
                </w:p>
              </w:tc>
              <w:tc>
                <w:tcPr>
                  <w:tcW w:w="148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0.6</w:t>
                  </w:r>
                </w:p>
              </w:tc>
              <w:tc>
                <w:tcPr>
                  <w:tcW w:w="1489"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86</w:t>
                  </w:r>
                </w:p>
              </w:tc>
              <w:tc>
                <w:tcPr>
                  <w:tcW w:w="133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34</w:t>
                  </w:r>
                </w:p>
              </w:tc>
              <w:tc>
                <w:tcPr>
                  <w:tcW w:w="1422"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32</w:t>
                  </w:r>
                </w:p>
              </w:tc>
            </w:tr>
            <w:tr>
              <w:tblPrEx>
                <w:tblLayout w:type="fixed"/>
                <w:tblCellMar>
                  <w:top w:w="0" w:type="dxa"/>
                  <w:left w:w="108" w:type="dxa"/>
                  <w:bottom w:w="0" w:type="dxa"/>
                  <w:right w:w="108" w:type="dxa"/>
                </w:tblCellMar>
              </w:tblPrEx>
              <w:trPr>
                <w:trHeight w:val="300" w:hRule="atLeast"/>
              </w:trPr>
              <w:tc>
                <w:tcPr>
                  <w:tcW w:w="927"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02-02</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10</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10</w:t>
                  </w:r>
                </w:p>
              </w:tc>
              <w:tc>
                <w:tcPr>
                  <w:tcW w:w="148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0.5</w:t>
                  </w:r>
                </w:p>
              </w:tc>
              <w:tc>
                <w:tcPr>
                  <w:tcW w:w="1489"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88</w:t>
                  </w:r>
                </w:p>
              </w:tc>
              <w:tc>
                <w:tcPr>
                  <w:tcW w:w="133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40</w:t>
                  </w:r>
                </w:p>
              </w:tc>
              <w:tc>
                <w:tcPr>
                  <w:tcW w:w="1422"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31</w:t>
                  </w:r>
                </w:p>
              </w:tc>
            </w:tr>
            <w:tr>
              <w:tblPrEx>
                <w:tblLayout w:type="fixed"/>
                <w:tblCellMar>
                  <w:top w:w="0" w:type="dxa"/>
                  <w:left w:w="108" w:type="dxa"/>
                  <w:bottom w:w="0" w:type="dxa"/>
                  <w:right w:w="108" w:type="dxa"/>
                </w:tblCellMar>
              </w:tblPrEx>
              <w:trPr>
                <w:trHeight w:val="300" w:hRule="atLeast"/>
              </w:trPr>
              <w:tc>
                <w:tcPr>
                  <w:tcW w:w="927"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02-03</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6</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12</w:t>
                  </w:r>
                </w:p>
              </w:tc>
              <w:tc>
                <w:tcPr>
                  <w:tcW w:w="148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1.0</w:t>
                  </w:r>
                </w:p>
              </w:tc>
              <w:tc>
                <w:tcPr>
                  <w:tcW w:w="1489"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52</w:t>
                  </w:r>
                </w:p>
              </w:tc>
              <w:tc>
                <w:tcPr>
                  <w:tcW w:w="133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33</w:t>
                  </w:r>
                </w:p>
              </w:tc>
              <w:tc>
                <w:tcPr>
                  <w:tcW w:w="1422"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25</w:t>
                  </w:r>
                </w:p>
              </w:tc>
            </w:tr>
            <w:tr>
              <w:tblPrEx>
                <w:tblLayout w:type="fixed"/>
                <w:tblCellMar>
                  <w:top w:w="0" w:type="dxa"/>
                  <w:left w:w="108" w:type="dxa"/>
                  <w:bottom w:w="0" w:type="dxa"/>
                  <w:right w:w="108" w:type="dxa"/>
                </w:tblCellMar>
              </w:tblPrEx>
              <w:trPr>
                <w:trHeight w:val="300" w:hRule="atLeast"/>
              </w:trPr>
              <w:tc>
                <w:tcPr>
                  <w:tcW w:w="927"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02-04</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10</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13</w:t>
                  </w:r>
                </w:p>
              </w:tc>
              <w:tc>
                <w:tcPr>
                  <w:tcW w:w="148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0.8</w:t>
                  </w:r>
                </w:p>
              </w:tc>
              <w:tc>
                <w:tcPr>
                  <w:tcW w:w="1489"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92</w:t>
                  </w:r>
                </w:p>
              </w:tc>
              <w:tc>
                <w:tcPr>
                  <w:tcW w:w="133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45</w:t>
                  </w:r>
                </w:p>
              </w:tc>
              <w:tc>
                <w:tcPr>
                  <w:tcW w:w="1422"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43</w:t>
                  </w:r>
                </w:p>
              </w:tc>
            </w:tr>
            <w:tr>
              <w:tblPrEx>
                <w:tblLayout w:type="fixed"/>
                <w:tblCellMar>
                  <w:top w:w="0" w:type="dxa"/>
                  <w:left w:w="108" w:type="dxa"/>
                  <w:bottom w:w="0" w:type="dxa"/>
                  <w:right w:w="108" w:type="dxa"/>
                </w:tblCellMar>
              </w:tblPrEx>
              <w:trPr>
                <w:trHeight w:val="300" w:hRule="atLeast"/>
              </w:trPr>
              <w:tc>
                <w:tcPr>
                  <w:tcW w:w="927"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02-05</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8</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11</w:t>
                  </w:r>
                </w:p>
              </w:tc>
              <w:tc>
                <w:tcPr>
                  <w:tcW w:w="148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0.7</w:t>
                  </w:r>
                </w:p>
              </w:tc>
              <w:tc>
                <w:tcPr>
                  <w:tcW w:w="1489"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102</w:t>
                  </w:r>
                </w:p>
              </w:tc>
              <w:tc>
                <w:tcPr>
                  <w:tcW w:w="133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37</w:t>
                  </w:r>
                </w:p>
              </w:tc>
              <w:tc>
                <w:tcPr>
                  <w:tcW w:w="1422"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29</w:t>
                  </w:r>
                </w:p>
              </w:tc>
            </w:tr>
            <w:tr>
              <w:tblPrEx>
                <w:tblLayout w:type="fixed"/>
                <w:tblCellMar>
                  <w:top w:w="0" w:type="dxa"/>
                  <w:left w:w="108" w:type="dxa"/>
                  <w:bottom w:w="0" w:type="dxa"/>
                  <w:right w:w="108" w:type="dxa"/>
                </w:tblCellMar>
              </w:tblPrEx>
              <w:trPr>
                <w:trHeight w:val="300" w:hRule="atLeast"/>
              </w:trPr>
              <w:tc>
                <w:tcPr>
                  <w:tcW w:w="927"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02-06</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7</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9</w:t>
                  </w:r>
                </w:p>
              </w:tc>
              <w:tc>
                <w:tcPr>
                  <w:tcW w:w="148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0.5</w:t>
                  </w:r>
                </w:p>
              </w:tc>
              <w:tc>
                <w:tcPr>
                  <w:tcW w:w="1489"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92</w:t>
                  </w:r>
                </w:p>
              </w:tc>
              <w:tc>
                <w:tcPr>
                  <w:tcW w:w="133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30</w:t>
                  </w:r>
                </w:p>
              </w:tc>
              <w:tc>
                <w:tcPr>
                  <w:tcW w:w="1422"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28</w:t>
                  </w:r>
                </w:p>
              </w:tc>
            </w:tr>
            <w:tr>
              <w:tblPrEx>
                <w:tblLayout w:type="fixed"/>
                <w:tblCellMar>
                  <w:top w:w="0" w:type="dxa"/>
                  <w:left w:w="108" w:type="dxa"/>
                  <w:bottom w:w="0" w:type="dxa"/>
                  <w:right w:w="108" w:type="dxa"/>
                </w:tblCellMar>
              </w:tblPrEx>
              <w:trPr>
                <w:trHeight w:val="300" w:hRule="atLeast"/>
              </w:trPr>
              <w:tc>
                <w:tcPr>
                  <w:tcW w:w="927"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02-07</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9</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12</w:t>
                  </w:r>
                </w:p>
              </w:tc>
              <w:tc>
                <w:tcPr>
                  <w:tcW w:w="148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0.7</w:t>
                  </w:r>
                </w:p>
              </w:tc>
              <w:tc>
                <w:tcPr>
                  <w:tcW w:w="1489"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104</w:t>
                  </w:r>
                </w:p>
              </w:tc>
              <w:tc>
                <w:tcPr>
                  <w:tcW w:w="133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41</w:t>
                  </w:r>
                </w:p>
              </w:tc>
              <w:tc>
                <w:tcPr>
                  <w:tcW w:w="1422"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34</w:t>
                  </w:r>
                </w:p>
              </w:tc>
            </w:tr>
            <w:tr>
              <w:tblPrEx>
                <w:tblLayout w:type="fixed"/>
                <w:tblCellMar>
                  <w:top w:w="0" w:type="dxa"/>
                  <w:left w:w="108" w:type="dxa"/>
                  <w:bottom w:w="0" w:type="dxa"/>
                  <w:right w:w="108" w:type="dxa"/>
                </w:tblCellMar>
              </w:tblPrEx>
              <w:trPr>
                <w:trHeight w:val="300" w:hRule="atLeast"/>
              </w:trPr>
              <w:tc>
                <w:tcPr>
                  <w:tcW w:w="927"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02-08</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8</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12</w:t>
                  </w:r>
                </w:p>
              </w:tc>
              <w:tc>
                <w:tcPr>
                  <w:tcW w:w="148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0.8</w:t>
                  </w:r>
                </w:p>
              </w:tc>
              <w:tc>
                <w:tcPr>
                  <w:tcW w:w="1489"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86</w:t>
                  </w:r>
                </w:p>
              </w:tc>
              <w:tc>
                <w:tcPr>
                  <w:tcW w:w="133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40</w:t>
                  </w:r>
                </w:p>
              </w:tc>
              <w:tc>
                <w:tcPr>
                  <w:tcW w:w="1422"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39</w:t>
                  </w:r>
                </w:p>
              </w:tc>
            </w:tr>
            <w:tr>
              <w:tblPrEx>
                <w:tblLayout w:type="fixed"/>
                <w:tblCellMar>
                  <w:top w:w="0" w:type="dxa"/>
                  <w:left w:w="108" w:type="dxa"/>
                  <w:bottom w:w="0" w:type="dxa"/>
                  <w:right w:w="108" w:type="dxa"/>
                </w:tblCellMar>
              </w:tblPrEx>
              <w:trPr>
                <w:trHeight w:val="300" w:hRule="atLeast"/>
              </w:trPr>
              <w:tc>
                <w:tcPr>
                  <w:tcW w:w="927"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02-09</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6</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11</w:t>
                  </w:r>
                </w:p>
              </w:tc>
              <w:tc>
                <w:tcPr>
                  <w:tcW w:w="148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1.2</w:t>
                  </w:r>
                </w:p>
              </w:tc>
              <w:tc>
                <w:tcPr>
                  <w:tcW w:w="1489"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26</w:t>
                  </w:r>
                </w:p>
              </w:tc>
              <w:tc>
                <w:tcPr>
                  <w:tcW w:w="133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26</w:t>
                  </w:r>
                </w:p>
              </w:tc>
              <w:tc>
                <w:tcPr>
                  <w:tcW w:w="1422"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21</w:t>
                  </w:r>
                </w:p>
              </w:tc>
            </w:tr>
            <w:tr>
              <w:tblPrEx>
                <w:tblLayout w:type="fixed"/>
                <w:tblCellMar>
                  <w:top w:w="0" w:type="dxa"/>
                  <w:left w:w="108" w:type="dxa"/>
                  <w:bottom w:w="0" w:type="dxa"/>
                  <w:right w:w="108" w:type="dxa"/>
                </w:tblCellMar>
              </w:tblPrEx>
              <w:trPr>
                <w:trHeight w:val="300" w:hRule="atLeast"/>
              </w:trPr>
              <w:tc>
                <w:tcPr>
                  <w:tcW w:w="927"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02-10</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7</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9</w:t>
                  </w:r>
                </w:p>
              </w:tc>
              <w:tc>
                <w:tcPr>
                  <w:tcW w:w="148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0.9</w:t>
                  </w:r>
                </w:p>
              </w:tc>
              <w:tc>
                <w:tcPr>
                  <w:tcW w:w="1489"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71</w:t>
                  </w:r>
                </w:p>
              </w:tc>
              <w:tc>
                <w:tcPr>
                  <w:tcW w:w="133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24</w:t>
                  </w:r>
                </w:p>
              </w:tc>
              <w:tc>
                <w:tcPr>
                  <w:tcW w:w="1422"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18</w:t>
                  </w:r>
                </w:p>
              </w:tc>
            </w:tr>
            <w:tr>
              <w:tblPrEx>
                <w:tblLayout w:type="fixed"/>
                <w:tblCellMar>
                  <w:top w:w="0" w:type="dxa"/>
                  <w:left w:w="108" w:type="dxa"/>
                  <w:bottom w:w="0" w:type="dxa"/>
                  <w:right w:w="108" w:type="dxa"/>
                </w:tblCellMar>
              </w:tblPrEx>
              <w:trPr>
                <w:trHeight w:val="300" w:hRule="atLeast"/>
              </w:trPr>
              <w:tc>
                <w:tcPr>
                  <w:tcW w:w="927"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02-11</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6</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7</w:t>
                  </w:r>
                </w:p>
              </w:tc>
              <w:tc>
                <w:tcPr>
                  <w:tcW w:w="148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0.6</w:t>
                  </w:r>
                </w:p>
              </w:tc>
              <w:tc>
                <w:tcPr>
                  <w:tcW w:w="1489"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105</w:t>
                  </w:r>
                </w:p>
              </w:tc>
              <w:tc>
                <w:tcPr>
                  <w:tcW w:w="133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28</w:t>
                  </w:r>
                </w:p>
              </w:tc>
              <w:tc>
                <w:tcPr>
                  <w:tcW w:w="1422"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23</w:t>
                  </w:r>
                </w:p>
              </w:tc>
            </w:tr>
            <w:tr>
              <w:tblPrEx>
                <w:tblLayout w:type="fixed"/>
                <w:tblCellMar>
                  <w:top w:w="0" w:type="dxa"/>
                  <w:left w:w="108" w:type="dxa"/>
                  <w:bottom w:w="0" w:type="dxa"/>
                  <w:right w:w="108" w:type="dxa"/>
                </w:tblCellMar>
              </w:tblPrEx>
              <w:trPr>
                <w:trHeight w:val="300" w:hRule="atLeast"/>
              </w:trPr>
              <w:tc>
                <w:tcPr>
                  <w:tcW w:w="927"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02-12</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8</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11</w:t>
                  </w:r>
                </w:p>
              </w:tc>
              <w:tc>
                <w:tcPr>
                  <w:tcW w:w="148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0.6</w:t>
                  </w:r>
                </w:p>
              </w:tc>
              <w:tc>
                <w:tcPr>
                  <w:tcW w:w="1489"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89</w:t>
                  </w:r>
                </w:p>
              </w:tc>
              <w:tc>
                <w:tcPr>
                  <w:tcW w:w="133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22</w:t>
                  </w:r>
                </w:p>
              </w:tc>
              <w:tc>
                <w:tcPr>
                  <w:tcW w:w="1422"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18</w:t>
                  </w:r>
                </w:p>
              </w:tc>
            </w:tr>
            <w:tr>
              <w:tblPrEx>
                <w:tblLayout w:type="fixed"/>
                <w:tblCellMar>
                  <w:top w:w="0" w:type="dxa"/>
                  <w:left w:w="108" w:type="dxa"/>
                  <w:bottom w:w="0" w:type="dxa"/>
                  <w:right w:w="108" w:type="dxa"/>
                </w:tblCellMar>
              </w:tblPrEx>
              <w:trPr>
                <w:trHeight w:val="300" w:hRule="atLeast"/>
              </w:trPr>
              <w:tc>
                <w:tcPr>
                  <w:tcW w:w="927"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02-13</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8</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10</w:t>
                  </w:r>
                </w:p>
              </w:tc>
              <w:tc>
                <w:tcPr>
                  <w:tcW w:w="148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0.6</w:t>
                  </w:r>
                </w:p>
              </w:tc>
              <w:tc>
                <w:tcPr>
                  <w:tcW w:w="1489"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96</w:t>
                  </w:r>
                </w:p>
              </w:tc>
              <w:tc>
                <w:tcPr>
                  <w:tcW w:w="133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25</w:t>
                  </w:r>
                </w:p>
              </w:tc>
              <w:tc>
                <w:tcPr>
                  <w:tcW w:w="1422"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19</w:t>
                  </w:r>
                </w:p>
              </w:tc>
            </w:tr>
            <w:tr>
              <w:tblPrEx>
                <w:tblLayout w:type="fixed"/>
                <w:tblCellMar>
                  <w:top w:w="0" w:type="dxa"/>
                  <w:left w:w="108" w:type="dxa"/>
                  <w:bottom w:w="0" w:type="dxa"/>
                  <w:right w:w="108" w:type="dxa"/>
                </w:tblCellMar>
              </w:tblPrEx>
              <w:trPr>
                <w:trHeight w:val="300" w:hRule="atLeast"/>
              </w:trPr>
              <w:tc>
                <w:tcPr>
                  <w:tcW w:w="927"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02-14</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8</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12</w:t>
                  </w:r>
                </w:p>
              </w:tc>
              <w:tc>
                <w:tcPr>
                  <w:tcW w:w="148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0.6</w:t>
                  </w:r>
                </w:p>
              </w:tc>
              <w:tc>
                <w:tcPr>
                  <w:tcW w:w="1489"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109</w:t>
                  </w:r>
                </w:p>
              </w:tc>
              <w:tc>
                <w:tcPr>
                  <w:tcW w:w="133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33</w:t>
                  </w:r>
                </w:p>
              </w:tc>
              <w:tc>
                <w:tcPr>
                  <w:tcW w:w="1422"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32</w:t>
                  </w:r>
                </w:p>
              </w:tc>
            </w:tr>
            <w:tr>
              <w:tblPrEx>
                <w:tblLayout w:type="fixed"/>
                <w:tblCellMar>
                  <w:top w:w="0" w:type="dxa"/>
                  <w:left w:w="108" w:type="dxa"/>
                  <w:bottom w:w="0" w:type="dxa"/>
                  <w:right w:w="108" w:type="dxa"/>
                </w:tblCellMar>
              </w:tblPrEx>
              <w:trPr>
                <w:trHeight w:val="300" w:hRule="atLeast"/>
              </w:trPr>
              <w:tc>
                <w:tcPr>
                  <w:tcW w:w="927"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02-15</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6</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8</w:t>
                  </w:r>
                </w:p>
              </w:tc>
              <w:tc>
                <w:tcPr>
                  <w:tcW w:w="148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0.7</w:t>
                  </w:r>
                </w:p>
              </w:tc>
              <w:tc>
                <w:tcPr>
                  <w:tcW w:w="1489"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71</w:t>
                  </w:r>
                </w:p>
              </w:tc>
              <w:tc>
                <w:tcPr>
                  <w:tcW w:w="133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35</w:t>
                  </w:r>
                </w:p>
              </w:tc>
              <w:tc>
                <w:tcPr>
                  <w:tcW w:w="1422"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27</w:t>
                  </w:r>
                </w:p>
              </w:tc>
            </w:tr>
            <w:tr>
              <w:tblPrEx>
                <w:tblLayout w:type="fixed"/>
                <w:tblCellMar>
                  <w:top w:w="0" w:type="dxa"/>
                  <w:left w:w="108" w:type="dxa"/>
                  <w:bottom w:w="0" w:type="dxa"/>
                  <w:right w:w="108" w:type="dxa"/>
                </w:tblCellMar>
              </w:tblPrEx>
              <w:trPr>
                <w:trHeight w:val="300" w:hRule="atLeast"/>
              </w:trPr>
              <w:tc>
                <w:tcPr>
                  <w:tcW w:w="927"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02-16</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7</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9</w:t>
                  </w:r>
                </w:p>
              </w:tc>
              <w:tc>
                <w:tcPr>
                  <w:tcW w:w="148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0.7</w:t>
                  </w:r>
                </w:p>
              </w:tc>
              <w:tc>
                <w:tcPr>
                  <w:tcW w:w="1489"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75</w:t>
                  </w:r>
                </w:p>
              </w:tc>
              <w:tc>
                <w:tcPr>
                  <w:tcW w:w="133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35</w:t>
                  </w:r>
                </w:p>
              </w:tc>
              <w:tc>
                <w:tcPr>
                  <w:tcW w:w="1422"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23</w:t>
                  </w:r>
                </w:p>
              </w:tc>
            </w:tr>
            <w:tr>
              <w:tblPrEx>
                <w:tblLayout w:type="fixed"/>
                <w:tblCellMar>
                  <w:top w:w="0" w:type="dxa"/>
                  <w:left w:w="108" w:type="dxa"/>
                  <w:bottom w:w="0" w:type="dxa"/>
                  <w:right w:w="108" w:type="dxa"/>
                </w:tblCellMar>
              </w:tblPrEx>
              <w:trPr>
                <w:trHeight w:val="300" w:hRule="atLeast"/>
              </w:trPr>
              <w:tc>
                <w:tcPr>
                  <w:tcW w:w="927"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02-17</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6</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14</w:t>
                  </w:r>
                </w:p>
              </w:tc>
              <w:tc>
                <w:tcPr>
                  <w:tcW w:w="148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0.9</w:t>
                  </w:r>
                </w:p>
              </w:tc>
              <w:tc>
                <w:tcPr>
                  <w:tcW w:w="1489"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47</w:t>
                  </w:r>
                </w:p>
              </w:tc>
              <w:tc>
                <w:tcPr>
                  <w:tcW w:w="133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51</w:t>
                  </w:r>
                </w:p>
              </w:tc>
              <w:tc>
                <w:tcPr>
                  <w:tcW w:w="1422"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45</w:t>
                  </w:r>
                </w:p>
              </w:tc>
            </w:tr>
            <w:tr>
              <w:tblPrEx>
                <w:tblLayout w:type="fixed"/>
                <w:tblCellMar>
                  <w:top w:w="0" w:type="dxa"/>
                  <w:left w:w="108" w:type="dxa"/>
                  <w:bottom w:w="0" w:type="dxa"/>
                  <w:right w:w="108" w:type="dxa"/>
                </w:tblCellMar>
              </w:tblPrEx>
              <w:trPr>
                <w:trHeight w:val="300" w:hRule="atLeast"/>
              </w:trPr>
              <w:tc>
                <w:tcPr>
                  <w:tcW w:w="927"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02-18</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5</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15</w:t>
                  </w:r>
                </w:p>
              </w:tc>
              <w:tc>
                <w:tcPr>
                  <w:tcW w:w="148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0.9</w:t>
                  </w:r>
                </w:p>
              </w:tc>
              <w:tc>
                <w:tcPr>
                  <w:tcW w:w="1489"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45</w:t>
                  </w:r>
                </w:p>
              </w:tc>
              <w:tc>
                <w:tcPr>
                  <w:tcW w:w="133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56</w:t>
                  </w:r>
                </w:p>
              </w:tc>
              <w:tc>
                <w:tcPr>
                  <w:tcW w:w="1422"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53</w:t>
                  </w:r>
                </w:p>
              </w:tc>
            </w:tr>
            <w:tr>
              <w:tblPrEx>
                <w:tblLayout w:type="fixed"/>
                <w:tblCellMar>
                  <w:top w:w="0" w:type="dxa"/>
                  <w:left w:w="108" w:type="dxa"/>
                  <w:bottom w:w="0" w:type="dxa"/>
                  <w:right w:w="108" w:type="dxa"/>
                </w:tblCellMar>
              </w:tblPrEx>
              <w:trPr>
                <w:trHeight w:val="300" w:hRule="atLeast"/>
              </w:trPr>
              <w:tc>
                <w:tcPr>
                  <w:tcW w:w="927"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02-19</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7</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13</w:t>
                  </w:r>
                </w:p>
              </w:tc>
              <w:tc>
                <w:tcPr>
                  <w:tcW w:w="148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0.8</w:t>
                  </w:r>
                </w:p>
              </w:tc>
              <w:tc>
                <w:tcPr>
                  <w:tcW w:w="1489"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91</w:t>
                  </w:r>
                </w:p>
              </w:tc>
              <w:tc>
                <w:tcPr>
                  <w:tcW w:w="133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46</w:t>
                  </w:r>
                </w:p>
              </w:tc>
              <w:tc>
                <w:tcPr>
                  <w:tcW w:w="1422"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47</w:t>
                  </w:r>
                </w:p>
              </w:tc>
            </w:tr>
            <w:tr>
              <w:tblPrEx>
                <w:tblLayout w:type="fixed"/>
                <w:tblCellMar>
                  <w:top w:w="0" w:type="dxa"/>
                  <w:left w:w="108" w:type="dxa"/>
                  <w:bottom w:w="0" w:type="dxa"/>
                  <w:right w:w="108" w:type="dxa"/>
                </w:tblCellMar>
              </w:tblPrEx>
              <w:trPr>
                <w:trHeight w:val="300" w:hRule="atLeast"/>
              </w:trPr>
              <w:tc>
                <w:tcPr>
                  <w:tcW w:w="927"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02-20</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8</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16</w:t>
                  </w:r>
                </w:p>
              </w:tc>
              <w:tc>
                <w:tcPr>
                  <w:tcW w:w="148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0.8</w:t>
                  </w:r>
                </w:p>
              </w:tc>
              <w:tc>
                <w:tcPr>
                  <w:tcW w:w="1489"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106</w:t>
                  </w:r>
                </w:p>
              </w:tc>
              <w:tc>
                <w:tcPr>
                  <w:tcW w:w="133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50</w:t>
                  </w:r>
                </w:p>
              </w:tc>
              <w:tc>
                <w:tcPr>
                  <w:tcW w:w="1422"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44</w:t>
                  </w:r>
                </w:p>
              </w:tc>
            </w:tr>
            <w:tr>
              <w:tblPrEx>
                <w:tblLayout w:type="fixed"/>
                <w:tblCellMar>
                  <w:top w:w="0" w:type="dxa"/>
                  <w:left w:w="108" w:type="dxa"/>
                  <w:bottom w:w="0" w:type="dxa"/>
                  <w:right w:w="108" w:type="dxa"/>
                </w:tblCellMar>
              </w:tblPrEx>
              <w:trPr>
                <w:trHeight w:val="300" w:hRule="atLeast"/>
              </w:trPr>
              <w:tc>
                <w:tcPr>
                  <w:tcW w:w="927"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02-21</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7</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14</w:t>
                  </w:r>
                </w:p>
              </w:tc>
              <w:tc>
                <w:tcPr>
                  <w:tcW w:w="148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0.9</w:t>
                  </w:r>
                </w:p>
              </w:tc>
              <w:tc>
                <w:tcPr>
                  <w:tcW w:w="1489"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106</w:t>
                  </w:r>
                </w:p>
              </w:tc>
              <w:tc>
                <w:tcPr>
                  <w:tcW w:w="133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62</w:t>
                  </w:r>
                </w:p>
              </w:tc>
              <w:tc>
                <w:tcPr>
                  <w:tcW w:w="1422"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56</w:t>
                  </w:r>
                </w:p>
              </w:tc>
            </w:tr>
            <w:tr>
              <w:tblPrEx>
                <w:tblLayout w:type="fixed"/>
                <w:tblCellMar>
                  <w:top w:w="0" w:type="dxa"/>
                  <w:left w:w="108" w:type="dxa"/>
                  <w:bottom w:w="0" w:type="dxa"/>
                  <w:right w:w="108" w:type="dxa"/>
                </w:tblCellMar>
              </w:tblPrEx>
              <w:trPr>
                <w:trHeight w:val="300" w:hRule="atLeast"/>
              </w:trPr>
              <w:tc>
                <w:tcPr>
                  <w:tcW w:w="927"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02-22</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7</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11</w:t>
                  </w:r>
                </w:p>
              </w:tc>
              <w:tc>
                <w:tcPr>
                  <w:tcW w:w="148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0.8</w:t>
                  </w:r>
                </w:p>
              </w:tc>
              <w:tc>
                <w:tcPr>
                  <w:tcW w:w="1489"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105</w:t>
                  </w:r>
                </w:p>
              </w:tc>
              <w:tc>
                <w:tcPr>
                  <w:tcW w:w="133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50</w:t>
                  </w:r>
                </w:p>
              </w:tc>
              <w:tc>
                <w:tcPr>
                  <w:tcW w:w="1422"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46</w:t>
                  </w:r>
                </w:p>
              </w:tc>
            </w:tr>
            <w:tr>
              <w:tblPrEx>
                <w:tblLayout w:type="fixed"/>
                <w:tblCellMar>
                  <w:top w:w="0" w:type="dxa"/>
                  <w:left w:w="108" w:type="dxa"/>
                  <w:bottom w:w="0" w:type="dxa"/>
                  <w:right w:w="108" w:type="dxa"/>
                </w:tblCellMar>
              </w:tblPrEx>
              <w:trPr>
                <w:trHeight w:val="300" w:hRule="atLeast"/>
              </w:trPr>
              <w:tc>
                <w:tcPr>
                  <w:tcW w:w="927"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02-23</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9</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12</w:t>
                  </w:r>
                </w:p>
              </w:tc>
              <w:tc>
                <w:tcPr>
                  <w:tcW w:w="148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0.8</w:t>
                  </w:r>
                </w:p>
              </w:tc>
              <w:tc>
                <w:tcPr>
                  <w:tcW w:w="1489"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106</w:t>
                  </w:r>
                </w:p>
              </w:tc>
              <w:tc>
                <w:tcPr>
                  <w:tcW w:w="133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54</w:t>
                  </w:r>
                </w:p>
              </w:tc>
              <w:tc>
                <w:tcPr>
                  <w:tcW w:w="1422"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45</w:t>
                  </w:r>
                </w:p>
              </w:tc>
            </w:tr>
            <w:tr>
              <w:tblPrEx>
                <w:tblLayout w:type="fixed"/>
                <w:tblCellMar>
                  <w:top w:w="0" w:type="dxa"/>
                  <w:left w:w="108" w:type="dxa"/>
                  <w:bottom w:w="0" w:type="dxa"/>
                  <w:right w:w="108" w:type="dxa"/>
                </w:tblCellMar>
              </w:tblPrEx>
              <w:trPr>
                <w:trHeight w:val="300" w:hRule="atLeast"/>
              </w:trPr>
              <w:tc>
                <w:tcPr>
                  <w:tcW w:w="927"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02-24</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7</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13</w:t>
                  </w:r>
                </w:p>
              </w:tc>
              <w:tc>
                <w:tcPr>
                  <w:tcW w:w="148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0.8</w:t>
                  </w:r>
                </w:p>
              </w:tc>
              <w:tc>
                <w:tcPr>
                  <w:tcW w:w="1489"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100</w:t>
                  </w:r>
                </w:p>
              </w:tc>
              <w:tc>
                <w:tcPr>
                  <w:tcW w:w="133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42</w:t>
                  </w:r>
                </w:p>
              </w:tc>
              <w:tc>
                <w:tcPr>
                  <w:tcW w:w="1422"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43</w:t>
                  </w:r>
                </w:p>
              </w:tc>
            </w:tr>
            <w:tr>
              <w:tblPrEx>
                <w:tblLayout w:type="fixed"/>
                <w:tblCellMar>
                  <w:top w:w="0" w:type="dxa"/>
                  <w:left w:w="108" w:type="dxa"/>
                  <w:bottom w:w="0" w:type="dxa"/>
                  <w:right w:w="108" w:type="dxa"/>
                </w:tblCellMar>
              </w:tblPrEx>
              <w:trPr>
                <w:trHeight w:val="300" w:hRule="atLeast"/>
              </w:trPr>
              <w:tc>
                <w:tcPr>
                  <w:tcW w:w="927"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02-25</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9</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13</w:t>
                  </w:r>
                </w:p>
              </w:tc>
              <w:tc>
                <w:tcPr>
                  <w:tcW w:w="148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0.6</w:t>
                  </w:r>
                </w:p>
              </w:tc>
              <w:tc>
                <w:tcPr>
                  <w:tcW w:w="1489"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103</w:t>
                  </w:r>
                </w:p>
              </w:tc>
              <w:tc>
                <w:tcPr>
                  <w:tcW w:w="133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34</w:t>
                  </w:r>
                </w:p>
              </w:tc>
              <w:tc>
                <w:tcPr>
                  <w:tcW w:w="1422"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26</w:t>
                  </w:r>
                </w:p>
              </w:tc>
            </w:tr>
            <w:tr>
              <w:tblPrEx>
                <w:tblLayout w:type="fixed"/>
                <w:tblCellMar>
                  <w:top w:w="0" w:type="dxa"/>
                  <w:left w:w="108" w:type="dxa"/>
                  <w:bottom w:w="0" w:type="dxa"/>
                  <w:right w:w="108" w:type="dxa"/>
                </w:tblCellMar>
              </w:tblPrEx>
              <w:trPr>
                <w:trHeight w:val="300" w:hRule="atLeast"/>
              </w:trPr>
              <w:tc>
                <w:tcPr>
                  <w:tcW w:w="927"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02-26</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9</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15</w:t>
                  </w:r>
                </w:p>
              </w:tc>
              <w:tc>
                <w:tcPr>
                  <w:tcW w:w="148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0.7</w:t>
                  </w:r>
                </w:p>
              </w:tc>
              <w:tc>
                <w:tcPr>
                  <w:tcW w:w="1489"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101</w:t>
                  </w:r>
                </w:p>
              </w:tc>
              <w:tc>
                <w:tcPr>
                  <w:tcW w:w="133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42</w:t>
                  </w:r>
                </w:p>
              </w:tc>
              <w:tc>
                <w:tcPr>
                  <w:tcW w:w="1422"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40</w:t>
                  </w:r>
                </w:p>
              </w:tc>
            </w:tr>
            <w:tr>
              <w:tblPrEx>
                <w:tblLayout w:type="fixed"/>
                <w:tblCellMar>
                  <w:top w:w="0" w:type="dxa"/>
                  <w:left w:w="108" w:type="dxa"/>
                  <w:bottom w:w="0" w:type="dxa"/>
                  <w:right w:w="108" w:type="dxa"/>
                </w:tblCellMar>
              </w:tblPrEx>
              <w:trPr>
                <w:trHeight w:val="300" w:hRule="atLeast"/>
              </w:trPr>
              <w:tc>
                <w:tcPr>
                  <w:tcW w:w="927"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02-27</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9</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16</w:t>
                  </w:r>
                </w:p>
              </w:tc>
              <w:tc>
                <w:tcPr>
                  <w:tcW w:w="148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1.0</w:t>
                  </w:r>
                </w:p>
              </w:tc>
              <w:tc>
                <w:tcPr>
                  <w:tcW w:w="1489"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123</w:t>
                  </w:r>
                </w:p>
              </w:tc>
              <w:tc>
                <w:tcPr>
                  <w:tcW w:w="133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70</w:t>
                  </w:r>
                </w:p>
              </w:tc>
              <w:tc>
                <w:tcPr>
                  <w:tcW w:w="1422"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62</w:t>
                  </w:r>
                </w:p>
              </w:tc>
            </w:tr>
            <w:tr>
              <w:tblPrEx>
                <w:tblLayout w:type="fixed"/>
                <w:tblCellMar>
                  <w:top w:w="0" w:type="dxa"/>
                  <w:left w:w="108" w:type="dxa"/>
                  <w:bottom w:w="0" w:type="dxa"/>
                  <w:right w:w="108" w:type="dxa"/>
                </w:tblCellMar>
              </w:tblPrEx>
              <w:trPr>
                <w:trHeight w:val="300" w:hRule="atLeast"/>
              </w:trPr>
              <w:tc>
                <w:tcPr>
                  <w:tcW w:w="927"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02-28</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7</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16</w:t>
                  </w:r>
                </w:p>
              </w:tc>
              <w:tc>
                <w:tcPr>
                  <w:tcW w:w="148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0.9</w:t>
                  </w:r>
                </w:p>
              </w:tc>
              <w:tc>
                <w:tcPr>
                  <w:tcW w:w="1489"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83</w:t>
                  </w:r>
                </w:p>
              </w:tc>
              <w:tc>
                <w:tcPr>
                  <w:tcW w:w="133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46</w:t>
                  </w:r>
                </w:p>
              </w:tc>
              <w:tc>
                <w:tcPr>
                  <w:tcW w:w="1422"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43</w:t>
                  </w:r>
                </w:p>
              </w:tc>
            </w:tr>
            <w:tr>
              <w:tblPrEx>
                <w:tblLayout w:type="fixed"/>
                <w:tblCellMar>
                  <w:top w:w="0" w:type="dxa"/>
                  <w:left w:w="108" w:type="dxa"/>
                  <w:bottom w:w="0" w:type="dxa"/>
                  <w:right w:w="108" w:type="dxa"/>
                </w:tblCellMar>
              </w:tblPrEx>
              <w:trPr>
                <w:trHeight w:val="300" w:hRule="atLeast"/>
              </w:trPr>
              <w:tc>
                <w:tcPr>
                  <w:tcW w:w="927"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02-29</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7</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16</w:t>
                  </w:r>
                </w:p>
              </w:tc>
              <w:tc>
                <w:tcPr>
                  <w:tcW w:w="148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0.7</w:t>
                  </w:r>
                </w:p>
              </w:tc>
              <w:tc>
                <w:tcPr>
                  <w:tcW w:w="1489"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103</w:t>
                  </w:r>
                </w:p>
              </w:tc>
              <w:tc>
                <w:tcPr>
                  <w:tcW w:w="133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39</w:t>
                  </w:r>
                </w:p>
              </w:tc>
              <w:tc>
                <w:tcPr>
                  <w:tcW w:w="1422"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35</w:t>
                  </w:r>
                </w:p>
              </w:tc>
            </w:tr>
            <w:tr>
              <w:tblPrEx>
                <w:tblLayout w:type="fixed"/>
                <w:tblCellMar>
                  <w:top w:w="0" w:type="dxa"/>
                  <w:left w:w="108" w:type="dxa"/>
                  <w:bottom w:w="0" w:type="dxa"/>
                  <w:right w:w="108" w:type="dxa"/>
                </w:tblCellMar>
              </w:tblPrEx>
              <w:trPr>
                <w:trHeight w:val="300" w:hRule="atLeast"/>
              </w:trPr>
              <w:tc>
                <w:tcPr>
                  <w:tcW w:w="927"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标准值</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150</w:t>
                  </w:r>
                </w:p>
              </w:tc>
              <w:tc>
                <w:tcPr>
                  <w:tcW w:w="1190"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80</w:t>
                  </w:r>
                </w:p>
              </w:tc>
              <w:tc>
                <w:tcPr>
                  <w:tcW w:w="148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4</w:t>
                  </w:r>
                </w:p>
              </w:tc>
              <w:tc>
                <w:tcPr>
                  <w:tcW w:w="1489"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160</w:t>
                  </w:r>
                </w:p>
              </w:tc>
              <w:tc>
                <w:tcPr>
                  <w:tcW w:w="133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150</w:t>
                  </w:r>
                </w:p>
              </w:tc>
              <w:tc>
                <w:tcPr>
                  <w:tcW w:w="1422"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75</w:t>
                  </w:r>
                </w:p>
              </w:tc>
            </w:tr>
          </w:tbl>
          <w:p>
            <w:pPr>
              <w:pStyle w:val="38"/>
              <w:spacing w:beforeLines="50"/>
              <w:ind w:firstLine="480"/>
              <w:rPr>
                <w:rFonts w:eastAsiaTheme="minorEastAsia"/>
                <w:color w:val="auto"/>
                <w:szCs w:val="24"/>
              </w:rPr>
            </w:pPr>
            <w:r>
              <w:rPr>
                <w:rFonts w:eastAsiaTheme="minorEastAsia"/>
                <w:color w:val="auto"/>
                <w:szCs w:val="24"/>
              </w:rPr>
              <w:t>由上表可知，寻甸县2020年2月环境空气质量可达到《环境空气质量标准》（GB3095-2012）二级标准。因此该项目位于环境空气质量达标区。</w:t>
            </w:r>
          </w:p>
          <w:p>
            <w:pPr>
              <w:autoSpaceDE w:val="0"/>
              <w:autoSpaceDN w:val="0"/>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（2）特征污染物达标情况</w:t>
            </w:r>
          </w:p>
          <w:p>
            <w:pPr>
              <w:pStyle w:val="38"/>
              <w:ind w:firstLine="480"/>
              <w:rPr>
                <w:color w:val="auto"/>
                <w:szCs w:val="24"/>
              </w:rPr>
            </w:pPr>
            <w:r>
              <w:rPr>
                <w:color w:val="auto"/>
                <w:szCs w:val="24"/>
              </w:rPr>
              <w:t>根据项目特点，本项目排放的特征污染物为TSP、铅及其化合物、汞及其化合物，但具有国家标准的特征污染物为TSP、铅及其化合物，根据建设单位委托中佰科技（云南）有限公司出具的《云南华再新源环保产业发展有限公司自行监测（2021年上半年）报告》，根据中佰科技（云南）有限公司于2021年5月21日对厂区上风向进行颗粒物、铅及其化合物进行了监测，其监测结果如下表所示。</w:t>
            </w:r>
          </w:p>
          <w:p>
            <w:pPr>
              <w:pStyle w:val="32"/>
              <w:widowControl/>
              <w:tabs>
                <w:tab w:val="left" w:pos="540"/>
                <w:tab w:val="left" w:pos="851"/>
                <w:tab w:val="left" w:pos="994"/>
                <w:tab w:val="left" w:pos="1260"/>
                <w:tab w:val="left" w:pos="3108"/>
                <w:tab w:val="left" w:pos="3150"/>
              </w:tabs>
              <w:snapToGrid/>
              <w:spacing w:beforeLines="0"/>
              <w:textAlignment w:val="auto"/>
              <w:rPr>
                <w:rFonts w:hAnsi="Times New Roman" w:eastAsia="宋体"/>
                <w:bCs/>
                <w:snapToGrid w:val="0"/>
                <w:color w:val="auto"/>
                <w:sz w:val="21"/>
                <w:szCs w:val="21"/>
              </w:rPr>
            </w:pPr>
            <w:r>
              <w:rPr>
                <w:rFonts w:hAnsi="Times New Roman" w:eastAsia="宋体"/>
                <w:bCs/>
                <w:snapToGrid w:val="0"/>
                <w:color w:val="auto"/>
                <w:sz w:val="21"/>
                <w:szCs w:val="21"/>
              </w:rPr>
              <w:t>表3.1.1-2   特征污染物环境质量现状一览表 mg/m³</w:t>
            </w:r>
          </w:p>
          <w:tbl>
            <w:tblPr>
              <w:tblStyle w:val="19"/>
              <w:tblW w:w="90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1490"/>
              <w:gridCol w:w="2152"/>
              <w:gridCol w:w="1818"/>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44" w:type="dxa"/>
                  <w:tcBorders>
                    <w:top w:val="single" w:color="auto" w:sz="4" w:space="0"/>
                    <w:left w:val="single" w:color="auto" w:sz="4" w:space="0"/>
                    <w:right w:val="single" w:color="auto" w:sz="4" w:space="0"/>
                  </w:tcBorders>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监测点位</w:t>
                  </w:r>
                </w:p>
              </w:tc>
              <w:tc>
                <w:tcPr>
                  <w:tcW w:w="3642" w:type="dxa"/>
                  <w:gridSpan w:val="2"/>
                  <w:tcBorders>
                    <w:top w:val="single" w:color="auto" w:sz="4" w:space="0"/>
                    <w:left w:val="single" w:color="auto" w:sz="4" w:space="0"/>
                    <w:right w:val="single" w:color="auto" w:sz="4" w:space="0"/>
                  </w:tcBorders>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采样时间</w:t>
                  </w:r>
                </w:p>
              </w:tc>
              <w:tc>
                <w:tcPr>
                  <w:tcW w:w="1818" w:type="dxa"/>
                  <w:tcBorders>
                    <w:top w:val="single" w:color="auto" w:sz="4" w:space="0"/>
                    <w:left w:val="nil"/>
                    <w:bottom w:val="single" w:color="auto" w:sz="4" w:space="0"/>
                    <w:right w:val="single" w:color="auto" w:sz="4" w:space="0"/>
                  </w:tcBorders>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颗粒物</w:t>
                  </w:r>
                </w:p>
              </w:tc>
              <w:tc>
                <w:tcPr>
                  <w:tcW w:w="2440" w:type="dxa"/>
                  <w:tcBorders>
                    <w:top w:val="single" w:color="auto" w:sz="4" w:space="0"/>
                    <w:left w:val="nil"/>
                    <w:bottom w:val="single" w:color="auto" w:sz="4" w:space="0"/>
                    <w:right w:val="single" w:color="auto" w:sz="4" w:space="0"/>
                  </w:tcBorders>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铅及其化合物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44" w:type="dxa"/>
                  <w:vMerge w:val="restart"/>
                  <w:tcBorders>
                    <w:top w:val="single" w:color="auto" w:sz="4" w:space="0"/>
                    <w:left w:val="single" w:color="auto" w:sz="4" w:space="0"/>
                    <w:right w:val="single" w:color="auto" w:sz="4" w:space="0"/>
                  </w:tcBorders>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厂界上风向</w:t>
                  </w:r>
                </w:p>
              </w:tc>
              <w:tc>
                <w:tcPr>
                  <w:tcW w:w="1490" w:type="dxa"/>
                  <w:vMerge w:val="restart"/>
                  <w:tcBorders>
                    <w:top w:val="single" w:color="auto" w:sz="4" w:space="0"/>
                    <w:left w:val="single" w:color="auto" w:sz="4" w:space="0"/>
                    <w:right w:val="single" w:color="auto" w:sz="4" w:space="0"/>
                  </w:tcBorders>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2021/05/21</w:t>
                  </w:r>
                </w:p>
              </w:tc>
              <w:tc>
                <w:tcPr>
                  <w:tcW w:w="2152"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08：00-09：00</w:t>
                  </w:r>
                </w:p>
              </w:tc>
              <w:tc>
                <w:tcPr>
                  <w:tcW w:w="1818" w:type="dxa"/>
                  <w:tcBorders>
                    <w:top w:val="single" w:color="auto" w:sz="4" w:space="0"/>
                    <w:left w:val="nil"/>
                    <w:bottom w:val="single" w:color="auto" w:sz="4" w:space="0"/>
                    <w:right w:val="single" w:color="auto" w:sz="4" w:space="0"/>
                  </w:tcBorders>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0.199</w:t>
                  </w:r>
                </w:p>
              </w:tc>
              <w:tc>
                <w:tcPr>
                  <w:tcW w:w="2440" w:type="dxa"/>
                  <w:tcBorders>
                    <w:top w:val="single" w:color="auto" w:sz="4" w:space="0"/>
                    <w:left w:val="nil"/>
                    <w:bottom w:val="single" w:color="auto" w:sz="4" w:space="0"/>
                    <w:right w:val="single" w:color="auto" w:sz="4" w:space="0"/>
                  </w:tcBorders>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6×10</w:t>
                  </w:r>
                  <w:r>
                    <w:rPr>
                      <w:rFonts w:eastAsiaTheme="minorEastAsia"/>
                      <w:color w:val="auto"/>
                      <w:szCs w:val="21"/>
                      <w:vertAlign w:val="superscript"/>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44" w:type="dxa"/>
                  <w:vMerge w:val="continue"/>
                  <w:tcBorders>
                    <w:left w:val="single" w:color="auto" w:sz="4" w:space="0"/>
                    <w:right w:val="single" w:color="auto" w:sz="4" w:space="0"/>
                  </w:tcBorders>
                  <w:vAlign w:val="center"/>
                </w:tcPr>
                <w:p>
                  <w:pPr>
                    <w:pStyle w:val="30"/>
                    <w:spacing w:line="360" w:lineRule="exact"/>
                    <w:ind w:left="11"/>
                    <w:rPr>
                      <w:rFonts w:eastAsiaTheme="minorEastAsia"/>
                      <w:color w:val="auto"/>
                      <w:szCs w:val="21"/>
                      <w:lang w:val="en-US"/>
                    </w:rPr>
                  </w:pPr>
                </w:p>
              </w:tc>
              <w:tc>
                <w:tcPr>
                  <w:tcW w:w="1490" w:type="dxa"/>
                  <w:vMerge w:val="continue"/>
                  <w:tcBorders>
                    <w:left w:val="single" w:color="auto" w:sz="4" w:space="0"/>
                    <w:right w:val="single" w:color="auto" w:sz="4" w:space="0"/>
                  </w:tcBorders>
                  <w:vAlign w:val="center"/>
                </w:tcPr>
                <w:p>
                  <w:pPr>
                    <w:pStyle w:val="30"/>
                    <w:spacing w:line="360" w:lineRule="exact"/>
                    <w:ind w:left="11"/>
                    <w:rPr>
                      <w:rFonts w:eastAsiaTheme="minorEastAsia"/>
                      <w:color w:val="auto"/>
                      <w:szCs w:val="21"/>
                      <w:lang w:val="en-US"/>
                    </w:rPr>
                  </w:pPr>
                </w:p>
              </w:tc>
              <w:tc>
                <w:tcPr>
                  <w:tcW w:w="2152"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12：00-13：00</w:t>
                  </w:r>
                </w:p>
              </w:tc>
              <w:tc>
                <w:tcPr>
                  <w:tcW w:w="1818" w:type="dxa"/>
                  <w:tcBorders>
                    <w:top w:val="single" w:color="auto" w:sz="4" w:space="0"/>
                    <w:left w:val="nil"/>
                    <w:bottom w:val="single" w:color="auto" w:sz="4" w:space="0"/>
                    <w:right w:val="single" w:color="auto" w:sz="4" w:space="0"/>
                  </w:tcBorders>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0.185</w:t>
                  </w:r>
                </w:p>
              </w:tc>
              <w:tc>
                <w:tcPr>
                  <w:tcW w:w="2440" w:type="dxa"/>
                  <w:tcBorders>
                    <w:top w:val="single" w:color="auto" w:sz="4" w:space="0"/>
                    <w:left w:val="nil"/>
                    <w:bottom w:val="single" w:color="auto" w:sz="4" w:space="0"/>
                    <w:right w:val="single" w:color="auto" w:sz="4" w:space="0"/>
                  </w:tcBorders>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7×10</w:t>
                  </w:r>
                  <w:r>
                    <w:rPr>
                      <w:rFonts w:eastAsiaTheme="minorEastAsia"/>
                      <w:color w:val="auto"/>
                      <w:szCs w:val="21"/>
                      <w:vertAlign w:val="superscript"/>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44" w:type="dxa"/>
                  <w:vMerge w:val="continue"/>
                  <w:tcBorders>
                    <w:left w:val="single" w:color="auto" w:sz="4" w:space="0"/>
                    <w:right w:val="single" w:color="auto" w:sz="4" w:space="0"/>
                  </w:tcBorders>
                  <w:vAlign w:val="center"/>
                </w:tcPr>
                <w:p>
                  <w:pPr>
                    <w:pStyle w:val="30"/>
                    <w:spacing w:line="360" w:lineRule="exact"/>
                    <w:ind w:left="11"/>
                    <w:rPr>
                      <w:rFonts w:eastAsiaTheme="minorEastAsia"/>
                      <w:color w:val="auto"/>
                      <w:szCs w:val="21"/>
                      <w:lang w:val="en-US"/>
                    </w:rPr>
                  </w:pPr>
                </w:p>
              </w:tc>
              <w:tc>
                <w:tcPr>
                  <w:tcW w:w="1490" w:type="dxa"/>
                  <w:vMerge w:val="continue"/>
                  <w:tcBorders>
                    <w:left w:val="single" w:color="auto" w:sz="4" w:space="0"/>
                    <w:right w:val="single" w:color="auto" w:sz="4" w:space="0"/>
                  </w:tcBorders>
                  <w:vAlign w:val="center"/>
                </w:tcPr>
                <w:p>
                  <w:pPr>
                    <w:pStyle w:val="30"/>
                    <w:spacing w:line="360" w:lineRule="exact"/>
                    <w:ind w:left="11"/>
                    <w:rPr>
                      <w:rFonts w:eastAsiaTheme="minorEastAsia"/>
                      <w:color w:val="auto"/>
                      <w:szCs w:val="21"/>
                      <w:lang w:val="en-US"/>
                    </w:rPr>
                  </w:pPr>
                </w:p>
              </w:tc>
              <w:tc>
                <w:tcPr>
                  <w:tcW w:w="2152"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16：00-17：00</w:t>
                  </w:r>
                </w:p>
              </w:tc>
              <w:tc>
                <w:tcPr>
                  <w:tcW w:w="1818" w:type="dxa"/>
                  <w:tcBorders>
                    <w:top w:val="single" w:color="auto" w:sz="4" w:space="0"/>
                    <w:left w:val="nil"/>
                    <w:bottom w:val="single" w:color="auto" w:sz="4" w:space="0"/>
                    <w:right w:val="single" w:color="auto" w:sz="4" w:space="0"/>
                  </w:tcBorders>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0.234</w:t>
                  </w:r>
                </w:p>
              </w:tc>
              <w:tc>
                <w:tcPr>
                  <w:tcW w:w="2440" w:type="dxa"/>
                  <w:tcBorders>
                    <w:top w:val="single" w:color="auto" w:sz="4" w:space="0"/>
                    <w:left w:val="nil"/>
                    <w:bottom w:val="single" w:color="auto" w:sz="4" w:space="0"/>
                    <w:right w:val="single" w:color="auto" w:sz="4" w:space="0"/>
                  </w:tcBorders>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8×10</w:t>
                  </w:r>
                  <w:r>
                    <w:rPr>
                      <w:rFonts w:eastAsiaTheme="minorEastAsia"/>
                      <w:color w:val="auto"/>
                      <w:szCs w:val="21"/>
                      <w:vertAlign w:val="superscript"/>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786" w:type="dxa"/>
                  <w:gridSpan w:val="3"/>
                  <w:tcBorders>
                    <w:left w:val="single" w:color="auto" w:sz="4" w:space="0"/>
                    <w:right w:val="single" w:color="auto" w:sz="4" w:space="0"/>
                  </w:tcBorders>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标准</w:t>
                  </w:r>
                </w:p>
              </w:tc>
              <w:tc>
                <w:tcPr>
                  <w:tcW w:w="1818" w:type="dxa"/>
                  <w:tcBorders>
                    <w:top w:val="single" w:color="auto" w:sz="4" w:space="0"/>
                    <w:left w:val="nil"/>
                    <w:bottom w:val="single" w:color="auto" w:sz="4" w:space="0"/>
                    <w:right w:val="single" w:color="auto" w:sz="4" w:space="0"/>
                  </w:tcBorders>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0.3</w:t>
                  </w:r>
                </w:p>
              </w:tc>
              <w:tc>
                <w:tcPr>
                  <w:tcW w:w="2440" w:type="dxa"/>
                  <w:tcBorders>
                    <w:top w:val="single" w:color="auto" w:sz="4" w:space="0"/>
                    <w:left w:val="nil"/>
                    <w:bottom w:val="single" w:color="auto" w:sz="4" w:space="0"/>
                    <w:right w:val="single" w:color="auto" w:sz="4" w:space="0"/>
                  </w:tcBorders>
                  <w:vAlign w:val="center"/>
                </w:tcPr>
                <w:p>
                  <w:pPr>
                    <w:pStyle w:val="30"/>
                    <w:spacing w:line="360" w:lineRule="exact"/>
                    <w:ind w:left="11"/>
                    <w:rPr>
                      <w:rFonts w:eastAsiaTheme="minorEastAsia"/>
                      <w:color w:val="auto"/>
                      <w:szCs w:val="21"/>
                      <w:lang w:val="en-US"/>
                    </w:rPr>
                  </w:pPr>
                  <w:r>
                    <w:rPr>
                      <w:rFonts w:eastAsiaTheme="minorEastAsia"/>
                      <w:color w:val="auto"/>
                      <w:szCs w:val="21"/>
                      <w:lang w:val="en-US"/>
                    </w:rPr>
                    <w:t>0.001（季平均值）</w:t>
                  </w:r>
                </w:p>
              </w:tc>
            </w:tr>
          </w:tbl>
          <w:p>
            <w:pPr>
              <w:pStyle w:val="38"/>
              <w:spacing w:beforeLines="50"/>
              <w:ind w:firstLine="480"/>
              <w:rPr>
                <w:color w:val="auto"/>
                <w:szCs w:val="24"/>
              </w:rPr>
            </w:pPr>
            <w:r>
              <w:rPr>
                <w:color w:val="auto"/>
                <w:szCs w:val="24"/>
              </w:rPr>
              <w:t>由上表可知，项目区域TSP、铅及其化合物</w:t>
            </w:r>
            <w:r>
              <w:rPr>
                <w:rFonts w:eastAsiaTheme="minorEastAsia"/>
                <w:color w:val="auto"/>
                <w:szCs w:val="24"/>
              </w:rPr>
              <w:t>可达到《环境空气质量标准》（GB3095-2012）二级标准。</w:t>
            </w:r>
          </w:p>
          <w:p>
            <w:pPr>
              <w:pStyle w:val="38"/>
              <w:ind w:firstLine="482"/>
              <w:rPr>
                <w:rFonts w:eastAsiaTheme="minorEastAsia"/>
                <w:b/>
                <w:color w:val="auto"/>
                <w:szCs w:val="24"/>
              </w:rPr>
            </w:pPr>
            <w:r>
              <w:rPr>
                <w:rFonts w:eastAsiaTheme="minorEastAsia"/>
                <w:b/>
                <w:color w:val="auto"/>
                <w:szCs w:val="24"/>
              </w:rPr>
              <w:t>3.1.2 地表水环境质量现状</w:t>
            </w:r>
          </w:p>
          <w:p>
            <w:pPr>
              <w:pStyle w:val="38"/>
              <w:ind w:firstLine="480"/>
              <w:rPr>
                <w:color w:val="auto"/>
                <w:szCs w:val="24"/>
              </w:rPr>
            </w:pPr>
            <w:r>
              <w:rPr>
                <w:color w:val="auto"/>
                <w:szCs w:val="24"/>
              </w:rPr>
              <w:t>项目所在区域属于黑泥沟的汇水范围，该沟渠位于项目北侧648m处，黑泥沟地表水通过甸头大河最终汇入小江，甸头大河为小江（清水海-入金沙江口段）的支流，区域地表水最终汇集于小江；根据云南省水利厅发布的《云南省水功能区划》（2014版），小江（清水海-入金沙江口段）到2030年的水质目标为III类水体，执行《地表水环境质量标准》（GB3838-2002）</w:t>
            </w:r>
            <w:r>
              <w:rPr>
                <w:color w:val="auto"/>
                <w:szCs w:val="24"/>
              </w:rPr>
              <w:fldChar w:fldCharType="begin"/>
            </w:r>
            <w:r>
              <w:rPr>
                <w:color w:val="auto"/>
                <w:szCs w:val="24"/>
              </w:rPr>
              <w:instrText xml:space="preserve"> = 3 \* ROMAN </w:instrText>
            </w:r>
            <w:r>
              <w:rPr>
                <w:color w:val="auto"/>
                <w:szCs w:val="24"/>
              </w:rPr>
              <w:fldChar w:fldCharType="separate"/>
            </w:r>
            <w:r>
              <w:rPr>
                <w:color w:val="auto"/>
                <w:szCs w:val="24"/>
              </w:rPr>
              <w:t>II</w:t>
            </w:r>
            <w:r>
              <w:rPr>
                <w:color w:val="auto"/>
                <w:szCs w:val="24"/>
              </w:rPr>
              <w:fldChar w:fldCharType="end"/>
            </w:r>
            <w:r>
              <w:rPr>
                <w:color w:val="auto"/>
                <w:szCs w:val="24"/>
              </w:rPr>
              <w:t>I类标准。黑泥沟、甸头大河均无环境功能区划，根据水功能区划原则，参照执行小江河段的功能区划，亦执行《地表水环境质量标准》（GB3838-2002）III类水标准。</w:t>
            </w:r>
          </w:p>
          <w:p>
            <w:pPr>
              <w:pStyle w:val="38"/>
              <w:ind w:firstLine="480"/>
              <w:rPr>
                <w:color w:val="auto"/>
                <w:szCs w:val="24"/>
              </w:rPr>
            </w:pPr>
            <w:r>
              <w:rPr>
                <w:color w:val="auto"/>
                <w:szCs w:val="24"/>
              </w:rPr>
              <w:t>在环评编制期间，收集了东川区监测站2019年12月对小江姑海断面的环境现状监测统计数据，如下表所示。</w:t>
            </w:r>
          </w:p>
          <w:p>
            <w:pPr>
              <w:pStyle w:val="32"/>
              <w:widowControl/>
              <w:tabs>
                <w:tab w:val="left" w:pos="540"/>
                <w:tab w:val="left" w:pos="851"/>
                <w:tab w:val="left" w:pos="994"/>
                <w:tab w:val="left" w:pos="1260"/>
                <w:tab w:val="left" w:pos="3108"/>
                <w:tab w:val="left" w:pos="3150"/>
              </w:tabs>
              <w:snapToGrid/>
              <w:spacing w:beforeLines="0"/>
              <w:textAlignment w:val="auto"/>
              <w:rPr>
                <w:rFonts w:hAnsi="Times New Roman" w:eastAsia="宋体"/>
                <w:bCs/>
                <w:snapToGrid w:val="0"/>
                <w:color w:val="auto"/>
                <w:sz w:val="21"/>
                <w:szCs w:val="21"/>
              </w:rPr>
            </w:pPr>
            <w:r>
              <w:rPr>
                <w:rFonts w:hAnsi="Times New Roman" w:eastAsia="宋体"/>
                <w:bCs/>
                <w:snapToGrid w:val="0"/>
                <w:color w:val="auto"/>
                <w:sz w:val="21"/>
                <w:szCs w:val="21"/>
              </w:rPr>
              <w:t>表3.1.2-1 小江姑海断面水质检测结果一览表   单位：mg/L</w:t>
            </w:r>
          </w:p>
          <w:tbl>
            <w:tblPr>
              <w:tblStyle w:val="19"/>
              <w:tblW w:w="9044" w:type="dxa"/>
              <w:jc w:val="center"/>
              <w:tblInd w:w="0" w:type="dxa"/>
              <w:tblLayout w:type="fixed"/>
              <w:tblCellMar>
                <w:top w:w="0" w:type="dxa"/>
                <w:left w:w="108" w:type="dxa"/>
                <w:bottom w:w="0" w:type="dxa"/>
                <w:right w:w="108" w:type="dxa"/>
              </w:tblCellMar>
            </w:tblPr>
            <w:tblGrid>
              <w:gridCol w:w="1198"/>
              <w:gridCol w:w="2137"/>
              <w:gridCol w:w="1960"/>
              <w:gridCol w:w="1716"/>
              <w:gridCol w:w="2033"/>
            </w:tblGrid>
            <w:tr>
              <w:tblPrEx>
                <w:tblLayout w:type="fixed"/>
                <w:tblCellMar>
                  <w:top w:w="0" w:type="dxa"/>
                  <w:left w:w="108" w:type="dxa"/>
                  <w:bottom w:w="0" w:type="dxa"/>
                  <w:right w:w="108" w:type="dxa"/>
                </w:tblCellMar>
              </w:tblPrEx>
              <w:trPr>
                <w:trHeight w:val="148"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auto"/>
                      <w:szCs w:val="21"/>
                    </w:rPr>
                  </w:pPr>
                  <w:r>
                    <w:rPr>
                      <w:color w:val="auto"/>
                      <w:szCs w:val="21"/>
                    </w:rPr>
                    <w:t>序号</w:t>
                  </w:r>
                </w:p>
              </w:tc>
              <w:tc>
                <w:tcPr>
                  <w:tcW w:w="2137"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监测项目</w:t>
                  </w:r>
                </w:p>
              </w:tc>
              <w:tc>
                <w:tcPr>
                  <w:tcW w:w="1960"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姑海</w:t>
                  </w:r>
                </w:p>
              </w:tc>
              <w:tc>
                <w:tcPr>
                  <w:tcW w:w="1716"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标准值</w:t>
                  </w:r>
                </w:p>
              </w:tc>
              <w:tc>
                <w:tcPr>
                  <w:tcW w:w="2033"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达标情况</w:t>
                  </w:r>
                </w:p>
              </w:tc>
            </w:tr>
            <w:tr>
              <w:tblPrEx>
                <w:tblLayout w:type="fixed"/>
                <w:tblCellMar>
                  <w:top w:w="0" w:type="dxa"/>
                  <w:left w:w="108" w:type="dxa"/>
                  <w:bottom w:w="0" w:type="dxa"/>
                  <w:right w:w="108" w:type="dxa"/>
                </w:tblCellMar>
              </w:tblPrEx>
              <w:trPr>
                <w:trHeight w:val="300" w:hRule="atLeast"/>
                <w:jc w:val="center"/>
              </w:trPr>
              <w:tc>
                <w:tcPr>
                  <w:tcW w:w="1198" w:type="dxa"/>
                  <w:tcBorders>
                    <w:top w:val="nil"/>
                    <w:left w:val="single" w:color="auto" w:sz="4" w:space="0"/>
                    <w:bottom w:val="single" w:color="auto" w:sz="4" w:space="0"/>
                    <w:right w:val="single" w:color="auto" w:sz="4" w:space="0"/>
                  </w:tcBorders>
                  <w:vAlign w:val="center"/>
                </w:tcPr>
                <w:p>
                  <w:pPr>
                    <w:pStyle w:val="30"/>
                    <w:spacing w:line="360" w:lineRule="exact"/>
                    <w:rPr>
                      <w:color w:val="auto"/>
                      <w:szCs w:val="21"/>
                    </w:rPr>
                  </w:pPr>
                  <w:r>
                    <w:rPr>
                      <w:color w:val="auto"/>
                      <w:szCs w:val="21"/>
                    </w:rPr>
                    <w:t>1</w:t>
                  </w:r>
                </w:p>
              </w:tc>
              <w:tc>
                <w:tcPr>
                  <w:tcW w:w="2137" w:type="dxa"/>
                  <w:tcBorders>
                    <w:top w:val="nil"/>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pH（无量纲）</w:t>
                  </w:r>
                </w:p>
              </w:tc>
              <w:tc>
                <w:tcPr>
                  <w:tcW w:w="1960" w:type="dxa"/>
                  <w:tcBorders>
                    <w:top w:val="nil"/>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8.20</w:t>
                  </w:r>
                </w:p>
              </w:tc>
              <w:tc>
                <w:tcPr>
                  <w:tcW w:w="1716" w:type="dxa"/>
                  <w:tcBorders>
                    <w:top w:val="nil"/>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6-9</w:t>
                  </w:r>
                </w:p>
              </w:tc>
              <w:tc>
                <w:tcPr>
                  <w:tcW w:w="2033" w:type="dxa"/>
                  <w:tcBorders>
                    <w:top w:val="nil"/>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达标</w:t>
                  </w:r>
                </w:p>
              </w:tc>
            </w:tr>
            <w:tr>
              <w:tblPrEx>
                <w:tblLayout w:type="fixed"/>
                <w:tblCellMar>
                  <w:top w:w="0" w:type="dxa"/>
                  <w:left w:w="108" w:type="dxa"/>
                  <w:bottom w:w="0" w:type="dxa"/>
                  <w:right w:w="108" w:type="dxa"/>
                </w:tblCellMar>
              </w:tblPrEx>
              <w:trPr>
                <w:trHeight w:val="300" w:hRule="atLeast"/>
                <w:jc w:val="center"/>
              </w:trPr>
              <w:tc>
                <w:tcPr>
                  <w:tcW w:w="1198" w:type="dxa"/>
                  <w:tcBorders>
                    <w:top w:val="nil"/>
                    <w:left w:val="single" w:color="auto" w:sz="4" w:space="0"/>
                    <w:bottom w:val="single" w:color="auto" w:sz="4" w:space="0"/>
                    <w:right w:val="single" w:color="auto" w:sz="4" w:space="0"/>
                  </w:tcBorders>
                  <w:vAlign w:val="center"/>
                </w:tcPr>
                <w:p>
                  <w:pPr>
                    <w:pStyle w:val="30"/>
                    <w:spacing w:line="360" w:lineRule="exact"/>
                    <w:rPr>
                      <w:color w:val="auto"/>
                      <w:szCs w:val="21"/>
                    </w:rPr>
                  </w:pPr>
                  <w:r>
                    <w:rPr>
                      <w:color w:val="auto"/>
                      <w:szCs w:val="21"/>
                    </w:rPr>
                    <w:t>2</w:t>
                  </w:r>
                </w:p>
              </w:tc>
              <w:tc>
                <w:tcPr>
                  <w:tcW w:w="2137" w:type="dxa"/>
                  <w:tcBorders>
                    <w:top w:val="nil"/>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CODcr</w:t>
                  </w:r>
                </w:p>
              </w:tc>
              <w:tc>
                <w:tcPr>
                  <w:tcW w:w="1960" w:type="dxa"/>
                  <w:tcBorders>
                    <w:top w:val="nil"/>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6</w:t>
                  </w:r>
                </w:p>
              </w:tc>
              <w:tc>
                <w:tcPr>
                  <w:tcW w:w="1716" w:type="dxa"/>
                  <w:tcBorders>
                    <w:top w:val="nil"/>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≤20</w:t>
                  </w:r>
                </w:p>
              </w:tc>
              <w:tc>
                <w:tcPr>
                  <w:tcW w:w="2033" w:type="dxa"/>
                  <w:tcBorders>
                    <w:top w:val="nil"/>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达标</w:t>
                  </w:r>
                </w:p>
              </w:tc>
            </w:tr>
            <w:tr>
              <w:tblPrEx>
                <w:tblLayout w:type="fixed"/>
                <w:tblCellMar>
                  <w:top w:w="0" w:type="dxa"/>
                  <w:left w:w="108" w:type="dxa"/>
                  <w:bottom w:w="0" w:type="dxa"/>
                  <w:right w:w="108" w:type="dxa"/>
                </w:tblCellMar>
              </w:tblPrEx>
              <w:trPr>
                <w:trHeight w:val="300" w:hRule="atLeast"/>
                <w:jc w:val="center"/>
              </w:trPr>
              <w:tc>
                <w:tcPr>
                  <w:tcW w:w="1198" w:type="dxa"/>
                  <w:tcBorders>
                    <w:top w:val="nil"/>
                    <w:left w:val="single" w:color="auto" w:sz="4" w:space="0"/>
                    <w:bottom w:val="single" w:color="auto" w:sz="4" w:space="0"/>
                    <w:right w:val="single" w:color="auto" w:sz="4" w:space="0"/>
                  </w:tcBorders>
                  <w:vAlign w:val="center"/>
                </w:tcPr>
                <w:p>
                  <w:pPr>
                    <w:pStyle w:val="30"/>
                    <w:spacing w:line="360" w:lineRule="exact"/>
                    <w:rPr>
                      <w:color w:val="auto"/>
                      <w:szCs w:val="21"/>
                    </w:rPr>
                  </w:pPr>
                  <w:r>
                    <w:rPr>
                      <w:color w:val="auto"/>
                      <w:szCs w:val="21"/>
                    </w:rPr>
                    <w:t>3</w:t>
                  </w:r>
                </w:p>
              </w:tc>
              <w:tc>
                <w:tcPr>
                  <w:tcW w:w="2137" w:type="dxa"/>
                  <w:tcBorders>
                    <w:top w:val="nil"/>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BOD</w:t>
                  </w:r>
                  <w:r>
                    <w:rPr>
                      <w:color w:val="auto"/>
                      <w:szCs w:val="21"/>
                      <w:vertAlign w:val="subscript"/>
                    </w:rPr>
                    <w:t>5</w:t>
                  </w:r>
                </w:p>
              </w:tc>
              <w:tc>
                <w:tcPr>
                  <w:tcW w:w="1960" w:type="dxa"/>
                  <w:tcBorders>
                    <w:top w:val="nil"/>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2</w:t>
                  </w:r>
                </w:p>
              </w:tc>
              <w:tc>
                <w:tcPr>
                  <w:tcW w:w="1716" w:type="dxa"/>
                  <w:tcBorders>
                    <w:top w:val="nil"/>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≤4</w:t>
                  </w:r>
                </w:p>
              </w:tc>
              <w:tc>
                <w:tcPr>
                  <w:tcW w:w="2033" w:type="dxa"/>
                  <w:tcBorders>
                    <w:top w:val="nil"/>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达标</w:t>
                  </w:r>
                </w:p>
              </w:tc>
            </w:tr>
            <w:tr>
              <w:tblPrEx>
                <w:tblLayout w:type="fixed"/>
                <w:tblCellMar>
                  <w:top w:w="0" w:type="dxa"/>
                  <w:left w:w="108" w:type="dxa"/>
                  <w:bottom w:w="0" w:type="dxa"/>
                  <w:right w:w="108" w:type="dxa"/>
                </w:tblCellMar>
              </w:tblPrEx>
              <w:trPr>
                <w:trHeight w:val="300" w:hRule="atLeast"/>
                <w:jc w:val="center"/>
              </w:trPr>
              <w:tc>
                <w:tcPr>
                  <w:tcW w:w="1198" w:type="dxa"/>
                  <w:tcBorders>
                    <w:top w:val="nil"/>
                    <w:left w:val="single" w:color="auto" w:sz="4" w:space="0"/>
                    <w:bottom w:val="single" w:color="auto" w:sz="4" w:space="0"/>
                    <w:right w:val="single" w:color="auto" w:sz="4" w:space="0"/>
                  </w:tcBorders>
                  <w:vAlign w:val="center"/>
                </w:tcPr>
                <w:p>
                  <w:pPr>
                    <w:pStyle w:val="30"/>
                    <w:spacing w:line="360" w:lineRule="exact"/>
                    <w:rPr>
                      <w:color w:val="auto"/>
                      <w:szCs w:val="21"/>
                    </w:rPr>
                  </w:pPr>
                  <w:r>
                    <w:rPr>
                      <w:color w:val="auto"/>
                      <w:szCs w:val="21"/>
                    </w:rPr>
                    <w:t>5</w:t>
                  </w:r>
                </w:p>
              </w:tc>
              <w:tc>
                <w:tcPr>
                  <w:tcW w:w="2137" w:type="dxa"/>
                  <w:tcBorders>
                    <w:top w:val="nil"/>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NH</w:t>
                  </w:r>
                  <w:r>
                    <w:rPr>
                      <w:color w:val="auto"/>
                      <w:szCs w:val="21"/>
                      <w:vertAlign w:val="subscript"/>
                    </w:rPr>
                    <w:t>3</w:t>
                  </w:r>
                  <w:r>
                    <w:rPr>
                      <w:color w:val="auto"/>
                      <w:szCs w:val="21"/>
                    </w:rPr>
                    <w:t>-N</w:t>
                  </w:r>
                </w:p>
              </w:tc>
              <w:tc>
                <w:tcPr>
                  <w:tcW w:w="1960" w:type="dxa"/>
                  <w:tcBorders>
                    <w:top w:val="nil"/>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0.08</w:t>
                  </w:r>
                </w:p>
              </w:tc>
              <w:tc>
                <w:tcPr>
                  <w:tcW w:w="1716" w:type="dxa"/>
                  <w:tcBorders>
                    <w:top w:val="nil"/>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≤1.0</w:t>
                  </w:r>
                </w:p>
              </w:tc>
              <w:tc>
                <w:tcPr>
                  <w:tcW w:w="2033" w:type="dxa"/>
                  <w:tcBorders>
                    <w:top w:val="nil"/>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达标</w:t>
                  </w:r>
                </w:p>
              </w:tc>
            </w:tr>
            <w:tr>
              <w:tblPrEx>
                <w:tblLayout w:type="fixed"/>
                <w:tblCellMar>
                  <w:top w:w="0" w:type="dxa"/>
                  <w:left w:w="108" w:type="dxa"/>
                  <w:bottom w:w="0" w:type="dxa"/>
                  <w:right w:w="108" w:type="dxa"/>
                </w:tblCellMar>
              </w:tblPrEx>
              <w:trPr>
                <w:trHeight w:val="300" w:hRule="atLeast"/>
                <w:jc w:val="center"/>
              </w:trPr>
              <w:tc>
                <w:tcPr>
                  <w:tcW w:w="1198" w:type="dxa"/>
                  <w:tcBorders>
                    <w:top w:val="nil"/>
                    <w:left w:val="single" w:color="auto" w:sz="4" w:space="0"/>
                    <w:bottom w:val="single" w:color="auto" w:sz="4" w:space="0"/>
                    <w:right w:val="single" w:color="auto" w:sz="4" w:space="0"/>
                  </w:tcBorders>
                  <w:vAlign w:val="center"/>
                </w:tcPr>
                <w:p>
                  <w:pPr>
                    <w:pStyle w:val="30"/>
                    <w:spacing w:line="360" w:lineRule="exact"/>
                    <w:rPr>
                      <w:color w:val="auto"/>
                      <w:szCs w:val="21"/>
                    </w:rPr>
                  </w:pPr>
                  <w:r>
                    <w:rPr>
                      <w:color w:val="auto"/>
                      <w:szCs w:val="21"/>
                    </w:rPr>
                    <w:t>6</w:t>
                  </w:r>
                </w:p>
              </w:tc>
              <w:tc>
                <w:tcPr>
                  <w:tcW w:w="2137" w:type="dxa"/>
                  <w:tcBorders>
                    <w:top w:val="nil"/>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TP</w:t>
                  </w:r>
                </w:p>
              </w:tc>
              <w:tc>
                <w:tcPr>
                  <w:tcW w:w="1960" w:type="dxa"/>
                  <w:tcBorders>
                    <w:top w:val="nil"/>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0.05</w:t>
                  </w:r>
                </w:p>
              </w:tc>
              <w:tc>
                <w:tcPr>
                  <w:tcW w:w="1716" w:type="dxa"/>
                  <w:tcBorders>
                    <w:top w:val="nil"/>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≤0.2</w:t>
                  </w:r>
                </w:p>
              </w:tc>
              <w:tc>
                <w:tcPr>
                  <w:tcW w:w="2033" w:type="dxa"/>
                  <w:tcBorders>
                    <w:top w:val="nil"/>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达标</w:t>
                  </w:r>
                </w:p>
              </w:tc>
            </w:tr>
            <w:tr>
              <w:tblPrEx>
                <w:tblLayout w:type="fixed"/>
                <w:tblCellMar>
                  <w:top w:w="0" w:type="dxa"/>
                  <w:left w:w="108" w:type="dxa"/>
                  <w:bottom w:w="0" w:type="dxa"/>
                  <w:right w:w="108" w:type="dxa"/>
                </w:tblCellMar>
              </w:tblPrEx>
              <w:trPr>
                <w:trHeight w:val="300" w:hRule="atLeast"/>
                <w:jc w:val="center"/>
              </w:trPr>
              <w:tc>
                <w:tcPr>
                  <w:tcW w:w="1198" w:type="dxa"/>
                  <w:tcBorders>
                    <w:top w:val="nil"/>
                    <w:left w:val="single" w:color="auto" w:sz="4" w:space="0"/>
                    <w:bottom w:val="single" w:color="auto" w:sz="4" w:space="0"/>
                    <w:right w:val="single" w:color="auto" w:sz="4" w:space="0"/>
                  </w:tcBorders>
                  <w:vAlign w:val="center"/>
                </w:tcPr>
                <w:p>
                  <w:pPr>
                    <w:pStyle w:val="30"/>
                    <w:spacing w:line="360" w:lineRule="exact"/>
                    <w:rPr>
                      <w:color w:val="auto"/>
                      <w:szCs w:val="21"/>
                    </w:rPr>
                  </w:pPr>
                  <w:r>
                    <w:rPr>
                      <w:color w:val="auto"/>
                      <w:szCs w:val="21"/>
                    </w:rPr>
                    <w:t>7</w:t>
                  </w:r>
                </w:p>
              </w:tc>
              <w:tc>
                <w:tcPr>
                  <w:tcW w:w="2137" w:type="dxa"/>
                  <w:tcBorders>
                    <w:top w:val="nil"/>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阴离子表面活性剂</w:t>
                  </w:r>
                </w:p>
              </w:tc>
              <w:tc>
                <w:tcPr>
                  <w:tcW w:w="1960" w:type="dxa"/>
                  <w:tcBorders>
                    <w:top w:val="nil"/>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0.05L</w:t>
                  </w:r>
                </w:p>
              </w:tc>
              <w:tc>
                <w:tcPr>
                  <w:tcW w:w="1716" w:type="dxa"/>
                  <w:tcBorders>
                    <w:top w:val="nil"/>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≤0.2</w:t>
                  </w:r>
                </w:p>
              </w:tc>
              <w:tc>
                <w:tcPr>
                  <w:tcW w:w="2033" w:type="dxa"/>
                  <w:tcBorders>
                    <w:top w:val="nil"/>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达标</w:t>
                  </w:r>
                </w:p>
              </w:tc>
            </w:tr>
            <w:tr>
              <w:tblPrEx>
                <w:tblLayout w:type="fixed"/>
                <w:tblCellMar>
                  <w:top w:w="0" w:type="dxa"/>
                  <w:left w:w="108" w:type="dxa"/>
                  <w:bottom w:w="0" w:type="dxa"/>
                  <w:right w:w="108" w:type="dxa"/>
                </w:tblCellMar>
              </w:tblPrEx>
              <w:trPr>
                <w:trHeight w:val="300"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auto"/>
                      <w:szCs w:val="21"/>
                    </w:rPr>
                  </w:pPr>
                  <w:r>
                    <w:rPr>
                      <w:color w:val="auto"/>
                      <w:szCs w:val="21"/>
                    </w:rPr>
                    <w:t>8</w:t>
                  </w:r>
                </w:p>
              </w:tc>
              <w:tc>
                <w:tcPr>
                  <w:tcW w:w="2137"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锌</w:t>
                  </w:r>
                </w:p>
              </w:tc>
              <w:tc>
                <w:tcPr>
                  <w:tcW w:w="1960"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0.05L</w:t>
                  </w:r>
                </w:p>
              </w:tc>
              <w:tc>
                <w:tcPr>
                  <w:tcW w:w="1716"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≤1.0</w:t>
                  </w:r>
                </w:p>
              </w:tc>
              <w:tc>
                <w:tcPr>
                  <w:tcW w:w="2033"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达标</w:t>
                  </w:r>
                </w:p>
              </w:tc>
            </w:tr>
            <w:tr>
              <w:tblPrEx>
                <w:tblLayout w:type="fixed"/>
                <w:tblCellMar>
                  <w:top w:w="0" w:type="dxa"/>
                  <w:left w:w="108" w:type="dxa"/>
                  <w:bottom w:w="0" w:type="dxa"/>
                  <w:right w:w="108" w:type="dxa"/>
                </w:tblCellMar>
              </w:tblPrEx>
              <w:trPr>
                <w:trHeight w:val="300"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auto"/>
                      <w:szCs w:val="21"/>
                    </w:rPr>
                  </w:pPr>
                  <w:r>
                    <w:rPr>
                      <w:color w:val="auto"/>
                      <w:szCs w:val="21"/>
                    </w:rPr>
                    <w:t>9</w:t>
                  </w:r>
                </w:p>
              </w:tc>
              <w:tc>
                <w:tcPr>
                  <w:tcW w:w="2137"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氟化物</w:t>
                  </w:r>
                </w:p>
              </w:tc>
              <w:tc>
                <w:tcPr>
                  <w:tcW w:w="1960"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0.20</w:t>
                  </w:r>
                </w:p>
              </w:tc>
              <w:tc>
                <w:tcPr>
                  <w:tcW w:w="1716"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≤1.0</w:t>
                  </w:r>
                </w:p>
              </w:tc>
              <w:tc>
                <w:tcPr>
                  <w:tcW w:w="2033"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达标</w:t>
                  </w:r>
                </w:p>
              </w:tc>
            </w:tr>
            <w:tr>
              <w:tblPrEx>
                <w:tblLayout w:type="fixed"/>
                <w:tblCellMar>
                  <w:top w:w="0" w:type="dxa"/>
                  <w:left w:w="108" w:type="dxa"/>
                  <w:bottom w:w="0" w:type="dxa"/>
                  <w:right w:w="108" w:type="dxa"/>
                </w:tblCellMar>
              </w:tblPrEx>
              <w:trPr>
                <w:trHeight w:val="300"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auto"/>
                      <w:szCs w:val="21"/>
                    </w:rPr>
                  </w:pPr>
                  <w:r>
                    <w:rPr>
                      <w:color w:val="auto"/>
                      <w:szCs w:val="21"/>
                    </w:rPr>
                    <w:t>10</w:t>
                  </w:r>
                </w:p>
              </w:tc>
              <w:tc>
                <w:tcPr>
                  <w:tcW w:w="2137"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砷</w:t>
                  </w:r>
                </w:p>
              </w:tc>
              <w:tc>
                <w:tcPr>
                  <w:tcW w:w="1960"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0.0003L</w:t>
                  </w:r>
                </w:p>
              </w:tc>
              <w:tc>
                <w:tcPr>
                  <w:tcW w:w="1716"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≤0.05</w:t>
                  </w:r>
                </w:p>
              </w:tc>
              <w:tc>
                <w:tcPr>
                  <w:tcW w:w="2033"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达标</w:t>
                  </w:r>
                </w:p>
              </w:tc>
            </w:tr>
            <w:tr>
              <w:tblPrEx>
                <w:tblLayout w:type="fixed"/>
                <w:tblCellMar>
                  <w:top w:w="0" w:type="dxa"/>
                  <w:left w:w="108" w:type="dxa"/>
                  <w:bottom w:w="0" w:type="dxa"/>
                  <w:right w:w="108" w:type="dxa"/>
                </w:tblCellMar>
              </w:tblPrEx>
              <w:trPr>
                <w:trHeight w:val="300"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auto"/>
                      <w:szCs w:val="21"/>
                    </w:rPr>
                  </w:pPr>
                  <w:r>
                    <w:rPr>
                      <w:color w:val="auto"/>
                      <w:szCs w:val="21"/>
                    </w:rPr>
                    <w:t>11</w:t>
                  </w:r>
                </w:p>
              </w:tc>
              <w:tc>
                <w:tcPr>
                  <w:tcW w:w="2137"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汞</w:t>
                  </w:r>
                </w:p>
              </w:tc>
              <w:tc>
                <w:tcPr>
                  <w:tcW w:w="1960"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0.0004L</w:t>
                  </w:r>
                </w:p>
              </w:tc>
              <w:tc>
                <w:tcPr>
                  <w:tcW w:w="1716"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≤0.0001</w:t>
                  </w:r>
                </w:p>
              </w:tc>
              <w:tc>
                <w:tcPr>
                  <w:tcW w:w="2033"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达标</w:t>
                  </w:r>
                </w:p>
              </w:tc>
            </w:tr>
            <w:tr>
              <w:tblPrEx>
                <w:tblLayout w:type="fixed"/>
                <w:tblCellMar>
                  <w:top w:w="0" w:type="dxa"/>
                  <w:left w:w="108" w:type="dxa"/>
                  <w:bottom w:w="0" w:type="dxa"/>
                  <w:right w:w="108" w:type="dxa"/>
                </w:tblCellMar>
              </w:tblPrEx>
              <w:trPr>
                <w:trHeight w:val="300"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auto"/>
                      <w:szCs w:val="21"/>
                    </w:rPr>
                  </w:pPr>
                  <w:r>
                    <w:rPr>
                      <w:color w:val="auto"/>
                      <w:szCs w:val="21"/>
                    </w:rPr>
                    <w:t>12</w:t>
                  </w:r>
                </w:p>
              </w:tc>
              <w:tc>
                <w:tcPr>
                  <w:tcW w:w="2137"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镉</w:t>
                  </w:r>
                </w:p>
              </w:tc>
              <w:tc>
                <w:tcPr>
                  <w:tcW w:w="1960"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0.0001L</w:t>
                  </w:r>
                </w:p>
              </w:tc>
              <w:tc>
                <w:tcPr>
                  <w:tcW w:w="1716"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≤0.005</w:t>
                  </w:r>
                </w:p>
              </w:tc>
              <w:tc>
                <w:tcPr>
                  <w:tcW w:w="2033"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达标</w:t>
                  </w:r>
                </w:p>
              </w:tc>
            </w:tr>
            <w:tr>
              <w:tblPrEx>
                <w:tblLayout w:type="fixed"/>
                <w:tblCellMar>
                  <w:top w:w="0" w:type="dxa"/>
                  <w:left w:w="108" w:type="dxa"/>
                  <w:bottom w:w="0" w:type="dxa"/>
                  <w:right w:w="108" w:type="dxa"/>
                </w:tblCellMar>
              </w:tblPrEx>
              <w:trPr>
                <w:trHeight w:val="300"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auto"/>
                      <w:szCs w:val="21"/>
                    </w:rPr>
                  </w:pPr>
                  <w:r>
                    <w:rPr>
                      <w:color w:val="auto"/>
                      <w:szCs w:val="21"/>
                    </w:rPr>
                    <w:t>13</w:t>
                  </w:r>
                </w:p>
              </w:tc>
              <w:tc>
                <w:tcPr>
                  <w:tcW w:w="2137"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六价铬</w:t>
                  </w:r>
                </w:p>
              </w:tc>
              <w:tc>
                <w:tcPr>
                  <w:tcW w:w="1960"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0.004L</w:t>
                  </w:r>
                </w:p>
              </w:tc>
              <w:tc>
                <w:tcPr>
                  <w:tcW w:w="1716"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≤0.05</w:t>
                  </w:r>
                </w:p>
              </w:tc>
              <w:tc>
                <w:tcPr>
                  <w:tcW w:w="2033"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达标</w:t>
                  </w:r>
                </w:p>
              </w:tc>
            </w:tr>
            <w:tr>
              <w:tblPrEx>
                <w:tblLayout w:type="fixed"/>
                <w:tblCellMar>
                  <w:top w:w="0" w:type="dxa"/>
                  <w:left w:w="108" w:type="dxa"/>
                  <w:bottom w:w="0" w:type="dxa"/>
                  <w:right w:w="108" w:type="dxa"/>
                </w:tblCellMar>
              </w:tblPrEx>
              <w:trPr>
                <w:trHeight w:val="300"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auto"/>
                      <w:szCs w:val="21"/>
                    </w:rPr>
                  </w:pPr>
                  <w:r>
                    <w:rPr>
                      <w:color w:val="auto"/>
                      <w:szCs w:val="21"/>
                    </w:rPr>
                    <w:t>14</w:t>
                  </w:r>
                </w:p>
              </w:tc>
              <w:tc>
                <w:tcPr>
                  <w:tcW w:w="2137"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铅</w:t>
                  </w:r>
                </w:p>
              </w:tc>
              <w:tc>
                <w:tcPr>
                  <w:tcW w:w="1960"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0.002L</w:t>
                  </w:r>
                </w:p>
              </w:tc>
              <w:tc>
                <w:tcPr>
                  <w:tcW w:w="1716"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≤0.05</w:t>
                  </w:r>
                </w:p>
              </w:tc>
              <w:tc>
                <w:tcPr>
                  <w:tcW w:w="2033"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达标</w:t>
                  </w:r>
                </w:p>
              </w:tc>
            </w:tr>
            <w:tr>
              <w:tblPrEx>
                <w:tblLayout w:type="fixed"/>
                <w:tblCellMar>
                  <w:top w:w="0" w:type="dxa"/>
                  <w:left w:w="108" w:type="dxa"/>
                  <w:bottom w:w="0" w:type="dxa"/>
                  <w:right w:w="108" w:type="dxa"/>
                </w:tblCellMar>
              </w:tblPrEx>
              <w:trPr>
                <w:trHeight w:val="300"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auto"/>
                      <w:szCs w:val="21"/>
                    </w:rPr>
                  </w:pPr>
                  <w:r>
                    <w:rPr>
                      <w:color w:val="auto"/>
                      <w:szCs w:val="21"/>
                    </w:rPr>
                    <w:t>15</w:t>
                  </w:r>
                </w:p>
              </w:tc>
              <w:tc>
                <w:tcPr>
                  <w:tcW w:w="2137"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粪大肠菌群</w:t>
                  </w:r>
                </w:p>
              </w:tc>
              <w:tc>
                <w:tcPr>
                  <w:tcW w:w="1960"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500</w:t>
                  </w:r>
                </w:p>
              </w:tc>
              <w:tc>
                <w:tcPr>
                  <w:tcW w:w="1716"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20000个/L</w:t>
                  </w:r>
                </w:p>
              </w:tc>
              <w:tc>
                <w:tcPr>
                  <w:tcW w:w="2033" w:type="dxa"/>
                  <w:tcBorders>
                    <w:top w:val="single" w:color="auto" w:sz="4" w:space="0"/>
                    <w:left w:val="nil"/>
                    <w:bottom w:val="single" w:color="auto" w:sz="4" w:space="0"/>
                    <w:right w:val="single" w:color="auto" w:sz="4" w:space="0"/>
                  </w:tcBorders>
                  <w:vAlign w:val="center"/>
                </w:tcPr>
                <w:p>
                  <w:pPr>
                    <w:pStyle w:val="30"/>
                    <w:spacing w:line="360" w:lineRule="exact"/>
                    <w:rPr>
                      <w:color w:val="auto"/>
                      <w:szCs w:val="21"/>
                    </w:rPr>
                  </w:pPr>
                  <w:r>
                    <w:rPr>
                      <w:color w:val="auto"/>
                      <w:szCs w:val="21"/>
                    </w:rPr>
                    <w:t>达标</w:t>
                  </w:r>
                </w:p>
              </w:tc>
            </w:tr>
          </w:tbl>
          <w:p>
            <w:pPr>
              <w:pStyle w:val="38"/>
              <w:spacing w:beforeLines="50"/>
              <w:ind w:firstLine="480"/>
              <w:rPr>
                <w:color w:val="auto"/>
                <w:szCs w:val="24"/>
              </w:rPr>
            </w:pPr>
            <w:r>
              <w:rPr>
                <w:bCs/>
                <w:color w:val="auto"/>
                <w:szCs w:val="24"/>
              </w:rPr>
              <w:t>由上表可知，小江姑海断面上述监测指标可达到《地表水环境质量标准》（GB3838-2002）III类标准限值要求。</w:t>
            </w:r>
          </w:p>
          <w:p>
            <w:pPr>
              <w:pStyle w:val="38"/>
              <w:ind w:firstLine="482"/>
              <w:rPr>
                <w:rFonts w:eastAsiaTheme="minorEastAsia"/>
                <w:b/>
                <w:color w:val="auto"/>
                <w:szCs w:val="24"/>
              </w:rPr>
            </w:pPr>
            <w:r>
              <w:rPr>
                <w:rFonts w:eastAsiaTheme="minorEastAsia"/>
                <w:b/>
                <w:color w:val="auto"/>
                <w:szCs w:val="24"/>
              </w:rPr>
              <w:t>3.1.3 声环境质量现状</w:t>
            </w:r>
          </w:p>
          <w:p>
            <w:pPr>
              <w:pStyle w:val="38"/>
              <w:ind w:firstLine="480"/>
              <w:rPr>
                <w:rFonts w:eastAsiaTheme="minorEastAsia"/>
                <w:color w:val="auto"/>
                <w:szCs w:val="24"/>
              </w:rPr>
            </w:pPr>
            <w:r>
              <w:rPr>
                <w:rFonts w:eastAsiaTheme="minorEastAsia"/>
                <w:color w:val="auto"/>
                <w:szCs w:val="24"/>
              </w:rPr>
              <w:t>项目位于昆明市东川区再就业特区天生桥特色产业园，按照《声环境功能区划分技术规范》（GB/T15190-2014）的划分要求，项目区域为3类区。在项目区50m范围内无声环境保护目标；根据《建设项目环境影响报告表编制技术指南》（污染影响类）（试行）的要求，可不进行声环境质量现状调查，根据项目自行监测结果，项目区域声环境可达到《声环境质量标准》（GB3096-2008）3类区标准。</w:t>
            </w:r>
          </w:p>
          <w:p>
            <w:pPr>
              <w:pStyle w:val="38"/>
              <w:ind w:firstLine="482"/>
              <w:rPr>
                <w:rFonts w:eastAsiaTheme="minorEastAsia"/>
                <w:b/>
                <w:color w:val="auto"/>
                <w:szCs w:val="24"/>
              </w:rPr>
            </w:pPr>
            <w:bookmarkStart w:id="2" w:name="_Toc248077256"/>
            <w:r>
              <w:rPr>
                <w:rFonts w:eastAsiaTheme="minorEastAsia"/>
                <w:b/>
                <w:color w:val="auto"/>
                <w:szCs w:val="24"/>
              </w:rPr>
              <w:t>3.1.4 生态环境质量现状</w:t>
            </w:r>
            <w:bookmarkEnd w:id="2"/>
          </w:p>
          <w:p>
            <w:pPr>
              <w:pStyle w:val="38"/>
              <w:ind w:firstLine="480"/>
              <w:rPr>
                <w:rFonts w:eastAsiaTheme="minorEastAsia"/>
                <w:color w:val="auto"/>
                <w:szCs w:val="24"/>
              </w:rPr>
            </w:pPr>
            <w:r>
              <w:rPr>
                <w:rFonts w:eastAsiaTheme="minorEastAsia"/>
                <w:color w:val="auto"/>
                <w:szCs w:val="24"/>
              </w:rPr>
              <w:t>项目位于云南省东川再就业特区天生桥特色产业园，根据现场调查，厂区范围主要为人工生态系统，该区域的天然植被已较少，总体来说该区域地表植被种类较少，生物多样性较差，生态环境自身调控能力较低。项目区及周边200m范围内未发现珍稀濒危和国家重点保护野生动植物，无国家重点保护的鸟类、两栖类、爬行类、哺乳类动物种类分布。</w:t>
            </w:r>
          </w:p>
          <w:p>
            <w:pPr>
              <w:pStyle w:val="38"/>
              <w:ind w:firstLine="482"/>
              <w:rPr>
                <w:rFonts w:eastAsiaTheme="minorEastAsia"/>
                <w:b/>
                <w:color w:val="auto"/>
                <w:szCs w:val="24"/>
              </w:rPr>
            </w:pPr>
            <w:r>
              <w:rPr>
                <w:rFonts w:eastAsiaTheme="minorEastAsia"/>
                <w:b/>
                <w:color w:val="auto"/>
                <w:szCs w:val="24"/>
              </w:rPr>
              <w:t>3.1.5 地下水、土壤环境</w:t>
            </w:r>
          </w:p>
          <w:p>
            <w:pPr>
              <w:pStyle w:val="38"/>
              <w:ind w:firstLine="480"/>
              <w:rPr>
                <w:rFonts w:eastAsiaTheme="minorEastAsia"/>
                <w:color w:val="auto"/>
                <w:szCs w:val="24"/>
              </w:rPr>
            </w:pPr>
            <w:r>
              <w:rPr>
                <w:rFonts w:eastAsiaTheme="minorEastAsia"/>
                <w:color w:val="auto"/>
                <w:szCs w:val="24"/>
              </w:rPr>
              <w:t>本改扩建项目属于废弃电器电子产品物理拆解、分类收集项目，项目不涉及后续处置、加工及再生利用，基本上不存在地下水、土壤环境污染途径，且厂界外500m范围内不涉及集中式饮用水水源和热水、矿泉水、温泉等特殊地下水资源，项目不开展地下水和土壤环境质量现状调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 w:hRule="atLeast"/>
          <w:jc w:val="center"/>
        </w:trPr>
        <w:tc>
          <w:tcPr>
            <w:tcW w:w="9270" w:type="dxa"/>
            <w:vAlign w:val="center"/>
          </w:tcPr>
          <w:p>
            <w:pPr>
              <w:spacing w:line="360" w:lineRule="auto"/>
              <w:ind w:firstLine="360" w:firstLineChars="150"/>
              <w:rPr>
                <w:rFonts w:ascii="Times New Roman" w:hAnsi="Times New Roman" w:eastAsia="微软雅黑" w:cs="Times New Roman"/>
                <w:b/>
                <w:color w:val="auto"/>
                <w:sz w:val="24"/>
                <w:szCs w:val="24"/>
              </w:rPr>
            </w:pPr>
            <w:r>
              <w:rPr>
                <w:rFonts w:ascii="Times New Roman" w:hAnsi="Times New Roman" w:eastAsia="微软雅黑" w:cs="Times New Roman"/>
                <w:b/>
                <w:color w:val="auto"/>
                <w:sz w:val="24"/>
                <w:szCs w:val="24"/>
              </w:rPr>
              <w:t>环境保护目标</w:t>
            </w:r>
          </w:p>
          <w:p>
            <w:pPr>
              <w:pStyle w:val="38"/>
              <w:ind w:firstLine="480"/>
              <w:rPr>
                <w:rFonts w:eastAsiaTheme="minorEastAsia"/>
                <w:color w:val="auto"/>
                <w:szCs w:val="24"/>
              </w:rPr>
            </w:pPr>
            <w:r>
              <w:rPr>
                <w:rFonts w:eastAsiaTheme="minorEastAsia"/>
                <w:color w:val="auto"/>
                <w:szCs w:val="24"/>
              </w:rPr>
              <w:t>根据《建设项目环境影响报告表编制技术指南》（污染影响类）（试行）的要求，编制报告表的建设项目环境保护目标类别包括大气环境、声环境、地下水环境和生态环境。本项目设置的环境保护目标具体如下。</w:t>
            </w:r>
          </w:p>
          <w:p>
            <w:pPr>
              <w:autoSpaceDE w:val="0"/>
              <w:autoSpaceDN w:val="0"/>
              <w:spacing w:line="360" w:lineRule="auto"/>
              <w:ind w:firstLine="241" w:firstLineChars="100"/>
              <w:rPr>
                <w:rFonts w:ascii="Times New Roman" w:hAnsi="Times New Roman" w:cs="Times New Roman"/>
                <w:b/>
                <w:color w:val="auto"/>
                <w:sz w:val="24"/>
                <w:szCs w:val="24"/>
              </w:rPr>
            </w:pPr>
            <w:r>
              <w:rPr>
                <w:rFonts w:ascii="Times New Roman" w:hAnsi="Times New Roman" w:cs="Times New Roman"/>
                <w:b/>
                <w:color w:val="auto"/>
                <w:sz w:val="24"/>
                <w:szCs w:val="24"/>
              </w:rPr>
              <w:t>3.2 环境保护目标</w:t>
            </w:r>
          </w:p>
          <w:p>
            <w:pPr>
              <w:pStyle w:val="38"/>
              <w:ind w:firstLine="482"/>
              <w:rPr>
                <w:rFonts w:eastAsiaTheme="minorEastAsia"/>
                <w:b/>
                <w:color w:val="auto"/>
                <w:szCs w:val="24"/>
              </w:rPr>
            </w:pPr>
            <w:r>
              <w:rPr>
                <w:rFonts w:eastAsiaTheme="minorEastAsia"/>
                <w:b/>
                <w:color w:val="auto"/>
                <w:szCs w:val="24"/>
              </w:rPr>
              <w:t>3.2.1 大气环境保护目标</w:t>
            </w:r>
          </w:p>
          <w:p>
            <w:pPr>
              <w:pStyle w:val="38"/>
              <w:ind w:firstLine="480"/>
              <w:rPr>
                <w:rFonts w:eastAsiaTheme="minorEastAsia"/>
                <w:color w:val="auto"/>
                <w:szCs w:val="24"/>
              </w:rPr>
            </w:pPr>
            <w:r>
              <w:rPr>
                <w:rFonts w:eastAsiaTheme="minorEastAsia"/>
                <w:color w:val="auto"/>
                <w:szCs w:val="24"/>
              </w:rPr>
              <w:t>根据《环境影响评价技术导则-大气环境》（HJ2.2-2018）中对于大气环境保护目标的要求，环境空气保护目标指评价范围内按GB 3095规定划分为一类区的自然保护区、风景名胜区和其他需要特殊保护的区域，二类区中的居住区、文化区和农村地区中人群较集中的区域。</w:t>
            </w:r>
          </w:p>
          <w:p>
            <w:pPr>
              <w:pStyle w:val="38"/>
              <w:ind w:firstLine="480"/>
              <w:rPr>
                <w:rFonts w:eastAsiaTheme="minorEastAsia"/>
                <w:color w:val="auto"/>
                <w:szCs w:val="24"/>
              </w:rPr>
            </w:pPr>
            <w:r>
              <w:rPr>
                <w:rFonts w:eastAsiaTheme="minorEastAsia"/>
                <w:color w:val="auto"/>
                <w:szCs w:val="24"/>
              </w:rPr>
              <w:t>根据调查，该改扩建项目主要大气环境保护目标如下表所示。</w:t>
            </w:r>
          </w:p>
          <w:p>
            <w:pPr>
              <w:pStyle w:val="32"/>
              <w:widowControl/>
              <w:tabs>
                <w:tab w:val="left" w:pos="540"/>
                <w:tab w:val="left" w:pos="851"/>
                <w:tab w:val="left" w:pos="994"/>
                <w:tab w:val="left" w:pos="1260"/>
                <w:tab w:val="left" w:pos="3108"/>
                <w:tab w:val="left" w:pos="3150"/>
              </w:tabs>
              <w:snapToGrid/>
              <w:spacing w:beforeLines="0"/>
              <w:textAlignment w:val="auto"/>
              <w:rPr>
                <w:rFonts w:hAnsi="Times New Roman" w:eastAsia="宋体"/>
                <w:bCs/>
                <w:snapToGrid w:val="0"/>
                <w:color w:val="auto"/>
                <w:sz w:val="21"/>
                <w:szCs w:val="21"/>
              </w:rPr>
            </w:pPr>
            <w:r>
              <w:rPr>
                <w:rFonts w:hAnsi="Times New Roman" w:eastAsia="宋体"/>
                <w:bCs/>
                <w:snapToGrid w:val="0"/>
                <w:color w:val="auto"/>
                <w:sz w:val="21"/>
                <w:szCs w:val="21"/>
              </w:rPr>
              <w:t>表3.2.1-1 环境空气保护目标</w:t>
            </w:r>
          </w:p>
          <w:tbl>
            <w:tblPr>
              <w:tblStyle w:val="20"/>
              <w:tblW w:w="9044"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59"/>
              <w:gridCol w:w="1559"/>
              <w:gridCol w:w="1417"/>
              <w:gridCol w:w="851"/>
              <w:gridCol w:w="1417"/>
              <w:gridCol w:w="709"/>
              <w:gridCol w:w="851"/>
              <w:gridCol w:w="88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359" w:type="dxa"/>
                  <w:vMerge w:val="restart"/>
                  <w:vAlign w:val="center"/>
                </w:tcPr>
                <w:p>
                  <w:pPr>
                    <w:pStyle w:val="30"/>
                    <w:spacing w:line="360" w:lineRule="exact"/>
                    <w:rPr>
                      <w:color w:val="auto"/>
                      <w:kern w:val="0"/>
                      <w:szCs w:val="21"/>
                    </w:rPr>
                  </w:pPr>
                  <w:r>
                    <w:rPr>
                      <w:color w:val="auto"/>
                      <w:kern w:val="0"/>
                      <w:szCs w:val="21"/>
                    </w:rPr>
                    <w:t>名称</w:t>
                  </w:r>
                </w:p>
              </w:tc>
              <w:tc>
                <w:tcPr>
                  <w:tcW w:w="2976" w:type="dxa"/>
                  <w:gridSpan w:val="2"/>
                  <w:vAlign w:val="center"/>
                </w:tcPr>
                <w:p>
                  <w:pPr>
                    <w:pStyle w:val="30"/>
                    <w:spacing w:line="360" w:lineRule="exact"/>
                    <w:rPr>
                      <w:color w:val="auto"/>
                      <w:kern w:val="0"/>
                      <w:szCs w:val="21"/>
                    </w:rPr>
                  </w:pPr>
                  <w:r>
                    <w:rPr>
                      <w:color w:val="auto"/>
                      <w:kern w:val="0"/>
                      <w:szCs w:val="21"/>
                    </w:rPr>
                    <w:t>坐标/m</w:t>
                  </w:r>
                </w:p>
              </w:tc>
              <w:tc>
                <w:tcPr>
                  <w:tcW w:w="851" w:type="dxa"/>
                  <w:vMerge w:val="restart"/>
                  <w:vAlign w:val="center"/>
                </w:tcPr>
                <w:p>
                  <w:pPr>
                    <w:pStyle w:val="30"/>
                    <w:spacing w:line="360" w:lineRule="exact"/>
                    <w:rPr>
                      <w:color w:val="auto"/>
                      <w:kern w:val="0"/>
                      <w:szCs w:val="21"/>
                    </w:rPr>
                  </w:pPr>
                  <w:r>
                    <w:rPr>
                      <w:color w:val="auto"/>
                      <w:kern w:val="0"/>
                      <w:szCs w:val="21"/>
                    </w:rPr>
                    <w:t>保护对象</w:t>
                  </w:r>
                </w:p>
              </w:tc>
              <w:tc>
                <w:tcPr>
                  <w:tcW w:w="1417" w:type="dxa"/>
                  <w:vMerge w:val="restart"/>
                  <w:vAlign w:val="center"/>
                </w:tcPr>
                <w:p>
                  <w:pPr>
                    <w:pStyle w:val="30"/>
                    <w:spacing w:line="360" w:lineRule="exact"/>
                    <w:rPr>
                      <w:color w:val="auto"/>
                      <w:kern w:val="0"/>
                      <w:szCs w:val="21"/>
                    </w:rPr>
                  </w:pPr>
                  <w:r>
                    <w:rPr>
                      <w:color w:val="auto"/>
                      <w:kern w:val="0"/>
                      <w:szCs w:val="21"/>
                    </w:rPr>
                    <w:t>保护内容</w:t>
                  </w:r>
                </w:p>
              </w:tc>
              <w:tc>
                <w:tcPr>
                  <w:tcW w:w="709" w:type="dxa"/>
                  <w:vMerge w:val="restart"/>
                  <w:vAlign w:val="center"/>
                </w:tcPr>
                <w:p>
                  <w:pPr>
                    <w:pStyle w:val="30"/>
                    <w:spacing w:line="360" w:lineRule="exact"/>
                    <w:rPr>
                      <w:color w:val="auto"/>
                      <w:kern w:val="0"/>
                      <w:szCs w:val="21"/>
                    </w:rPr>
                  </w:pPr>
                  <w:r>
                    <w:rPr>
                      <w:color w:val="auto"/>
                      <w:kern w:val="0"/>
                      <w:szCs w:val="21"/>
                    </w:rPr>
                    <w:t>环境功能区</w:t>
                  </w:r>
                </w:p>
              </w:tc>
              <w:tc>
                <w:tcPr>
                  <w:tcW w:w="851" w:type="dxa"/>
                  <w:vMerge w:val="restart"/>
                  <w:vAlign w:val="center"/>
                </w:tcPr>
                <w:p>
                  <w:pPr>
                    <w:pStyle w:val="30"/>
                    <w:spacing w:line="360" w:lineRule="exact"/>
                    <w:rPr>
                      <w:color w:val="auto"/>
                      <w:kern w:val="0"/>
                      <w:szCs w:val="21"/>
                    </w:rPr>
                  </w:pPr>
                  <w:r>
                    <w:rPr>
                      <w:color w:val="auto"/>
                      <w:kern w:val="0"/>
                      <w:szCs w:val="21"/>
                    </w:rPr>
                    <w:t>相对厂址方位</w:t>
                  </w:r>
                </w:p>
              </w:tc>
              <w:tc>
                <w:tcPr>
                  <w:tcW w:w="881" w:type="dxa"/>
                  <w:vMerge w:val="restart"/>
                  <w:vAlign w:val="center"/>
                </w:tcPr>
                <w:p>
                  <w:pPr>
                    <w:pStyle w:val="30"/>
                    <w:spacing w:line="360" w:lineRule="exact"/>
                    <w:rPr>
                      <w:color w:val="auto"/>
                      <w:kern w:val="0"/>
                      <w:szCs w:val="21"/>
                    </w:rPr>
                  </w:pPr>
                  <w:r>
                    <w:rPr>
                      <w:color w:val="auto"/>
                      <w:kern w:val="0"/>
                      <w:szCs w:val="21"/>
                    </w:rPr>
                    <w:t>相对厂界距离/m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359" w:type="dxa"/>
                  <w:vMerge w:val="continue"/>
                  <w:vAlign w:val="center"/>
                </w:tcPr>
                <w:p>
                  <w:pPr>
                    <w:pStyle w:val="30"/>
                    <w:spacing w:line="360" w:lineRule="exact"/>
                    <w:rPr>
                      <w:color w:val="auto"/>
                      <w:kern w:val="0"/>
                      <w:szCs w:val="21"/>
                    </w:rPr>
                  </w:pPr>
                </w:p>
              </w:tc>
              <w:tc>
                <w:tcPr>
                  <w:tcW w:w="1559" w:type="dxa"/>
                  <w:vAlign w:val="center"/>
                </w:tcPr>
                <w:p>
                  <w:pPr>
                    <w:pStyle w:val="30"/>
                    <w:spacing w:line="360" w:lineRule="exact"/>
                    <w:rPr>
                      <w:color w:val="auto"/>
                      <w:kern w:val="0"/>
                      <w:szCs w:val="21"/>
                    </w:rPr>
                  </w:pPr>
                  <w:r>
                    <w:rPr>
                      <w:color w:val="auto"/>
                      <w:kern w:val="0"/>
                      <w:szCs w:val="21"/>
                    </w:rPr>
                    <w:t>X</w:t>
                  </w:r>
                </w:p>
              </w:tc>
              <w:tc>
                <w:tcPr>
                  <w:tcW w:w="1417" w:type="dxa"/>
                  <w:vAlign w:val="center"/>
                </w:tcPr>
                <w:p>
                  <w:pPr>
                    <w:pStyle w:val="30"/>
                    <w:spacing w:line="360" w:lineRule="exact"/>
                    <w:rPr>
                      <w:color w:val="auto"/>
                      <w:kern w:val="0"/>
                      <w:szCs w:val="21"/>
                    </w:rPr>
                  </w:pPr>
                  <w:r>
                    <w:rPr>
                      <w:color w:val="auto"/>
                      <w:kern w:val="0"/>
                      <w:szCs w:val="21"/>
                    </w:rPr>
                    <w:t>Y</w:t>
                  </w:r>
                </w:p>
              </w:tc>
              <w:tc>
                <w:tcPr>
                  <w:tcW w:w="851" w:type="dxa"/>
                  <w:vMerge w:val="continue"/>
                  <w:vAlign w:val="center"/>
                </w:tcPr>
                <w:p>
                  <w:pPr>
                    <w:pStyle w:val="30"/>
                    <w:spacing w:line="360" w:lineRule="exact"/>
                    <w:rPr>
                      <w:color w:val="auto"/>
                      <w:kern w:val="0"/>
                      <w:szCs w:val="21"/>
                    </w:rPr>
                  </w:pPr>
                </w:p>
              </w:tc>
              <w:tc>
                <w:tcPr>
                  <w:tcW w:w="1417" w:type="dxa"/>
                  <w:vMerge w:val="continue"/>
                  <w:vAlign w:val="center"/>
                </w:tcPr>
                <w:p>
                  <w:pPr>
                    <w:pStyle w:val="30"/>
                    <w:spacing w:line="360" w:lineRule="exact"/>
                    <w:rPr>
                      <w:color w:val="auto"/>
                      <w:kern w:val="0"/>
                      <w:szCs w:val="21"/>
                    </w:rPr>
                  </w:pPr>
                </w:p>
              </w:tc>
              <w:tc>
                <w:tcPr>
                  <w:tcW w:w="709" w:type="dxa"/>
                  <w:vMerge w:val="continue"/>
                  <w:vAlign w:val="center"/>
                </w:tcPr>
                <w:p>
                  <w:pPr>
                    <w:pStyle w:val="30"/>
                    <w:spacing w:line="360" w:lineRule="exact"/>
                    <w:rPr>
                      <w:color w:val="auto"/>
                      <w:kern w:val="0"/>
                      <w:szCs w:val="21"/>
                    </w:rPr>
                  </w:pPr>
                </w:p>
              </w:tc>
              <w:tc>
                <w:tcPr>
                  <w:tcW w:w="851" w:type="dxa"/>
                  <w:vMerge w:val="continue"/>
                  <w:vAlign w:val="center"/>
                </w:tcPr>
                <w:p>
                  <w:pPr>
                    <w:pStyle w:val="30"/>
                    <w:spacing w:line="360" w:lineRule="exact"/>
                    <w:rPr>
                      <w:color w:val="auto"/>
                      <w:kern w:val="0"/>
                      <w:szCs w:val="21"/>
                    </w:rPr>
                  </w:pPr>
                </w:p>
              </w:tc>
              <w:tc>
                <w:tcPr>
                  <w:tcW w:w="881" w:type="dxa"/>
                  <w:vMerge w:val="continue"/>
                  <w:vAlign w:val="center"/>
                </w:tcPr>
                <w:p>
                  <w:pPr>
                    <w:pStyle w:val="30"/>
                    <w:spacing w:line="360" w:lineRule="exact"/>
                    <w:rPr>
                      <w:color w:val="auto"/>
                      <w:kern w:val="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359" w:type="dxa"/>
                  <w:vAlign w:val="center"/>
                </w:tcPr>
                <w:p>
                  <w:pPr>
                    <w:pStyle w:val="30"/>
                    <w:spacing w:line="360" w:lineRule="exact"/>
                    <w:rPr>
                      <w:color w:val="auto"/>
                      <w:kern w:val="0"/>
                      <w:szCs w:val="21"/>
                    </w:rPr>
                  </w:pPr>
                  <w:r>
                    <w:rPr>
                      <w:color w:val="auto"/>
                      <w:kern w:val="0"/>
                      <w:szCs w:val="21"/>
                    </w:rPr>
                    <w:t>天生村</w:t>
                  </w:r>
                </w:p>
              </w:tc>
              <w:tc>
                <w:tcPr>
                  <w:tcW w:w="1559" w:type="dxa"/>
                  <w:vAlign w:val="center"/>
                </w:tcPr>
                <w:p>
                  <w:pPr>
                    <w:pStyle w:val="30"/>
                    <w:spacing w:line="360" w:lineRule="exact"/>
                    <w:rPr>
                      <w:color w:val="auto"/>
                      <w:kern w:val="0"/>
                      <w:szCs w:val="21"/>
                    </w:rPr>
                  </w:pPr>
                  <w:r>
                    <w:rPr>
                      <w:color w:val="auto"/>
                      <w:kern w:val="0"/>
                      <w:szCs w:val="21"/>
                    </w:rPr>
                    <w:t>103°14′27.51″</w:t>
                  </w:r>
                </w:p>
              </w:tc>
              <w:tc>
                <w:tcPr>
                  <w:tcW w:w="1417" w:type="dxa"/>
                  <w:vAlign w:val="center"/>
                </w:tcPr>
                <w:p>
                  <w:pPr>
                    <w:pStyle w:val="30"/>
                    <w:spacing w:line="360" w:lineRule="exact"/>
                    <w:rPr>
                      <w:color w:val="auto"/>
                      <w:kern w:val="0"/>
                      <w:szCs w:val="21"/>
                    </w:rPr>
                  </w:pPr>
                  <w:r>
                    <w:rPr>
                      <w:color w:val="auto"/>
                      <w:kern w:val="0"/>
                      <w:szCs w:val="21"/>
                    </w:rPr>
                    <w:t>25°38′22.51″</w:t>
                  </w:r>
                </w:p>
              </w:tc>
              <w:tc>
                <w:tcPr>
                  <w:tcW w:w="851" w:type="dxa"/>
                  <w:vAlign w:val="center"/>
                </w:tcPr>
                <w:p>
                  <w:pPr>
                    <w:pStyle w:val="30"/>
                    <w:spacing w:line="360" w:lineRule="exact"/>
                    <w:rPr>
                      <w:color w:val="auto"/>
                      <w:kern w:val="0"/>
                      <w:szCs w:val="21"/>
                    </w:rPr>
                  </w:pPr>
                  <w:r>
                    <w:rPr>
                      <w:color w:val="auto"/>
                      <w:kern w:val="0"/>
                      <w:szCs w:val="21"/>
                    </w:rPr>
                    <w:t>居民区</w:t>
                  </w:r>
                </w:p>
              </w:tc>
              <w:tc>
                <w:tcPr>
                  <w:tcW w:w="1417" w:type="dxa"/>
                  <w:vAlign w:val="center"/>
                </w:tcPr>
                <w:p>
                  <w:pPr>
                    <w:pStyle w:val="30"/>
                    <w:spacing w:line="360" w:lineRule="exact"/>
                    <w:rPr>
                      <w:color w:val="auto"/>
                      <w:kern w:val="0"/>
                      <w:szCs w:val="21"/>
                    </w:rPr>
                  </w:pPr>
                  <w:r>
                    <w:rPr>
                      <w:color w:val="auto"/>
                      <w:kern w:val="0"/>
                      <w:szCs w:val="21"/>
                    </w:rPr>
                    <w:t>80户/245人</w:t>
                  </w:r>
                </w:p>
              </w:tc>
              <w:tc>
                <w:tcPr>
                  <w:tcW w:w="709" w:type="dxa"/>
                  <w:vMerge w:val="restart"/>
                  <w:vAlign w:val="center"/>
                </w:tcPr>
                <w:p>
                  <w:pPr>
                    <w:pStyle w:val="30"/>
                    <w:spacing w:line="360" w:lineRule="exact"/>
                    <w:rPr>
                      <w:color w:val="auto"/>
                      <w:kern w:val="0"/>
                      <w:szCs w:val="21"/>
                    </w:rPr>
                  </w:pPr>
                  <w:r>
                    <w:rPr>
                      <w:color w:val="auto"/>
                      <w:kern w:val="0"/>
                      <w:szCs w:val="21"/>
                    </w:rPr>
                    <w:t>二类区</w:t>
                  </w:r>
                </w:p>
              </w:tc>
              <w:tc>
                <w:tcPr>
                  <w:tcW w:w="851" w:type="dxa"/>
                  <w:vAlign w:val="center"/>
                </w:tcPr>
                <w:p>
                  <w:pPr>
                    <w:pStyle w:val="30"/>
                    <w:spacing w:line="360" w:lineRule="exact"/>
                    <w:rPr>
                      <w:color w:val="auto"/>
                      <w:kern w:val="0"/>
                      <w:szCs w:val="21"/>
                    </w:rPr>
                  </w:pPr>
                  <w:r>
                    <w:rPr>
                      <w:color w:val="auto"/>
                      <w:kern w:val="0"/>
                      <w:szCs w:val="21"/>
                    </w:rPr>
                    <w:t>西侧</w:t>
                  </w:r>
                </w:p>
              </w:tc>
              <w:tc>
                <w:tcPr>
                  <w:tcW w:w="881" w:type="dxa"/>
                  <w:vAlign w:val="center"/>
                </w:tcPr>
                <w:p>
                  <w:pPr>
                    <w:pStyle w:val="30"/>
                    <w:spacing w:line="360" w:lineRule="exact"/>
                    <w:rPr>
                      <w:color w:val="auto"/>
                      <w:kern w:val="0"/>
                      <w:szCs w:val="21"/>
                    </w:rPr>
                  </w:pPr>
                  <w:r>
                    <w:rPr>
                      <w:color w:val="auto"/>
                      <w:kern w:val="0"/>
                      <w:szCs w:val="21"/>
                    </w:rPr>
                    <w:t>1116m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359" w:type="dxa"/>
                  <w:vAlign w:val="center"/>
                </w:tcPr>
                <w:p>
                  <w:pPr>
                    <w:pStyle w:val="30"/>
                    <w:spacing w:line="360" w:lineRule="exact"/>
                    <w:rPr>
                      <w:color w:val="auto"/>
                      <w:kern w:val="0"/>
                      <w:szCs w:val="21"/>
                    </w:rPr>
                  </w:pPr>
                  <w:r>
                    <w:rPr>
                      <w:color w:val="auto"/>
                      <w:kern w:val="0"/>
                      <w:szCs w:val="21"/>
                    </w:rPr>
                    <w:t>大凹子农场</w:t>
                  </w:r>
                </w:p>
              </w:tc>
              <w:tc>
                <w:tcPr>
                  <w:tcW w:w="1559" w:type="dxa"/>
                  <w:vAlign w:val="center"/>
                </w:tcPr>
                <w:p>
                  <w:pPr>
                    <w:pStyle w:val="30"/>
                    <w:spacing w:line="360" w:lineRule="exact"/>
                    <w:rPr>
                      <w:color w:val="auto"/>
                      <w:kern w:val="0"/>
                      <w:szCs w:val="21"/>
                    </w:rPr>
                  </w:pPr>
                  <w:r>
                    <w:rPr>
                      <w:color w:val="auto"/>
                      <w:kern w:val="0"/>
                      <w:szCs w:val="21"/>
                    </w:rPr>
                    <w:t>103°15′02.39″</w:t>
                  </w:r>
                </w:p>
              </w:tc>
              <w:tc>
                <w:tcPr>
                  <w:tcW w:w="1417" w:type="dxa"/>
                  <w:vAlign w:val="center"/>
                </w:tcPr>
                <w:p>
                  <w:pPr>
                    <w:pStyle w:val="30"/>
                    <w:spacing w:line="360" w:lineRule="exact"/>
                    <w:rPr>
                      <w:color w:val="auto"/>
                      <w:kern w:val="0"/>
                      <w:szCs w:val="21"/>
                    </w:rPr>
                  </w:pPr>
                  <w:r>
                    <w:rPr>
                      <w:color w:val="auto"/>
                      <w:kern w:val="0"/>
                      <w:szCs w:val="21"/>
                    </w:rPr>
                    <w:t>25°38′09.65″</w:t>
                  </w:r>
                </w:p>
              </w:tc>
              <w:tc>
                <w:tcPr>
                  <w:tcW w:w="851" w:type="dxa"/>
                  <w:vAlign w:val="center"/>
                </w:tcPr>
                <w:p>
                  <w:pPr>
                    <w:pStyle w:val="30"/>
                    <w:spacing w:line="360" w:lineRule="exact"/>
                    <w:rPr>
                      <w:color w:val="auto"/>
                      <w:kern w:val="0"/>
                      <w:szCs w:val="21"/>
                    </w:rPr>
                  </w:pPr>
                  <w:r>
                    <w:rPr>
                      <w:color w:val="auto"/>
                      <w:kern w:val="0"/>
                      <w:szCs w:val="21"/>
                    </w:rPr>
                    <w:t>居民区</w:t>
                  </w:r>
                </w:p>
              </w:tc>
              <w:tc>
                <w:tcPr>
                  <w:tcW w:w="1417" w:type="dxa"/>
                  <w:vAlign w:val="center"/>
                </w:tcPr>
                <w:p>
                  <w:pPr>
                    <w:pStyle w:val="30"/>
                    <w:spacing w:line="360" w:lineRule="exact"/>
                    <w:rPr>
                      <w:color w:val="auto"/>
                      <w:kern w:val="0"/>
                      <w:szCs w:val="21"/>
                    </w:rPr>
                  </w:pPr>
                  <w:r>
                    <w:rPr>
                      <w:color w:val="auto"/>
                      <w:kern w:val="0"/>
                      <w:szCs w:val="21"/>
                    </w:rPr>
                    <w:t>5户/18人</w:t>
                  </w:r>
                </w:p>
              </w:tc>
              <w:tc>
                <w:tcPr>
                  <w:tcW w:w="709" w:type="dxa"/>
                  <w:vMerge w:val="continue"/>
                  <w:vAlign w:val="center"/>
                </w:tcPr>
                <w:p>
                  <w:pPr>
                    <w:pStyle w:val="30"/>
                    <w:spacing w:line="360" w:lineRule="exact"/>
                    <w:rPr>
                      <w:color w:val="auto"/>
                      <w:kern w:val="0"/>
                      <w:szCs w:val="21"/>
                    </w:rPr>
                  </w:pPr>
                </w:p>
              </w:tc>
              <w:tc>
                <w:tcPr>
                  <w:tcW w:w="851" w:type="dxa"/>
                  <w:vAlign w:val="center"/>
                </w:tcPr>
                <w:p>
                  <w:pPr>
                    <w:pStyle w:val="30"/>
                    <w:spacing w:line="360" w:lineRule="exact"/>
                    <w:rPr>
                      <w:color w:val="auto"/>
                      <w:kern w:val="0"/>
                      <w:szCs w:val="21"/>
                    </w:rPr>
                  </w:pPr>
                  <w:r>
                    <w:rPr>
                      <w:color w:val="auto"/>
                      <w:kern w:val="0"/>
                      <w:szCs w:val="21"/>
                    </w:rPr>
                    <w:t>西南侧</w:t>
                  </w:r>
                </w:p>
              </w:tc>
              <w:tc>
                <w:tcPr>
                  <w:tcW w:w="881" w:type="dxa"/>
                  <w:vAlign w:val="center"/>
                </w:tcPr>
                <w:p>
                  <w:pPr>
                    <w:pStyle w:val="30"/>
                    <w:spacing w:line="360" w:lineRule="exact"/>
                    <w:rPr>
                      <w:color w:val="auto"/>
                      <w:kern w:val="0"/>
                      <w:szCs w:val="21"/>
                    </w:rPr>
                  </w:pPr>
                  <w:r>
                    <w:rPr>
                      <w:color w:val="auto"/>
                      <w:kern w:val="0"/>
                      <w:szCs w:val="21"/>
                    </w:rPr>
                    <w:t>435m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359" w:type="dxa"/>
                  <w:vAlign w:val="center"/>
                </w:tcPr>
                <w:p>
                  <w:pPr>
                    <w:pStyle w:val="30"/>
                    <w:spacing w:line="360" w:lineRule="exact"/>
                    <w:rPr>
                      <w:color w:val="auto"/>
                      <w:kern w:val="0"/>
                      <w:szCs w:val="21"/>
                    </w:rPr>
                  </w:pPr>
                  <w:r>
                    <w:rPr>
                      <w:color w:val="auto"/>
                      <w:kern w:val="0"/>
                      <w:szCs w:val="21"/>
                    </w:rPr>
                    <w:t>园区管委会</w:t>
                  </w:r>
                </w:p>
              </w:tc>
              <w:tc>
                <w:tcPr>
                  <w:tcW w:w="1559" w:type="dxa"/>
                  <w:vAlign w:val="center"/>
                </w:tcPr>
                <w:p>
                  <w:pPr>
                    <w:pStyle w:val="30"/>
                    <w:spacing w:line="360" w:lineRule="exact"/>
                    <w:rPr>
                      <w:color w:val="auto"/>
                      <w:kern w:val="0"/>
                      <w:szCs w:val="21"/>
                    </w:rPr>
                  </w:pPr>
                  <w:r>
                    <w:rPr>
                      <w:color w:val="auto"/>
                      <w:kern w:val="0"/>
                      <w:szCs w:val="21"/>
                    </w:rPr>
                    <w:t>103°15′26.17″</w:t>
                  </w:r>
                </w:p>
              </w:tc>
              <w:tc>
                <w:tcPr>
                  <w:tcW w:w="1417" w:type="dxa"/>
                  <w:vAlign w:val="center"/>
                </w:tcPr>
                <w:p>
                  <w:pPr>
                    <w:pStyle w:val="30"/>
                    <w:spacing w:line="360" w:lineRule="exact"/>
                    <w:rPr>
                      <w:color w:val="auto"/>
                      <w:kern w:val="0"/>
                      <w:szCs w:val="21"/>
                    </w:rPr>
                  </w:pPr>
                  <w:r>
                    <w:rPr>
                      <w:color w:val="auto"/>
                      <w:kern w:val="0"/>
                      <w:szCs w:val="21"/>
                    </w:rPr>
                    <w:t>25°38′13.94″</w:t>
                  </w:r>
                </w:p>
              </w:tc>
              <w:tc>
                <w:tcPr>
                  <w:tcW w:w="851" w:type="dxa"/>
                  <w:vAlign w:val="center"/>
                </w:tcPr>
                <w:p>
                  <w:pPr>
                    <w:pStyle w:val="30"/>
                    <w:spacing w:line="360" w:lineRule="exact"/>
                    <w:rPr>
                      <w:color w:val="auto"/>
                      <w:kern w:val="0"/>
                      <w:szCs w:val="21"/>
                    </w:rPr>
                  </w:pPr>
                  <w:r>
                    <w:rPr>
                      <w:color w:val="auto"/>
                      <w:kern w:val="0"/>
                      <w:szCs w:val="21"/>
                    </w:rPr>
                    <w:t>办公区</w:t>
                  </w:r>
                </w:p>
              </w:tc>
              <w:tc>
                <w:tcPr>
                  <w:tcW w:w="1417" w:type="dxa"/>
                  <w:vAlign w:val="center"/>
                </w:tcPr>
                <w:p>
                  <w:pPr>
                    <w:pStyle w:val="30"/>
                    <w:spacing w:line="360" w:lineRule="exact"/>
                    <w:rPr>
                      <w:color w:val="auto"/>
                      <w:kern w:val="0"/>
                      <w:szCs w:val="21"/>
                    </w:rPr>
                  </w:pPr>
                  <w:r>
                    <w:rPr>
                      <w:color w:val="auto"/>
                      <w:kern w:val="0"/>
                      <w:szCs w:val="21"/>
                    </w:rPr>
                    <w:t>20人</w:t>
                  </w:r>
                </w:p>
              </w:tc>
              <w:tc>
                <w:tcPr>
                  <w:tcW w:w="709" w:type="dxa"/>
                  <w:vMerge w:val="continue"/>
                  <w:vAlign w:val="center"/>
                </w:tcPr>
                <w:p>
                  <w:pPr>
                    <w:pStyle w:val="30"/>
                    <w:spacing w:line="360" w:lineRule="exact"/>
                    <w:rPr>
                      <w:color w:val="auto"/>
                      <w:kern w:val="0"/>
                      <w:szCs w:val="21"/>
                    </w:rPr>
                  </w:pPr>
                </w:p>
              </w:tc>
              <w:tc>
                <w:tcPr>
                  <w:tcW w:w="851" w:type="dxa"/>
                  <w:vAlign w:val="center"/>
                </w:tcPr>
                <w:p>
                  <w:pPr>
                    <w:pStyle w:val="30"/>
                    <w:spacing w:line="360" w:lineRule="exact"/>
                    <w:rPr>
                      <w:color w:val="auto"/>
                      <w:kern w:val="0"/>
                      <w:szCs w:val="21"/>
                    </w:rPr>
                  </w:pPr>
                  <w:r>
                    <w:rPr>
                      <w:color w:val="auto"/>
                      <w:kern w:val="0"/>
                      <w:szCs w:val="21"/>
                    </w:rPr>
                    <w:t>东南侧</w:t>
                  </w:r>
                </w:p>
              </w:tc>
              <w:tc>
                <w:tcPr>
                  <w:tcW w:w="881" w:type="dxa"/>
                  <w:vAlign w:val="center"/>
                </w:tcPr>
                <w:p>
                  <w:pPr>
                    <w:pStyle w:val="30"/>
                    <w:spacing w:line="360" w:lineRule="exact"/>
                    <w:rPr>
                      <w:color w:val="auto"/>
                      <w:kern w:val="0"/>
                      <w:szCs w:val="21"/>
                    </w:rPr>
                  </w:pPr>
                  <w:r>
                    <w:rPr>
                      <w:color w:val="auto"/>
                      <w:kern w:val="0"/>
                      <w:szCs w:val="21"/>
                    </w:rPr>
                    <w:t>386m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359" w:type="dxa"/>
                  <w:vAlign w:val="center"/>
                </w:tcPr>
                <w:p>
                  <w:pPr>
                    <w:pStyle w:val="30"/>
                    <w:spacing w:line="360" w:lineRule="exact"/>
                    <w:rPr>
                      <w:color w:val="auto"/>
                      <w:kern w:val="0"/>
                      <w:szCs w:val="21"/>
                    </w:rPr>
                  </w:pPr>
                  <w:r>
                    <w:rPr>
                      <w:color w:val="auto"/>
                      <w:kern w:val="0"/>
                      <w:szCs w:val="21"/>
                    </w:rPr>
                    <w:t>草海子村</w:t>
                  </w:r>
                </w:p>
              </w:tc>
              <w:tc>
                <w:tcPr>
                  <w:tcW w:w="1559" w:type="dxa"/>
                  <w:vAlign w:val="center"/>
                </w:tcPr>
                <w:p>
                  <w:pPr>
                    <w:pStyle w:val="30"/>
                    <w:spacing w:line="360" w:lineRule="exact"/>
                    <w:rPr>
                      <w:color w:val="auto"/>
                      <w:kern w:val="0"/>
                      <w:szCs w:val="21"/>
                    </w:rPr>
                  </w:pPr>
                  <w:r>
                    <w:rPr>
                      <w:color w:val="auto"/>
                      <w:kern w:val="0"/>
                      <w:szCs w:val="21"/>
                    </w:rPr>
                    <w:t>103°15′52.11″</w:t>
                  </w:r>
                </w:p>
              </w:tc>
              <w:tc>
                <w:tcPr>
                  <w:tcW w:w="1417" w:type="dxa"/>
                  <w:vAlign w:val="center"/>
                </w:tcPr>
                <w:p>
                  <w:pPr>
                    <w:pStyle w:val="30"/>
                    <w:spacing w:line="360" w:lineRule="exact"/>
                    <w:rPr>
                      <w:color w:val="auto"/>
                      <w:kern w:val="0"/>
                      <w:szCs w:val="21"/>
                    </w:rPr>
                  </w:pPr>
                  <w:r>
                    <w:rPr>
                      <w:color w:val="auto"/>
                      <w:kern w:val="0"/>
                      <w:szCs w:val="21"/>
                    </w:rPr>
                    <w:t>25°38′17.18″</w:t>
                  </w:r>
                </w:p>
              </w:tc>
              <w:tc>
                <w:tcPr>
                  <w:tcW w:w="851" w:type="dxa"/>
                  <w:vAlign w:val="center"/>
                </w:tcPr>
                <w:p>
                  <w:pPr>
                    <w:pStyle w:val="30"/>
                    <w:spacing w:line="360" w:lineRule="exact"/>
                    <w:rPr>
                      <w:color w:val="auto"/>
                      <w:kern w:val="0"/>
                      <w:szCs w:val="21"/>
                    </w:rPr>
                  </w:pPr>
                  <w:r>
                    <w:rPr>
                      <w:color w:val="auto"/>
                      <w:kern w:val="0"/>
                      <w:szCs w:val="21"/>
                    </w:rPr>
                    <w:t>居民区</w:t>
                  </w:r>
                </w:p>
              </w:tc>
              <w:tc>
                <w:tcPr>
                  <w:tcW w:w="1417" w:type="dxa"/>
                  <w:vAlign w:val="center"/>
                </w:tcPr>
                <w:p>
                  <w:pPr>
                    <w:pStyle w:val="30"/>
                    <w:spacing w:line="360" w:lineRule="exact"/>
                    <w:rPr>
                      <w:color w:val="auto"/>
                      <w:kern w:val="0"/>
                      <w:szCs w:val="21"/>
                    </w:rPr>
                  </w:pPr>
                  <w:r>
                    <w:rPr>
                      <w:color w:val="auto"/>
                      <w:kern w:val="0"/>
                      <w:szCs w:val="21"/>
                    </w:rPr>
                    <w:t>3户/18人</w:t>
                  </w:r>
                </w:p>
              </w:tc>
              <w:tc>
                <w:tcPr>
                  <w:tcW w:w="709" w:type="dxa"/>
                  <w:vMerge w:val="continue"/>
                  <w:vAlign w:val="center"/>
                </w:tcPr>
                <w:p>
                  <w:pPr>
                    <w:pStyle w:val="30"/>
                    <w:spacing w:line="360" w:lineRule="exact"/>
                    <w:rPr>
                      <w:color w:val="auto"/>
                      <w:kern w:val="0"/>
                      <w:szCs w:val="21"/>
                    </w:rPr>
                  </w:pPr>
                </w:p>
              </w:tc>
              <w:tc>
                <w:tcPr>
                  <w:tcW w:w="851" w:type="dxa"/>
                  <w:vAlign w:val="center"/>
                </w:tcPr>
                <w:p>
                  <w:pPr>
                    <w:pStyle w:val="30"/>
                    <w:spacing w:line="360" w:lineRule="exact"/>
                    <w:rPr>
                      <w:color w:val="auto"/>
                      <w:kern w:val="0"/>
                      <w:szCs w:val="21"/>
                    </w:rPr>
                  </w:pPr>
                  <w:r>
                    <w:rPr>
                      <w:color w:val="auto"/>
                      <w:kern w:val="0"/>
                      <w:szCs w:val="21"/>
                    </w:rPr>
                    <w:t>东侧</w:t>
                  </w:r>
                </w:p>
              </w:tc>
              <w:tc>
                <w:tcPr>
                  <w:tcW w:w="881" w:type="dxa"/>
                  <w:vAlign w:val="center"/>
                </w:tcPr>
                <w:p>
                  <w:pPr>
                    <w:pStyle w:val="30"/>
                    <w:spacing w:line="360" w:lineRule="exact"/>
                    <w:rPr>
                      <w:color w:val="auto"/>
                      <w:kern w:val="0"/>
                      <w:szCs w:val="21"/>
                    </w:rPr>
                  </w:pPr>
                  <w:r>
                    <w:rPr>
                      <w:color w:val="auto"/>
                      <w:kern w:val="0"/>
                      <w:szCs w:val="21"/>
                    </w:rPr>
                    <w:t>1008m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359" w:type="dxa"/>
                  <w:vAlign w:val="center"/>
                </w:tcPr>
                <w:p>
                  <w:pPr>
                    <w:pStyle w:val="30"/>
                    <w:spacing w:line="360" w:lineRule="exact"/>
                    <w:rPr>
                      <w:color w:val="auto"/>
                      <w:kern w:val="0"/>
                      <w:szCs w:val="21"/>
                    </w:rPr>
                  </w:pPr>
                  <w:r>
                    <w:rPr>
                      <w:color w:val="auto"/>
                      <w:kern w:val="0"/>
                      <w:szCs w:val="21"/>
                    </w:rPr>
                    <w:t>三家村</w:t>
                  </w:r>
                </w:p>
              </w:tc>
              <w:tc>
                <w:tcPr>
                  <w:tcW w:w="1559" w:type="dxa"/>
                  <w:vAlign w:val="center"/>
                </w:tcPr>
                <w:p>
                  <w:pPr>
                    <w:pStyle w:val="30"/>
                    <w:spacing w:line="360" w:lineRule="exact"/>
                    <w:rPr>
                      <w:color w:val="auto"/>
                      <w:kern w:val="0"/>
                      <w:szCs w:val="21"/>
                    </w:rPr>
                  </w:pPr>
                  <w:r>
                    <w:rPr>
                      <w:color w:val="auto"/>
                      <w:kern w:val="0"/>
                      <w:szCs w:val="21"/>
                    </w:rPr>
                    <w:t>103°15′46.71″</w:t>
                  </w:r>
                </w:p>
              </w:tc>
              <w:tc>
                <w:tcPr>
                  <w:tcW w:w="1417" w:type="dxa"/>
                  <w:vAlign w:val="center"/>
                </w:tcPr>
                <w:p>
                  <w:pPr>
                    <w:pStyle w:val="30"/>
                    <w:spacing w:line="360" w:lineRule="exact"/>
                    <w:rPr>
                      <w:color w:val="auto"/>
                      <w:kern w:val="0"/>
                      <w:szCs w:val="21"/>
                    </w:rPr>
                  </w:pPr>
                  <w:r>
                    <w:rPr>
                      <w:color w:val="auto"/>
                      <w:kern w:val="0"/>
                      <w:szCs w:val="21"/>
                    </w:rPr>
                    <w:t>25°38′47.66″</w:t>
                  </w:r>
                </w:p>
              </w:tc>
              <w:tc>
                <w:tcPr>
                  <w:tcW w:w="851" w:type="dxa"/>
                  <w:vAlign w:val="center"/>
                </w:tcPr>
                <w:p>
                  <w:pPr>
                    <w:pStyle w:val="30"/>
                    <w:spacing w:line="360" w:lineRule="exact"/>
                    <w:rPr>
                      <w:color w:val="auto"/>
                      <w:kern w:val="0"/>
                      <w:szCs w:val="21"/>
                    </w:rPr>
                  </w:pPr>
                  <w:r>
                    <w:rPr>
                      <w:color w:val="auto"/>
                      <w:kern w:val="0"/>
                      <w:szCs w:val="21"/>
                    </w:rPr>
                    <w:t>居民区</w:t>
                  </w:r>
                </w:p>
              </w:tc>
              <w:tc>
                <w:tcPr>
                  <w:tcW w:w="1417" w:type="dxa"/>
                  <w:vAlign w:val="center"/>
                </w:tcPr>
                <w:p>
                  <w:pPr>
                    <w:pStyle w:val="30"/>
                    <w:spacing w:line="360" w:lineRule="exact"/>
                    <w:rPr>
                      <w:color w:val="auto"/>
                      <w:kern w:val="0"/>
                      <w:szCs w:val="21"/>
                    </w:rPr>
                  </w:pPr>
                  <w:r>
                    <w:rPr>
                      <w:color w:val="auto"/>
                      <w:kern w:val="0"/>
                      <w:szCs w:val="21"/>
                    </w:rPr>
                    <w:t>26户/79人</w:t>
                  </w:r>
                </w:p>
              </w:tc>
              <w:tc>
                <w:tcPr>
                  <w:tcW w:w="709" w:type="dxa"/>
                  <w:vMerge w:val="continue"/>
                  <w:vAlign w:val="center"/>
                </w:tcPr>
                <w:p>
                  <w:pPr>
                    <w:pStyle w:val="30"/>
                    <w:spacing w:line="360" w:lineRule="exact"/>
                    <w:rPr>
                      <w:color w:val="auto"/>
                      <w:kern w:val="0"/>
                      <w:szCs w:val="21"/>
                    </w:rPr>
                  </w:pPr>
                </w:p>
              </w:tc>
              <w:tc>
                <w:tcPr>
                  <w:tcW w:w="851" w:type="dxa"/>
                  <w:vAlign w:val="center"/>
                </w:tcPr>
                <w:p>
                  <w:pPr>
                    <w:pStyle w:val="30"/>
                    <w:spacing w:line="360" w:lineRule="exact"/>
                    <w:rPr>
                      <w:color w:val="auto"/>
                      <w:kern w:val="0"/>
                      <w:szCs w:val="21"/>
                    </w:rPr>
                  </w:pPr>
                  <w:r>
                    <w:rPr>
                      <w:color w:val="auto"/>
                      <w:kern w:val="0"/>
                      <w:szCs w:val="21"/>
                    </w:rPr>
                    <w:t>东北侧</w:t>
                  </w:r>
                </w:p>
              </w:tc>
              <w:tc>
                <w:tcPr>
                  <w:tcW w:w="881" w:type="dxa"/>
                  <w:vAlign w:val="center"/>
                </w:tcPr>
                <w:p>
                  <w:pPr>
                    <w:pStyle w:val="30"/>
                    <w:spacing w:line="360" w:lineRule="exact"/>
                    <w:rPr>
                      <w:color w:val="auto"/>
                      <w:kern w:val="0"/>
                      <w:szCs w:val="21"/>
                    </w:rPr>
                  </w:pPr>
                  <w:r>
                    <w:rPr>
                      <w:color w:val="auto"/>
                      <w:kern w:val="0"/>
                      <w:szCs w:val="21"/>
                    </w:rPr>
                    <w:t>1125m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359" w:type="dxa"/>
                  <w:vAlign w:val="center"/>
                </w:tcPr>
                <w:p>
                  <w:pPr>
                    <w:pStyle w:val="30"/>
                    <w:spacing w:line="360" w:lineRule="exact"/>
                    <w:rPr>
                      <w:color w:val="auto"/>
                      <w:kern w:val="0"/>
                      <w:szCs w:val="21"/>
                    </w:rPr>
                  </w:pPr>
                  <w:r>
                    <w:rPr>
                      <w:color w:val="auto"/>
                      <w:kern w:val="0"/>
                      <w:szCs w:val="21"/>
                    </w:rPr>
                    <w:t>黑泥沟村</w:t>
                  </w:r>
                </w:p>
              </w:tc>
              <w:tc>
                <w:tcPr>
                  <w:tcW w:w="1559" w:type="dxa"/>
                  <w:vAlign w:val="center"/>
                </w:tcPr>
                <w:p>
                  <w:pPr>
                    <w:pStyle w:val="30"/>
                    <w:spacing w:line="360" w:lineRule="exact"/>
                    <w:rPr>
                      <w:color w:val="auto"/>
                      <w:kern w:val="0"/>
                      <w:szCs w:val="21"/>
                    </w:rPr>
                  </w:pPr>
                  <w:r>
                    <w:rPr>
                      <w:color w:val="auto"/>
                      <w:kern w:val="0"/>
                      <w:szCs w:val="21"/>
                    </w:rPr>
                    <w:t>103°15′28.74″</w:t>
                  </w:r>
                </w:p>
              </w:tc>
              <w:tc>
                <w:tcPr>
                  <w:tcW w:w="1417" w:type="dxa"/>
                  <w:vAlign w:val="center"/>
                </w:tcPr>
                <w:p>
                  <w:pPr>
                    <w:pStyle w:val="30"/>
                    <w:spacing w:line="360" w:lineRule="exact"/>
                    <w:rPr>
                      <w:color w:val="auto"/>
                      <w:kern w:val="0"/>
                      <w:szCs w:val="21"/>
                    </w:rPr>
                  </w:pPr>
                  <w:r>
                    <w:rPr>
                      <w:color w:val="auto"/>
                      <w:kern w:val="0"/>
                      <w:szCs w:val="21"/>
                    </w:rPr>
                    <w:t>25°38′37.64″</w:t>
                  </w:r>
                </w:p>
              </w:tc>
              <w:tc>
                <w:tcPr>
                  <w:tcW w:w="851" w:type="dxa"/>
                  <w:vAlign w:val="center"/>
                </w:tcPr>
                <w:p>
                  <w:pPr>
                    <w:pStyle w:val="30"/>
                    <w:spacing w:line="360" w:lineRule="exact"/>
                    <w:rPr>
                      <w:color w:val="auto"/>
                      <w:kern w:val="0"/>
                      <w:szCs w:val="21"/>
                    </w:rPr>
                  </w:pPr>
                  <w:r>
                    <w:rPr>
                      <w:color w:val="auto"/>
                      <w:kern w:val="0"/>
                      <w:szCs w:val="21"/>
                    </w:rPr>
                    <w:t>居民区</w:t>
                  </w:r>
                </w:p>
              </w:tc>
              <w:tc>
                <w:tcPr>
                  <w:tcW w:w="1417" w:type="dxa"/>
                  <w:vAlign w:val="center"/>
                </w:tcPr>
                <w:p>
                  <w:pPr>
                    <w:pStyle w:val="30"/>
                    <w:spacing w:line="360" w:lineRule="exact"/>
                    <w:rPr>
                      <w:color w:val="auto"/>
                      <w:kern w:val="0"/>
                      <w:szCs w:val="21"/>
                    </w:rPr>
                  </w:pPr>
                  <w:r>
                    <w:rPr>
                      <w:color w:val="auto"/>
                      <w:kern w:val="0"/>
                      <w:szCs w:val="21"/>
                    </w:rPr>
                    <w:t>110户/408人</w:t>
                  </w:r>
                </w:p>
              </w:tc>
              <w:tc>
                <w:tcPr>
                  <w:tcW w:w="709" w:type="dxa"/>
                  <w:vMerge w:val="continue"/>
                  <w:vAlign w:val="center"/>
                </w:tcPr>
                <w:p>
                  <w:pPr>
                    <w:pStyle w:val="30"/>
                    <w:spacing w:line="360" w:lineRule="exact"/>
                    <w:rPr>
                      <w:color w:val="auto"/>
                      <w:kern w:val="0"/>
                      <w:szCs w:val="21"/>
                    </w:rPr>
                  </w:pPr>
                </w:p>
              </w:tc>
              <w:tc>
                <w:tcPr>
                  <w:tcW w:w="851" w:type="dxa"/>
                  <w:vAlign w:val="center"/>
                </w:tcPr>
                <w:p>
                  <w:pPr>
                    <w:pStyle w:val="30"/>
                    <w:spacing w:line="360" w:lineRule="exact"/>
                    <w:rPr>
                      <w:color w:val="auto"/>
                      <w:kern w:val="0"/>
                      <w:szCs w:val="21"/>
                    </w:rPr>
                  </w:pPr>
                  <w:r>
                    <w:rPr>
                      <w:color w:val="auto"/>
                      <w:kern w:val="0"/>
                      <w:szCs w:val="21"/>
                    </w:rPr>
                    <w:t>东北侧</w:t>
                  </w:r>
                </w:p>
              </w:tc>
              <w:tc>
                <w:tcPr>
                  <w:tcW w:w="881" w:type="dxa"/>
                  <w:vAlign w:val="center"/>
                </w:tcPr>
                <w:p>
                  <w:pPr>
                    <w:pStyle w:val="30"/>
                    <w:spacing w:line="360" w:lineRule="exact"/>
                    <w:rPr>
                      <w:color w:val="auto"/>
                      <w:kern w:val="0"/>
                      <w:szCs w:val="21"/>
                    </w:rPr>
                  </w:pPr>
                  <w:r>
                    <w:rPr>
                      <w:color w:val="auto"/>
                      <w:kern w:val="0"/>
                      <w:szCs w:val="21"/>
                    </w:rPr>
                    <w:t>486m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359" w:type="dxa"/>
                  <w:vAlign w:val="center"/>
                </w:tcPr>
                <w:p>
                  <w:pPr>
                    <w:pStyle w:val="30"/>
                    <w:spacing w:line="360" w:lineRule="exact"/>
                    <w:rPr>
                      <w:color w:val="auto"/>
                      <w:kern w:val="0"/>
                      <w:szCs w:val="21"/>
                    </w:rPr>
                  </w:pPr>
                  <w:r>
                    <w:rPr>
                      <w:color w:val="auto"/>
                      <w:kern w:val="0"/>
                      <w:szCs w:val="21"/>
                    </w:rPr>
                    <w:t>柳树河村</w:t>
                  </w:r>
                </w:p>
              </w:tc>
              <w:tc>
                <w:tcPr>
                  <w:tcW w:w="1559" w:type="dxa"/>
                  <w:vAlign w:val="center"/>
                </w:tcPr>
                <w:p>
                  <w:pPr>
                    <w:pStyle w:val="30"/>
                    <w:spacing w:line="360" w:lineRule="exact"/>
                    <w:rPr>
                      <w:color w:val="auto"/>
                      <w:kern w:val="0"/>
                      <w:szCs w:val="21"/>
                    </w:rPr>
                  </w:pPr>
                  <w:r>
                    <w:rPr>
                      <w:color w:val="auto"/>
                      <w:kern w:val="0"/>
                      <w:szCs w:val="21"/>
                    </w:rPr>
                    <w:t>103°15′14.65″</w:t>
                  </w:r>
                </w:p>
              </w:tc>
              <w:tc>
                <w:tcPr>
                  <w:tcW w:w="1417" w:type="dxa"/>
                  <w:vAlign w:val="center"/>
                </w:tcPr>
                <w:p>
                  <w:pPr>
                    <w:pStyle w:val="30"/>
                    <w:spacing w:line="360" w:lineRule="exact"/>
                    <w:rPr>
                      <w:color w:val="auto"/>
                      <w:kern w:val="0"/>
                      <w:szCs w:val="21"/>
                    </w:rPr>
                  </w:pPr>
                  <w:r>
                    <w:rPr>
                      <w:color w:val="auto"/>
                      <w:kern w:val="0"/>
                      <w:szCs w:val="21"/>
                    </w:rPr>
                    <w:t>25°38′50.52″</w:t>
                  </w:r>
                </w:p>
              </w:tc>
              <w:tc>
                <w:tcPr>
                  <w:tcW w:w="851" w:type="dxa"/>
                  <w:vAlign w:val="center"/>
                </w:tcPr>
                <w:p>
                  <w:pPr>
                    <w:pStyle w:val="30"/>
                    <w:spacing w:line="360" w:lineRule="exact"/>
                    <w:rPr>
                      <w:color w:val="auto"/>
                      <w:kern w:val="0"/>
                      <w:szCs w:val="21"/>
                    </w:rPr>
                  </w:pPr>
                  <w:r>
                    <w:rPr>
                      <w:color w:val="auto"/>
                      <w:kern w:val="0"/>
                      <w:szCs w:val="21"/>
                    </w:rPr>
                    <w:t>居民区</w:t>
                  </w:r>
                </w:p>
              </w:tc>
              <w:tc>
                <w:tcPr>
                  <w:tcW w:w="1417" w:type="dxa"/>
                  <w:vAlign w:val="center"/>
                </w:tcPr>
                <w:p>
                  <w:pPr>
                    <w:pStyle w:val="30"/>
                    <w:spacing w:line="360" w:lineRule="exact"/>
                    <w:rPr>
                      <w:color w:val="auto"/>
                      <w:kern w:val="0"/>
                      <w:szCs w:val="21"/>
                    </w:rPr>
                  </w:pPr>
                  <w:r>
                    <w:rPr>
                      <w:color w:val="auto"/>
                      <w:kern w:val="0"/>
                      <w:szCs w:val="21"/>
                    </w:rPr>
                    <w:t>70户/229人</w:t>
                  </w:r>
                </w:p>
              </w:tc>
              <w:tc>
                <w:tcPr>
                  <w:tcW w:w="709" w:type="dxa"/>
                  <w:vMerge w:val="continue"/>
                  <w:vAlign w:val="center"/>
                </w:tcPr>
                <w:p>
                  <w:pPr>
                    <w:pStyle w:val="30"/>
                    <w:spacing w:line="360" w:lineRule="exact"/>
                    <w:rPr>
                      <w:color w:val="auto"/>
                      <w:kern w:val="0"/>
                      <w:szCs w:val="21"/>
                    </w:rPr>
                  </w:pPr>
                </w:p>
              </w:tc>
              <w:tc>
                <w:tcPr>
                  <w:tcW w:w="851" w:type="dxa"/>
                  <w:vAlign w:val="center"/>
                </w:tcPr>
                <w:p>
                  <w:pPr>
                    <w:pStyle w:val="30"/>
                    <w:spacing w:line="360" w:lineRule="exact"/>
                    <w:rPr>
                      <w:color w:val="auto"/>
                      <w:kern w:val="0"/>
                      <w:szCs w:val="21"/>
                    </w:rPr>
                  </w:pPr>
                  <w:r>
                    <w:rPr>
                      <w:color w:val="auto"/>
                      <w:kern w:val="0"/>
                      <w:szCs w:val="21"/>
                    </w:rPr>
                    <w:t>北侧</w:t>
                  </w:r>
                </w:p>
              </w:tc>
              <w:tc>
                <w:tcPr>
                  <w:tcW w:w="881" w:type="dxa"/>
                  <w:vAlign w:val="center"/>
                </w:tcPr>
                <w:p>
                  <w:pPr>
                    <w:pStyle w:val="30"/>
                    <w:spacing w:line="360" w:lineRule="exact"/>
                    <w:rPr>
                      <w:color w:val="auto"/>
                      <w:kern w:val="0"/>
                      <w:szCs w:val="21"/>
                    </w:rPr>
                  </w:pPr>
                  <w:r>
                    <w:rPr>
                      <w:color w:val="auto"/>
                      <w:kern w:val="0"/>
                      <w:szCs w:val="21"/>
                    </w:rPr>
                    <w:t>680m</w:t>
                  </w:r>
                </w:p>
              </w:tc>
            </w:tr>
          </w:tbl>
          <w:p>
            <w:pPr>
              <w:pStyle w:val="38"/>
              <w:spacing w:beforeLines="50"/>
              <w:ind w:firstLine="482"/>
              <w:rPr>
                <w:rFonts w:eastAsiaTheme="minorEastAsia"/>
                <w:b/>
                <w:color w:val="auto"/>
                <w:szCs w:val="24"/>
              </w:rPr>
            </w:pPr>
            <w:r>
              <w:rPr>
                <w:rFonts w:eastAsiaTheme="minorEastAsia"/>
                <w:b/>
                <w:color w:val="auto"/>
                <w:szCs w:val="24"/>
              </w:rPr>
              <w:t>3.2.2 地表水环境保护目标</w:t>
            </w:r>
          </w:p>
          <w:p>
            <w:pPr>
              <w:pStyle w:val="38"/>
              <w:ind w:firstLine="480"/>
              <w:rPr>
                <w:rFonts w:eastAsiaTheme="minorEastAsia"/>
                <w:color w:val="auto"/>
                <w:szCs w:val="24"/>
              </w:rPr>
            </w:pPr>
            <w:r>
              <w:rPr>
                <w:rFonts w:eastAsiaTheme="minorEastAsia"/>
                <w:color w:val="auto"/>
                <w:szCs w:val="24"/>
              </w:rPr>
              <w:t>根据《建设项目环境影响报告表编制技术指南》（污染影响类）（试行）的要求，未要求设施地表水环境保护目标；根据调查，本改扩建项目区属于黑泥沟的汇水范围，因此拟将黑泥沟列入本改扩建项目水环境保护目标。具体如下表所示。</w:t>
            </w:r>
          </w:p>
          <w:p>
            <w:pPr>
              <w:pStyle w:val="38"/>
              <w:ind w:firstLine="480"/>
              <w:rPr>
                <w:rFonts w:eastAsiaTheme="minorEastAsia"/>
                <w:color w:val="auto"/>
                <w:szCs w:val="24"/>
              </w:rPr>
            </w:pPr>
          </w:p>
          <w:p>
            <w:pPr>
              <w:jc w:val="center"/>
              <w:rPr>
                <w:rFonts w:ascii="Times New Roman" w:hAnsi="Times New Roman" w:cs="Times New Roman"/>
                <w:b/>
                <w:color w:val="auto"/>
                <w:szCs w:val="24"/>
              </w:rPr>
            </w:pPr>
            <w:r>
              <w:rPr>
                <w:rFonts w:ascii="Times New Roman" w:hAnsi="Times New Roman" w:cs="Times New Roman"/>
                <w:b/>
                <w:color w:val="auto"/>
                <w:szCs w:val="24"/>
              </w:rPr>
              <w:t>表3.2.2-1  地表水环境保护目标及保护级别一览表</w:t>
            </w:r>
          </w:p>
          <w:tbl>
            <w:tblPr>
              <w:tblStyle w:val="19"/>
              <w:tblW w:w="90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990"/>
              <w:gridCol w:w="2824"/>
              <w:gridCol w:w="1413"/>
              <w:gridCol w:w="849"/>
              <w:gridCol w:w="2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805"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auto"/>
                      <w:szCs w:val="21"/>
                    </w:rPr>
                  </w:pPr>
                  <w:r>
                    <w:rPr>
                      <w:color w:val="auto"/>
                      <w:szCs w:val="21"/>
                    </w:rPr>
                    <w:t>环境要素</w:t>
                  </w:r>
                </w:p>
              </w:tc>
              <w:tc>
                <w:tcPr>
                  <w:tcW w:w="990"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auto"/>
                      <w:szCs w:val="21"/>
                    </w:rPr>
                  </w:pPr>
                  <w:r>
                    <w:rPr>
                      <w:color w:val="auto"/>
                      <w:szCs w:val="21"/>
                    </w:rPr>
                    <w:t>保护目标</w:t>
                  </w:r>
                </w:p>
              </w:tc>
              <w:tc>
                <w:tcPr>
                  <w:tcW w:w="2824"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auto"/>
                      <w:szCs w:val="21"/>
                    </w:rPr>
                  </w:pPr>
                  <w:r>
                    <w:rPr>
                      <w:color w:val="auto"/>
                      <w:szCs w:val="21"/>
                    </w:rPr>
                    <w:t>坐标</w:t>
                  </w:r>
                </w:p>
              </w:tc>
              <w:tc>
                <w:tcPr>
                  <w:tcW w:w="1413"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auto"/>
                      <w:szCs w:val="21"/>
                    </w:rPr>
                  </w:pPr>
                  <w:r>
                    <w:rPr>
                      <w:color w:val="auto"/>
                      <w:szCs w:val="21"/>
                    </w:rPr>
                    <w:t>与项目区的方位及距离</w:t>
                  </w:r>
                </w:p>
              </w:tc>
              <w:tc>
                <w:tcPr>
                  <w:tcW w:w="849"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auto"/>
                      <w:szCs w:val="21"/>
                    </w:rPr>
                  </w:pPr>
                  <w:r>
                    <w:rPr>
                      <w:color w:val="auto"/>
                      <w:szCs w:val="21"/>
                    </w:rPr>
                    <w:t>高差</w:t>
                  </w:r>
                </w:p>
              </w:tc>
              <w:tc>
                <w:tcPr>
                  <w:tcW w:w="2163"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auto"/>
                      <w:szCs w:val="21"/>
                    </w:rPr>
                  </w:pPr>
                  <w:r>
                    <w:rPr>
                      <w:color w:val="auto"/>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8" w:hRule="atLeast"/>
                <w:jc w:val="center"/>
              </w:trPr>
              <w:tc>
                <w:tcPr>
                  <w:tcW w:w="805" w:type="dxa"/>
                  <w:tcBorders>
                    <w:top w:val="single" w:color="auto" w:sz="4" w:space="0"/>
                    <w:left w:val="single" w:color="auto" w:sz="4" w:space="0"/>
                    <w:right w:val="single" w:color="auto" w:sz="4" w:space="0"/>
                  </w:tcBorders>
                  <w:vAlign w:val="center"/>
                </w:tcPr>
                <w:p>
                  <w:pPr>
                    <w:pStyle w:val="30"/>
                    <w:spacing w:line="360" w:lineRule="exact"/>
                    <w:rPr>
                      <w:color w:val="auto"/>
                      <w:szCs w:val="21"/>
                    </w:rPr>
                  </w:pPr>
                  <w:r>
                    <w:rPr>
                      <w:color w:val="auto"/>
                      <w:szCs w:val="21"/>
                    </w:rPr>
                    <w:t>地表水</w:t>
                  </w:r>
                </w:p>
              </w:tc>
              <w:tc>
                <w:tcPr>
                  <w:tcW w:w="990"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auto"/>
                      <w:szCs w:val="21"/>
                    </w:rPr>
                  </w:pPr>
                  <w:r>
                    <w:rPr>
                      <w:color w:val="auto"/>
                      <w:szCs w:val="24"/>
                    </w:rPr>
                    <w:t>黑泥沟</w:t>
                  </w:r>
                </w:p>
              </w:tc>
              <w:tc>
                <w:tcPr>
                  <w:tcW w:w="2824" w:type="dxa"/>
                  <w:tcBorders>
                    <w:top w:val="single" w:color="auto" w:sz="4" w:space="0"/>
                    <w:left w:val="single" w:color="auto" w:sz="4" w:space="0"/>
                    <w:right w:val="single" w:color="auto" w:sz="4" w:space="0"/>
                  </w:tcBorders>
                  <w:vAlign w:val="center"/>
                </w:tcPr>
                <w:p>
                  <w:pPr>
                    <w:pStyle w:val="30"/>
                    <w:spacing w:line="360" w:lineRule="exact"/>
                    <w:ind w:firstLine="210" w:firstLineChars="100"/>
                    <w:jc w:val="left"/>
                    <w:rPr>
                      <w:color w:val="auto"/>
                      <w:szCs w:val="21"/>
                    </w:rPr>
                  </w:pPr>
                  <w:r>
                    <w:rPr>
                      <w:color w:val="auto"/>
                      <w:szCs w:val="21"/>
                    </w:rPr>
                    <w:t>起点：东经103°15′10.21″，北纬25°38′46.98″</w:t>
                  </w:r>
                </w:p>
                <w:p>
                  <w:pPr>
                    <w:pStyle w:val="30"/>
                    <w:spacing w:line="360" w:lineRule="exact"/>
                    <w:ind w:firstLine="210" w:firstLineChars="100"/>
                    <w:jc w:val="left"/>
                    <w:rPr>
                      <w:color w:val="auto"/>
                      <w:szCs w:val="21"/>
                    </w:rPr>
                  </w:pPr>
                  <w:r>
                    <w:rPr>
                      <w:color w:val="auto"/>
                      <w:szCs w:val="21"/>
                    </w:rPr>
                    <w:t>终点：东经103°15′01.11″，北纬25°39′04.52″</w:t>
                  </w:r>
                </w:p>
              </w:tc>
              <w:tc>
                <w:tcPr>
                  <w:tcW w:w="1413"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auto"/>
                      <w:szCs w:val="21"/>
                    </w:rPr>
                  </w:pPr>
                  <w:r>
                    <w:rPr>
                      <w:color w:val="auto"/>
                      <w:szCs w:val="21"/>
                    </w:rPr>
                    <w:t>北侧648m</w:t>
                  </w:r>
                </w:p>
              </w:tc>
              <w:tc>
                <w:tcPr>
                  <w:tcW w:w="849"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auto"/>
                      <w:szCs w:val="21"/>
                    </w:rPr>
                  </w:pPr>
                  <w:r>
                    <w:rPr>
                      <w:color w:val="auto"/>
                      <w:szCs w:val="21"/>
                    </w:rPr>
                    <w:t>34m</w:t>
                  </w:r>
                </w:p>
              </w:tc>
              <w:tc>
                <w:tcPr>
                  <w:tcW w:w="2163" w:type="dxa"/>
                  <w:tcBorders>
                    <w:top w:val="single" w:color="auto" w:sz="4" w:space="0"/>
                    <w:left w:val="single" w:color="auto" w:sz="4" w:space="0"/>
                    <w:right w:val="single" w:color="auto" w:sz="4" w:space="0"/>
                  </w:tcBorders>
                  <w:vAlign w:val="center"/>
                </w:tcPr>
                <w:p>
                  <w:pPr>
                    <w:pStyle w:val="30"/>
                    <w:spacing w:line="360" w:lineRule="exact"/>
                    <w:ind w:firstLine="210" w:firstLineChars="100"/>
                    <w:jc w:val="left"/>
                    <w:rPr>
                      <w:color w:val="auto"/>
                      <w:szCs w:val="21"/>
                    </w:rPr>
                  </w:pPr>
                  <w:r>
                    <w:rPr>
                      <w:color w:val="auto"/>
                      <w:szCs w:val="21"/>
                    </w:rPr>
                    <w:t>《地表水环境质量标准》（GB3838-2002）III类标准</w:t>
                  </w:r>
                </w:p>
              </w:tc>
            </w:tr>
          </w:tbl>
          <w:p>
            <w:pPr>
              <w:pStyle w:val="38"/>
              <w:spacing w:beforeLines="50"/>
              <w:ind w:firstLine="482"/>
              <w:rPr>
                <w:rFonts w:eastAsiaTheme="minorEastAsia"/>
                <w:b/>
                <w:color w:val="auto"/>
                <w:szCs w:val="24"/>
              </w:rPr>
            </w:pPr>
            <w:r>
              <w:rPr>
                <w:rFonts w:eastAsiaTheme="minorEastAsia"/>
                <w:b/>
                <w:color w:val="auto"/>
                <w:szCs w:val="24"/>
              </w:rPr>
              <w:t>3.2.3 地下水环境保护目标</w:t>
            </w:r>
          </w:p>
          <w:p>
            <w:pPr>
              <w:pStyle w:val="38"/>
              <w:ind w:firstLine="480"/>
              <w:rPr>
                <w:rFonts w:eastAsiaTheme="minorEastAsia"/>
                <w:color w:val="auto"/>
                <w:szCs w:val="24"/>
              </w:rPr>
            </w:pPr>
            <w:r>
              <w:rPr>
                <w:rFonts w:eastAsiaTheme="minorEastAsia"/>
                <w:color w:val="auto"/>
                <w:szCs w:val="24"/>
              </w:rPr>
              <w:t>根据《建设项目环境影响报告表编制技术指南》（污染影响类）（试行）的要求，地表水环境保护目标为厂界外500m范围内的地下水集中式饮用水水源和热水、矿泉水、温泉等特殊地下水资源。根据调查，项目位于昆明市东川区再就业特区天生桥特色产业园，本改扩建项目选址不涉及到地下水集中式饮用水水源和热水、矿泉水、温泉等特殊地下水资源。</w:t>
            </w:r>
          </w:p>
          <w:p>
            <w:pPr>
              <w:pStyle w:val="38"/>
              <w:ind w:firstLine="482"/>
              <w:rPr>
                <w:rFonts w:eastAsiaTheme="minorEastAsia"/>
                <w:b/>
                <w:color w:val="auto"/>
                <w:szCs w:val="24"/>
              </w:rPr>
            </w:pPr>
            <w:r>
              <w:rPr>
                <w:rFonts w:eastAsiaTheme="minorEastAsia"/>
                <w:b/>
                <w:color w:val="auto"/>
                <w:szCs w:val="24"/>
              </w:rPr>
              <w:t>3.2.4 声环境环境保护目标</w:t>
            </w:r>
          </w:p>
          <w:p>
            <w:pPr>
              <w:pStyle w:val="38"/>
              <w:ind w:firstLine="480"/>
              <w:rPr>
                <w:rFonts w:eastAsiaTheme="minorEastAsia"/>
                <w:color w:val="auto"/>
                <w:szCs w:val="24"/>
              </w:rPr>
            </w:pPr>
            <w:r>
              <w:rPr>
                <w:rFonts w:eastAsiaTheme="minorEastAsia"/>
                <w:color w:val="auto"/>
                <w:szCs w:val="24"/>
              </w:rPr>
              <w:t>根据《建设项目环境影响报告表编制技术指南》（污染影响类）（试行）的要求，本项目声环境评价范围为50m，根据现场调查，本项目50m范围内无声环境保护目标。</w:t>
            </w:r>
          </w:p>
          <w:p>
            <w:pPr>
              <w:pStyle w:val="38"/>
              <w:ind w:firstLine="482"/>
              <w:rPr>
                <w:rFonts w:eastAsiaTheme="minorEastAsia"/>
                <w:b/>
                <w:color w:val="auto"/>
                <w:szCs w:val="24"/>
              </w:rPr>
            </w:pPr>
            <w:r>
              <w:rPr>
                <w:rFonts w:eastAsiaTheme="minorEastAsia"/>
                <w:b/>
                <w:color w:val="auto"/>
                <w:szCs w:val="24"/>
              </w:rPr>
              <w:t>3.2.5 生态环境保护目标</w:t>
            </w:r>
          </w:p>
          <w:p>
            <w:pPr>
              <w:pStyle w:val="38"/>
              <w:ind w:firstLine="480"/>
              <w:rPr>
                <w:rFonts w:eastAsiaTheme="minorEastAsia"/>
                <w:color w:val="auto"/>
                <w:szCs w:val="24"/>
              </w:rPr>
            </w:pPr>
            <w:r>
              <w:rPr>
                <w:rFonts w:eastAsiaTheme="minorEastAsia"/>
                <w:color w:val="auto"/>
                <w:szCs w:val="24"/>
              </w:rPr>
              <w:t>根据《建设项目环境影响报告表编制技术指南》（污染影响类）（试行）的要求，生态环境保护目标主要为在产业园区外建设项目新增用地范围内的生态环境保护目标。本改扩建项目位于云南省东川再就业特区天生桥特色产业园，属于工业园区，且不新增用地，因此不设置生态环境保护目标。</w:t>
            </w:r>
          </w:p>
          <w:p>
            <w:pPr>
              <w:pStyle w:val="38"/>
              <w:ind w:firstLine="480"/>
              <w:rPr>
                <w:rFonts w:eastAsiaTheme="minorEastAsia"/>
                <w:color w:val="auto"/>
                <w:szCs w:val="24"/>
              </w:rPr>
            </w:pPr>
          </w:p>
          <w:p>
            <w:pPr>
              <w:pStyle w:val="38"/>
              <w:ind w:firstLine="480"/>
              <w:rPr>
                <w:rFonts w:eastAsiaTheme="minorEastAsia"/>
                <w:color w:val="auto"/>
                <w:szCs w:val="24"/>
              </w:rPr>
            </w:pPr>
          </w:p>
          <w:p>
            <w:pPr>
              <w:pStyle w:val="38"/>
              <w:ind w:firstLine="480"/>
              <w:rPr>
                <w:rFonts w:eastAsiaTheme="minorEastAsia"/>
                <w:color w:val="auto"/>
                <w:szCs w:val="24"/>
              </w:rPr>
            </w:pPr>
          </w:p>
          <w:p>
            <w:pPr>
              <w:pStyle w:val="38"/>
              <w:ind w:firstLine="480"/>
              <w:rPr>
                <w:rFonts w:eastAsiaTheme="minorEastAsia"/>
                <w:color w:val="auto"/>
                <w:szCs w:val="24"/>
              </w:rPr>
            </w:pPr>
          </w:p>
          <w:p>
            <w:pPr>
              <w:pStyle w:val="38"/>
              <w:ind w:firstLine="480"/>
              <w:rPr>
                <w:rFonts w:eastAsiaTheme="minorEastAsia"/>
                <w:color w:val="auto"/>
                <w:szCs w:val="24"/>
              </w:rPr>
            </w:pPr>
          </w:p>
          <w:p>
            <w:pPr>
              <w:pStyle w:val="38"/>
              <w:ind w:firstLine="480"/>
              <w:rPr>
                <w:rFonts w:eastAsiaTheme="minorEastAsia"/>
                <w:color w:val="auto"/>
                <w:szCs w:val="24"/>
              </w:rPr>
            </w:pPr>
          </w:p>
          <w:p>
            <w:pPr>
              <w:pStyle w:val="38"/>
              <w:ind w:firstLine="480"/>
              <w:rPr>
                <w:rFonts w:eastAsiaTheme="minorEastAsia"/>
                <w:color w:val="auto"/>
                <w:szCs w:val="24"/>
              </w:rPr>
            </w:pPr>
          </w:p>
          <w:p>
            <w:pPr>
              <w:pStyle w:val="38"/>
              <w:ind w:firstLine="480"/>
              <w:rPr>
                <w:rFonts w:eastAsiaTheme="minorEastAsia"/>
                <w:color w:val="auto"/>
                <w:szCs w:val="24"/>
              </w:rPr>
            </w:pPr>
          </w:p>
          <w:p>
            <w:pPr>
              <w:pStyle w:val="38"/>
              <w:ind w:firstLine="480"/>
              <w:rPr>
                <w:rFonts w:eastAsiaTheme="minorEastAsia"/>
                <w:color w:val="auto"/>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270" w:type="dxa"/>
            <w:vAlign w:val="center"/>
          </w:tcPr>
          <w:p>
            <w:pPr>
              <w:spacing w:line="360" w:lineRule="auto"/>
              <w:ind w:firstLine="360" w:firstLineChars="150"/>
              <w:rPr>
                <w:rFonts w:ascii="Times New Roman" w:hAnsi="Times New Roman" w:eastAsia="微软雅黑" w:cs="Times New Roman"/>
                <w:b/>
                <w:color w:val="auto"/>
                <w:sz w:val="24"/>
                <w:szCs w:val="24"/>
              </w:rPr>
            </w:pPr>
            <w:r>
              <w:rPr>
                <w:rFonts w:ascii="Times New Roman" w:hAnsi="Times New Roman" w:eastAsia="微软雅黑" w:cs="Times New Roman"/>
                <w:b/>
                <w:color w:val="auto"/>
                <w:sz w:val="24"/>
                <w:szCs w:val="24"/>
              </w:rPr>
              <w:t>污染物排放控制标准</w:t>
            </w:r>
          </w:p>
          <w:p>
            <w:pPr>
              <w:pStyle w:val="38"/>
              <w:ind w:firstLine="480"/>
              <w:rPr>
                <w:rFonts w:eastAsiaTheme="minorEastAsia"/>
                <w:color w:val="auto"/>
                <w:szCs w:val="24"/>
              </w:rPr>
            </w:pPr>
            <w:r>
              <w:rPr>
                <w:rFonts w:eastAsiaTheme="minorEastAsia"/>
                <w:color w:val="auto"/>
                <w:szCs w:val="24"/>
              </w:rPr>
              <w:t>根据《建设项目环境影响报告表编制技术指南》（污染影响类）（试行）的要求，只需填写污染物控制标准，不需填写环境质量标准。因此仅污染物排放控制标准。具体如下。</w:t>
            </w:r>
          </w:p>
          <w:p>
            <w:pPr>
              <w:autoSpaceDE w:val="0"/>
              <w:autoSpaceDN w:val="0"/>
              <w:spacing w:line="360" w:lineRule="auto"/>
              <w:ind w:firstLine="241" w:firstLineChars="100"/>
              <w:rPr>
                <w:rFonts w:ascii="Times New Roman" w:hAnsi="Times New Roman" w:cs="Times New Roman"/>
                <w:b/>
                <w:color w:val="auto"/>
                <w:sz w:val="24"/>
                <w:szCs w:val="24"/>
              </w:rPr>
            </w:pPr>
            <w:r>
              <w:rPr>
                <w:rFonts w:ascii="Times New Roman" w:hAnsi="Times New Roman" w:cs="Times New Roman"/>
                <w:b/>
                <w:color w:val="auto"/>
                <w:sz w:val="24"/>
                <w:szCs w:val="24"/>
              </w:rPr>
              <w:t>3.3 污染物排放控制标准</w:t>
            </w:r>
          </w:p>
          <w:p>
            <w:pPr>
              <w:pStyle w:val="38"/>
              <w:ind w:firstLine="482"/>
              <w:rPr>
                <w:rFonts w:eastAsiaTheme="minorEastAsia"/>
                <w:b/>
                <w:color w:val="auto"/>
                <w:szCs w:val="24"/>
              </w:rPr>
            </w:pPr>
            <w:r>
              <w:rPr>
                <w:rFonts w:eastAsiaTheme="minorEastAsia"/>
                <w:b/>
                <w:color w:val="auto"/>
                <w:szCs w:val="24"/>
              </w:rPr>
              <w:t>3.3.1 废气排放标准</w:t>
            </w:r>
          </w:p>
          <w:p>
            <w:pPr>
              <w:pStyle w:val="38"/>
              <w:ind w:firstLine="361" w:firstLineChars="150"/>
              <w:rPr>
                <w:rFonts w:eastAsiaTheme="minorEastAsia"/>
                <w:b/>
                <w:color w:val="auto"/>
              </w:rPr>
            </w:pPr>
            <w:r>
              <w:rPr>
                <w:rFonts w:eastAsiaTheme="minorEastAsia"/>
                <w:b/>
                <w:color w:val="auto"/>
              </w:rPr>
              <w:t>（1）施工期</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施工期大气污染物排放执行《大气污染物综合排放标准》（GB16297-1996）表2中无组织排放浓度排放限值。标准值如下表所示。</w:t>
            </w:r>
          </w:p>
          <w:p>
            <w:pPr>
              <w:jc w:val="center"/>
              <w:rPr>
                <w:rFonts w:ascii="Times New Roman" w:hAnsi="Times New Roman" w:cs="Times New Roman"/>
                <w:b/>
                <w:color w:val="auto"/>
                <w:szCs w:val="24"/>
              </w:rPr>
            </w:pPr>
            <w:r>
              <w:rPr>
                <w:rFonts w:ascii="Times New Roman" w:hAnsi="Times New Roman" w:cs="Times New Roman"/>
                <w:b/>
                <w:color w:val="auto"/>
                <w:szCs w:val="24"/>
              </w:rPr>
              <w:t>表3.3.1-1  大气污染物排放限值  单位：mg/m³</w:t>
            </w:r>
          </w:p>
          <w:tbl>
            <w:tblPr>
              <w:tblStyle w:val="19"/>
              <w:tblW w:w="90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6"/>
              <w:gridCol w:w="3577"/>
              <w:gridCol w:w="3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76" w:type="dxa"/>
                </w:tcPr>
                <w:p>
                  <w:pPr>
                    <w:pStyle w:val="30"/>
                    <w:spacing w:line="360" w:lineRule="exact"/>
                    <w:rPr>
                      <w:color w:val="auto"/>
                      <w:szCs w:val="21"/>
                    </w:rPr>
                  </w:pPr>
                  <w:r>
                    <w:rPr>
                      <w:color w:val="auto"/>
                      <w:szCs w:val="21"/>
                    </w:rPr>
                    <w:t>污染物</w:t>
                  </w:r>
                </w:p>
              </w:tc>
              <w:tc>
                <w:tcPr>
                  <w:tcW w:w="3577" w:type="dxa"/>
                </w:tcPr>
                <w:p>
                  <w:pPr>
                    <w:pStyle w:val="30"/>
                    <w:spacing w:line="360" w:lineRule="exact"/>
                    <w:rPr>
                      <w:color w:val="auto"/>
                      <w:szCs w:val="21"/>
                    </w:rPr>
                  </w:pPr>
                  <w:r>
                    <w:rPr>
                      <w:color w:val="auto"/>
                      <w:szCs w:val="21"/>
                    </w:rPr>
                    <w:t>最高允许排放浓度</w:t>
                  </w:r>
                </w:p>
              </w:tc>
              <w:tc>
                <w:tcPr>
                  <w:tcW w:w="3291" w:type="dxa"/>
                </w:tcPr>
                <w:p>
                  <w:pPr>
                    <w:pStyle w:val="30"/>
                    <w:spacing w:line="360" w:lineRule="exact"/>
                    <w:rPr>
                      <w:color w:val="auto"/>
                      <w:szCs w:val="21"/>
                    </w:rPr>
                  </w:pPr>
                  <w:r>
                    <w:rPr>
                      <w:color w:val="auto"/>
                      <w:szCs w:val="21"/>
                    </w:rPr>
                    <w:tab/>
                  </w:r>
                  <w:r>
                    <w:rPr>
                      <w:color w:val="auto"/>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76" w:type="dxa"/>
                </w:tcPr>
                <w:p>
                  <w:pPr>
                    <w:pStyle w:val="30"/>
                    <w:spacing w:line="360" w:lineRule="exact"/>
                    <w:rPr>
                      <w:color w:val="auto"/>
                      <w:szCs w:val="21"/>
                    </w:rPr>
                  </w:pPr>
                  <w:r>
                    <w:rPr>
                      <w:color w:val="auto"/>
                      <w:szCs w:val="21"/>
                    </w:rPr>
                    <w:t>颗粒物</w:t>
                  </w:r>
                </w:p>
              </w:tc>
              <w:tc>
                <w:tcPr>
                  <w:tcW w:w="3577" w:type="dxa"/>
                </w:tcPr>
                <w:p>
                  <w:pPr>
                    <w:pStyle w:val="30"/>
                    <w:spacing w:line="360" w:lineRule="exact"/>
                    <w:rPr>
                      <w:color w:val="auto"/>
                      <w:szCs w:val="21"/>
                    </w:rPr>
                  </w:pPr>
                  <w:r>
                    <w:rPr>
                      <w:color w:val="auto"/>
                      <w:szCs w:val="21"/>
                    </w:rPr>
                    <w:t>--</w:t>
                  </w:r>
                </w:p>
              </w:tc>
              <w:tc>
                <w:tcPr>
                  <w:tcW w:w="3291" w:type="dxa"/>
                </w:tcPr>
                <w:p>
                  <w:pPr>
                    <w:pStyle w:val="30"/>
                    <w:spacing w:line="360" w:lineRule="exact"/>
                    <w:rPr>
                      <w:color w:val="auto"/>
                      <w:szCs w:val="21"/>
                    </w:rPr>
                  </w:pPr>
                  <w:r>
                    <w:rPr>
                      <w:color w:val="auto"/>
                      <w:szCs w:val="21"/>
                    </w:rPr>
                    <w:t>1.0</w:t>
                  </w:r>
                </w:p>
              </w:tc>
            </w:tr>
          </w:tbl>
          <w:p>
            <w:pPr>
              <w:pStyle w:val="38"/>
              <w:spacing w:beforeLines="50"/>
              <w:ind w:firstLine="361" w:firstLineChars="150"/>
              <w:rPr>
                <w:rFonts w:eastAsiaTheme="minorEastAsia"/>
                <w:b/>
                <w:color w:val="auto"/>
              </w:rPr>
            </w:pPr>
            <w:r>
              <w:rPr>
                <w:rFonts w:eastAsiaTheme="minorEastAsia"/>
                <w:b/>
                <w:color w:val="auto"/>
              </w:rPr>
              <w:t>（2）运营期</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项目属于废弃电器电子产品拆解项目，项目产生的废气主要包括生产工艺废气和厨房油烟。</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①生产工艺废气执行标准</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本项目</w:t>
            </w:r>
            <w:r>
              <w:rPr>
                <w:rFonts w:hint="eastAsia" w:ascii="Times New Roman" w:hAnsi="Times New Roman" w:cs="Times New Roman"/>
                <w:color w:val="auto"/>
                <w:sz w:val="24"/>
                <w:szCs w:val="24"/>
              </w:rPr>
              <w:t>排放的污染物包括粉尘、</w:t>
            </w:r>
            <w:r>
              <w:rPr>
                <w:rFonts w:ascii="Times New Roman" w:hAnsi="Times New Roman" w:cs="Times New Roman"/>
                <w:color w:val="auto"/>
                <w:sz w:val="24"/>
                <w:szCs w:val="24"/>
              </w:rPr>
              <w:t>非甲烷总烃</w:t>
            </w:r>
            <w:r>
              <w:rPr>
                <w:rFonts w:hint="eastAsia" w:ascii="Times New Roman" w:hAnsi="Times New Roman" w:cs="Times New Roman"/>
                <w:color w:val="auto"/>
                <w:sz w:val="24"/>
                <w:szCs w:val="24"/>
              </w:rPr>
              <w:t>、</w:t>
            </w:r>
            <w:r>
              <w:rPr>
                <w:rFonts w:ascii="Times New Roman" w:hAnsi="Times New Roman" w:cs="Times New Roman"/>
                <w:color w:val="auto"/>
                <w:sz w:val="24"/>
                <w:szCs w:val="24"/>
              </w:rPr>
              <w:t>铅及其化合物</w:t>
            </w:r>
            <w:r>
              <w:rPr>
                <w:rFonts w:hint="eastAsia" w:ascii="Times New Roman" w:hAnsi="Times New Roman" w:cs="Times New Roman"/>
                <w:color w:val="auto"/>
                <w:sz w:val="24"/>
                <w:szCs w:val="24"/>
              </w:rPr>
              <w:t>和</w:t>
            </w:r>
            <w:r>
              <w:rPr>
                <w:rFonts w:ascii="Times New Roman" w:hAnsi="Times New Roman" w:cs="Times New Roman"/>
                <w:color w:val="auto"/>
                <w:sz w:val="24"/>
                <w:szCs w:val="24"/>
              </w:rPr>
              <w:t>汞及其化合物</w:t>
            </w:r>
            <w:r>
              <w:rPr>
                <w:rFonts w:hint="eastAsia" w:ascii="Times New Roman" w:hAnsi="Times New Roman" w:cs="Times New Roman"/>
                <w:color w:val="auto"/>
                <w:sz w:val="24"/>
                <w:szCs w:val="24"/>
              </w:rPr>
              <w:t>。</w:t>
            </w:r>
            <w:r>
              <w:rPr>
                <w:rFonts w:ascii="Times New Roman" w:hAnsi="Times New Roman" w:cs="Times New Roman"/>
                <w:color w:val="auto"/>
                <w:sz w:val="24"/>
                <w:szCs w:val="24"/>
              </w:rPr>
              <w:t>执行《大气污染物综合排放标准》（GB16297-1996）表2中的二级排放标准及无组织排放监控浓度限值，标准值如下表所示。</w:t>
            </w:r>
          </w:p>
          <w:p>
            <w:pPr>
              <w:jc w:val="center"/>
              <w:rPr>
                <w:rFonts w:ascii="Times New Roman" w:hAnsi="Times New Roman" w:cs="Times New Roman"/>
                <w:b/>
                <w:color w:val="auto"/>
                <w:szCs w:val="24"/>
              </w:rPr>
            </w:pPr>
            <w:r>
              <w:rPr>
                <w:rFonts w:ascii="Times New Roman" w:hAnsi="Times New Roman" w:cs="Times New Roman"/>
                <w:b/>
                <w:color w:val="auto"/>
                <w:szCs w:val="24"/>
              </w:rPr>
              <w:t>表3.3.1-2  大气污染物浓度限值</w:t>
            </w:r>
          </w:p>
          <w:tbl>
            <w:tblPr>
              <w:tblStyle w:val="19"/>
              <w:tblW w:w="903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49"/>
              <w:gridCol w:w="2490"/>
              <w:gridCol w:w="2387"/>
              <w:gridCol w:w="261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549" w:type="dxa"/>
                  <w:vMerge w:val="restart"/>
                  <w:vAlign w:val="center"/>
                </w:tcPr>
                <w:p>
                  <w:pPr>
                    <w:pStyle w:val="30"/>
                    <w:spacing w:line="360" w:lineRule="exact"/>
                    <w:rPr>
                      <w:color w:val="auto"/>
                      <w:szCs w:val="21"/>
                    </w:rPr>
                  </w:pPr>
                  <w:r>
                    <w:rPr>
                      <w:color w:val="auto"/>
                      <w:szCs w:val="21"/>
                    </w:rPr>
                    <w:t>污染物</w:t>
                  </w:r>
                </w:p>
              </w:tc>
              <w:tc>
                <w:tcPr>
                  <w:tcW w:w="4877" w:type="dxa"/>
                  <w:gridSpan w:val="2"/>
                  <w:vAlign w:val="center"/>
                </w:tcPr>
                <w:p>
                  <w:pPr>
                    <w:pStyle w:val="30"/>
                    <w:spacing w:line="360" w:lineRule="exact"/>
                    <w:rPr>
                      <w:color w:val="auto"/>
                      <w:szCs w:val="21"/>
                    </w:rPr>
                  </w:pPr>
                  <w:r>
                    <w:rPr>
                      <w:color w:val="auto"/>
                      <w:szCs w:val="21"/>
                    </w:rPr>
                    <w:t>有组织排放标准</w:t>
                  </w:r>
                </w:p>
              </w:tc>
              <w:tc>
                <w:tcPr>
                  <w:tcW w:w="2612" w:type="dxa"/>
                  <w:vAlign w:val="center"/>
                </w:tcPr>
                <w:p>
                  <w:pPr>
                    <w:pStyle w:val="30"/>
                    <w:spacing w:line="360" w:lineRule="exact"/>
                    <w:rPr>
                      <w:color w:val="auto"/>
                      <w:szCs w:val="21"/>
                    </w:rPr>
                  </w:pPr>
                  <w:r>
                    <w:rPr>
                      <w:color w:val="auto"/>
                      <w:szCs w:val="21"/>
                    </w:rPr>
                    <w:t>无组织排放监控限值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549" w:type="dxa"/>
                  <w:vMerge w:val="continue"/>
                  <w:vAlign w:val="center"/>
                </w:tcPr>
                <w:p>
                  <w:pPr>
                    <w:pStyle w:val="30"/>
                    <w:spacing w:line="360" w:lineRule="exact"/>
                    <w:rPr>
                      <w:color w:val="auto"/>
                      <w:szCs w:val="21"/>
                    </w:rPr>
                  </w:pPr>
                </w:p>
              </w:tc>
              <w:tc>
                <w:tcPr>
                  <w:tcW w:w="2490" w:type="dxa"/>
                  <w:vAlign w:val="center"/>
                </w:tcPr>
                <w:p>
                  <w:pPr>
                    <w:pStyle w:val="30"/>
                    <w:spacing w:line="360" w:lineRule="exact"/>
                    <w:rPr>
                      <w:color w:val="auto"/>
                      <w:szCs w:val="21"/>
                    </w:rPr>
                  </w:pPr>
                  <w:r>
                    <w:rPr>
                      <w:color w:val="auto"/>
                      <w:szCs w:val="21"/>
                    </w:rPr>
                    <w:t>15m高排气筒排放速率（kg/h）</w:t>
                  </w:r>
                </w:p>
              </w:tc>
              <w:tc>
                <w:tcPr>
                  <w:tcW w:w="2387" w:type="dxa"/>
                  <w:vAlign w:val="center"/>
                </w:tcPr>
                <w:p>
                  <w:pPr>
                    <w:pStyle w:val="30"/>
                    <w:spacing w:line="360" w:lineRule="exact"/>
                    <w:rPr>
                      <w:color w:val="auto"/>
                      <w:szCs w:val="21"/>
                    </w:rPr>
                  </w:pPr>
                  <w:r>
                    <w:rPr>
                      <w:color w:val="auto"/>
                      <w:szCs w:val="21"/>
                    </w:rPr>
                    <w:t>最高允许排放浓度（mg/m³）</w:t>
                  </w:r>
                </w:p>
              </w:tc>
              <w:tc>
                <w:tcPr>
                  <w:tcW w:w="2612" w:type="dxa"/>
                  <w:vAlign w:val="center"/>
                </w:tcPr>
                <w:p>
                  <w:pPr>
                    <w:pStyle w:val="30"/>
                    <w:spacing w:line="360" w:lineRule="exact"/>
                    <w:rPr>
                      <w:color w:val="auto"/>
                      <w:szCs w:val="21"/>
                    </w:rPr>
                  </w:pPr>
                  <w:r>
                    <w:rPr>
                      <w:color w:val="auto"/>
                      <w:szCs w:val="21"/>
                    </w:rPr>
                    <w:t>周界外浓度最高点（mg/m³）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549" w:type="dxa"/>
                  <w:vAlign w:val="center"/>
                </w:tcPr>
                <w:p>
                  <w:pPr>
                    <w:pStyle w:val="30"/>
                    <w:spacing w:line="360" w:lineRule="exact"/>
                    <w:rPr>
                      <w:color w:val="auto"/>
                      <w:szCs w:val="21"/>
                    </w:rPr>
                  </w:pPr>
                  <w:r>
                    <w:rPr>
                      <w:color w:val="auto"/>
                      <w:szCs w:val="21"/>
                    </w:rPr>
                    <w:t>颗粒物</w:t>
                  </w:r>
                </w:p>
              </w:tc>
              <w:tc>
                <w:tcPr>
                  <w:tcW w:w="2490" w:type="dxa"/>
                  <w:vAlign w:val="center"/>
                </w:tcPr>
                <w:p>
                  <w:pPr>
                    <w:pStyle w:val="30"/>
                    <w:spacing w:line="360" w:lineRule="exact"/>
                    <w:rPr>
                      <w:color w:val="auto"/>
                      <w:szCs w:val="21"/>
                    </w:rPr>
                  </w:pPr>
                  <w:r>
                    <w:rPr>
                      <w:color w:val="auto"/>
                      <w:szCs w:val="21"/>
                    </w:rPr>
                    <w:t>3.5</w:t>
                  </w:r>
                </w:p>
              </w:tc>
              <w:tc>
                <w:tcPr>
                  <w:tcW w:w="2387" w:type="dxa"/>
                  <w:vAlign w:val="center"/>
                </w:tcPr>
                <w:p>
                  <w:pPr>
                    <w:pStyle w:val="30"/>
                    <w:spacing w:line="360" w:lineRule="exact"/>
                    <w:rPr>
                      <w:color w:val="auto"/>
                      <w:szCs w:val="21"/>
                    </w:rPr>
                  </w:pPr>
                  <w:r>
                    <w:rPr>
                      <w:color w:val="auto"/>
                      <w:szCs w:val="21"/>
                    </w:rPr>
                    <w:t>120</w:t>
                  </w:r>
                </w:p>
              </w:tc>
              <w:tc>
                <w:tcPr>
                  <w:tcW w:w="2612" w:type="dxa"/>
                  <w:vAlign w:val="center"/>
                </w:tcPr>
                <w:p>
                  <w:pPr>
                    <w:pStyle w:val="30"/>
                    <w:spacing w:line="360" w:lineRule="exact"/>
                    <w:rPr>
                      <w:color w:val="auto"/>
                      <w:szCs w:val="21"/>
                    </w:rPr>
                  </w:pPr>
                  <w:r>
                    <w:rPr>
                      <w:color w:val="auto"/>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1" w:hRule="atLeast"/>
                <w:jc w:val="center"/>
              </w:trPr>
              <w:tc>
                <w:tcPr>
                  <w:tcW w:w="1549" w:type="dxa"/>
                  <w:vAlign w:val="center"/>
                </w:tcPr>
                <w:p>
                  <w:pPr>
                    <w:pStyle w:val="30"/>
                    <w:spacing w:line="360" w:lineRule="exact"/>
                    <w:rPr>
                      <w:color w:val="auto"/>
                      <w:szCs w:val="21"/>
                    </w:rPr>
                  </w:pPr>
                  <w:r>
                    <w:rPr>
                      <w:color w:val="auto"/>
                      <w:szCs w:val="21"/>
                    </w:rPr>
                    <w:t>铅及其化合物</w:t>
                  </w:r>
                </w:p>
              </w:tc>
              <w:tc>
                <w:tcPr>
                  <w:tcW w:w="2490" w:type="dxa"/>
                  <w:vAlign w:val="center"/>
                </w:tcPr>
                <w:p>
                  <w:pPr>
                    <w:pStyle w:val="30"/>
                    <w:spacing w:line="360" w:lineRule="exact"/>
                    <w:rPr>
                      <w:color w:val="auto"/>
                      <w:szCs w:val="21"/>
                    </w:rPr>
                  </w:pPr>
                  <w:r>
                    <w:rPr>
                      <w:color w:val="auto"/>
                      <w:szCs w:val="21"/>
                    </w:rPr>
                    <w:t>0.004</w:t>
                  </w:r>
                </w:p>
              </w:tc>
              <w:tc>
                <w:tcPr>
                  <w:tcW w:w="2387" w:type="dxa"/>
                  <w:vAlign w:val="center"/>
                </w:tcPr>
                <w:p>
                  <w:pPr>
                    <w:pStyle w:val="30"/>
                    <w:spacing w:line="360" w:lineRule="exact"/>
                    <w:rPr>
                      <w:color w:val="auto"/>
                      <w:szCs w:val="21"/>
                    </w:rPr>
                  </w:pPr>
                  <w:r>
                    <w:rPr>
                      <w:color w:val="auto"/>
                      <w:szCs w:val="21"/>
                    </w:rPr>
                    <w:t>0.70</w:t>
                  </w:r>
                </w:p>
              </w:tc>
              <w:tc>
                <w:tcPr>
                  <w:tcW w:w="2612" w:type="dxa"/>
                  <w:vAlign w:val="center"/>
                </w:tcPr>
                <w:p>
                  <w:pPr>
                    <w:pStyle w:val="30"/>
                    <w:spacing w:line="360" w:lineRule="exact"/>
                    <w:rPr>
                      <w:color w:val="auto"/>
                      <w:szCs w:val="21"/>
                    </w:rPr>
                  </w:pPr>
                  <w:r>
                    <w:rPr>
                      <w:color w:val="auto"/>
                      <w:szCs w:val="21"/>
                    </w:rPr>
                    <w:t>0.0060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549" w:type="dxa"/>
                  <w:vAlign w:val="center"/>
                </w:tcPr>
                <w:p>
                  <w:pPr>
                    <w:pStyle w:val="30"/>
                    <w:spacing w:line="360" w:lineRule="exact"/>
                    <w:rPr>
                      <w:color w:val="auto"/>
                      <w:szCs w:val="21"/>
                    </w:rPr>
                  </w:pPr>
                  <w:r>
                    <w:rPr>
                      <w:color w:val="auto"/>
                      <w:szCs w:val="21"/>
                    </w:rPr>
                    <w:t>汞及其化合物</w:t>
                  </w:r>
                </w:p>
              </w:tc>
              <w:tc>
                <w:tcPr>
                  <w:tcW w:w="2490" w:type="dxa"/>
                  <w:vAlign w:val="center"/>
                </w:tcPr>
                <w:p>
                  <w:pPr>
                    <w:pStyle w:val="30"/>
                    <w:spacing w:line="360" w:lineRule="exact"/>
                    <w:rPr>
                      <w:color w:val="auto"/>
                      <w:szCs w:val="21"/>
                    </w:rPr>
                  </w:pPr>
                  <w:r>
                    <w:rPr>
                      <w:color w:val="auto"/>
                      <w:szCs w:val="21"/>
                    </w:rPr>
                    <w:t>1.5×10</w:t>
                  </w:r>
                  <w:r>
                    <w:rPr>
                      <w:color w:val="auto"/>
                      <w:szCs w:val="21"/>
                      <w:vertAlign w:val="superscript"/>
                    </w:rPr>
                    <w:t>-3</w:t>
                  </w:r>
                </w:p>
              </w:tc>
              <w:tc>
                <w:tcPr>
                  <w:tcW w:w="2387" w:type="dxa"/>
                  <w:vAlign w:val="center"/>
                </w:tcPr>
                <w:p>
                  <w:pPr>
                    <w:pStyle w:val="30"/>
                    <w:spacing w:line="360" w:lineRule="exact"/>
                    <w:rPr>
                      <w:color w:val="auto"/>
                      <w:szCs w:val="21"/>
                    </w:rPr>
                  </w:pPr>
                  <w:r>
                    <w:rPr>
                      <w:color w:val="auto"/>
                      <w:szCs w:val="21"/>
                    </w:rPr>
                    <w:t>0.012</w:t>
                  </w:r>
                </w:p>
              </w:tc>
              <w:tc>
                <w:tcPr>
                  <w:tcW w:w="2612" w:type="dxa"/>
                  <w:vAlign w:val="center"/>
                </w:tcPr>
                <w:p>
                  <w:pPr>
                    <w:pStyle w:val="30"/>
                    <w:spacing w:line="360" w:lineRule="exact"/>
                    <w:rPr>
                      <w:color w:val="auto"/>
                      <w:szCs w:val="21"/>
                    </w:rPr>
                  </w:pPr>
                  <w:r>
                    <w:rPr>
                      <w:color w:val="auto"/>
                      <w:szCs w:val="21"/>
                    </w:rPr>
                    <w:t>0.0012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549" w:type="dxa"/>
                  <w:vAlign w:val="center"/>
                </w:tcPr>
                <w:p>
                  <w:pPr>
                    <w:pStyle w:val="30"/>
                    <w:spacing w:line="360" w:lineRule="exact"/>
                    <w:rPr>
                      <w:color w:val="auto"/>
                      <w:szCs w:val="21"/>
                    </w:rPr>
                  </w:pPr>
                  <w:r>
                    <w:rPr>
                      <w:color w:val="auto"/>
                      <w:szCs w:val="21"/>
                    </w:rPr>
                    <w:t>非甲烷总烃</w:t>
                  </w:r>
                </w:p>
              </w:tc>
              <w:tc>
                <w:tcPr>
                  <w:tcW w:w="2490" w:type="dxa"/>
                  <w:vAlign w:val="center"/>
                </w:tcPr>
                <w:p>
                  <w:pPr>
                    <w:pStyle w:val="30"/>
                    <w:spacing w:line="360" w:lineRule="exact"/>
                    <w:rPr>
                      <w:color w:val="auto"/>
                      <w:szCs w:val="21"/>
                    </w:rPr>
                  </w:pPr>
                  <w:r>
                    <w:rPr>
                      <w:color w:val="auto"/>
                      <w:szCs w:val="21"/>
                    </w:rPr>
                    <w:t>10</w:t>
                  </w:r>
                </w:p>
              </w:tc>
              <w:tc>
                <w:tcPr>
                  <w:tcW w:w="2387" w:type="dxa"/>
                  <w:vAlign w:val="center"/>
                </w:tcPr>
                <w:p>
                  <w:pPr>
                    <w:pStyle w:val="30"/>
                    <w:spacing w:line="360" w:lineRule="exact"/>
                    <w:rPr>
                      <w:color w:val="auto"/>
                      <w:szCs w:val="21"/>
                    </w:rPr>
                  </w:pPr>
                  <w:r>
                    <w:rPr>
                      <w:color w:val="auto"/>
                      <w:szCs w:val="21"/>
                    </w:rPr>
                    <w:t>120</w:t>
                  </w:r>
                </w:p>
              </w:tc>
              <w:tc>
                <w:tcPr>
                  <w:tcW w:w="2612" w:type="dxa"/>
                  <w:vAlign w:val="center"/>
                </w:tcPr>
                <w:p>
                  <w:pPr>
                    <w:pStyle w:val="30"/>
                    <w:spacing w:line="360" w:lineRule="exact"/>
                    <w:rPr>
                      <w:color w:val="auto"/>
                      <w:szCs w:val="21"/>
                    </w:rPr>
                  </w:pPr>
                  <w:r>
                    <w:rPr>
                      <w:color w:val="auto"/>
                      <w:szCs w:val="21"/>
                    </w:rPr>
                    <w:t>4.0</w:t>
                  </w:r>
                </w:p>
              </w:tc>
            </w:tr>
          </w:tbl>
          <w:p>
            <w:pPr>
              <w:pStyle w:val="38"/>
              <w:spacing w:beforeLines="50"/>
              <w:ind w:firstLine="482"/>
              <w:rPr>
                <w:rFonts w:eastAsiaTheme="minorEastAsia"/>
                <w:b/>
                <w:color w:val="auto"/>
                <w:szCs w:val="24"/>
              </w:rPr>
            </w:pPr>
            <w:r>
              <w:rPr>
                <w:rFonts w:eastAsiaTheme="minorEastAsia"/>
                <w:b/>
                <w:color w:val="auto"/>
                <w:szCs w:val="24"/>
              </w:rPr>
              <w:t>②厨房油烟</w:t>
            </w:r>
            <w:r>
              <w:rPr>
                <w:b/>
                <w:color w:val="auto"/>
                <w:szCs w:val="24"/>
              </w:rPr>
              <w:t>执行标准</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项目设置一间厨房（含一个灶头），项目基准灶头数为1个，属于I型规模，厨房油烟执行《昆明市地方标准 餐饮业油烟污染物排放要求》（DB5301/T50-2021），标准值如下表所示。</w:t>
            </w:r>
          </w:p>
          <w:p>
            <w:pPr>
              <w:jc w:val="center"/>
              <w:rPr>
                <w:rFonts w:ascii="Times New Roman" w:hAnsi="Times New Roman" w:cs="Times New Roman"/>
                <w:b/>
                <w:color w:val="auto"/>
                <w:szCs w:val="24"/>
              </w:rPr>
            </w:pPr>
            <w:r>
              <w:rPr>
                <w:rFonts w:ascii="Times New Roman" w:hAnsi="Times New Roman" w:cs="Times New Roman"/>
                <w:b/>
                <w:color w:val="auto"/>
                <w:szCs w:val="24"/>
              </w:rPr>
              <w:t>表3.3.1-3  餐饮业油烟浓度排放限值</w:t>
            </w:r>
          </w:p>
          <w:tbl>
            <w:tblPr>
              <w:tblStyle w:val="20"/>
              <w:tblW w:w="904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014"/>
              <w:gridCol w:w="3015"/>
              <w:gridCol w:w="301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3014" w:type="dxa"/>
                  <w:vAlign w:val="center"/>
                </w:tcPr>
                <w:p>
                  <w:pPr>
                    <w:pStyle w:val="30"/>
                    <w:spacing w:line="360" w:lineRule="exact"/>
                    <w:rPr>
                      <w:color w:val="auto"/>
                      <w:szCs w:val="21"/>
                    </w:rPr>
                  </w:pPr>
                  <w:r>
                    <w:rPr>
                      <w:color w:val="auto"/>
                      <w:szCs w:val="21"/>
                    </w:rPr>
                    <w:t>污染项目</w:t>
                  </w:r>
                </w:p>
              </w:tc>
              <w:tc>
                <w:tcPr>
                  <w:tcW w:w="3015" w:type="dxa"/>
                  <w:vAlign w:val="center"/>
                </w:tcPr>
                <w:p>
                  <w:pPr>
                    <w:pStyle w:val="30"/>
                    <w:spacing w:line="360" w:lineRule="exact"/>
                    <w:rPr>
                      <w:color w:val="auto"/>
                      <w:szCs w:val="21"/>
                    </w:rPr>
                  </w:pPr>
                  <w:r>
                    <w:rPr>
                      <w:color w:val="auto"/>
                      <w:szCs w:val="21"/>
                    </w:rPr>
                    <w:t>I型污染物排放限值，mg/m³</w:t>
                  </w:r>
                </w:p>
              </w:tc>
              <w:tc>
                <w:tcPr>
                  <w:tcW w:w="3015" w:type="dxa"/>
                  <w:vAlign w:val="center"/>
                </w:tcPr>
                <w:p>
                  <w:pPr>
                    <w:pStyle w:val="30"/>
                    <w:spacing w:line="360" w:lineRule="exact"/>
                    <w:rPr>
                      <w:color w:val="auto"/>
                      <w:szCs w:val="21"/>
                    </w:rPr>
                  </w:pPr>
                  <w:r>
                    <w:rPr>
                      <w:color w:val="auto"/>
                      <w:szCs w:val="21"/>
                    </w:rPr>
                    <w:t>污染物排放监控位置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3014" w:type="dxa"/>
                  <w:vAlign w:val="center"/>
                </w:tcPr>
                <w:p>
                  <w:pPr>
                    <w:pStyle w:val="30"/>
                    <w:spacing w:line="360" w:lineRule="exact"/>
                    <w:rPr>
                      <w:color w:val="auto"/>
                      <w:szCs w:val="21"/>
                    </w:rPr>
                  </w:pPr>
                  <w:r>
                    <w:rPr>
                      <w:color w:val="auto"/>
                      <w:szCs w:val="21"/>
                    </w:rPr>
                    <w:t>油烟</w:t>
                  </w:r>
                </w:p>
              </w:tc>
              <w:tc>
                <w:tcPr>
                  <w:tcW w:w="3015" w:type="dxa"/>
                  <w:vAlign w:val="center"/>
                </w:tcPr>
                <w:p>
                  <w:pPr>
                    <w:pStyle w:val="30"/>
                    <w:spacing w:line="360" w:lineRule="exact"/>
                    <w:rPr>
                      <w:color w:val="auto"/>
                      <w:szCs w:val="21"/>
                    </w:rPr>
                  </w:pPr>
                  <w:r>
                    <w:rPr>
                      <w:color w:val="auto"/>
                      <w:szCs w:val="21"/>
                    </w:rPr>
                    <w:t>1.0</w:t>
                  </w:r>
                </w:p>
              </w:tc>
              <w:tc>
                <w:tcPr>
                  <w:tcW w:w="3015" w:type="dxa"/>
                  <w:vAlign w:val="center"/>
                </w:tcPr>
                <w:p>
                  <w:pPr>
                    <w:pStyle w:val="30"/>
                    <w:spacing w:line="360" w:lineRule="exact"/>
                    <w:rPr>
                      <w:color w:val="auto"/>
                      <w:szCs w:val="21"/>
                    </w:rPr>
                  </w:pPr>
                  <w:r>
                    <w:rPr>
                      <w:color w:val="auto"/>
                      <w:szCs w:val="21"/>
                    </w:rPr>
                    <w:t>排风管或排气筒</w:t>
                  </w:r>
                </w:p>
              </w:tc>
            </w:tr>
          </w:tbl>
          <w:p>
            <w:pPr>
              <w:pStyle w:val="38"/>
              <w:spacing w:beforeLines="50"/>
              <w:ind w:firstLine="482"/>
              <w:rPr>
                <w:rFonts w:eastAsiaTheme="minorEastAsia"/>
                <w:b/>
                <w:color w:val="auto"/>
                <w:szCs w:val="24"/>
              </w:rPr>
            </w:pPr>
            <w:r>
              <w:rPr>
                <w:rFonts w:eastAsiaTheme="minorEastAsia"/>
                <w:b/>
                <w:color w:val="auto"/>
                <w:szCs w:val="24"/>
              </w:rPr>
              <w:t>3.3.2 废水排放标准</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（1）施工期</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根据项目特点，本项目施工量较小，施工过程使用的少量施工用水全部自然蒸发，无废水产生。</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（2）运营期</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项目运营期废水包括生活污水、平衡盐水和初期雨水。项目生活污水经1个2m³的隔油池、3个5m³的化粪池和1套处理能力为30m³/d的一体化污水处理后回用于绿化；平衡盐水按1:8的比例稀释后，回用于绿化；初期雨水经1个30m³的初期雨水收集池收集沉淀处理后，回用于绿化。目前规划的东川再就业特区天生桥特色产业园污水处理厂还未建成，因此该项目排水拟按近期（园区污水处理厂建成前）和远期（园区污水处理厂建成后）考虑。</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①近期（园区污水处理厂建成前）执行标准</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近期（园区污水处理厂建成前），项目产生的废水回用于绿化不外排；执行《城市污水再生利用 城市杂用水水质》（GB/T18920-2020）城市绿化标准。标准限值详见下表。</w:t>
            </w:r>
          </w:p>
          <w:p>
            <w:pPr>
              <w:jc w:val="center"/>
              <w:rPr>
                <w:rFonts w:ascii="Times New Roman" w:hAnsi="Times New Roman" w:cs="Times New Roman"/>
                <w:b/>
                <w:color w:val="auto"/>
                <w:szCs w:val="24"/>
              </w:rPr>
            </w:pPr>
            <w:r>
              <w:rPr>
                <w:rFonts w:ascii="Times New Roman" w:hAnsi="Times New Roman" w:cs="Times New Roman"/>
                <w:b/>
                <w:color w:val="auto"/>
                <w:szCs w:val="24"/>
              </w:rPr>
              <w:t>表3.3.2-1  城市污水再生利用 城市杂用水标准</w:t>
            </w:r>
          </w:p>
          <w:tbl>
            <w:tblPr>
              <w:tblStyle w:val="19"/>
              <w:tblW w:w="90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4618"/>
              <w:gridCol w:w="3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4" w:type="dxa"/>
                  <w:vAlign w:val="center"/>
                </w:tcPr>
                <w:p>
                  <w:pPr>
                    <w:pStyle w:val="30"/>
                    <w:spacing w:line="360" w:lineRule="exact"/>
                    <w:rPr>
                      <w:color w:val="auto"/>
                      <w:szCs w:val="21"/>
                    </w:rPr>
                  </w:pPr>
                  <w:r>
                    <w:rPr>
                      <w:color w:val="auto"/>
                      <w:szCs w:val="21"/>
                    </w:rPr>
                    <w:t>序号</w:t>
                  </w:r>
                </w:p>
              </w:tc>
              <w:tc>
                <w:tcPr>
                  <w:tcW w:w="4618" w:type="dxa"/>
                  <w:vAlign w:val="center"/>
                </w:tcPr>
                <w:p>
                  <w:pPr>
                    <w:pStyle w:val="30"/>
                    <w:spacing w:line="360" w:lineRule="exact"/>
                    <w:rPr>
                      <w:color w:val="auto"/>
                      <w:szCs w:val="21"/>
                    </w:rPr>
                  </w:pPr>
                  <w:r>
                    <w:rPr>
                      <w:color w:val="auto"/>
                      <w:szCs w:val="21"/>
                    </w:rPr>
                    <w:t>项目</w:t>
                  </w:r>
                </w:p>
              </w:tc>
              <w:tc>
                <w:tcPr>
                  <w:tcW w:w="3332" w:type="dxa"/>
                  <w:vAlign w:val="center"/>
                </w:tcPr>
                <w:p>
                  <w:pPr>
                    <w:pStyle w:val="30"/>
                    <w:spacing w:line="360" w:lineRule="exact"/>
                    <w:rPr>
                      <w:color w:val="auto"/>
                      <w:szCs w:val="21"/>
                    </w:rPr>
                  </w:pPr>
                  <w:r>
                    <w:rPr>
                      <w:color w:val="auto"/>
                      <w:szCs w:val="21"/>
                    </w:rPr>
                    <w:t>城市绿化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4" w:type="dxa"/>
                  <w:vAlign w:val="center"/>
                </w:tcPr>
                <w:p>
                  <w:pPr>
                    <w:pStyle w:val="30"/>
                    <w:spacing w:line="360" w:lineRule="exact"/>
                    <w:rPr>
                      <w:color w:val="auto"/>
                      <w:szCs w:val="21"/>
                    </w:rPr>
                  </w:pPr>
                  <w:r>
                    <w:rPr>
                      <w:color w:val="auto"/>
                      <w:szCs w:val="21"/>
                    </w:rPr>
                    <w:t>1</w:t>
                  </w:r>
                </w:p>
              </w:tc>
              <w:tc>
                <w:tcPr>
                  <w:tcW w:w="4618" w:type="dxa"/>
                  <w:vAlign w:val="center"/>
                </w:tcPr>
                <w:p>
                  <w:pPr>
                    <w:pStyle w:val="30"/>
                    <w:spacing w:line="360" w:lineRule="exact"/>
                    <w:rPr>
                      <w:color w:val="auto"/>
                      <w:szCs w:val="21"/>
                    </w:rPr>
                  </w:pPr>
                  <w:r>
                    <w:rPr>
                      <w:color w:val="auto"/>
                      <w:szCs w:val="21"/>
                    </w:rPr>
                    <w:t>pH</w:t>
                  </w:r>
                </w:p>
              </w:tc>
              <w:tc>
                <w:tcPr>
                  <w:tcW w:w="3332" w:type="dxa"/>
                  <w:vAlign w:val="center"/>
                </w:tcPr>
                <w:p>
                  <w:pPr>
                    <w:pStyle w:val="30"/>
                    <w:spacing w:line="360" w:lineRule="exact"/>
                    <w:rPr>
                      <w:color w:val="auto"/>
                      <w:szCs w:val="21"/>
                    </w:rPr>
                  </w:pPr>
                  <w:r>
                    <w:rPr>
                      <w:color w:val="auto"/>
                      <w:szCs w:val="21"/>
                    </w:rPr>
                    <w:t>6.0-9.0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4" w:type="dxa"/>
                  <w:vAlign w:val="center"/>
                </w:tcPr>
                <w:p>
                  <w:pPr>
                    <w:pStyle w:val="30"/>
                    <w:spacing w:line="360" w:lineRule="exact"/>
                    <w:rPr>
                      <w:color w:val="auto"/>
                      <w:szCs w:val="21"/>
                    </w:rPr>
                  </w:pPr>
                  <w:r>
                    <w:rPr>
                      <w:color w:val="auto"/>
                      <w:szCs w:val="21"/>
                    </w:rPr>
                    <w:t>2</w:t>
                  </w:r>
                </w:p>
              </w:tc>
              <w:tc>
                <w:tcPr>
                  <w:tcW w:w="4618" w:type="dxa"/>
                  <w:vAlign w:val="center"/>
                </w:tcPr>
                <w:p>
                  <w:pPr>
                    <w:pStyle w:val="30"/>
                    <w:spacing w:line="360" w:lineRule="exact"/>
                    <w:rPr>
                      <w:color w:val="auto"/>
                      <w:szCs w:val="21"/>
                    </w:rPr>
                  </w:pPr>
                  <w:r>
                    <w:rPr>
                      <w:color w:val="auto"/>
                      <w:szCs w:val="21"/>
                    </w:rPr>
                    <w:t>色（度）≤</w:t>
                  </w:r>
                </w:p>
              </w:tc>
              <w:tc>
                <w:tcPr>
                  <w:tcW w:w="3332" w:type="dxa"/>
                  <w:vAlign w:val="center"/>
                </w:tcPr>
                <w:p>
                  <w:pPr>
                    <w:pStyle w:val="30"/>
                    <w:spacing w:line="360" w:lineRule="exact"/>
                    <w:rPr>
                      <w:color w:val="auto"/>
                      <w:szCs w:val="21"/>
                    </w:rPr>
                  </w:pPr>
                  <w:r>
                    <w:rPr>
                      <w:color w:val="auto"/>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4" w:type="dxa"/>
                  <w:vAlign w:val="center"/>
                </w:tcPr>
                <w:p>
                  <w:pPr>
                    <w:pStyle w:val="30"/>
                    <w:spacing w:line="360" w:lineRule="exact"/>
                    <w:rPr>
                      <w:color w:val="auto"/>
                      <w:szCs w:val="21"/>
                    </w:rPr>
                  </w:pPr>
                  <w:r>
                    <w:rPr>
                      <w:color w:val="auto"/>
                      <w:szCs w:val="21"/>
                    </w:rPr>
                    <w:t>3</w:t>
                  </w:r>
                </w:p>
              </w:tc>
              <w:tc>
                <w:tcPr>
                  <w:tcW w:w="4618" w:type="dxa"/>
                  <w:vAlign w:val="center"/>
                </w:tcPr>
                <w:p>
                  <w:pPr>
                    <w:pStyle w:val="30"/>
                    <w:spacing w:line="360" w:lineRule="exact"/>
                    <w:rPr>
                      <w:color w:val="auto"/>
                      <w:szCs w:val="21"/>
                    </w:rPr>
                  </w:pPr>
                  <w:r>
                    <w:rPr>
                      <w:color w:val="auto"/>
                      <w:szCs w:val="21"/>
                    </w:rPr>
                    <w:t>嗅</w:t>
                  </w:r>
                </w:p>
              </w:tc>
              <w:tc>
                <w:tcPr>
                  <w:tcW w:w="3332" w:type="dxa"/>
                  <w:vAlign w:val="center"/>
                </w:tcPr>
                <w:p>
                  <w:pPr>
                    <w:pStyle w:val="30"/>
                    <w:spacing w:line="360" w:lineRule="exact"/>
                    <w:rPr>
                      <w:color w:val="auto"/>
                      <w:szCs w:val="21"/>
                    </w:rPr>
                  </w:pPr>
                  <w:r>
                    <w:rPr>
                      <w:color w:val="auto"/>
                      <w:szCs w:val="21"/>
                    </w:rPr>
                    <w:t>无不快感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4" w:type="dxa"/>
                  <w:vAlign w:val="center"/>
                </w:tcPr>
                <w:p>
                  <w:pPr>
                    <w:pStyle w:val="30"/>
                    <w:spacing w:line="360" w:lineRule="exact"/>
                    <w:rPr>
                      <w:color w:val="auto"/>
                      <w:szCs w:val="21"/>
                    </w:rPr>
                  </w:pPr>
                  <w:r>
                    <w:rPr>
                      <w:color w:val="auto"/>
                      <w:szCs w:val="21"/>
                    </w:rPr>
                    <w:t>4</w:t>
                  </w:r>
                </w:p>
              </w:tc>
              <w:tc>
                <w:tcPr>
                  <w:tcW w:w="4618" w:type="dxa"/>
                  <w:vAlign w:val="center"/>
                </w:tcPr>
                <w:p>
                  <w:pPr>
                    <w:pStyle w:val="30"/>
                    <w:spacing w:line="360" w:lineRule="exact"/>
                    <w:rPr>
                      <w:color w:val="auto"/>
                      <w:szCs w:val="21"/>
                    </w:rPr>
                  </w:pPr>
                  <w:r>
                    <w:rPr>
                      <w:color w:val="auto"/>
                      <w:szCs w:val="21"/>
                    </w:rPr>
                    <w:t>浊度（NTU）≤</w:t>
                  </w:r>
                </w:p>
              </w:tc>
              <w:tc>
                <w:tcPr>
                  <w:tcW w:w="3332" w:type="dxa"/>
                  <w:vAlign w:val="center"/>
                </w:tcPr>
                <w:p>
                  <w:pPr>
                    <w:pStyle w:val="30"/>
                    <w:spacing w:line="360" w:lineRule="exact"/>
                    <w:rPr>
                      <w:color w:val="auto"/>
                      <w:szCs w:val="21"/>
                    </w:rPr>
                  </w:pPr>
                  <w:r>
                    <w:rPr>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4" w:type="dxa"/>
                  <w:vAlign w:val="center"/>
                </w:tcPr>
                <w:p>
                  <w:pPr>
                    <w:pStyle w:val="30"/>
                    <w:spacing w:line="360" w:lineRule="exact"/>
                    <w:rPr>
                      <w:color w:val="auto"/>
                      <w:szCs w:val="21"/>
                    </w:rPr>
                  </w:pPr>
                  <w:r>
                    <w:rPr>
                      <w:color w:val="auto"/>
                      <w:szCs w:val="21"/>
                    </w:rPr>
                    <w:t>5</w:t>
                  </w:r>
                </w:p>
              </w:tc>
              <w:tc>
                <w:tcPr>
                  <w:tcW w:w="4618" w:type="dxa"/>
                  <w:vAlign w:val="center"/>
                </w:tcPr>
                <w:p>
                  <w:pPr>
                    <w:pStyle w:val="30"/>
                    <w:spacing w:line="360" w:lineRule="exact"/>
                    <w:rPr>
                      <w:color w:val="auto"/>
                      <w:szCs w:val="21"/>
                    </w:rPr>
                  </w:pPr>
                  <w:r>
                    <w:rPr>
                      <w:color w:val="auto"/>
                      <w:szCs w:val="21"/>
                    </w:rPr>
                    <w:t>溶解性总固体（mg/L）≤</w:t>
                  </w:r>
                </w:p>
              </w:tc>
              <w:tc>
                <w:tcPr>
                  <w:tcW w:w="3332" w:type="dxa"/>
                  <w:vAlign w:val="center"/>
                </w:tcPr>
                <w:p>
                  <w:pPr>
                    <w:pStyle w:val="30"/>
                    <w:spacing w:line="360" w:lineRule="exact"/>
                    <w:rPr>
                      <w:color w:val="auto"/>
                      <w:szCs w:val="21"/>
                    </w:rPr>
                  </w:pPr>
                  <w:r>
                    <w:rPr>
                      <w:color w:val="auto"/>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4" w:type="dxa"/>
                  <w:vAlign w:val="center"/>
                </w:tcPr>
                <w:p>
                  <w:pPr>
                    <w:pStyle w:val="30"/>
                    <w:spacing w:line="360" w:lineRule="exact"/>
                    <w:rPr>
                      <w:color w:val="auto"/>
                      <w:szCs w:val="21"/>
                    </w:rPr>
                  </w:pPr>
                  <w:r>
                    <w:rPr>
                      <w:color w:val="auto"/>
                      <w:szCs w:val="21"/>
                    </w:rPr>
                    <w:t>6</w:t>
                  </w:r>
                </w:p>
              </w:tc>
              <w:tc>
                <w:tcPr>
                  <w:tcW w:w="4618" w:type="dxa"/>
                  <w:vAlign w:val="center"/>
                </w:tcPr>
                <w:p>
                  <w:pPr>
                    <w:pStyle w:val="30"/>
                    <w:spacing w:line="360" w:lineRule="exact"/>
                    <w:rPr>
                      <w:color w:val="auto"/>
                      <w:szCs w:val="21"/>
                    </w:rPr>
                  </w:pPr>
                  <w:r>
                    <w:rPr>
                      <w:color w:val="auto"/>
                      <w:szCs w:val="21"/>
                    </w:rPr>
                    <w:t>五日生化需氧量BOD</w:t>
                  </w:r>
                  <w:r>
                    <w:rPr>
                      <w:color w:val="auto"/>
                      <w:szCs w:val="21"/>
                      <w:vertAlign w:val="subscript"/>
                    </w:rPr>
                    <w:t>5</w:t>
                  </w:r>
                  <w:r>
                    <w:rPr>
                      <w:color w:val="auto"/>
                      <w:szCs w:val="21"/>
                    </w:rPr>
                    <w:t>（mg/L）≤</w:t>
                  </w:r>
                </w:p>
              </w:tc>
              <w:tc>
                <w:tcPr>
                  <w:tcW w:w="3332" w:type="dxa"/>
                  <w:vAlign w:val="center"/>
                </w:tcPr>
                <w:p>
                  <w:pPr>
                    <w:pStyle w:val="30"/>
                    <w:spacing w:line="360" w:lineRule="exact"/>
                    <w:rPr>
                      <w:color w:val="auto"/>
                      <w:szCs w:val="21"/>
                    </w:rPr>
                  </w:pPr>
                  <w:r>
                    <w:rPr>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4" w:type="dxa"/>
                  <w:vAlign w:val="center"/>
                </w:tcPr>
                <w:p>
                  <w:pPr>
                    <w:pStyle w:val="30"/>
                    <w:spacing w:line="360" w:lineRule="exact"/>
                    <w:rPr>
                      <w:color w:val="auto"/>
                      <w:szCs w:val="21"/>
                    </w:rPr>
                  </w:pPr>
                  <w:r>
                    <w:rPr>
                      <w:color w:val="auto"/>
                      <w:szCs w:val="21"/>
                    </w:rPr>
                    <w:t>7</w:t>
                  </w:r>
                </w:p>
              </w:tc>
              <w:tc>
                <w:tcPr>
                  <w:tcW w:w="4618" w:type="dxa"/>
                  <w:vAlign w:val="center"/>
                </w:tcPr>
                <w:p>
                  <w:pPr>
                    <w:pStyle w:val="30"/>
                    <w:spacing w:line="360" w:lineRule="exact"/>
                    <w:rPr>
                      <w:color w:val="auto"/>
                      <w:szCs w:val="21"/>
                    </w:rPr>
                  </w:pPr>
                  <w:r>
                    <w:rPr>
                      <w:color w:val="auto"/>
                      <w:szCs w:val="21"/>
                    </w:rPr>
                    <w:t>氨氮（mg/L）≤</w:t>
                  </w:r>
                </w:p>
              </w:tc>
              <w:tc>
                <w:tcPr>
                  <w:tcW w:w="3332" w:type="dxa"/>
                  <w:vAlign w:val="center"/>
                </w:tcPr>
                <w:p>
                  <w:pPr>
                    <w:pStyle w:val="30"/>
                    <w:spacing w:line="360" w:lineRule="exact"/>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4" w:type="dxa"/>
                  <w:vAlign w:val="center"/>
                </w:tcPr>
                <w:p>
                  <w:pPr>
                    <w:pStyle w:val="30"/>
                    <w:spacing w:line="360" w:lineRule="exact"/>
                    <w:rPr>
                      <w:color w:val="auto"/>
                      <w:szCs w:val="21"/>
                    </w:rPr>
                  </w:pPr>
                  <w:r>
                    <w:rPr>
                      <w:color w:val="auto"/>
                      <w:szCs w:val="21"/>
                    </w:rPr>
                    <w:t>8</w:t>
                  </w:r>
                </w:p>
              </w:tc>
              <w:tc>
                <w:tcPr>
                  <w:tcW w:w="4618" w:type="dxa"/>
                  <w:vAlign w:val="center"/>
                </w:tcPr>
                <w:p>
                  <w:pPr>
                    <w:pStyle w:val="30"/>
                    <w:spacing w:line="360" w:lineRule="exact"/>
                    <w:rPr>
                      <w:color w:val="auto"/>
                      <w:szCs w:val="21"/>
                    </w:rPr>
                  </w:pPr>
                  <w:r>
                    <w:rPr>
                      <w:color w:val="auto"/>
                      <w:szCs w:val="21"/>
                    </w:rPr>
                    <w:t>阴离子表面活性（mg/L）≤</w:t>
                  </w:r>
                </w:p>
              </w:tc>
              <w:tc>
                <w:tcPr>
                  <w:tcW w:w="3332" w:type="dxa"/>
                  <w:vAlign w:val="center"/>
                </w:tcPr>
                <w:p>
                  <w:pPr>
                    <w:pStyle w:val="30"/>
                    <w:spacing w:line="360" w:lineRule="exact"/>
                    <w:rPr>
                      <w:color w:val="auto"/>
                      <w:szCs w:val="21"/>
                    </w:rPr>
                  </w:pPr>
                  <w:r>
                    <w:rPr>
                      <w:color w:val="auto"/>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4" w:type="dxa"/>
                  <w:vAlign w:val="center"/>
                </w:tcPr>
                <w:p>
                  <w:pPr>
                    <w:pStyle w:val="30"/>
                    <w:spacing w:line="360" w:lineRule="exact"/>
                    <w:rPr>
                      <w:color w:val="auto"/>
                      <w:szCs w:val="21"/>
                    </w:rPr>
                  </w:pPr>
                  <w:r>
                    <w:rPr>
                      <w:color w:val="auto"/>
                      <w:szCs w:val="21"/>
                    </w:rPr>
                    <w:t>9</w:t>
                  </w:r>
                </w:p>
              </w:tc>
              <w:tc>
                <w:tcPr>
                  <w:tcW w:w="4618" w:type="dxa"/>
                  <w:vAlign w:val="center"/>
                </w:tcPr>
                <w:p>
                  <w:pPr>
                    <w:pStyle w:val="30"/>
                    <w:spacing w:line="360" w:lineRule="exact"/>
                    <w:rPr>
                      <w:color w:val="auto"/>
                      <w:szCs w:val="21"/>
                    </w:rPr>
                  </w:pPr>
                  <w:r>
                    <w:rPr>
                      <w:color w:val="auto"/>
                      <w:szCs w:val="21"/>
                    </w:rPr>
                    <w:t>铁（mg/L）≤</w:t>
                  </w:r>
                </w:p>
              </w:tc>
              <w:tc>
                <w:tcPr>
                  <w:tcW w:w="3332" w:type="dxa"/>
                  <w:vAlign w:val="center"/>
                </w:tcPr>
                <w:p>
                  <w:pPr>
                    <w:pStyle w:val="30"/>
                    <w:spacing w:line="360" w:lineRule="exact"/>
                    <w:rPr>
                      <w:color w:val="auto"/>
                      <w:szCs w:val="21"/>
                    </w:rPr>
                  </w:pP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4" w:type="dxa"/>
                  <w:vAlign w:val="center"/>
                </w:tcPr>
                <w:p>
                  <w:pPr>
                    <w:pStyle w:val="30"/>
                    <w:spacing w:line="360" w:lineRule="exact"/>
                    <w:rPr>
                      <w:color w:val="auto"/>
                      <w:szCs w:val="21"/>
                    </w:rPr>
                  </w:pPr>
                  <w:r>
                    <w:rPr>
                      <w:color w:val="auto"/>
                      <w:szCs w:val="21"/>
                    </w:rPr>
                    <w:t>10</w:t>
                  </w:r>
                </w:p>
              </w:tc>
              <w:tc>
                <w:tcPr>
                  <w:tcW w:w="4618" w:type="dxa"/>
                  <w:vAlign w:val="center"/>
                </w:tcPr>
                <w:p>
                  <w:pPr>
                    <w:pStyle w:val="30"/>
                    <w:spacing w:line="360" w:lineRule="exact"/>
                    <w:rPr>
                      <w:color w:val="auto"/>
                      <w:szCs w:val="21"/>
                    </w:rPr>
                  </w:pPr>
                  <w:r>
                    <w:rPr>
                      <w:color w:val="auto"/>
                      <w:szCs w:val="21"/>
                    </w:rPr>
                    <w:t>锰（mg/L）≤</w:t>
                  </w:r>
                </w:p>
              </w:tc>
              <w:tc>
                <w:tcPr>
                  <w:tcW w:w="3332" w:type="dxa"/>
                  <w:vAlign w:val="center"/>
                </w:tcPr>
                <w:p>
                  <w:pPr>
                    <w:pStyle w:val="30"/>
                    <w:spacing w:line="360" w:lineRule="exact"/>
                    <w:rPr>
                      <w:color w:val="auto"/>
                      <w:szCs w:val="21"/>
                    </w:rPr>
                  </w:pP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4" w:type="dxa"/>
                  <w:vAlign w:val="center"/>
                </w:tcPr>
                <w:p>
                  <w:pPr>
                    <w:pStyle w:val="30"/>
                    <w:spacing w:line="360" w:lineRule="exact"/>
                    <w:rPr>
                      <w:color w:val="auto"/>
                      <w:szCs w:val="21"/>
                    </w:rPr>
                  </w:pPr>
                  <w:r>
                    <w:rPr>
                      <w:color w:val="auto"/>
                      <w:szCs w:val="21"/>
                    </w:rPr>
                    <w:t>11</w:t>
                  </w:r>
                </w:p>
              </w:tc>
              <w:tc>
                <w:tcPr>
                  <w:tcW w:w="4618" w:type="dxa"/>
                  <w:vAlign w:val="center"/>
                </w:tcPr>
                <w:p>
                  <w:pPr>
                    <w:pStyle w:val="30"/>
                    <w:spacing w:line="360" w:lineRule="exact"/>
                    <w:rPr>
                      <w:color w:val="auto"/>
                      <w:szCs w:val="21"/>
                    </w:rPr>
                  </w:pPr>
                  <w:r>
                    <w:rPr>
                      <w:color w:val="auto"/>
                      <w:szCs w:val="21"/>
                    </w:rPr>
                    <w:t>溶解氧（mg/L）≥</w:t>
                  </w:r>
                </w:p>
              </w:tc>
              <w:tc>
                <w:tcPr>
                  <w:tcW w:w="3332" w:type="dxa"/>
                  <w:vAlign w:val="center"/>
                </w:tcPr>
                <w:p>
                  <w:pPr>
                    <w:pStyle w:val="30"/>
                    <w:spacing w:line="360" w:lineRule="exact"/>
                    <w:rPr>
                      <w:color w:val="auto"/>
                      <w:szCs w:val="21"/>
                    </w:rPr>
                  </w:pPr>
                  <w:r>
                    <w:rPr>
                      <w:color w:val="auto"/>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4" w:type="dxa"/>
                  <w:vAlign w:val="center"/>
                </w:tcPr>
                <w:p>
                  <w:pPr>
                    <w:pStyle w:val="30"/>
                    <w:spacing w:line="360" w:lineRule="exact"/>
                    <w:rPr>
                      <w:color w:val="auto"/>
                      <w:szCs w:val="21"/>
                    </w:rPr>
                  </w:pPr>
                  <w:r>
                    <w:rPr>
                      <w:color w:val="auto"/>
                      <w:szCs w:val="21"/>
                    </w:rPr>
                    <w:t>12</w:t>
                  </w:r>
                </w:p>
              </w:tc>
              <w:tc>
                <w:tcPr>
                  <w:tcW w:w="4618" w:type="dxa"/>
                  <w:vAlign w:val="center"/>
                </w:tcPr>
                <w:p>
                  <w:pPr>
                    <w:pStyle w:val="30"/>
                    <w:spacing w:line="360" w:lineRule="exact"/>
                    <w:rPr>
                      <w:color w:val="auto"/>
                      <w:szCs w:val="21"/>
                    </w:rPr>
                  </w:pPr>
                  <w:r>
                    <w:rPr>
                      <w:color w:val="auto"/>
                      <w:szCs w:val="21"/>
                    </w:rPr>
                    <w:t>总余氯（mg/L）≤</w:t>
                  </w:r>
                </w:p>
              </w:tc>
              <w:tc>
                <w:tcPr>
                  <w:tcW w:w="3332" w:type="dxa"/>
                  <w:vAlign w:val="center"/>
                </w:tcPr>
                <w:p>
                  <w:pPr>
                    <w:pStyle w:val="30"/>
                    <w:spacing w:line="360" w:lineRule="exact"/>
                    <w:rPr>
                      <w:color w:val="auto"/>
                      <w:szCs w:val="21"/>
                    </w:rPr>
                  </w:pPr>
                  <w:r>
                    <w:rPr>
                      <w:color w:val="auto"/>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4" w:type="dxa"/>
                  <w:vAlign w:val="center"/>
                </w:tcPr>
                <w:p>
                  <w:pPr>
                    <w:pStyle w:val="30"/>
                    <w:spacing w:line="360" w:lineRule="exact"/>
                    <w:rPr>
                      <w:color w:val="auto"/>
                      <w:szCs w:val="21"/>
                    </w:rPr>
                  </w:pPr>
                  <w:r>
                    <w:rPr>
                      <w:color w:val="auto"/>
                      <w:szCs w:val="21"/>
                    </w:rPr>
                    <w:t>13</w:t>
                  </w:r>
                </w:p>
              </w:tc>
              <w:tc>
                <w:tcPr>
                  <w:tcW w:w="4618" w:type="dxa"/>
                  <w:vAlign w:val="center"/>
                </w:tcPr>
                <w:p>
                  <w:pPr>
                    <w:pStyle w:val="30"/>
                    <w:spacing w:line="360" w:lineRule="exact"/>
                    <w:rPr>
                      <w:color w:val="auto"/>
                      <w:szCs w:val="21"/>
                    </w:rPr>
                  </w:pPr>
                  <w:r>
                    <w:rPr>
                      <w:color w:val="auto"/>
                      <w:szCs w:val="21"/>
                    </w:rPr>
                    <w:t>大肠埃氏菌/（MPN/100mL，或CFU/100 mL）</w:t>
                  </w:r>
                </w:p>
              </w:tc>
              <w:tc>
                <w:tcPr>
                  <w:tcW w:w="3332" w:type="dxa"/>
                  <w:vAlign w:val="center"/>
                </w:tcPr>
                <w:p>
                  <w:pPr>
                    <w:pStyle w:val="30"/>
                    <w:spacing w:line="360" w:lineRule="exact"/>
                    <w:rPr>
                      <w:color w:val="auto"/>
                      <w:szCs w:val="21"/>
                    </w:rPr>
                  </w:pPr>
                  <w:r>
                    <w:rPr>
                      <w:color w:val="auto"/>
                      <w:szCs w:val="21"/>
                    </w:rPr>
                    <w:t>无</w:t>
                  </w:r>
                </w:p>
              </w:tc>
            </w:tr>
          </w:tbl>
          <w:p>
            <w:pPr>
              <w:spacing w:beforeLines="50"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②远期（园区污水处理厂建成后）执行标准</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远期（园区污水处理厂建成后），项目产生的生活污水通过化粪池预处理后，进入东川再就业特区天生桥特色产业园污水处理厂集中处理；园区污水处理厂采用二级处理工艺，因此该项目执行执行《污水排入城镇下水道水质标准》（GB/T31962-2015）中B级标准。</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标准值如下表所示。</w:t>
            </w:r>
          </w:p>
          <w:p>
            <w:pPr>
              <w:jc w:val="center"/>
              <w:rPr>
                <w:rFonts w:ascii="Times New Roman" w:hAnsi="Times New Roman" w:cs="Times New Roman"/>
                <w:b/>
                <w:color w:val="auto"/>
                <w:szCs w:val="24"/>
              </w:rPr>
            </w:pPr>
            <w:r>
              <w:rPr>
                <w:rFonts w:ascii="Times New Roman" w:hAnsi="Times New Roman" w:cs="Times New Roman"/>
                <w:b/>
                <w:color w:val="auto"/>
                <w:szCs w:val="24"/>
              </w:rPr>
              <w:t>表3.3.2-2 排放标准浓度限值   单位：mg/L</w:t>
            </w:r>
          </w:p>
          <w:tbl>
            <w:tblPr>
              <w:tblStyle w:val="19"/>
              <w:tblW w:w="90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1493"/>
              <w:gridCol w:w="1641"/>
              <w:gridCol w:w="2529"/>
              <w:gridCol w:w="1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4" w:type="dxa"/>
                  <w:vAlign w:val="center"/>
                </w:tcPr>
                <w:p>
                  <w:pPr>
                    <w:pStyle w:val="30"/>
                    <w:spacing w:line="360" w:lineRule="exact"/>
                    <w:rPr>
                      <w:color w:val="auto"/>
                      <w:szCs w:val="21"/>
                    </w:rPr>
                  </w:pPr>
                  <w:r>
                    <w:rPr>
                      <w:color w:val="auto"/>
                      <w:szCs w:val="21"/>
                    </w:rPr>
                    <w:t>标准类别</w:t>
                  </w:r>
                </w:p>
              </w:tc>
              <w:tc>
                <w:tcPr>
                  <w:tcW w:w="1493" w:type="dxa"/>
                  <w:vAlign w:val="center"/>
                </w:tcPr>
                <w:p>
                  <w:pPr>
                    <w:pStyle w:val="30"/>
                    <w:spacing w:line="360" w:lineRule="exact"/>
                    <w:rPr>
                      <w:color w:val="auto"/>
                      <w:szCs w:val="21"/>
                    </w:rPr>
                  </w:pPr>
                  <w:r>
                    <w:rPr>
                      <w:color w:val="auto"/>
                      <w:szCs w:val="21"/>
                    </w:rPr>
                    <w:t>pH</w:t>
                  </w:r>
                </w:p>
              </w:tc>
              <w:tc>
                <w:tcPr>
                  <w:tcW w:w="1641" w:type="dxa"/>
                  <w:vAlign w:val="center"/>
                </w:tcPr>
                <w:p>
                  <w:pPr>
                    <w:pStyle w:val="30"/>
                    <w:spacing w:line="360" w:lineRule="exact"/>
                    <w:rPr>
                      <w:color w:val="auto"/>
                      <w:szCs w:val="21"/>
                    </w:rPr>
                  </w:pPr>
                  <w:r>
                    <w:rPr>
                      <w:color w:val="auto"/>
                      <w:szCs w:val="21"/>
                    </w:rPr>
                    <w:t>CODcr</w:t>
                  </w:r>
                </w:p>
              </w:tc>
              <w:tc>
                <w:tcPr>
                  <w:tcW w:w="2529" w:type="dxa"/>
                  <w:vAlign w:val="center"/>
                </w:tcPr>
                <w:p>
                  <w:pPr>
                    <w:pStyle w:val="30"/>
                    <w:spacing w:line="360" w:lineRule="exact"/>
                    <w:rPr>
                      <w:color w:val="auto"/>
                      <w:szCs w:val="21"/>
                    </w:rPr>
                  </w:pPr>
                  <w:r>
                    <w:rPr>
                      <w:color w:val="auto"/>
                      <w:szCs w:val="21"/>
                    </w:rPr>
                    <w:t>BOD</w:t>
                  </w:r>
                  <w:r>
                    <w:rPr>
                      <w:color w:val="auto"/>
                      <w:szCs w:val="21"/>
                      <w:vertAlign w:val="subscript"/>
                    </w:rPr>
                    <w:t>5</w:t>
                  </w:r>
                </w:p>
              </w:tc>
              <w:tc>
                <w:tcPr>
                  <w:tcW w:w="1577" w:type="dxa"/>
                  <w:vAlign w:val="center"/>
                </w:tcPr>
                <w:p>
                  <w:pPr>
                    <w:pStyle w:val="30"/>
                    <w:spacing w:line="360" w:lineRule="exact"/>
                    <w:rPr>
                      <w:color w:val="auto"/>
                      <w:szCs w:val="21"/>
                    </w:rPr>
                  </w:pPr>
                  <w:r>
                    <w:rPr>
                      <w:color w:val="auto"/>
                      <w:szCs w:val="21"/>
                    </w:rPr>
                    <w:t>悬浮物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4" w:type="dxa"/>
                  <w:vAlign w:val="center"/>
                </w:tcPr>
                <w:p>
                  <w:pPr>
                    <w:pStyle w:val="30"/>
                    <w:spacing w:line="360" w:lineRule="exact"/>
                    <w:rPr>
                      <w:color w:val="auto"/>
                      <w:szCs w:val="21"/>
                    </w:rPr>
                  </w:pPr>
                  <w:r>
                    <w:rPr>
                      <w:color w:val="auto"/>
                      <w:szCs w:val="21"/>
                    </w:rPr>
                    <w:t>B等级</w:t>
                  </w:r>
                </w:p>
              </w:tc>
              <w:tc>
                <w:tcPr>
                  <w:tcW w:w="1493" w:type="dxa"/>
                  <w:vAlign w:val="center"/>
                </w:tcPr>
                <w:p>
                  <w:pPr>
                    <w:pStyle w:val="30"/>
                    <w:spacing w:line="360" w:lineRule="exact"/>
                    <w:rPr>
                      <w:color w:val="auto"/>
                      <w:szCs w:val="21"/>
                    </w:rPr>
                  </w:pPr>
                  <w:r>
                    <w:rPr>
                      <w:color w:val="auto"/>
                      <w:szCs w:val="21"/>
                    </w:rPr>
                    <w:t>6-9</w:t>
                  </w:r>
                </w:p>
              </w:tc>
              <w:tc>
                <w:tcPr>
                  <w:tcW w:w="1641" w:type="dxa"/>
                  <w:vAlign w:val="center"/>
                </w:tcPr>
                <w:p>
                  <w:pPr>
                    <w:pStyle w:val="30"/>
                    <w:spacing w:line="360" w:lineRule="exact"/>
                    <w:rPr>
                      <w:color w:val="auto"/>
                      <w:szCs w:val="21"/>
                    </w:rPr>
                  </w:pPr>
                  <w:r>
                    <w:rPr>
                      <w:color w:val="auto"/>
                      <w:szCs w:val="21"/>
                    </w:rPr>
                    <w:t>500</w:t>
                  </w:r>
                </w:p>
              </w:tc>
              <w:tc>
                <w:tcPr>
                  <w:tcW w:w="2529" w:type="dxa"/>
                  <w:vAlign w:val="center"/>
                </w:tcPr>
                <w:p>
                  <w:pPr>
                    <w:pStyle w:val="30"/>
                    <w:spacing w:line="360" w:lineRule="exact"/>
                    <w:rPr>
                      <w:color w:val="auto"/>
                      <w:szCs w:val="21"/>
                    </w:rPr>
                  </w:pPr>
                  <w:r>
                    <w:rPr>
                      <w:color w:val="auto"/>
                      <w:szCs w:val="21"/>
                    </w:rPr>
                    <w:t>350</w:t>
                  </w:r>
                </w:p>
              </w:tc>
              <w:tc>
                <w:tcPr>
                  <w:tcW w:w="1577" w:type="dxa"/>
                  <w:vAlign w:val="center"/>
                </w:tcPr>
                <w:p>
                  <w:pPr>
                    <w:pStyle w:val="30"/>
                    <w:spacing w:line="360" w:lineRule="exact"/>
                    <w:rPr>
                      <w:color w:val="auto"/>
                      <w:szCs w:val="21"/>
                    </w:rPr>
                  </w:pPr>
                  <w:r>
                    <w:rPr>
                      <w:color w:val="auto"/>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4" w:type="dxa"/>
                  <w:vAlign w:val="center"/>
                </w:tcPr>
                <w:p>
                  <w:pPr>
                    <w:pStyle w:val="30"/>
                    <w:spacing w:line="360" w:lineRule="exact"/>
                    <w:rPr>
                      <w:color w:val="auto"/>
                      <w:szCs w:val="21"/>
                    </w:rPr>
                  </w:pPr>
                  <w:r>
                    <w:rPr>
                      <w:color w:val="auto"/>
                      <w:szCs w:val="21"/>
                    </w:rPr>
                    <w:t>标准类别</w:t>
                  </w:r>
                </w:p>
              </w:tc>
              <w:tc>
                <w:tcPr>
                  <w:tcW w:w="1493" w:type="dxa"/>
                  <w:vAlign w:val="center"/>
                </w:tcPr>
                <w:p>
                  <w:pPr>
                    <w:pStyle w:val="30"/>
                    <w:spacing w:line="360" w:lineRule="exact"/>
                    <w:rPr>
                      <w:color w:val="auto"/>
                      <w:szCs w:val="21"/>
                    </w:rPr>
                  </w:pPr>
                  <w:r>
                    <w:rPr>
                      <w:color w:val="auto"/>
                      <w:szCs w:val="21"/>
                    </w:rPr>
                    <w:t>氨氮</w:t>
                  </w:r>
                </w:p>
              </w:tc>
              <w:tc>
                <w:tcPr>
                  <w:tcW w:w="1641" w:type="dxa"/>
                  <w:vAlign w:val="center"/>
                </w:tcPr>
                <w:p>
                  <w:pPr>
                    <w:pStyle w:val="30"/>
                    <w:spacing w:line="360" w:lineRule="exact"/>
                    <w:rPr>
                      <w:color w:val="auto"/>
                      <w:szCs w:val="21"/>
                    </w:rPr>
                  </w:pPr>
                  <w:r>
                    <w:rPr>
                      <w:color w:val="auto"/>
                      <w:szCs w:val="21"/>
                    </w:rPr>
                    <w:t>总磷</w:t>
                  </w:r>
                </w:p>
              </w:tc>
              <w:tc>
                <w:tcPr>
                  <w:tcW w:w="2529" w:type="dxa"/>
                  <w:vAlign w:val="center"/>
                </w:tcPr>
                <w:p>
                  <w:pPr>
                    <w:pStyle w:val="30"/>
                    <w:spacing w:line="360" w:lineRule="exact"/>
                    <w:rPr>
                      <w:color w:val="auto"/>
                      <w:szCs w:val="21"/>
                    </w:rPr>
                  </w:pPr>
                  <w:r>
                    <w:rPr>
                      <w:color w:val="auto"/>
                      <w:szCs w:val="21"/>
                    </w:rPr>
                    <w:t>阴离子表面活性剂</w:t>
                  </w:r>
                </w:p>
              </w:tc>
              <w:tc>
                <w:tcPr>
                  <w:tcW w:w="1577" w:type="dxa"/>
                  <w:vAlign w:val="center"/>
                </w:tcPr>
                <w:p>
                  <w:pPr>
                    <w:pStyle w:val="30"/>
                    <w:spacing w:line="360" w:lineRule="exact"/>
                    <w:rPr>
                      <w:color w:val="auto"/>
                      <w:szCs w:val="21"/>
                    </w:rPr>
                  </w:pPr>
                  <w:r>
                    <w:rPr>
                      <w:color w:val="auto"/>
                      <w:szCs w:val="21"/>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4" w:type="dxa"/>
                  <w:vAlign w:val="center"/>
                </w:tcPr>
                <w:p>
                  <w:pPr>
                    <w:pStyle w:val="30"/>
                    <w:spacing w:line="360" w:lineRule="exact"/>
                    <w:rPr>
                      <w:color w:val="auto"/>
                      <w:szCs w:val="21"/>
                    </w:rPr>
                  </w:pPr>
                  <w:r>
                    <w:rPr>
                      <w:color w:val="auto"/>
                      <w:szCs w:val="21"/>
                    </w:rPr>
                    <w:t>B等级</w:t>
                  </w:r>
                </w:p>
              </w:tc>
              <w:tc>
                <w:tcPr>
                  <w:tcW w:w="1493" w:type="dxa"/>
                  <w:vAlign w:val="center"/>
                </w:tcPr>
                <w:p>
                  <w:pPr>
                    <w:pStyle w:val="30"/>
                    <w:spacing w:line="360" w:lineRule="exact"/>
                    <w:rPr>
                      <w:color w:val="auto"/>
                      <w:szCs w:val="21"/>
                    </w:rPr>
                  </w:pPr>
                  <w:r>
                    <w:rPr>
                      <w:color w:val="auto"/>
                      <w:szCs w:val="21"/>
                    </w:rPr>
                    <w:t>45</w:t>
                  </w:r>
                </w:p>
              </w:tc>
              <w:tc>
                <w:tcPr>
                  <w:tcW w:w="1641" w:type="dxa"/>
                  <w:vAlign w:val="center"/>
                </w:tcPr>
                <w:p>
                  <w:pPr>
                    <w:pStyle w:val="30"/>
                    <w:spacing w:line="360" w:lineRule="exact"/>
                    <w:rPr>
                      <w:color w:val="auto"/>
                      <w:szCs w:val="21"/>
                    </w:rPr>
                  </w:pPr>
                  <w:r>
                    <w:rPr>
                      <w:color w:val="auto"/>
                      <w:szCs w:val="21"/>
                    </w:rPr>
                    <w:t>8</w:t>
                  </w:r>
                </w:p>
              </w:tc>
              <w:tc>
                <w:tcPr>
                  <w:tcW w:w="2529" w:type="dxa"/>
                  <w:vAlign w:val="center"/>
                </w:tcPr>
                <w:p>
                  <w:pPr>
                    <w:pStyle w:val="30"/>
                    <w:spacing w:line="360" w:lineRule="exact"/>
                    <w:rPr>
                      <w:color w:val="auto"/>
                      <w:szCs w:val="21"/>
                    </w:rPr>
                  </w:pPr>
                  <w:r>
                    <w:rPr>
                      <w:color w:val="auto"/>
                      <w:szCs w:val="21"/>
                    </w:rPr>
                    <w:t>20</w:t>
                  </w:r>
                </w:p>
              </w:tc>
              <w:tc>
                <w:tcPr>
                  <w:tcW w:w="1577" w:type="dxa"/>
                  <w:vAlign w:val="center"/>
                </w:tcPr>
                <w:p>
                  <w:pPr>
                    <w:pStyle w:val="30"/>
                    <w:spacing w:line="360" w:lineRule="exact"/>
                    <w:rPr>
                      <w:color w:val="auto"/>
                      <w:szCs w:val="21"/>
                    </w:rPr>
                  </w:pPr>
                  <w:r>
                    <w:rPr>
                      <w:color w:val="auto"/>
                      <w:szCs w:val="21"/>
                    </w:rPr>
                    <w:t>100</w:t>
                  </w:r>
                </w:p>
              </w:tc>
            </w:tr>
          </w:tbl>
          <w:p>
            <w:pPr>
              <w:spacing w:beforeLines="50"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③雨水</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根据《排污许可证申请与核发技术规范 废弃资源加工工业》（HJ1034-2019）的要求，自行监测需要对雨水排放口进行监测，且执行《污水综合排放标准》（GB8978-1996），而项目所在区域属于黑泥沟的汇水范围，属于III类水体，因此执行《污水综合排放标准》（GB8978-1996）一级标准。标准限值详见下表。</w:t>
            </w:r>
          </w:p>
          <w:p>
            <w:pPr>
              <w:jc w:val="center"/>
              <w:rPr>
                <w:rFonts w:ascii="Times New Roman" w:hAnsi="Times New Roman" w:cs="Times New Roman"/>
                <w:b/>
                <w:color w:val="auto"/>
                <w:szCs w:val="24"/>
              </w:rPr>
            </w:pPr>
            <w:r>
              <w:rPr>
                <w:rFonts w:ascii="Times New Roman" w:hAnsi="Times New Roman" w:cs="Times New Roman"/>
                <w:b/>
                <w:color w:val="auto"/>
                <w:szCs w:val="24"/>
              </w:rPr>
              <w:t>表3.3.3-1污水综合排放标准一级标准限值  单位：mg/L</w:t>
            </w:r>
          </w:p>
          <w:tbl>
            <w:tblPr>
              <w:tblStyle w:val="20"/>
              <w:tblW w:w="9044"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972"/>
              <w:gridCol w:w="2440"/>
              <w:gridCol w:w="2475"/>
              <w:gridCol w:w="215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972" w:type="dxa"/>
                  <w:vAlign w:val="center"/>
                </w:tcPr>
                <w:p>
                  <w:pPr>
                    <w:pStyle w:val="30"/>
                    <w:spacing w:line="360" w:lineRule="exact"/>
                    <w:rPr>
                      <w:color w:val="auto"/>
                      <w:szCs w:val="21"/>
                    </w:rPr>
                  </w:pPr>
                  <w:r>
                    <w:rPr>
                      <w:color w:val="auto"/>
                      <w:szCs w:val="21"/>
                    </w:rPr>
                    <w:t>污染物</w:t>
                  </w:r>
                </w:p>
              </w:tc>
              <w:tc>
                <w:tcPr>
                  <w:tcW w:w="2440" w:type="dxa"/>
                  <w:vAlign w:val="center"/>
                </w:tcPr>
                <w:p>
                  <w:pPr>
                    <w:pStyle w:val="30"/>
                    <w:spacing w:line="360" w:lineRule="exact"/>
                    <w:rPr>
                      <w:color w:val="auto"/>
                      <w:szCs w:val="21"/>
                    </w:rPr>
                  </w:pPr>
                  <w:r>
                    <w:rPr>
                      <w:color w:val="auto"/>
                      <w:szCs w:val="21"/>
                    </w:rPr>
                    <w:t>SS</w:t>
                  </w:r>
                </w:p>
              </w:tc>
              <w:tc>
                <w:tcPr>
                  <w:tcW w:w="2475" w:type="dxa"/>
                  <w:vAlign w:val="center"/>
                </w:tcPr>
                <w:p>
                  <w:pPr>
                    <w:pStyle w:val="30"/>
                    <w:spacing w:line="360" w:lineRule="exact"/>
                    <w:rPr>
                      <w:color w:val="auto"/>
                      <w:szCs w:val="21"/>
                    </w:rPr>
                  </w:pPr>
                  <w:r>
                    <w:rPr>
                      <w:color w:val="auto"/>
                      <w:szCs w:val="21"/>
                    </w:rPr>
                    <w:t>CODcr</w:t>
                  </w:r>
                </w:p>
              </w:tc>
              <w:tc>
                <w:tcPr>
                  <w:tcW w:w="2157" w:type="dxa"/>
                  <w:vAlign w:val="center"/>
                </w:tcPr>
                <w:p>
                  <w:pPr>
                    <w:pStyle w:val="30"/>
                    <w:spacing w:line="360" w:lineRule="exact"/>
                    <w:rPr>
                      <w:color w:val="auto"/>
                      <w:szCs w:val="21"/>
                    </w:rPr>
                  </w:pPr>
                  <w:r>
                    <w:rPr>
                      <w:color w:val="auto"/>
                      <w:szCs w:val="21"/>
                    </w:rPr>
                    <w:t>石油类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972" w:type="dxa"/>
                  <w:vAlign w:val="center"/>
                </w:tcPr>
                <w:p>
                  <w:pPr>
                    <w:pStyle w:val="30"/>
                    <w:spacing w:line="360" w:lineRule="exact"/>
                    <w:rPr>
                      <w:color w:val="auto"/>
                      <w:szCs w:val="21"/>
                    </w:rPr>
                  </w:pPr>
                  <w:r>
                    <w:rPr>
                      <w:color w:val="auto"/>
                      <w:szCs w:val="21"/>
                    </w:rPr>
                    <w:t>标准值</w:t>
                  </w:r>
                </w:p>
              </w:tc>
              <w:tc>
                <w:tcPr>
                  <w:tcW w:w="2440" w:type="dxa"/>
                  <w:vAlign w:val="center"/>
                </w:tcPr>
                <w:p>
                  <w:pPr>
                    <w:pStyle w:val="30"/>
                    <w:spacing w:line="360" w:lineRule="exact"/>
                    <w:rPr>
                      <w:color w:val="auto"/>
                      <w:szCs w:val="21"/>
                    </w:rPr>
                  </w:pPr>
                  <w:r>
                    <w:rPr>
                      <w:color w:val="auto"/>
                      <w:szCs w:val="21"/>
                    </w:rPr>
                    <w:t>≤70</w:t>
                  </w:r>
                </w:p>
              </w:tc>
              <w:tc>
                <w:tcPr>
                  <w:tcW w:w="2475" w:type="dxa"/>
                  <w:vAlign w:val="center"/>
                </w:tcPr>
                <w:p>
                  <w:pPr>
                    <w:pStyle w:val="30"/>
                    <w:spacing w:line="360" w:lineRule="exact"/>
                    <w:rPr>
                      <w:color w:val="auto"/>
                      <w:szCs w:val="21"/>
                    </w:rPr>
                  </w:pPr>
                  <w:r>
                    <w:rPr>
                      <w:color w:val="auto"/>
                      <w:szCs w:val="21"/>
                    </w:rPr>
                    <w:t>≤100</w:t>
                  </w:r>
                </w:p>
              </w:tc>
              <w:tc>
                <w:tcPr>
                  <w:tcW w:w="2157" w:type="dxa"/>
                  <w:vAlign w:val="center"/>
                </w:tcPr>
                <w:p>
                  <w:pPr>
                    <w:pStyle w:val="30"/>
                    <w:spacing w:line="360" w:lineRule="exact"/>
                    <w:rPr>
                      <w:color w:val="auto"/>
                      <w:szCs w:val="21"/>
                    </w:rPr>
                  </w:pPr>
                  <w:r>
                    <w:rPr>
                      <w:color w:val="auto"/>
                      <w:szCs w:val="21"/>
                    </w:rPr>
                    <w:t>≤10</w:t>
                  </w:r>
                </w:p>
              </w:tc>
            </w:tr>
          </w:tbl>
          <w:p>
            <w:pPr>
              <w:pStyle w:val="38"/>
              <w:spacing w:beforeLines="50"/>
              <w:ind w:firstLine="482"/>
              <w:rPr>
                <w:rFonts w:eastAsiaTheme="minorEastAsia"/>
                <w:b/>
                <w:color w:val="auto"/>
                <w:szCs w:val="24"/>
              </w:rPr>
            </w:pPr>
            <w:r>
              <w:rPr>
                <w:rFonts w:eastAsiaTheme="minorEastAsia"/>
                <w:b/>
                <w:color w:val="auto"/>
                <w:szCs w:val="24"/>
              </w:rPr>
              <w:t>3.3.3 噪声排放标准</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（1）施工期</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施工期噪声排放执行《建筑施工场界噪声环境噪声排放标准》（GB12523-2011）。标准值详见下表。</w:t>
            </w:r>
          </w:p>
          <w:p>
            <w:pPr>
              <w:jc w:val="center"/>
              <w:rPr>
                <w:rFonts w:ascii="Times New Roman" w:hAnsi="Times New Roman" w:cs="Times New Roman"/>
                <w:b/>
                <w:color w:val="auto"/>
                <w:szCs w:val="24"/>
              </w:rPr>
            </w:pPr>
            <w:r>
              <w:rPr>
                <w:rFonts w:ascii="Times New Roman" w:hAnsi="Times New Roman" w:cs="Times New Roman"/>
                <w:b/>
                <w:color w:val="auto"/>
                <w:szCs w:val="24"/>
              </w:rPr>
              <w:t>表3.3.3-1 建筑施工场界噪声标准限值  单位：dB（A）</w:t>
            </w:r>
          </w:p>
          <w:tbl>
            <w:tblPr>
              <w:tblStyle w:val="19"/>
              <w:tblW w:w="90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5"/>
              <w:gridCol w:w="2968"/>
              <w:gridCol w:w="2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3205" w:type="dxa"/>
                  <w:vMerge w:val="restart"/>
                  <w:vAlign w:val="center"/>
                </w:tcPr>
                <w:p>
                  <w:pPr>
                    <w:pStyle w:val="30"/>
                    <w:spacing w:line="360" w:lineRule="exact"/>
                    <w:ind w:left="11"/>
                    <w:rPr>
                      <w:rFonts w:eastAsiaTheme="minorEastAsia"/>
                      <w:color w:val="auto"/>
                      <w:szCs w:val="21"/>
                    </w:rPr>
                  </w:pPr>
                  <w:r>
                    <w:rPr>
                      <w:rFonts w:eastAsiaTheme="minorEastAsia"/>
                      <w:color w:val="auto"/>
                      <w:szCs w:val="21"/>
                    </w:rPr>
                    <w:t>控制区域</w:t>
                  </w:r>
                </w:p>
              </w:tc>
              <w:tc>
                <w:tcPr>
                  <w:tcW w:w="5839" w:type="dxa"/>
                  <w:gridSpan w:val="2"/>
                  <w:vAlign w:val="center"/>
                </w:tcPr>
                <w:p>
                  <w:pPr>
                    <w:pStyle w:val="30"/>
                    <w:spacing w:line="360" w:lineRule="exact"/>
                    <w:ind w:left="11"/>
                    <w:rPr>
                      <w:rFonts w:eastAsiaTheme="minorEastAsia"/>
                      <w:color w:val="auto"/>
                      <w:szCs w:val="21"/>
                    </w:rPr>
                  </w:pPr>
                  <w:r>
                    <w:rPr>
                      <w:rFonts w:eastAsiaTheme="minorEastAsia"/>
                      <w:color w:val="auto"/>
                      <w:szCs w:val="21"/>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3205" w:type="dxa"/>
                  <w:vMerge w:val="continue"/>
                  <w:vAlign w:val="center"/>
                </w:tcPr>
                <w:p>
                  <w:pPr>
                    <w:pStyle w:val="30"/>
                    <w:spacing w:line="360" w:lineRule="exact"/>
                    <w:ind w:left="11"/>
                    <w:rPr>
                      <w:rFonts w:eastAsiaTheme="minorEastAsia"/>
                      <w:color w:val="auto"/>
                      <w:szCs w:val="21"/>
                    </w:rPr>
                  </w:pPr>
                </w:p>
              </w:tc>
              <w:tc>
                <w:tcPr>
                  <w:tcW w:w="2968" w:type="dxa"/>
                  <w:vAlign w:val="center"/>
                </w:tcPr>
                <w:p>
                  <w:pPr>
                    <w:pStyle w:val="30"/>
                    <w:spacing w:line="360" w:lineRule="exact"/>
                    <w:ind w:left="11"/>
                    <w:rPr>
                      <w:rFonts w:eastAsiaTheme="minorEastAsia"/>
                      <w:color w:val="auto"/>
                      <w:szCs w:val="21"/>
                    </w:rPr>
                  </w:pPr>
                  <w:r>
                    <w:rPr>
                      <w:rFonts w:eastAsiaTheme="minorEastAsia"/>
                      <w:color w:val="auto"/>
                      <w:szCs w:val="21"/>
                    </w:rPr>
                    <w:t>昼间</w:t>
                  </w:r>
                </w:p>
              </w:tc>
              <w:tc>
                <w:tcPr>
                  <w:tcW w:w="2871" w:type="dxa"/>
                  <w:vAlign w:val="center"/>
                </w:tcPr>
                <w:p>
                  <w:pPr>
                    <w:pStyle w:val="30"/>
                    <w:spacing w:line="360" w:lineRule="exact"/>
                    <w:ind w:left="11"/>
                    <w:rPr>
                      <w:rFonts w:eastAsiaTheme="minorEastAsia"/>
                      <w:color w:val="auto"/>
                      <w:szCs w:val="21"/>
                    </w:rPr>
                  </w:pPr>
                  <w:r>
                    <w:rPr>
                      <w:rFonts w:eastAsiaTheme="minorEastAsia"/>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3205" w:type="dxa"/>
                  <w:vAlign w:val="center"/>
                </w:tcPr>
                <w:p>
                  <w:pPr>
                    <w:pStyle w:val="30"/>
                    <w:spacing w:line="360" w:lineRule="exact"/>
                    <w:ind w:left="11"/>
                    <w:rPr>
                      <w:rFonts w:eastAsiaTheme="minorEastAsia"/>
                      <w:color w:val="auto"/>
                      <w:szCs w:val="21"/>
                    </w:rPr>
                  </w:pPr>
                  <w:r>
                    <w:rPr>
                      <w:rFonts w:eastAsiaTheme="minorEastAsia"/>
                      <w:color w:val="auto"/>
                      <w:szCs w:val="21"/>
                    </w:rPr>
                    <w:t>厂界</w:t>
                  </w:r>
                </w:p>
              </w:tc>
              <w:tc>
                <w:tcPr>
                  <w:tcW w:w="2968" w:type="dxa"/>
                  <w:vAlign w:val="center"/>
                </w:tcPr>
                <w:p>
                  <w:pPr>
                    <w:pStyle w:val="30"/>
                    <w:spacing w:line="360" w:lineRule="exact"/>
                    <w:ind w:left="11"/>
                    <w:rPr>
                      <w:rFonts w:eastAsiaTheme="minorEastAsia"/>
                      <w:color w:val="auto"/>
                      <w:szCs w:val="21"/>
                    </w:rPr>
                  </w:pPr>
                  <w:r>
                    <w:rPr>
                      <w:rFonts w:eastAsiaTheme="minorEastAsia"/>
                      <w:color w:val="auto"/>
                      <w:szCs w:val="21"/>
                    </w:rPr>
                    <w:t>70</w:t>
                  </w:r>
                </w:p>
              </w:tc>
              <w:tc>
                <w:tcPr>
                  <w:tcW w:w="2871" w:type="dxa"/>
                  <w:vAlign w:val="center"/>
                </w:tcPr>
                <w:p>
                  <w:pPr>
                    <w:pStyle w:val="30"/>
                    <w:spacing w:line="360" w:lineRule="exact"/>
                    <w:ind w:left="11"/>
                    <w:rPr>
                      <w:rFonts w:eastAsiaTheme="minorEastAsia"/>
                      <w:color w:val="auto"/>
                      <w:szCs w:val="21"/>
                    </w:rPr>
                  </w:pPr>
                  <w:r>
                    <w:rPr>
                      <w:rFonts w:eastAsiaTheme="minorEastAsia"/>
                      <w:color w:val="auto"/>
                      <w:szCs w:val="21"/>
                    </w:rPr>
                    <w:t>55</w:t>
                  </w:r>
                </w:p>
              </w:tc>
            </w:tr>
          </w:tbl>
          <w:p>
            <w:pPr>
              <w:spacing w:beforeLines="50"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（2）运营期</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项目位于昆明市东川区再就业特区天生桥特色产业园，本项目噪声执行《工业企业厂界环境噪声排放标准》（GB12348-2008）3类标准。标准限值详见下表。</w:t>
            </w:r>
          </w:p>
          <w:p>
            <w:pPr>
              <w:jc w:val="center"/>
              <w:rPr>
                <w:rFonts w:ascii="Times New Roman" w:hAnsi="Times New Roman" w:cs="Times New Roman"/>
                <w:b/>
                <w:color w:val="auto"/>
                <w:szCs w:val="24"/>
              </w:rPr>
            </w:pPr>
            <w:r>
              <w:rPr>
                <w:rFonts w:ascii="Times New Roman" w:hAnsi="Times New Roman" w:cs="Times New Roman"/>
                <w:b/>
                <w:color w:val="auto"/>
                <w:szCs w:val="24"/>
              </w:rPr>
              <w:t>表3.3.3-2 《工业企业厂界环境噪声排放标准》  Leq[dB（A）</w:t>
            </w:r>
          </w:p>
          <w:tbl>
            <w:tblPr>
              <w:tblStyle w:val="19"/>
              <w:tblW w:w="9038" w:type="dxa"/>
              <w:jc w:val="center"/>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925"/>
              <w:gridCol w:w="3069"/>
              <w:gridCol w:w="3044"/>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2925" w:type="dxa"/>
                  <w:vMerge w:val="restart"/>
                  <w:vAlign w:val="center"/>
                </w:tcPr>
                <w:p>
                  <w:pPr>
                    <w:pStyle w:val="30"/>
                    <w:spacing w:line="360" w:lineRule="exact"/>
                    <w:ind w:left="11"/>
                    <w:rPr>
                      <w:rFonts w:eastAsiaTheme="minorEastAsia"/>
                      <w:color w:val="auto"/>
                      <w:szCs w:val="21"/>
                    </w:rPr>
                  </w:pPr>
                  <w:r>
                    <w:rPr>
                      <w:rFonts w:eastAsiaTheme="minorEastAsia"/>
                      <w:color w:val="auto"/>
                      <w:szCs w:val="21"/>
                    </w:rPr>
                    <w:t>声环境功能区类别</w:t>
                  </w:r>
                </w:p>
              </w:tc>
              <w:tc>
                <w:tcPr>
                  <w:tcW w:w="6113" w:type="dxa"/>
                  <w:gridSpan w:val="2"/>
                  <w:vAlign w:val="center"/>
                </w:tcPr>
                <w:p>
                  <w:pPr>
                    <w:spacing w:line="360" w:lineRule="exact"/>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时段</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2925" w:type="dxa"/>
                  <w:vMerge w:val="continue"/>
                  <w:vAlign w:val="center"/>
                </w:tcPr>
                <w:p>
                  <w:pPr>
                    <w:pStyle w:val="30"/>
                    <w:spacing w:line="360" w:lineRule="exact"/>
                    <w:ind w:left="11"/>
                    <w:rPr>
                      <w:rFonts w:eastAsiaTheme="minorEastAsia"/>
                      <w:color w:val="auto"/>
                      <w:szCs w:val="21"/>
                    </w:rPr>
                  </w:pPr>
                </w:p>
              </w:tc>
              <w:tc>
                <w:tcPr>
                  <w:tcW w:w="3069" w:type="dxa"/>
                  <w:vAlign w:val="center"/>
                </w:tcPr>
                <w:p>
                  <w:pPr>
                    <w:spacing w:line="360" w:lineRule="exact"/>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昼间</w:t>
                  </w:r>
                </w:p>
              </w:tc>
              <w:tc>
                <w:tcPr>
                  <w:tcW w:w="3044" w:type="dxa"/>
                  <w:vAlign w:val="center"/>
                </w:tcPr>
                <w:p>
                  <w:pPr>
                    <w:spacing w:line="360" w:lineRule="exact"/>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夜间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2925" w:type="dxa"/>
                  <w:vAlign w:val="center"/>
                </w:tcPr>
                <w:p>
                  <w:pPr>
                    <w:pStyle w:val="30"/>
                    <w:spacing w:line="360" w:lineRule="exact"/>
                    <w:ind w:left="11"/>
                    <w:rPr>
                      <w:rFonts w:eastAsiaTheme="minorEastAsia"/>
                      <w:color w:val="auto"/>
                      <w:szCs w:val="21"/>
                    </w:rPr>
                  </w:pPr>
                  <w:r>
                    <w:rPr>
                      <w:rFonts w:eastAsiaTheme="minorEastAsia"/>
                      <w:color w:val="auto"/>
                      <w:szCs w:val="21"/>
                    </w:rPr>
                    <w:t>3类</w:t>
                  </w:r>
                </w:p>
              </w:tc>
              <w:tc>
                <w:tcPr>
                  <w:tcW w:w="3069" w:type="dxa"/>
                  <w:vAlign w:val="center"/>
                </w:tcPr>
                <w:p>
                  <w:pPr>
                    <w:spacing w:line="360" w:lineRule="exact"/>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65</w:t>
                  </w:r>
                </w:p>
              </w:tc>
              <w:tc>
                <w:tcPr>
                  <w:tcW w:w="3044" w:type="dxa"/>
                  <w:vAlign w:val="center"/>
                </w:tcPr>
                <w:p>
                  <w:pPr>
                    <w:spacing w:line="360" w:lineRule="exact"/>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55</w:t>
                  </w:r>
                </w:p>
              </w:tc>
            </w:tr>
          </w:tbl>
          <w:p>
            <w:pPr>
              <w:pStyle w:val="38"/>
              <w:spacing w:beforeLines="50"/>
              <w:ind w:firstLine="482"/>
              <w:rPr>
                <w:rFonts w:eastAsiaTheme="minorEastAsia"/>
                <w:b/>
                <w:color w:val="auto"/>
                <w:szCs w:val="24"/>
              </w:rPr>
            </w:pPr>
            <w:r>
              <w:rPr>
                <w:rFonts w:eastAsiaTheme="minorEastAsia"/>
                <w:b/>
                <w:color w:val="auto"/>
                <w:szCs w:val="24"/>
              </w:rPr>
              <w:t>3.3.4 固废执行标准</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 1 \* GB3 </w:instrText>
            </w:r>
            <w:r>
              <w:rPr>
                <w:rFonts w:ascii="Times New Roman" w:hAnsi="Times New Roman" w:cs="Times New Roman"/>
                <w:color w:val="auto"/>
                <w:sz w:val="24"/>
                <w:szCs w:val="24"/>
              </w:rPr>
              <w:fldChar w:fldCharType="separate"/>
            </w:r>
            <w:r>
              <w:rPr>
                <w:rFonts w:ascii="宋体" w:hAnsi="Times New Roman" w:eastAsia="宋体" w:cs="Times New Roman"/>
                <w:color w:val="auto"/>
                <w:sz w:val="24"/>
                <w:szCs w:val="24"/>
              </w:rPr>
              <w:t>①</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危险废物执行《危险废物贮存污染控制标准》（GB18597-2001）及修改单。</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 2 \* GB3 </w:instrText>
            </w:r>
            <w:r>
              <w:rPr>
                <w:rFonts w:ascii="Times New Roman" w:hAnsi="Times New Roman" w:cs="Times New Roman"/>
                <w:color w:val="auto"/>
                <w:sz w:val="24"/>
                <w:szCs w:val="24"/>
              </w:rPr>
              <w:fldChar w:fldCharType="separate"/>
            </w:r>
            <w:r>
              <w:rPr>
                <w:rFonts w:ascii="宋体" w:hAnsi="Times New Roman" w:eastAsia="宋体" w:cs="Times New Roman"/>
                <w:color w:val="auto"/>
                <w:sz w:val="24"/>
                <w:szCs w:val="24"/>
              </w:rPr>
              <w:t>②</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一般固体废物处置执行《一般工业固体废物贮存和填埋污染控制标准》（GB18599-2020）。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32" w:hRule="atLeast"/>
          <w:jc w:val="center"/>
        </w:trPr>
        <w:tc>
          <w:tcPr>
            <w:tcW w:w="9270" w:type="dxa"/>
            <w:vAlign w:val="center"/>
          </w:tcPr>
          <w:p>
            <w:pPr>
              <w:spacing w:line="360" w:lineRule="auto"/>
              <w:ind w:firstLine="360" w:firstLineChars="150"/>
              <w:rPr>
                <w:rFonts w:ascii="Times New Roman" w:hAnsi="Times New Roman" w:eastAsia="微软雅黑" w:cs="Times New Roman"/>
                <w:b/>
                <w:color w:val="auto"/>
                <w:sz w:val="24"/>
                <w:szCs w:val="24"/>
              </w:rPr>
            </w:pPr>
            <w:r>
              <w:rPr>
                <w:rFonts w:ascii="Times New Roman" w:hAnsi="Times New Roman" w:eastAsia="微软雅黑" w:cs="Times New Roman"/>
                <w:b/>
                <w:color w:val="auto"/>
                <w:sz w:val="24"/>
                <w:szCs w:val="24"/>
              </w:rPr>
              <w:t>总量控制指标</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根据《建设项目环境影响报告表编制技术指南》（污染影响类）（试行）的要求，总量指标主要为地方生态环境主管部门核定的总量控制指标。</w:t>
            </w:r>
          </w:p>
          <w:p>
            <w:pPr>
              <w:autoSpaceDE w:val="0"/>
              <w:autoSpaceDN w:val="0"/>
              <w:spacing w:line="360" w:lineRule="auto"/>
              <w:ind w:firstLine="241" w:firstLineChars="100"/>
              <w:rPr>
                <w:rFonts w:ascii="Times New Roman" w:hAnsi="Times New Roman" w:cs="Times New Roman"/>
                <w:b/>
                <w:color w:val="auto"/>
                <w:sz w:val="24"/>
                <w:szCs w:val="24"/>
              </w:rPr>
            </w:pPr>
            <w:r>
              <w:rPr>
                <w:rFonts w:ascii="Times New Roman" w:hAnsi="Times New Roman" w:cs="Times New Roman"/>
                <w:b/>
                <w:color w:val="auto"/>
                <w:sz w:val="24"/>
                <w:szCs w:val="24"/>
              </w:rPr>
              <w:t>3.5 总量控制指标</w:t>
            </w:r>
          </w:p>
          <w:p>
            <w:pPr>
              <w:pStyle w:val="38"/>
              <w:ind w:firstLine="482"/>
              <w:rPr>
                <w:rFonts w:eastAsiaTheme="minorEastAsia"/>
                <w:b/>
                <w:color w:val="auto"/>
                <w:szCs w:val="24"/>
              </w:rPr>
            </w:pPr>
            <w:r>
              <w:rPr>
                <w:rFonts w:eastAsiaTheme="minorEastAsia"/>
                <w:b/>
                <w:color w:val="auto"/>
                <w:szCs w:val="24"/>
              </w:rPr>
              <w:t>3.5.1 现有工程总量控制指标</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（1）现有废气产排量</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现有工程粉尘有组织排放量为1.989t/a、粉尘无组织排放量为5.403t/a、非甲烷总烃有组织排放量0.06t/a、非甲烷总烃无组织排放量0.03t/a、铅及其化合物有组织排放量0.0009t/a、铅及其化合物无组织排放量0.0019t/a。</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（2）现有工程废水产排量</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现有工程产生的废水主要为平衡盐水和生活污水；平衡盐水产生量为0.005m³/d，已设置了1个2m³的盐水缸对其进行收集，按1：8的比例稀释后回用于绿化，不外排；生活污水产生量为1488m³/a，其CODcr产生量0.52t/a、BOD</w:t>
            </w:r>
            <w:r>
              <w:rPr>
                <w:rFonts w:ascii="Times New Roman" w:hAnsi="Times New Roman" w:cs="Times New Roman"/>
                <w:color w:val="auto"/>
                <w:sz w:val="24"/>
                <w:szCs w:val="24"/>
                <w:vertAlign w:val="subscript"/>
              </w:rPr>
              <w:t>5</w:t>
            </w:r>
            <w:r>
              <w:rPr>
                <w:rFonts w:ascii="Times New Roman" w:hAnsi="Times New Roman" w:cs="Times New Roman"/>
                <w:color w:val="auto"/>
                <w:sz w:val="24"/>
                <w:szCs w:val="24"/>
              </w:rPr>
              <w:t>产生量0.33t/a、NH</w:t>
            </w:r>
            <w:r>
              <w:rPr>
                <w:rFonts w:ascii="Times New Roman" w:hAnsi="Times New Roman" w:cs="Times New Roman"/>
                <w:color w:val="auto"/>
                <w:sz w:val="24"/>
                <w:szCs w:val="24"/>
                <w:vertAlign w:val="subscript"/>
              </w:rPr>
              <w:t>3</w:t>
            </w:r>
            <w:r>
              <w:rPr>
                <w:rFonts w:ascii="Times New Roman" w:hAnsi="Times New Roman" w:cs="Times New Roman"/>
                <w:color w:val="auto"/>
                <w:sz w:val="24"/>
                <w:szCs w:val="24"/>
              </w:rPr>
              <w:t>-N产生量0.06t/a、SS产生量0.45t/a、总磷产生量0.01t/a、总氮产生量0.07t/a、动植物油产生量0.15t/a、阴离子表面活性剂产生量0.02t/a， 经隔油池、化粪池和污水收集池处理后回用于厂区绿化，不外排。</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（3）现有工程固体废物</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现有项目固体废物处置率为100%。</w:t>
            </w:r>
          </w:p>
          <w:p>
            <w:pPr>
              <w:pStyle w:val="38"/>
              <w:ind w:firstLine="482"/>
              <w:rPr>
                <w:rFonts w:eastAsiaTheme="minorEastAsia"/>
                <w:b/>
                <w:color w:val="auto"/>
                <w:szCs w:val="24"/>
              </w:rPr>
            </w:pPr>
            <w:r>
              <w:rPr>
                <w:rFonts w:eastAsiaTheme="minorEastAsia"/>
                <w:b/>
                <w:color w:val="auto"/>
                <w:szCs w:val="24"/>
              </w:rPr>
              <w:t>3.5.2 本项目污染物排放量</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（1）技改项目废气排放量</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技改项目建成后粉尘有组织排放量为2.104t/a、粉尘无组织排放量为5.655t/a、非甲烷总烃有组织排放量0.06t/a、非甲烷总烃无组织排放量0.03t/a、铅及其化合物有组织排放量0.0009t/a、铅及其化合物无组织排放量0.0019t/a、汞及其化合物排放量0.00004t/a。</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（2）技改项目废水产排量</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技改项目建成后产生的废水主要为平衡盐水、生活污水和初期雨水；平衡盐水产生量为0.005m³/d，已设置了1个2m³的盐水缸对其进行收集，按1：8的比例稀释后回用于绿化，不外排；生活污水产生量为1488m³/a，其CODcr产生量0.52t/a、BOD</w:t>
            </w:r>
            <w:r>
              <w:rPr>
                <w:rFonts w:ascii="Times New Roman" w:hAnsi="Times New Roman" w:cs="Times New Roman"/>
                <w:color w:val="auto"/>
                <w:sz w:val="24"/>
                <w:szCs w:val="24"/>
                <w:vertAlign w:val="subscript"/>
              </w:rPr>
              <w:t>5</w:t>
            </w:r>
            <w:r>
              <w:rPr>
                <w:rFonts w:ascii="Times New Roman" w:hAnsi="Times New Roman" w:cs="Times New Roman"/>
                <w:color w:val="auto"/>
                <w:sz w:val="24"/>
                <w:szCs w:val="24"/>
              </w:rPr>
              <w:t>产生量0.33t/a、NH</w:t>
            </w:r>
            <w:r>
              <w:rPr>
                <w:rFonts w:ascii="Times New Roman" w:hAnsi="Times New Roman" w:cs="Times New Roman"/>
                <w:color w:val="auto"/>
                <w:sz w:val="24"/>
                <w:szCs w:val="24"/>
                <w:vertAlign w:val="subscript"/>
              </w:rPr>
              <w:t>3</w:t>
            </w:r>
            <w:r>
              <w:rPr>
                <w:rFonts w:ascii="Times New Roman" w:hAnsi="Times New Roman" w:cs="Times New Roman"/>
                <w:color w:val="auto"/>
                <w:sz w:val="24"/>
                <w:szCs w:val="24"/>
              </w:rPr>
              <w:t>-N产生量0.06t/a、SS产生量0.45t/a、总磷产生量0.01t/a、总氮产生量0.07t/a、动植物油产生量0.15t/a、阴离子表面活性剂产生量0.02t/a；近期（园区污水处理厂建成前），经隔油池、化粪池和一体化污水处理设施处理后回用于项目区绿化；远期（园区污水处理厂建成后），项目产生的生活污水通过隔油池、化粪池预处理达到《污水排入城镇下水道水质标准》（GB/T31962-2015）中B级标准，进入东川再就业特区天生桥特色产业园污水处理厂集中处理；因此远期总量纳入东川再就业特区天生桥特色产业园污水处理厂进行管理。初期雨水产生量为11.50m³/次，经1个30m³的初期雨水收集池，对厂区的初期雨水进行收集沉淀处理后回用于项目区绿化，不外排。</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（3）技改项目固体废物</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技改项目固体废物处置率为100%。</w:t>
            </w:r>
          </w:p>
          <w:p>
            <w:pPr>
              <w:pStyle w:val="38"/>
              <w:ind w:firstLine="482"/>
              <w:rPr>
                <w:rFonts w:eastAsiaTheme="minorEastAsia"/>
                <w:b/>
                <w:color w:val="auto"/>
                <w:szCs w:val="24"/>
              </w:rPr>
            </w:pPr>
            <w:r>
              <w:rPr>
                <w:rFonts w:eastAsiaTheme="minorEastAsia"/>
                <w:b/>
                <w:color w:val="auto"/>
                <w:szCs w:val="24"/>
              </w:rPr>
              <w:t>3.5.3 总量控制指标及来源</w:t>
            </w:r>
          </w:p>
          <w:p>
            <w:pPr>
              <w:spacing w:line="360" w:lineRule="auto"/>
              <w:ind w:firstLine="480" w:firstLineChars="200"/>
              <w:rPr>
                <w:rFonts w:ascii="Times New Roman" w:hAnsi="Times New Roman" w:cs="Times New Roman"/>
                <w:color w:val="auto"/>
                <w:sz w:val="24"/>
                <w:highlight w:val="yellow"/>
              </w:rPr>
            </w:pPr>
            <w:r>
              <w:rPr>
                <w:rFonts w:ascii="Times New Roman" w:hAnsi="Times New Roman" w:cs="Times New Roman"/>
                <w:color w:val="auto"/>
                <w:sz w:val="24"/>
                <w:szCs w:val="24"/>
              </w:rPr>
              <w:t>根据国家要求，需进行总量控制指标的因子主要包括有组织排放的SO</w:t>
            </w:r>
            <w:r>
              <w:rPr>
                <w:rFonts w:ascii="Times New Roman" w:hAnsi="Times New Roman" w:cs="Times New Roman"/>
                <w:color w:val="auto"/>
                <w:sz w:val="24"/>
                <w:szCs w:val="24"/>
                <w:vertAlign w:val="subscript"/>
              </w:rPr>
              <w:t>2</w:t>
            </w:r>
            <w:r>
              <w:rPr>
                <w:rFonts w:ascii="Times New Roman" w:hAnsi="Times New Roman" w:cs="Times New Roman"/>
                <w:color w:val="auto"/>
                <w:sz w:val="24"/>
                <w:szCs w:val="24"/>
              </w:rPr>
              <w:t>、NOx、有机废气和CODcr、NH</w:t>
            </w:r>
            <w:r>
              <w:rPr>
                <w:rFonts w:ascii="Times New Roman" w:hAnsi="Times New Roman" w:cs="Times New Roman"/>
                <w:color w:val="auto"/>
                <w:sz w:val="24"/>
                <w:szCs w:val="24"/>
                <w:vertAlign w:val="subscript"/>
              </w:rPr>
              <w:t>3</w:t>
            </w:r>
            <w:r>
              <w:rPr>
                <w:rFonts w:ascii="Times New Roman" w:hAnsi="Times New Roman" w:cs="Times New Roman"/>
                <w:color w:val="auto"/>
                <w:sz w:val="24"/>
                <w:szCs w:val="24"/>
              </w:rPr>
              <w:t>-N；项目远期项目排放的CODcr、NH</w:t>
            </w:r>
            <w:r>
              <w:rPr>
                <w:rFonts w:ascii="Times New Roman" w:hAnsi="Times New Roman" w:cs="Times New Roman"/>
                <w:color w:val="auto"/>
                <w:sz w:val="24"/>
                <w:szCs w:val="24"/>
                <w:vertAlign w:val="subscript"/>
              </w:rPr>
              <w:t>3</w:t>
            </w:r>
            <w:r>
              <w:rPr>
                <w:rFonts w:ascii="Times New Roman" w:hAnsi="Times New Roman" w:cs="Times New Roman"/>
                <w:color w:val="auto"/>
                <w:sz w:val="24"/>
                <w:szCs w:val="24"/>
              </w:rPr>
              <w:t>-N总量纳入东川再就业特区天生桥特色产业园污水处理厂进行管理。综上，本项目无总量控制指。</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综上，项目总量控制指标为有组织非甲烷总烃0.06t/a。</w:t>
            </w: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tc>
      </w:tr>
    </w:tbl>
    <w:p>
      <w:pPr>
        <w:spacing w:line="360" w:lineRule="auto"/>
        <w:jc w:val="left"/>
        <w:outlineLvl w:val="0"/>
        <w:rPr>
          <w:rFonts w:ascii="Times New Roman" w:hAnsi="Times New Roman" w:cs="Times New Roman"/>
          <w:b/>
          <w:color w:val="auto"/>
          <w:sz w:val="28"/>
          <w:szCs w:val="20"/>
        </w:rPr>
      </w:pPr>
      <w:r>
        <w:rPr>
          <w:rFonts w:ascii="Times New Roman" w:hAnsi="Times New Roman" w:cs="Times New Roman"/>
          <w:b/>
          <w:color w:val="auto"/>
          <w:sz w:val="28"/>
          <w:szCs w:val="20"/>
        </w:rPr>
        <w:t>四、主要环境影响和保护措施</w:t>
      </w:r>
    </w:p>
    <w:tbl>
      <w:tblPr>
        <w:tblStyle w:val="20"/>
        <w:tblW w:w="9270"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27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270" w:type="dxa"/>
            <w:vAlign w:val="center"/>
          </w:tcPr>
          <w:p>
            <w:pPr>
              <w:spacing w:line="360" w:lineRule="auto"/>
              <w:ind w:firstLine="360" w:firstLineChars="150"/>
              <w:rPr>
                <w:rFonts w:ascii="Times New Roman" w:hAnsi="Times New Roman" w:eastAsia="微软雅黑" w:cs="Times New Roman"/>
                <w:b/>
                <w:color w:val="auto"/>
                <w:sz w:val="24"/>
                <w:szCs w:val="24"/>
              </w:rPr>
            </w:pPr>
            <w:r>
              <w:rPr>
                <w:rFonts w:ascii="Times New Roman" w:hAnsi="Times New Roman" w:eastAsia="微软雅黑" w:cs="Times New Roman"/>
                <w:b/>
                <w:color w:val="auto"/>
                <w:sz w:val="24"/>
                <w:szCs w:val="24"/>
              </w:rPr>
              <w:t>施工期环境保护措施</w:t>
            </w:r>
          </w:p>
          <w:p>
            <w:pPr>
              <w:autoSpaceDE w:val="0"/>
              <w:autoSpaceDN w:val="0"/>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4.1 施工期环境保护措施</w:t>
            </w:r>
          </w:p>
          <w:p>
            <w:pPr>
              <w:pStyle w:val="38"/>
              <w:ind w:firstLine="482"/>
              <w:rPr>
                <w:rFonts w:eastAsiaTheme="minorEastAsia"/>
                <w:b/>
                <w:color w:val="auto"/>
                <w:szCs w:val="24"/>
              </w:rPr>
            </w:pPr>
            <w:r>
              <w:rPr>
                <w:rFonts w:eastAsiaTheme="minorEastAsia"/>
                <w:b/>
                <w:color w:val="auto"/>
                <w:szCs w:val="24"/>
              </w:rPr>
              <w:t>4.1.1 施工期废气污染防治措施</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该项目主要对生产设备及环保设备的安装，安装过程会使用焊接等工艺，因此施工过程会产生焊接烟尘等，但施工量较小，产生量较小。</w:t>
            </w:r>
          </w:p>
          <w:p>
            <w:pPr>
              <w:pStyle w:val="38"/>
              <w:ind w:firstLine="482"/>
              <w:rPr>
                <w:rFonts w:eastAsiaTheme="minorEastAsia"/>
                <w:b/>
                <w:color w:val="auto"/>
                <w:szCs w:val="24"/>
              </w:rPr>
            </w:pPr>
            <w:r>
              <w:rPr>
                <w:rFonts w:eastAsiaTheme="minorEastAsia"/>
                <w:b/>
                <w:color w:val="auto"/>
                <w:szCs w:val="24"/>
              </w:rPr>
              <w:t>4.1.2 施工期废水污染防治措施</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项目施工量较小，施工过程使用的少量施工用水全部自然蒸发，无施工废水产生。而施工期项目区不设施工营地，施工人员食宿全部在项目区外食宿，项目区无生活污水产生。项目施工期无废水外排。</w:t>
            </w:r>
          </w:p>
          <w:p>
            <w:pPr>
              <w:pStyle w:val="38"/>
              <w:ind w:firstLine="482"/>
              <w:rPr>
                <w:rFonts w:eastAsiaTheme="minorEastAsia"/>
                <w:b/>
                <w:color w:val="auto"/>
                <w:szCs w:val="24"/>
              </w:rPr>
            </w:pPr>
            <w:r>
              <w:rPr>
                <w:rFonts w:eastAsiaTheme="minorEastAsia"/>
                <w:b/>
                <w:color w:val="auto"/>
                <w:szCs w:val="24"/>
              </w:rPr>
              <w:t>4.1.3 施工期噪声污染防治措施</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该项目对设备进行安装，在安装过程会有安装设备噪声，其源强在70-95dB之间，噪声具有间歇性。噪声产生量较小。</w:t>
            </w:r>
          </w:p>
          <w:p>
            <w:pPr>
              <w:pStyle w:val="38"/>
              <w:ind w:firstLine="482"/>
              <w:rPr>
                <w:rFonts w:eastAsiaTheme="minorEastAsia"/>
                <w:b/>
                <w:color w:val="auto"/>
                <w:szCs w:val="24"/>
              </w:rPr>
            </w:pPr>
            <w:r>
              <w:rPr>
                <w:rFonts w:eastAsiaTheme="minorEastAsia"/>
                <w:b/>
                <w:color w:val="auto"/>
                <w:szCs w:val="24"/>
              </w:rPr>
              <w:t>4.1.4 施工期固体废物污染防治措施</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项目主要固体废物主要为建筑垃圾，产生量约为0.5t，可回收的进行回收利用，不可回收的按照园区要求进行妥善处理；生活垃圾委托环卫部门处理。</w:t>
            </w: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270" w:type="dxa"/>
            <w:vAlign w:val="center"/>
          </w:tcPr>
          <w:p>
            <w:pPr>
              <w:spacing w:line="360" w:lineRule="auto"/>
              <w:ind w:firstLine="360" w:firstLineChars="150"/>
              <w:rPr>
                <w:rFonts w:ascii="Times New Roman" w:hAnsi="Times New Roman" w:eastAsia="微软雅黑" w:cs="Times New Roman"/>
                <w:b/>
                <w:color w:val="auto"/>
                <w:sz w:val="24"/>
                <w:szCs w:val="24"/>
              </w:rPr>
            </w:pPr>
            <w:r>
              <w:rPr>
                <w:rFonts w:ascii="Times New Roman" w:hAnsi="Times New Roman" w:eastAsia="微软雅黑" w:cs="Times New Roman"/>
                <w:b/>
                <w:color w:val="auto"/>
                <w:sz w:val="24"/>
                <w:szCs w:val="24"/>
              </w:rPr>
              <w:t>运营期环境影响和保护措施</w:t>
            </w:r>
          </w:p>
          <w:p>
            <w:pPr>
              <w:autoSpaceDE w:val="0"/>
              <w:autoSpaceDN w:val="0"/>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4.2 运营期环境影响和保护措施</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4.2.1 运营期废气环境影响和保护措施</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（1）废气污染源强核算</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项目技改内容可知，本次项目技改后，废旧冰箱处理线不变，其废气污染源不发生变化，空调/小家电/废手机及其视听设备消费电子产品处理线仅为恢复，其废气污染源较环评不发生变化，2号废旧电视机（CRT）处理线不变，其废气污染源不发生变化；主要变化的是废旧洗衣机处理线和1号废旧电视机（液晶电视）处理线，废旧洗衣机处理线生产线新增6个拆解工位和两台破碎设施，其粉尘产生量发生变化，1号废旧电视机（液晶电视）处理线新增荧光灯管背光模组负压拆解工作台，则增加汞及其化合物。其他3条拆解线（废旧冰箱处理线、空调/小家电/废手机及其视听设备消费电子产品处理线、2号废旧电视机（CRT）处理线）废气产排情况，详见现有工程核算章节。具体改变后的废物污染源核算如下：</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①技改后废旧洗衣机处理线废气产排情况</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根据废旧洗衣机处理线的处理工艺可知，其废气产生环节主要为废旧洗衣机拆解粉尘和破碎粉尘，具体如下：</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fldChar w:fldCharType="begin"/>
            </w:r>
            <w:r>
              <w:rPr>
                <w:rFonts w:ascii="Times New Roman" w:hAnsi="Times New Roman" w:cs="Times New Roman"/>
                <w:b/>
                <w:color w:val="auto"/>
                <w:sz w:val="24"/>
                <w:szCs w:val="24"/>
              </w:rPr>
              <w:instrText xml:space="preserve"> = 1 \* GB2 </w:instrText>
            </w:r>
            <w:r>
              <w:rPr>
                <w:rFonts w:ascii="Times New Roman" w:hAnsi="Times New Roman" w:cs="Times New Roman"/>
                <w:b/>
                <w:color w:val="auto"/>
                <w:sz w:val="24"/>
                <w:szCs w:val="24"/>
              </w:rPr>
              <w:fldChar w:fldCharType="separate"/>
            </w:r>
            <w:r>
              <w:rPr>
                <w:rFonts w:ascii="Times New Roman" w:hAnsi="Times New Roman" w:cs="Times New Roman"/>
                <w:b/>
                <w:color w:val="auto"/>
                <w:sz w:val="24"/>
                <w:szCs w:val="24"/>
              </w:rPr>
              <w:t>⑴</w:t>
            </w:r>
            <w:r>
              <w:rPr>
                <w:rFonts w:ascii="Times New Roman" w:hAnsi="Times New Roman" w:cs="Times New Roman"/>
                <w:b/>
                <w:color w:val="auto"/>
                <w:sz w:val="24"/>
                <w:szCs w:val="24"/>
              </w:rPr>
              <w:fldChar w:fldCharType="end"/>
            </w:r>
            <w:r>
              <w:rPr>
                <w:rFonts w:ascii="Times New Roman" w:hAnsi="Times New Roman" w:cs="Times New Roman"/>
                <w:b/>
                <w:color w:val="auto"/>
                <w:sz w:val="24"/>
                <w:szCs w:val="24"/>
              </w:rPr>
              <w:t>拆解粉尘</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技改后，废旧洗衣机处理线废旧洗衣机的处理能力提高至30万台/a，根据建设单位提供的技术参数，每台洗衣机的平均重量为58.15kg；则合计处理量为17445t/a，根据《排放源统计调查产排污核算方法和系数手册》中“42废弃资源综合利用行业系数手册”，废洗衣机拆解过程颗粒物产污系数为16.8克/吨·原料，则废旧洗衣机拆解粉尘产生量为0.29t/a；针对废旧洗衣机拆解粉尘，项目拟对每个拆解工位设置集气效率不低于90%的集气罩（集气罩风量为1000m³/h·个，合计12000m³/h），收集后的粉尘通过1个处理效率不低于95%的</w:t>
            </w:r>
            <w:r>
              <w:rPr>
                <w:rFonts w:hint="eastAsia" w:ascii="Times New Roman" w:hAnsi="Times New Roman" w:cs="Times New Roman"/>
                <w:color w:val="auto"/>
                <w:sz w:val="24"/>
                <w:szCs w:val="24"/>
              </w:rPr>
              <w:t>3</w:t>
            </w:r>
            <w:r>
              <w:rPr>
                <w:rFonts w:ascii="Times New Roman" w:hAnsi="Times New Roman" w:cs="Times New Roman"/>
                <w:color w:val="auto"/>
                <w:sz w:val="24"/>
                <w:szCs w:val="24"/>
              </w:rPr>
              <w:t>#脉冲除尘器处理，处理后通过1根Φ0.84m、高15m的排气筒（DA003）外排；则废旧洗衣机拆解粉尘有组织排放量为0.013t/a，无组织排放量为0.03t/a。</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fldChar w:fldCharType="begin"/>
            </w:r>
            <w:r>
              <w:rPr>
                <w:rFonts w:ascii="Times New Roman" w:hAnsi="Times New Roman" w:cs="Times New Roman"/>
                <w:b/>
                <w:color w:val="auto"/>
                <w:sz w:val="24"/>
                <w:szCs w:val="24"/>
              </w:rPr>
              <w:instrText xml:space="preserve"> = 2 \* GB2 </w:instrText>
            </w:r>
            <w:r>
              <w:rPr>
                <w:rFonts w:ascii="Times New Roman" w:hAnsi="Times New Roman" w:cs="Times New Roman"/>
                <w:b/>
                <w:color w:val="auto"/>
                <w:sz w:val="24"/>
                <w:szCs w:val="24"/>
              </w:rPr>
              <w:fldChar w:fldCharType="separate"/>
            </w:r>
            <w:r>
              <w:rPr>
                <w:rFonts w:ascii="Times New Roman" w:hAnsi="Times New Roman" w:cs="Times New Roman"/>
                <w:b/>
                <w:color w:val="auto"/>
                <w:sz w:val="24"/>
                <w:szCs w:val="24"/>
              </w:rPr>
              <w:t>⑵</w:t>
            </w:r>
            <w:r>
              <w:rPr>
                <w:rFonts w:ascii="Times New Roman" w:hAnsi="Times New Roman" w:cs="Times New Roman"/>
                <w:b/>
                <w:color w:val="auto"/>
                <w:sz w:val="24"/>
                <w:szCs w:val="24"/>
              </w:rPr>
              <w:fldChar w:fldCharType="end"/>
            </w:r>
            <w:r>
              <w:rPr>
                <w:rFonts w:ascii="Times New Roman" w:hAnsi="Times New Roman" w:cs="Times New Roman"/>
                <w:b/>
                <w:color w:val="auto"/>
                <w:sz w:val="24"/>
                <w:szCs w:val="24"/>
              </w:rPr>
              <w:t>塑料破碎粉尘</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技改后，废旧洗衣机处理线废旧洗衣机合计处理量为17445t/a，根据固体废物产污核算可知，项目废旧洗衣机处理线产生的废塑料量为6416.67t/a，根据《排放源统计调查产排污核算方法和系数手册》中“42废弃资源综合利用行业系数手册”，废PE/PP塑料破碎过程颗粒物产污系数为375克/吨·原料，则废旧洗衣机塑料破碎粉尘产生量为2.41t/a；针对废旧洗衣机塑料破碎粉尘，项目拟分别对两台破碎机设置集气效率不低于90%的集气罩（集气罩风量为5000m³/h·个，合计10000m³/h），</w:t>
            </w:r>
            <w:r>
              <w:rPr>
                <w:rFonts w:ascii="Times New Roman" w:hAnsi="Times New Roman" w:cs="Times New Roman"/>
                <w:color w:val="auto"/>
                <w:sz w:val="24"/>
                <w:szCs w:val="24"/>
              </w:rPr>
              <w:t>收集后的粉尘通过1个处理效率不低于95%的</w:t>
            </w:r>
            <w:r>
              <w:rPr>
                <w:rFonts w:hint="eastAsia" w:ascii="Times New Roman" w:hAnsi="Times New Roman" w:cs="Times New Roman"/>
                <w:color w:val="auto"/>
                <w:sz w:val="24"/>
                <w:szCs w:val="24"/>
              </w:rPr>
              <w:t>3</w:t>
            </w:r>
            <w:r>
              <w:rPr>
                <w:rFonts w:ascii="Times New Roman" w:hAnsi="Times New Roman" w:cs="Times New Roman"/>
                <w:color w:val="auto"/>
                <w:sz w:val="24"/>
                <w:szCs w:val="24"/>
              </w:rPr>
              <w:t>#脉冲除尘器处理，处理后通过1根Φ0.84m、高15m的排气筒（DA003）外排；</w:t>
            </w:r>
            <w:r>
              <w:rPr>
                <w:rFonts w:ascii="Times New Roman" w:hAnsi="Times New Roman" w:cs="Times New Roman"/>
                <w:color w:val="auto"/>
                <w:sz w:val="24"/>
                <w:szCs w:val="24"/>
              </w:rPr>
              <w:t>则废旧洗衣机塑料破碎粉尘有组织排放量为0.11t/a，无组织排放量为0.24t/a。</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综上，废旧洗衣机处理线粉尘产排情况如下表所示。</w:t>
            </w:r>
          </w:p>
          <w:p>
            <w:pPr>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表4.2.1-1  技改后废旧洗衣机处理线粉尘产排情况一览表</w:t>
            </w:r>
          </w:p>
          <w:tbl>
            <w:tblPr>
              <w:tblStyle w:val="19"/>
              <w:tblW w:w="9034" w:type="dxa"/>
              <w:jc w:val="center"/>
              <w:tblInd w:w="0" w:type="dxa"/>
              <w:tblLayout w:type="fixed"/>
              <w:tblCellMar>
                <w:top w:w="0" w:type="dxa"/>
                <w:left w:w="108" w:type="dxa"/>
                <w:bottom w:w="0" w:type="dxa"/>
                <w:right w:w="108" w:type="dxa"/>
              </w:tblCellMar>
            </w:tblPr>
            <w:tblGrid>
              <w:gridCol w:w="928"/>
              <w:gridCol w:w="1138"/>
              <w:gridCol w:w="1033"/>
              <w:gridCol w:w="1397"/>
              <w:gridCol w:w="1028"/>
              <w:gridCol w:w="1202"/>
              <w:gridCol w:w="1275"/>
              <w:gridCol w:w="1033"/>
            </w:tblGrid>
            <w:tr>
              <w:tblPrEx>
                <w:tblLayout w:type="fixed"/>
                <w:tblCellMar>
                  <w:top w:w="0" w:type="dxa"/>
                  <w:left w:w="108" w:type="dxa"/>
                  <w:bottom w:w="0" w:type="dxa"/>
                  <w:right w:w="108" w:type="dxa"/>
                </w:tblCellMar>
              </w:tblPrEx>
              <w:trPr>
                <w:trHeight w:val="300" w:hRule="atLeast"/>
                <w:jc w:val="center"/>
              </w:trPr>
              <w:tc>
                <w:tcPr>
                  <w:tcW w:w="928"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产物环节</w:t>
                  </w:r>
                </w:p>
              </w:tc>
              <w:tc>
                <w:tcPr>
                  <w:tcW w:w="1138"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污染物类型</w:t>
                  </w:r>
                </w:p>
              </w:tc>
              <w:tc>
                <w:tcPr>
                  <w:tcW w:w="2430" w:type="dxa"/>
                  <w:gridSpan w:val="2"/>
                  <w:vMerge w:val="restart"/>
                  <w:tcBorders>
                    <w:top w:val="single" w:color="auto" w:sz="8" w:space="0"/>
                    <w:left w:val="single" w:color="auto" w:sz="8" w:space="0"/>
                    <w:bottom w:val="single" w:color="000000" w:sz="8" w:space="0"/>
                    <w:right w:val="single" w:color="000000" w:sz="8" w:space="0"/>
                  </w:tcBorders>
                  <w:shd w:val="clear" w:color="auto" w:fill="auto"/>
                  <w:vAlign w:val="center"/>
                </w:tcPr>
                <w:p>
                  <w:pPr>
                    <w:pStyle w:val="30"/>
                    <w:spacing w:line="360" w:lineRule="exact"/>
                    <w:rPr>
                      <w:color w:val="auto"/>
                      <w:szCs w:val="21"/>
                    </w:rPr>
                  </w:pPr>
                  <w:r>
                    <w:rPr>
                      <w:color w:val="auto"/>
                      <w:szCs w:val="21"/>
                    </w:rPr>
                    <w:t>产生情况</w:t>
                  </w:r>
                </w:p>
              </w:tc>
              <w:tc>
                <w:tcPr>
                  <w:tcW w:w="4538" w:type="dxa"/>
                  <w:gridSpan w:val="4"/>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排放情况</w:t>
                  </w:r>
                </w:p>
              </w:tc>
            </w:tr>
            <w:tr>
              <w:tblPrEx>
                <w:tblLayout w:type="fixed"/>
                <w:tblCellMar>
                  <w:top w:w="0" w:type="dxa"/>
                  <w:left w:w="108" w:type="dxa"/>
                  <w:bottom w:w="0" w:type="dxa"/>
                  <w:right w:w="108" w:type="dxa"/>
                </w:tblCellMar>
              </w:tblPrEx>
              <w:trPr>
                <w:trHeight w:val="300" w:hRule="atLeast"/>
                <w:jc w:val="center"/>
              </w:trPr>
              <w:tc>
                <w:tcPr>
                  <w:tcW w:w="928"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1138"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2430" w:type="dxa"/>
                  <w:gridSpan w:val="2"/>
                  <w:vMerge w:val="continue"/>
                  <w:tcBorders>
                    <w:top w:val="single" w:color="auto" w:sz="8" w:space="0"/>
                    <w:left w:val="single" w:color="auto" w:sz="8" w:space="0"/>
                    <w:bottom w:val="single" w:color="000000" w:sz="8" w:space="0"/>
                    <w:right w:val="single" w:color="000000" w:sz="8" w:space="0"/>
                  </w:tcBorders>
                  <w:vAlign w:val="center"/>
                </w:tcPr>
                <w:p>
                  <w:pPr>
                    <w:pStyle w:val="30"/>
                    <w:spacing w:line="360" w:lineRule="exact"/>
                    <w:rPr>
                      <w:color w:val="auto"/>
                      <w:szCs w:val="21"/>
                    </w:rPr>
                  </w:pPr>
                </w:p>
              </w:tc>
              <w:tc>
                <w:tcPr>
                  <w:tcW w:w="3505"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有组织</w:t>
                  </w:r>
                </w:p>
              </w:tc>
              <w:tc>
                <w:tcPr>
                  <w:tcW w:w="1033" w:type="dxa"/>
                  <w:tcBorders>
                    <w:top w:val="nil"/>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无组织</w:t>
                  </w:r>
                </w:p>
              </w:tc>
            </w:tr>
            <w:tr>
              <w:tblPrEx>
                <w:tblLayout w:type="fixed"/>
                <w:tblCellMar>
                  <w:top w:w="0" w:type="dxa"/>
                  <w:left w:w="108" w:type="dxa"/>
                  <w:bottom w:w="0" w:type="dxa"/>
                  <w:right w:w="108" w:type="dxa"/>
                </w:tblCellMar>
              </w:tblPrEx>
              <w:trPr>
                <w:trHeight w:val="56" w:hRule="atLeast"/>
                <w:jc w:val="center"/>
              </w:trPr>
              <w:tc>
                <w:tcPr>
                  <w:tcW w:w="928"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1138"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产生量（t/a）</w:t>
                  </w:r>
                </w:p>
              </w:tc>
              <w:tc>
                <w:tcPr>
                  <w:tcW w:w="1397"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产生浓度（mg/m³）</w:t>
                  </w:r>
                </w:p>
              </w:tc>
              <w:tc>
                <w:tcPr>
                  <w:tcW w:w="102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排放量（t/a）</w:t>
                  </w:r>
                </w:p>
              </w:tc>
              <w:tc>
                <w:tcPr>
                  <w:tcW w:w="1202"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排放速率（kg/h）</w:t>
                  </w:r>
                </w:p>
              </w:tc>
              <w:tc>
                <w:tcPr>
                  <w:tcW w:w="127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排放浓度（mg/m³）</w:t>
                  </w: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排放量（t/a）</w:t>
                  </w:r>
                </w:p>
              </w:tc>
            </w:tr>
            <w:tr>
              <w:tblPrEx>
                <w:tblLayout w:type="fixed"/>
                <w:tblCellMar>
                  <w:top w:w="0" w:type="dxa"/>
                  <w:left w:w="108" w:type="dxa"/>
                  <w:bottom w:w="0" w:type="dxa"/>
                  <w:right w:w="108" w:type="dxa"/>
                </w:tblCellMar>
              </w:tblPrEx>
              <w:trPr>
                <w:trHeight w:val="56" w:hRule="atLeast"/>
                <w:jc w:val="center"/>
              </w:trPr>
              <w:tc>
                <w:tcPr>
                  <w:tcW w:w="928" w:type="dxa"/>
                  <w:vMerge w:val="restart"/>
                  <w:tcBorders>
                    <w:top w:val="nil"/>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拆解</w:t>
                  </w:r>
                </w:p>
              </w:tc>
              <w:tc>
                <w:tcPr>
                  <w:tcW w:w="1138" w:type="dxa"/>
                  <w:tcBorders>
                    <w:top w:val="nil"/>
                    <w:left w:val="nil"/>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废气量</w:t>
                  </w:r>
                </w:p>
              </w:tc>
              <w:tc>
                <w:tcPr>
                  <w:tcW w:w="243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2400万m³/a</w:t>
                  </w:r>
                </w:p>
              </w:tc>
              <w:tc>
                <w:tcPr>
                  <w:tcW w:w="3505"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2400万m³/a</w:t>
                  </w: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w:t>
                  </w:r>
                </w:p>
              </w:tc>
            </w:tr>
            <w:tr>
              <w:tblPrEx>
                <w:tblLayout w:type="fixed"/>
                <w:tblCellMar>
                  <w:top w:w="0" w:type="dxa"/>
                  <w:left w:w="108" w:type="dxa"/>
                  <w:bottom w:w="0" w:type="dxa"/>
                  <w:right w:w="108" w:type="dxa"/>
                </w:tblCellMar>
              </w:tblPrEx>
              <w:trPr>
                <w:trHeight w:val="56" w:hRule="atLeast"/>
                <w:jc w:val="center"/>
              </w:trPr>
              <w:tc>
                <w:tcPr>
                  <w:tcW w:w="928"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113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粉尘</w:t>
                  </w: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0.29</w:t>
                  </w:r>
                </w:p>
              </w:tc>
              <w:tc>
                <w:tcPr>
                  <w:tcW w:w="1397"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kern w:val="0"/>
                      <w:szCs w:val="21"/>
                    </w:rPr>
                    <w:t>12.08</w:t>
                  </w:r>
                </w:p>
              </w:tc>
              <w:tc>
                <w:tcPr>
                  <w:tcW w:w="102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0.013</w:t>
                  </w:r>
                </w:p>
              </w:tc>
              <w:tc>
                <w:tcPr>
                  <w:tcW w:w="1202"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0.0065</w:t>
                  </w:r>
                </w:p>
              </w:tc>
              <w:tc>
                <w:tcPr>
                  <w:tcW w:w="127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kern w:val="0"/>
                      <w:szCs w:val="21"/>
                    </w:rPr>
                    <w:t>0.54</w:t>
                  </w: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0.03</w:t>
                  </w:r>
                </w:p>
              </w:tc>
            </w:tr>
            <w:tr>
              <w:tblPrEx>
                <w:tblLayout w:type="fixed"/>
                <w:tblCellMar>
                  <w:top w:w="0" w:type="dxa"/>
                  <w:left w:w="108" w:type="dxa"/>
                  <w:bottom w:w="0" w:type="dxa"/>
                  <w:right w:w="108" w:type="dxa"/>
                </w:tblCellMar>
              </w:tblPrEx>
              <w:trPr>
                <w:trHeight w:val="56" w:hRule="atLeast"/>
                <w:jc w:val="center"/>
              </w:trPr>
              <w:tc>
                <w:tcPr>
                  <w:tcW w:w="928" w:type="dxa"/>
                  <w:vMerge w:val="restart"/>
                  <w:tcBorders>
                    <w:top w:val="nil"/>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破碎</w:t>
                  </w:r>
                </w:p>
              </w:tc>
              <w:tc>
                <w:tcPr>
                  <w:tcW w:w="1138" w:type="dxa"/>
                  <w:tcBorders>
                    <w:top w:val="nil"/>
                    <w:left w:val="nil"/>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废气量</w:t>
                  </w:r>
                </w:p>
              </w:tc>
              <w:tc>
                <w:tcPr>
                  <w:tcW w:w="243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2000万m³/a</w:t>
                  </w:r>
                </w:p>
              </w:tc>
              <w:tc>
                <w:tcPr>
                  <w:tcW w:w="3505"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2000万m³/a</w:t>
                  </w: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w:t>
                  </w:r>
                </w:p>
              </w:tc>
            </w:tr>
            <w:tr>
              <w:tblPrEx>
                <w:tblLayout w:type="fixed"/>
                <w:tblCellMar>
                  <w:top w:w="0" w:type="dxa"/>
                  <w:left w:w="108" w:type="dxa"/>
                  <w:bottom w:w="0" w:type="dxa"/>
                  <w:right w:w="108" w:type="dxa"/>
                </w:tblCellMar>
              </w:tblPrEx>
              <w:trPr>
                <w:trHeight w:val="56" w:hRule="atLeast"/>
                <w:jc w:val="center"/>
              </w:trPr>
              <w:tc>
                <w:tcPr>
                  <w:tcW w:w="928"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113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粉尘</w:t>
                  </w: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2.41</w:t>
                  </w:r>
                </w:p>
              </w:tc>
              <w:tc>
                <w:tcPr>
                  <w:tcW w:w="1397"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120.5</w:t>
                  </w:r>
                </w:p>
              </w:tc>
              <w:tc>
                <w:tcPr>
                  <w:tcW w:w="102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0.11</w:t>
                  </w:r>
                </w:p>
              </w:tc>
              <w:tc>
                <w:tcPr>
                  <w:tcW w:w="1202"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0.055</w:t>
                  </w:r>
                </w:p>
              </w:tc>
              <w:tc>
                <w:tcPr>
                  <w:tcW w:w="127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5.5</w:t>
                  </w: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0.24</w:t>
                  </w:r>
                </w:p>
              </w:tc>
            </w:tr>
            <w:tr>
              <w:tblPrEx>
                <w:tblLayout w:type="fixed"/>
                <w:tblCellMar>
                  <w:top w:w="0" w:type="dxa"/>
                  <w:left w:w="108" w:type="dxa"/>
                  <w:bottom w:w="0" w:type="dxa"/>
                  <w:right w:w="108" w:type="dxa"/>
                </w:tblCellMar>
              </w:tblPrEx>
              <w:trPr>
                <w:trHeight w:val="56" w:hRule="atLeast"/>
                <w:jc w:val="center"/>
              </w:trPr>
              <w:tc>
                <w:tcPr>
                  <w:tcW w:w="928" w:type="dxa"/>
                  <w:vMerge w:val="restart"/>
                  <w:tcBorders>
                    <w:top w:val="nil"/>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合计</w:t>
                  </w:r>
                </w:p>
              </w:tc>
              <w:tc>
                <w:tcPr>
                  <w:tcW w:w="1138" w:type="dxa"/>
                  <w:tcBorders>
                    <w:top w:val="nil"/>
                    <w:left w:val="nil"/>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废气量</w:t>
                  </w:r>
                </w:p>
              </w:tc>
              <w:tc>
                <w:tcPr>
                  <w:tcW w:w="243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4400万m³/a</w:t>
                  </w:r>
                </w:p>
              </w:tc>
              <w:tc>
                <w:tcPr>
                  <w:tcW w:w="3505"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4400万m³/a</w:t>
                  </w: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w:t>
                  </w:r>
                </w:p>
              </w:tc>
            </w:tr>
            <w:tr>
              <w:tblPrEx>
                <w:tblLayout w:type="fixed"/>
                <w:tblCellMar>
                  <w:top w:w="0" w:type="dxa"/>
                  <w:left w:w="108" w:type="dxa"/>
                  <w:bottom w:w="0" w:type="dxa"/>
                  <w:right w:w="108" w:type="dxa"/>
                </w:tblCellMar>
              </w:tblPrEx>
              <w:trPr>
                <w:trHeight w:val="226" w:hRule="atLeast"/>
                <w:jc w:val="center"/>
              </w:trPr>
              <w:tc>
                <w:tcPr>
                  <w:tcW w:w="928" w:type="dxa"/>
                  <w:vMerge w:val="continue"/>
                  <w:tcBorders>
                    <w:top w:val="nil"/>
                    <w:left w:val="single" w:color="auto" w:sz="8" w:space="0"/>
                    <w:bottom w:val="single" w:color="auto" w:sz="4" w:space="0"/>
                    <w:right w:val="single" w:color="auto" w:sz="8" w:space="0"/>
                  </w:tcBorders>
                  <w:vAlign w:val="center"/>
                </w:tcPr>
                <w:p>
                  <w:pPr>
                    <w:pStyle w:val="30"/>
                    <w:spacing w:line="360" w:lineRule="exact"/>
                    <w:rPr>
                      <w:color w:val="auto"/>
                      <w:szCs w:val="21"/>
                    </w:rPr>
                  </w:pPr>
                </w:p>
              </w:tc>
              <w:tc>
                <w:tcPr>
                  <w:tcW w:w="1138"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粉尘</w:t>
                  </w:r>
                </w:p>
              </w:tc>
              <w:tc>
                <w:tcPr>
                  <w:tcW w:w="1033"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2.7</w:t>
                  </w:r>
                </w:p>
              </w:tc>
              <w:tc>
                <w:tcPr>
                  <w:tcW w:w="1397"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kern w:val="0"/>
                      <w:szCs w:val="21"/>
                    </w:rPr>
                    <w:t>61.36</w:t>
                  </w:r>
                </w:p>
              </w:tc>
              <w:tc>
                <w:tcPr>
                  <w:tcW w:w="1028"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0.123</w:t>
                  </w:r>
                </w:p>
              </w:tc>
              <w:tc>
                <w:tcPr>
                  <w:tcW w:w="1202"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0.0615</w:t>
                  </w:r>
                </w:p>
              </w:tc>
              <w:tc>
                <w:tcPr>
                  <w:tcW w:w="1275"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kern w:val="0"/>
                      <w:szCs w:val="21"/>
                    </w:rPr>
                    <w:t>2.8</w:t>
                  </w:r>
                </w:p>
              </w:tc>
              <w:tc>
                <w:tcPr>
                  <w:tcW w:w="1033"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0.27</w:t>
                  </w:r>
                </w:p>
              </w:tc>
            </w:tr>
            <w:tr>
              <w:tblPrEx>
                <w:tblLayout w:type="fixed"/>
                <w:tblCellMar>
                  <w:top w:w="0" w:type="dxa"/>
                  <w:left w:w="108" w:type="dxa"/>
                  <w:bottom w:w="0" w:type="dxa"/>
                  <w:right w:w="108" w:type="dxa"/>
                </w:tblCellMar>
              </w:tblPrEx>
              <w:trPr>
                <w:trHeight w:val="141" w:hRule="atLeast"/>
                <w:jc w:val="center"/>
              </w:trPr>
              <w:tc>
                <w:tcPr>
                  <w:tcW w:w="9034" w:type="dxa"/>
                  <w:gridSpan w:val="8"/>
                  <w:tcBorders>
                    <w:top w:val="single" w:color="auto" w:sz="4" w:space="0"/>
                    <w:left w:val="single" w:color="auto" w:sz="8" w:space="0"/>
                    <w:bottom w:val="single" w:color="auto" w:sz="4" w:space="0"/>
                    <w:right w:val="single" w:color="auto" w:sz="8" w:space="0"/>
                  </w:tcBorders>
                  <w:vAlign w:val="center"/>
                </w:tcPr>
                <w:p>
                  <w:pPr>
                    <w:pStyle w:val="30"/>
                    <w:spacing w:line="360" w:lineRule="exact"/>
                    <w:ind w:firstLine="210" w:firstLineChars="100"/>
                    <w:jc w:val="left"/>
                    <w:rPr>
                      <w:color w:val="auto"/>
                      <w:szCs w:val="21"/>
                    </w:rPr>
                  </w:pPr>
                  <w:r>
                    <w:rPr>
                      <w:color w:val="auto"/>
                      <w:kern w:val="0"/>
                      <w:szCs w:val="21"/>
                    </w:rPr>
                    <w:t>备注：废旧洗衣机处理线年工作3000h。</w:t>
                  </w:r>
                </w:p>
              </w:tc>
            </w:tr>
          </w:tbl>
          <w:p>
            <w:pPr>
              <w:spacing w:beforeLines="50"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②技改后1号废旧电视机（液晶电视）处理线废气产排情况</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fldChar w:fldCharType="begin"/>
            </w:r>
            <w:r>
              <w:rPr>
                <w:rFonts w:ascii="Times New Roman" w:hAnsi="Times New Roman" w:cs="Times New Roman"/>
                <w:b/>
                <w:color w:val="auto"/>
                <w:sz w:val="24"/>
                <w:szCs w:val="24"/>
              </w:rPr>
              <w:instrText xml:space="preserve"> = 1 \* GB2 </w:instrText>
            </w:r>
            <w:r>
              <w:rPr>
                <w:rFonts w:ascii="Times New Roman" w:hAnsi="Times New Roman" w:cs="Times New Roman"/>
                <w:b/>
                <w:color w:val="auto"/>
                <w:sz w:val="24"/>
                <w:szCs w:val="24"/>
              </w:rPr>
              <w:fldChar w:fldCharType="separate"/>
            </w:r>
            <w:r>
              <w:rPr>
                <w:rFonts w:ascii="Times New Roman" w:hAnsi="Times New Roman" w:cs="Times New Roman"/>
                <w:b/>
                <w:color w:val="auto"/>
                <w:sz w:val="24"/>
                <w:szCs w:val="24"/>
              </w:rPr>
              <w:t>⑴</w:t>
            </w:r>
            <w:r>
              <w:rPr>
                <w:rFonts w:ascii="Times New Roman" w:hAnsi="Times New Roman" w:cs="Times New Roman"/>
                <w:b/>
                <w:color w:val="auto"/>
                <w:sz w:val="24"/>
                <w:szCs w:val="24"/>
              </w:rPr>
              <w:fldChar w:fldCharType="end"/>
            </w:r>
            <w:r>
              <w:rPr>
                <w:rFonts w:ascii="Times New Roman" w:hAnsi="Times New Roman" w:cs="Times New Roman"/>
                <w:b/>
                <w:color w:val="auto"/>
                <w:sz w:val="24"/>
                <w:szCs w:val="24"/>
              </w:rPr>
              <w:t>拆解粉尘</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1号废旧电视机（液晶电视）处理线的处理工艺可知，其废气产生环节主要为废旧液晶电视（显示器）拆解粉尘。技改后，1号废旧电视机（液晶电视）处理线废旧液晶电视（显示器）的处理能力45万台/a，根据建设单位提供的技术参数，每台液晶电视（显示器）的平均重量为10.46kg；则合计处理量为4707t/a，根据《排放源统计调查产排污核算方法和系数手册》中“42废弃资源综合利用行业系数手册”，废液晶电视（显示器）拆解过程颗粒物产污系数为16.8克/吨·原料，则1号废旧电视机（液晶电视）处理线拆解粉尘产生量为0.08t/a；针对1号废旧电视机（液晶电视）处理线拆解粉尘，项目拟对每个拆解工位设置集气效率不低于90%的集气罩（集气罩风量为1000m³/h·个，合计6000m³/h），</w:t>
            </w:r>
            <w:r>
              <w:rPr>
                <w:rFonts w:ascii="Times New Roman" w:hAnsi="Times New Roman" w:cs="Times New Roman"/>
                <w:color w:val="auto"/>
                <w:sz w:val="24"/>
                <w:szCs w:val="24"/>
              </w:rPr>
              <w:t>收集后统一进入1个处理效率不低于95%的</w:t>
            </w:r>
            <w:r>
              <w:rPr>
                <w:rFonts w:hint="eastAsia" w:ascii="Times New Roman" w:hAnsi="Times New Roman" w:cs="Times New Roman"/>
                <w:color w:val="auto"/>
                <w:sz w:val="24"/>
                <w:szCs w:val="24"/>
              </w:rPr>
              <w:t>4</w:t>
            </w:r>
            <w:r>
              <w:rPr>
                <w:rFonts w:ascii="Times New Roman" w:hAnsi="Times New Roman" w:cs="Times New Roman"/>
                <w:color w:val="auto"/>
                <w:sz w:val="24"/>
                <w:szCs w:val="24"/>
              </w:rPr>
              <w:t>#脉冲除尘器对其进行处理后通过1根Φ0.</w:t>
            </w:r>
            <w:r>
              <w:rPr>
                <w:rFonts w:hint="eastAsia" w:ascii="Times New Roman" w:hAnsi="Times New Roman" w:cs="Times New Roman"/>
                <w:color w:val="auto"/>
                <w:sz w:val="24"/>
                <w:szCs w:val="24"/>
              </w:rPr>
              <w:t>4</w:t>
            </w:r>
            <w:r>
              <w:rPr>
                <w:rFonts w:ascii="Times New Roman" w:hAnsi="Times New Roman" w:cs="Times New Roman"/>
                <w:color w:val="auto"/>
                <w:sz w:val="24"/>
                <w:szCs w:val="24"/>
              </w:rPr>
              <w:t>4m、高15m的排气筒（DA00</w:t>
            </w:r>
            <w:r>
              <w:rPr>
                <w:rFonts w:hint="eastAsia" w:ascii="Times New Roman" w:hAnsi="Times New Roman" w:cs="Times New Roman"/>
                <w:color w:val="auto"/>
                <w:sz w:val="24"/>
                <w:szCs w:val="24"/>
              </w:rPr>
              <w:t>4</w:t>
            </w:r>
            <w:r>
              <w:rPr>
                <w:rFonts w:ascii="Times New Roman" w:hAnsi="Times New Roman" w:cs="Times New Roman"/>
                <w:color w:val="auto"/>
                <w:sz w:val="24"/>
                <w:szCs w:val="24"/>
              </w:rPr>
              <w:t>）外排；</w:t>
            </w:r>
            <w:r>
              <w:rPr>
                <w:rFonts w:ascii="Times New Roman" w:hAnsi="Times New Roman" w:cs="Times New Roman"/>
                <w:color w:val="auto"/>
                <w:sz w:val="24"/>
                <w:szCs w:val="24"/>
              </w:rPr>
              <w:t>则1号废旧电视机（液晶电视）处理线拆解粉尘有组织排放量为0.004t/a，无组织排放量为0.008t/a。</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fldChar w:fldCharType="begin"/>
            </w:r>
            <w:r>
              <w:rPr>
                <w:rFonts w:ascii="Times New Roman" w:hAnsi="Times New Roman" w:cs="Times New Roman"/>
                <w:b/>
                <w:color w:val="auto"/>
                <w:sz w:val="24"/>
                <w:szCs w:val="24"/>
              </w:rPr>
              <w:instrText xml:space="preserve"> = 2 \* GB2 </w:instrText>
            </w:r>
            <w:r>
              <w:rPr>
                <w:rFonts w:ascii="Times New Roman" w:hAnsi="Times New Roman" w:cs="Times New Roman"/>
                <w:b/>
                <w:color w:val="auto"/>
                <w:sz w:val="24"/>
                <w:szCs w:val="24"/>
              </w:rPr>
              <w:fldChar w:fldCharType="separate"/>
            </w:r>
            <w:r>
              <w:rPr>
                <w:rFonts w:ascii="Times New Roman" w:hAnsi="Times New Roman" w:cs="Times New Roman"/>
                <w:b/>
                <w:color w:val="auto"/>
                <w:sz w:val="24"/>
                <w:szCs w:val="24"/>
              </w:rPr>
              <w:t>⑵</w:t>
            </w:r>
            <w:r>
              <w:rPr>
                <w:rFonts w:ascii="Times New Roman" w:hAnsi="Times New Roman" w:cs="Times New Roman"/>
                <w:b/>
                <w:color w:val="auto"/>
                <w:sz w:val="24"/>
                <w:szCs w:val="24"/>
              </w:rPr>
              <w:fldChar w:fldCharType="end"/>
            </w:r>
            <w:r>
              <w:rPr>
                <w:rFonts w:ascii="Times New Roman" w:hAnsi="Times New Roman" w:cs="Times New Roman"/>
                <w:b/>
                <w:color w:val="auto"/>
                <w:sz w:val="24"/>
                <w:szCs w:val="24"/>
              </w:rPr>
              <w:t>汞及其化合物</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项目拆解工艺，技改项目设置了2台荧光灯管背光模组负压拆解工作台对荧光灯管背光模组进行手工拆解，正常情况下背光模组含汞灯管不会破碎，但为了防治含汞灯管破碎汞溢出，则将2台荧光灯管背光模组负压拆解工作台设置为密封式透明负压拆解工作台，人在负压拆解工作台外，手伸入负压工作台内对荧光灯管背光模组进行手工拆解；正常情况下该工序不会有汞及其化合物产生，若背光模组含汞灯管不小心破碎，则会有汞及其化合物产生，该汞及其化合物产生量主要取决于员工实际操作，根据设计，该工序汞及其化合物产生量0.0002t/a；汞及其化合物经负压系统全部收集后，通过1套去除效率不低于80%的汞及其化合物处理装置（采用UV光氧裂解+载硫活性炭吸附）对其进行处理，</w:t>
            </w:r>
            <w:r>
              <w:rPr>
                <w:rFonts w:ascii="Times New Roman" w:hAnsi="Times New Roman" w:cs="Times New Roman"/>
                <w:color w:val="auto"/>
                <w:sz w:val="24"/>
                <w:szCs w:val="24"/>
              </w:rPr>
              <w:t>处理后再统一进入1个处理效率不低于95%的</w:t>
            </w:r>
            <w:r>
              <w:rPr>
                <w:rFonts w:hint="eastAsia" w:ascii="Times New Roman" w:hAnsi="Times New Roman" w:cs="Times New Roman"/>
                <w:color w:val="auto"/>
                <w:sz w:val="24"/>
                <w:szCs w:val="24"/>
              </w:rPr>
              <w:t>4</w:t>
            </w:r>
            <w:r>
              <w:rPr>
                <w:rFonts w:ascii="Times New Roman" w:hAnsi="Times New Roman" w:cs="Times New Roman"/>
                <w:color w:val="auto"/>
                <w:sz w:val="24"/>
                <w:szCs w:val="24"/>
              </w:rPr>
              <w:t>#脉冲除尘器对其进行处理后通过1根Φ0.</w:t>
            </w:r>
            <w:r>
              <w:rPr>
                <w:rFonts w:hint="eastAsia" w:ascii="Times New Roman" w:hAnsi="Times New Roman" w:cs="Times New Roman"/>
                <w:color w:val="auto"/>
                <w:sz w:val="24"/>
                <w:szCs w:val="24"/>
              </w:rPr>
              <w:t>4</w:t>
            </w:r>
            <w:r>
              <w:rPr>
                <w:rFonts w:ascii="Times New Roman" w:hAnsi="Times New Roman" w:cs="Times New Roman"/>
                <w:color w:val="auto"/>
                <w:sz w:val="24"/>
                <w:szCs w:val="24"/>
              </w:rPr>
              <w:t>4m、高15m的排气筒（DA00</w:t>
            </w:r>
            <w:r>
              <w:rPr>
                <w:rFonts w:hint="eastAsia" w:ascii="Times New Roman" w:hAnsi="Times New Roman" w:cs="Times New Roman"/>
                <w:color w:val="auto"/>
                <w:sz w:val="24"/>
                <w:szCs w:val="24"/>
              </w:rPr>
              <w:t>4</w:t>
            </w:r>
            <w:r>
              <w:rPr>
                <w:rFonts w:ascii="Times New Roman" w:hAnsi="Times New Roman" w:cs="Times New Roman"/>
                <w:color w:val="auto"/>
                <w:sz w:val="24"/>
                <w:szCs w:val="24"/>
              </w:rPr>
              <w:t>）外排；</w:t>
            </w:r>
            <w:r>
              <w:rPr>
                <w:rFonts w:ascii="Times New Roman" w:hAnsi="Times New Roman" w:cs="Times New Roman"/>
                <w:color w:val="auto"/>
                <w:sz w:val="24"/>
                <w:szCs w:val="24"/>
              </w:rPr>
              <w:t>则汞及其化合物排放量0.00004t/a</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综上，1号废旧电视机（液晶电视）处理线废气产排情况如下表所示。</w:t>
            </w:r>
          </w:p>
          <w:p>
            <w:pPr>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表4.2.1-2  技改后1号废旧电视机（液晶电视）处理线废气产排情况一览表</w:t>
            </w:r>
          </w:p>
          <w:tbl>
            <w:tblPr>
              <w:tblStyle w:val="19"/>
              <w:tblW w:w="9034" w:type="dxa"/>
              <w:jc w:val="center"/>
              <w:tblInd w:w="0" w:type="dxa"/>
              <w:tblLayout w:type="fixed"/>
              <w:tblCellMar>
                <w:top w:w="0" w:type="dxa"/>
                <w:left w:w="108" w:type="dxa"/>
                <w:bottom w:w="0" w:type="dxa"/>
                <w:right w:w="108" w:type="dxa"/>
              </w:tblCellMar>
            </w:tblPr>
            <w:tblGrid>
              <w:gridCol w:w="1032"/>
              <w:gridCol w:w="1034"/>
              <w:gridCol w:w="1033"/>
              <w:gridCol w:w="1397"/>
              <w:gridCol w:w="1028"/>
              <w:gridCol w:w="1202"/>
              <w:gridCol w:w="1275"/>
              <w:gridCol w:w="1033"/>
            </w:tblGrid>
            <w:tr>
              <w:tblPrEx>
                <w:tblLayout w:type="fixed"/>
                <w:tblCellMar>
                  <w:top w:w="0" w:type="dxa"/>
                  <w:left w:w="108" w:type="dxa"/>
                  <w:bottom w:w="0" w:type="dxa"/>
                  <w:right w:w="108" w:type="dxa"/>
                </w:tblCellMar>
              </w:tblPrEx>
              <w:trPr>
                <w:trHeight w:val="300" w:hRule="atLeast"/>
                <w:jc w:val="center"/>
              </w:trPr>
              <w:tc>
                <w:tcPr>
                  <w:tcW w:w="1032"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产物环节</w:t>
                  </w:r>
                </w:p>
              </w:tc>
              <w:tc>
                <w:tcPr>
                  <w:tcW w:w="1034"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污染物类型</w:t>
                  </w:r>
                </w:p>
              </w:tc>
              <w:tc>
                <w:tcPr>
                  <w:tcW w:w="2430" w:type="dxa"/>
                  <w:gridSpan w:val="2"/>
                  <w:vMerge w:val="restart"/>
                  <w:tcBorders>
                    <w:top w:val="single" w:color="auto" w:sz="8" w:space="0"/>
                    <w:left w:val="single" w:color="auto" w:sz="8" w:space="0"/>
                    <w:bottom w:val="single" w:color="000000" w:sz="8" w:space="0"/>
                    <w:right w:val="single" w:color="000000" w:sz="8" w:space="0"/>
                  </w:tcBorders>
                  <w:shd w:val="clear" w:color="auto" w:fill="auto"/>
                  <w:vAlign w:val="center"/>
                </w:tcPr>
                <w:p>
                  <w:pPr>
                    <w:pStyle w:val="30"/>
                    <w:spacing w:line="360" w:lineRule="exact"/>
                    <w:rPr>
                      <w:color w:val="auto"/>
                      <w:szCs w:val="21"/>
                    </w:rPr>
                  </w:pPr>
                  <w:r>
                    <w:rPr>
                      <w:color w:val="auto"/>
                      <w:szCs w:val="21"/>
                    </w:rPr>
                    <w:t>产生情况</w:t>
                  </w:r>
                </w:p>
              </w:tc>
              <w:tc>
                <w:tcPr>
                  <w:tcW w:w="4538" w:type="dxa"/>
                  <w:gridSpan w:val="4"/>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排放情况</w:t>
                  </w:r>
                </w:p>
              </w:tc>
            </w:tr>
            <w:tr>
              <w:tblPrEx>
                <w:tblLayout w:type="fixed"/>
                <w:tblCellMar>
                  <w:top w:w="0" w:type="dxa"/>
                  <w:left w:w="108" w:type="dxa"/>
                  <w:bottom w:w="0" w:type="dxa"/>
                  <w:right w:w="108" w:type="dxa"/>
                </w:tblCellMar>
              </w:tblPrEx>
              <w:trPr>
                <w:trHeight w:val="300" w:hRule="atLeast"/>
                <w:jc w:val="center"/>
              </w:trPr>
              <w:tc>
                <w:tcPr>
                  <w:tcW w:w="1032"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1034"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2430" w:type="dxa"/>
                  <w:gridSpan w:val="2"/>
                  <w:vMerge w:val="continue"/>
                  <w:tcBorders>
                    <w:top w:val="single" w:color="auto" w:sz="8" w:space="0"/>
                    <w:left w:val="single" w:color="auto" w:sz="8" w:space="0"/>
                    <w:bottom w:val="single" w:color="000000" w:sz="8" w:space="0"/>
                    <w:right w:val="single" w:color="000000" w:sz="8" w:space="0"/>
                  </w:tcBorders>
                  <w:vAlign w:val="center"/>
                </w:tcPr>
                <w:p>
                  <w:pPr>
                    <w:pStyle w:val="30"/>
                    <w:spacing w:line="360" w:lineRule="exact"/>
                    <w:rPr>
                      <w:color w:val="auto"/>
                      <w:szCs w:val="21"/>
                    </w:rPr>
                  </w:pPr>
                </w:p>
              </w:tc>
              <w:tc>
                <w:tcPr>
                  <w:tcW w:w="3505"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有组织</w:t>
                  </w:r>
                </w:p>
              </w:tc>
              <w:tc>
                <w:tcPr>
                  <w:tcW w:w="1033" w:type="dxa"/>
                  <w:tcBorders>
                    <w:top w:val="nil"/>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无组织</w:t>
                  </w:r>
                </w:p>
              </w:tc>
            </w:tr>
            <w:tr>
              <w:tblPrEx>
                <w:tblLayout w:type="fixed"/>
                <w:tblCellMar>
                  <w:top w:w="0" w:type="dxa"/>
                  <w:left w:w="108" w:type="dxa"/>
                  <w:bottom w:w="0" w:type="dxa"/>
                  <w:right w:w="108" w:type="dxa"/>
                </w:tblCellMar>
              </w:tblPrEx>
              <w:trPr>
                <w:trHeight w:val="56" w:hRule="atLeast"/>
                <w:jc w:val="center"/>
              </w:trPr>
              <w:tc>
                <w:tcPr>
                  <w:tcW w:w="1032"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1034"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产生量（t/a）</w:t>
                  </w:r>
                </w:p>
              </w:tc>
              <w:tc>
                <w:tcPr>
                  <w:tcW w:w="1397"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产生浓度（mg/m³）</w:t>
                  </w:r>
                </w:p>
              </w:tc>
              <w:tc>
                <w:tcPr>
                  <w:tcW w:w="102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排放量（t/a）</w:t>
                  </w:r>
                </w:p>
              </w:tc>
              <w:tc>
                <w:tcPr>
                  <w:tcW w:w="1202"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排放速率（kg/h）</w:t>
                  </w:r>
                </w:p>
              </w:tc>
              <w:tc>
                <w:tcPr>
                  <w:tcW w:w="127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排放浓度（mg/m³）</w:t>
                  </w: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排放量（t/a）</w:t>
                  </w:r>
                </w:p>
              </w:tc>
            </w:tr>
            <w:tr>
              <w:tblPrEx>
                <w:tblLayout w:type="fixed"/>
                <w:tblCellMar>
                  <w:top w:w="0" w:type="dxa"/>
                  <w:left w:w="108" w:type="dxa"/>
                  <w:bottom w:w="0" w:type="dxa"/>
                  <w:right w:w="108" w:type="dxa"/>
                </w:tblCellMar>
              </w:tblPrEx>
              <w:trPr>
                <w:trHeight w:val="56" w:hRule="atLeast"/>
                <w:jc w:val="center"/>
              </w:trPr>
              <w:tc>
                <w:tcPr>
                  <w:tcW w:w="1032" w:type="dxa"/>
                  <w:vMerge w:val="restart"/>
                  <w:tcBorders>
                    <w:top w:val="nil"/>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前端拆解</w:t>
                  </w:r>
                </w:p>
              </w:tc>
              <w:tc>
                <w:tcPr>
                  <w:tcW w:w="1034" w:type="dxa"/>
                  <w:tcBorders>
                    <w:top w:val="nil"/>
                    <w:left w:val="nil"/>
                    <w:bottom w:val="single" w:color="000000" w:sz="8" w:space="0"/>
                    <w:right w:val="single" w:color="auto" w:sz="8" w:space="0"/>
                  </w:tcBorders>
                  <w:shd w:val="clear" w:color="auto" w:fill="auto"/>
                  <w:vAlign w:val="center"/>
                </w:tcPr>
                <w:p>
                  <w:pPr>
                    <w:pStyle w:val="30"/>
                    <w:spacing w:line="360" w:lineRule="exact"/>
                    <w:rPr>
                      <w:color w:val="auto"/>
                      <w:szCs w:val="21"/>
                    </w:rPr>
                  </w:pPr>
                  <w:r>
                    <w:rPr>
                      <w:color w:val="auto"/>
                      <w:szCs w:val="21"/>
                    </w:rPr>
                    <w:t>废气量</w:t>
                  </w:r>
                </w:p>
              </w:tc>
              <w:tc>
                <w:tcPr>
                  <w:tcW w:w="243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3024万m³/a</w:t>
                  </w:r>
                </w:p>
              </w:tc>
              <w:tc>
                <w:tcPr>
                  <w:tcW w:w="3505"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3024万m³/a</w:t>
                  </w: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w:t>
                  </w:r>
                </w:p>
              </w:tc>
            </w:tr>
            <w:tr>
              <w:tblPrEx>
                <w:tblLayout w:type="fixed"/>
                <w:tblCellMar>
                  <w:top w:w="0" w:type="dxa"/>
                  <w:left w:w="108" w:type="dxa"/>
                  <w:bottom w:w="0" w:type="dxa"/>
                  <w:right w:w="108" w:type="dxa"/>
                </w:tblCellMar>
              </w:tblPrEx>
              <w:trPr>
                <w:trHeight w:val="198" w:hRule="atLeast"/>
                <w:jc w:val="center"/>
              </w:trPr>
              <w:tc>
                <w:tcPr>
                  <w:tcW w:w="1032" w:type="dxa"/>
                  <w:vMerge w:val="continue"/>
                  <w:tcBorders>
                    <w:top w:val="nil"/>
                    <w:left w:val="single" w:color="auto" w:sz="8" w:space="0"/>
                    <w:bottom w:val="single" w:color="auto" w:sz="4" w:space="0"/>
                    <w:right w:val="single" w:color="auto" w:sz="8" w:space="0"/>
                  </w:tcBorders>
                  <w:vAlign w:val="center"/>
                </w:tcPr>
                <w:p>
                  <w:pPr>
                    <w:pStyle w:val="30"/>
                    <w:spacing w:line="360" w:lineRule="exact"/>
                    <w:rPr>
                      <w:color w:val="auto"/>
                      <w:szCs w:val="21"/>
                    </w:rPr>
                  </w:pPr>
                </w:p>
              </w:tc>
              <w:tc>
                <w:tcPr>
                  <w:tcW w:w="1034"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粉尘</w:t>
                  </w:r>
                </w:p>
              </w:tc>
              <w:tc>
                <w:tcPr>
                  <w:tcW w:w="1033"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0.08</w:t>
                  </w:r>
                </w:p>
              </w:tc>
              <w:tc>
                <w:tcPr>
                  <w:tcW w:w="1397"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2.65</w:t>
                  </w:r>
                </w:p>
              </w:tc>
              <w:tc>
                <w:tcPr>
                  <w:tcW w:w="1028"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0.004</w:t>
                  </w:r>
                </w:p>
              </w:tc>
              <w:tc>
                <w:tcPr>
                  <w:tcW w:w="1202"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0.001</w:t>
                  </w:r>
                </w:p>
              </w:tc>
              <w:tc>
                <w:tcPr>
                  <w:tcW w:w="1275"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0.13</w:t>
                  </w:r>
                </w:p>
              </w:tc>
              <w:tc>
                <w:tcPr>
                  <w:tcW w:w="1033" w:type="dxa"/>
                  <w:tcBorders>
                    <w:top w:val="nil"/>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0.008</w:t>
                  </w:r>
                </w:p>
              </w:tc>
            </w:tr>
            <w:tr>
              <w:tblPrEx>
                <w:tblLayout w:type="fixed"/>
                <w:tblCellMar>
                  <w:top w:w="0" w:type="dxa"/>
                  <w:left w:w="108" w:type="dxa"/>
                  <w:bottom w:w="0" w:type="dxa"/>
                  <w:right w:w="108" w:type="dxa"/>
                </w:tblCellMar>
              </w:tblPrEx>
              <w:trPr>
                <w:trHeight w:val="169" w:hRule="atLeast"/>
                <w:jc w:val="center"/>
              </w:trPr>
              <w:tc>
                <w:tcPr>
                  <w:tcW w:w="1032" w:type="dxa"/>
                  <w:tcBorders>
                    <w:top w:val="single" w:color="auto" w:sz="4" w:space="0"/>
                    <w:left w:val="single" w:color="auto" w:sz="8" w:space="0"/>
                    <w:bottom w:val="single" w:color="auto" w:sz="4" w:space="0"/>
                    <w:right w:val="single" w:color="auto" w:sz="8" w:space="0"/>
                  </w:tcBorders>
                  <w:vAlign w:val="center"/>
                </w:tcPr>
                <w:p>
                  <w:pPr>
                    <w:pStyle w:val="30"/>
                    <w:spacing w:line="360" w:lineRule="exact"/>
                    <w:rPr>
                      <w:color w:val="auto"/>
                      <w:szCs w:val="21"/>
                    </w:rPr>
                  </w:pPr>
                  <w:r>
                    <w:rPr>
                      <w:color w:val="auto"/>
                      <w:szCs w:val="21"/>
                    </w:rPr>
                    <w:t>背光模组拆解</w:t>
                  </w:r>
                </w:p>
              </w:tc>
              <w:tc>
                <w:tcPr>
                  <w:tcW w:w="1034" w:type="dxa"/>
                  <w:tcBorders>
                    <w:top w:val="single" w:color="auto" w:sz="4" w:space="0"/>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汞及其化合物</w:t>
                  </w:r>
                </w:p>
              </w:tc>
              <w:tc>
                <w:tcPr>
                  <w:tcW w:w="1033" w:type="dxa"/>
                  <w:tcBorders>
                    <w:top w:val="single" w:color="auto" w:sz="4" w:space="0"/>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0.0002</w:t>
                  </w:r>
                </w:p>
              </w:tc>
              <w:tc>
                <w:tcPr>
                  <w:tcW w:w="1397" w:type="dxa"/>
                  <w:tcBorders>
                    <w:top w:val="single" w:color="auto" w:sz="4" w:space="0"/>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0.01</w:t>
                  </w:r>
                </w:p>
              </w:tc>
              <w:tc>
                <w:tcPr>
                  <w:tcW w:w="1028" w:type="dxa"/>
                  <w:tcBorders>
                    <w:top w:val="single" w:color="auto" w:sz="4" w:space="0"/>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0.00004</w:t>
                  </w:r>
                </w:p>
              </w:tc>
              <w:tc>
                <w:tcPr>
                  <w:tcW w:w="1202" w:type="dxa"/>
                  <w:tcBorders>
                    <w:top w:val="single" w:color="auto" w:sz="4" w:space="0"/>
                    <w:left w:val="nil"/>
                    <w:bottom w:val="single" w:color="auto" w:sz="4" w:space="0"/>
                    <w:right w:val="single" w:color="auto" w:sz="8" w:space="0"/>
                  </w:tcBorders>
                  <w:shd w:val="clear" w:color="auto" w:fill="auto"/>
                  <w:vAlign w:val="center"/>
                </w:tcPr>
                <w:p>
                  <w:pPr>
                    <w:pStyle w:val="30"/>
                    <w:spacing w:line="360" w:lineRule="exact"/>
                    <w:rPr>
                      <w:bCs w:val="0"/>
                      <w:snapToGrid/>
                      <w:color w:val="auto"/>
                      <w:szCs w:val="21"/>
                    </w:rPr>
                  </w:pPr>
                  <w:r>
                    <w:rPr>
                      <w:color w:val="auto"/>
                      <w:szCs w:val="21"/>
                    </w:rPr>
                    <w:t>0.00001</w:t>
                  </w:r>
                </w:p>
              </w:tc>
              <w:tc>
                <w:tcPr>
                  <w:tcW w:w="1275" w:type="dxa"/>
                  <w:tcBorders>
                    <w:top w:val="single" w:color="auto" w:sz="4" w:space="0"/>
                    <w:left w:val="nil"/>
                    <w:bottom w:val="single" w:color="auto" w:sz="4" w:space="0"/>
                    <w:right w:val="single" w:color="auto" w:sz="8" w:space="0"/>
                  </w:tcBorders>
                  <w:shd w:val="clear" w:color="auto" w:fill="auto"/>
                  <w:vAlign w:val="center"/>
                </w:tcPr>
                <w:p>
                  <w:pPr>
                    <w:pStyle w:val="30"/>
                    <w:spacing w:line="360" w:lineRule="exact"/>
                    <w:rPr>
                      <w:bCs w:val="0"/>
                      <w:color w:val="auto"/>
                    </w:rPr>
                  </w:pPr>
                  <w:r>
                    <w:rPr>
                      <w:color w:val="auto"/>
                      <w:szCs w:val="21"/>
                    </w:rPr>
                    <w:t>0.001</w:t>
                  </w:r>
                </w:p>
              </w:tc>
              <w:tc>
                <w:tcPr>
                  <w:tcW w:w="1033" w:type="dxa"/>
                  <w:tcBorders>
                    <w:top w:val="single" w:color="auto" w:sz="4" w:space="0"/>
                    <w:left w:val="nil"/>
                    <w:bottom w:val="single" w:color="auto" w:sz="4"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r>
            <w:tr>
              <w:tblPrEx>
                <w:tblLayout w:type="fixed"/>
                <w:tblCellMar>
                  <w:top w:w="0" w:type="dxa"/>
                  <w:left w:w="108" w:type="dxa"/>
                  <w:bottom w:w="0" w:type="dxa"/>
                  <w:right w:w="108" w:type="dxa"/>
                </w:tblCellMar>
              </w:tblPrEx>
              <w:trPr>
                <w:trHeight w:val="169" w:hRule="atLeast"/>
                <w:jc w:val="center"/>
              </w:trPr>
              <w:tc>
                <w:tcPr>
                  <w:tcW w:w="9034" w:type="dxa"/>
                  <w:gridSpan w:val="8"/>
                  <w:tcBorders>
                    <w:top w:val="single" w:color="auto" w:sz="4" w:space="0"/>
                    <w:left w:val="single" w:color="auto" w:sz="8" w:space="0"/>
                    <w:bottom w:val="single" w:color="auto" w:sz="4" w:space="0"/>
                    <w:right w:val="single" w:color="auto" w:sz="8" w:space="0"/>
                  </w:tcBorders>
                  <w:vAlign w:val="center"/>
                </w:tcPr>
                <w:p>
                  <w:pPr>
                    <w:pStyle w:val="30"/>
                    <w:spacing w:line="360" w:lineRule="exact"/>
                    <w:ind w:firstLine="210" w:firstLineChars="100"/>
                    <w:jc w:val="left"/>
                    <w:rPr>
                      <w:color w:val="auto"/>
                      <w:sz w:val="24"/>
                      <w:szCs w:val="24"/>
                      <w:lang w:val="en-US"/>
                    </w:rPr>
                  </w:pPr>
                  <w:r>
                    <w:rPr>
                      <w:color w:val="auto"/>
                      <w:kern w:val="0"/>
                      <w:szCs w:val="21"/>
                    </w:rPr>
                    <w:t>备注：废旧电视机（液晶电视）处理线年工作5040h。</w:t>
                  </w:r>
                </w:p>
              </w:tc>
            </w:tr>
          </w:tbl>
          <w:p>
            <w:pPr>
              <w:spacing w:beforeLines="50"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（2）废气污染物污染防治措施及达标性分析</w:t>
            </w:r>
          </w:p>
          <w:p>
            <w:pPr>
              <w:spacing w:line="360" w:lineRule="auto"/>
              <w:ind w:firstLine="482" w:firstLineChars="200"/>
              <w:rPr>
                <w:rFonts w:ascii="Times New Roman" w:hAnsi="Times New Roman" w:cs="Times New Roman"/>
                <w:b/>
                <w:color w:val="auto"/>
                <w:sz w:val="24"/>
              </w:rPr>
            </w:pPr>
            <w:r>
              <w:rPr>
                <w:rFonts w:ascii="Times New Roman" w:hAnsi="Times New Roman" w:eastAsia="宋体" w:cs="Times New Roman"/>
                <w:b/>
                <w:color w:val="auto"/>
                <w:sz w:val="24"/>
              </w:rPr>
              <w:t>①</w:t>
            </w:r>
            <w:r>
              <w:rPr>
                <w:rFonts w:ascii="Times New Roman" w:hAnsi="Times New Roman" w:cs="Times New Roman"/>
                <w:b/>
                <w:color w:val="auto"/>
                <w:sz w:val="24"/>
              </w:rPr>
              <w:t>废气污染物治理措施及排放方式</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根据项目现有工程和技改工程产污环节和废气污染源强核算可知，项目废气污染物排放源的治理措施及排放方式如下表所示。</w:t>
            </w: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jc w:val="center"/>
              <w:rPr>
                <w:rFonts w:ascii="Times New Roman" w:hAnsi="Times New Roman" w:cs="Times New Roman"/>
                <w:b/>
                <w:color w:val="auto"/>
                <w:szCs w:val="24"/>
              </w:rPr>
            </w:pPr>
            <w:r>
              <w:rPr>
                <w:rFonts w:hint="eastAsia" w:ascii="Times New Roman" w:hAnsi="Times New Roman" w:cs="Times New Roman"/>
                <w:b/>
                <w:color w:val="auto"/>
                <w:szCs w:val="24"/>
              </w:rPr>
              <w:t>表</w:t>
            </w:r>
            <w:r>
              <w:rPr>
                <w:rFonts w:ascii="Times New Roman" w:hAnsi="Times New Roman" w:cs="Times New Roman"/>
                <w:b/>
                <w:color w:val="auto"/>
                <w:szCs w:val="24"/>
              </w:rPr>
              <w:t>4.2.1-3 废气污染物治理措施及排放方式一览表</w:t>
            </w:r>
          </w:p>
          <w:tbl>
            <w:tblPr>
              <w:tblStyle w:val="20"/>
              <w:tblW w:w="904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019"/>
              <w:gridCol w:w="752"/>
              <w:gridCol w:w="809"/>
              <w:gridCol w:w="3403"/>
              <w:gridCol w:w="751"/>
              <w:gridCol w:w="752"/>
              <w:gridCol w:w="155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771" w:type="dxa"/>
                  <w:gridSpan w:val="2"/>
                  <w:vAlign w:val="center"/>
                </w:tcPr>
                <w:p>
                  <w:pPr>
                    <w:pStyle w:val="30"/>
                    <w:spacing w:line="360" w:lineRule="exact"/>
                    <w:rPr>
                      <w:color w:val="auto"/>
                      <w:szCs w:val="21"/>
                    </w:rPr>
                  </w:pPr>
                  <w:r>
                    <w:rPr>
                      <w:color w:val="auto"/>
                      <w:szCs w:val="21"/>
                    </w:rPr>
                    <w:t>产排污环节</w:t>
                  </w:r>
                </w:p>
              </w:tc>
              <w:tc>
                <w:tcPr>
                  <w:tcW w:w="809" w:type="dxa"/>
                  <w:vAlign w:val="center"/>
                </w:tcPr>
                <w:p>
                  <w:pPr>
                    <w:pStyle w:val="30"/>
                    <w:spacing w:line="360" w:lineRule="exact"/>
                    <w:rPr>
                      <w:color w:val="auto"/>
                      <w:szCs w:val="21"/>
                    </w:rPr>
                  </w:pPr>
                  <w:r>
                    <w:rPr>
                      <w:color w:val="auto"/>
                      <w:szCs w:val="21"/>
                    </w:rPr>
                    <w:t>污染物种类</w:t>
                  </w:r>
                </w:p>
              </w:tc>
              <w:tc>
                <w:tcPr>
                  <w:tcW w:w="3403" w:type="dxa"/>
                  <w:vAlign w:val="center"/>
                </w:tcPr>
                <w:p>
                  <w:pPr>
                    <w:pStyle w:val="30"/>
                    <w:spacing w:line="360" w:lineRule="exact"/>
                    <w:rPr>
                      <w:color w:val="auto"/>
                      <w:szCs w:val="21"/>
                    </w:rPr>
                  </w:pPr>
                  <w:r>
                    <w:rPr>
                      <w:color w:val="auto"/>
                      <w:szCs w:val="21"/>
                    </w:rPr>
                    <w:t>治理设施及效率</w:t>
                  </w:r>
                </w:p>
              </w:tc>
              <w:tc>
                <w:tcPr>
                  <w:tcW w:w="751" w:type="dxa"/>
                  <w:vAlign w:val="center"/>
                </w:tcPr>
                <w:p>
                  <w:pPr>
                    <w:spacing w:line="360" w:lineRule="exact"/>
                    <w:jc w:val="center"/>
                    <w:rPr>
                      <w:rFonts w:ascii="Times New Roman" w:hAnsi="Times New Roman" w:cs="Times New Roman"/>
                      <w:bCs/>
                      <w:snapToGrid w:val="0"/>
                      <w:color w:val="auto"/>
                      <w:kern w:val="32"/>
                      <w:lang w:val="zh-CN"/>
                    </w:rPr>
                  </w:pPr>
                  <w:r>
                    <w:rPr>
                      <w:rFonts w:ascii="Times New Roman" w:hAnsi="Times New Roman" w:eastAsia="宋体" w:cs="Times New Roman"/>
                      <w:bCs/>
                      <w:snapToGrid w:val="0"/>
                      <w:color w:val="auto"/>
                      <w:kern w:val="32"/>
                      <w:lang w:val="zh-CN"/>
                    </w:rPr>
                    <w:t>排放形式</w:t>
                  </w:r>
                </w:p>
              </w:tc>
              <w:tc>
                <w:tcPr>
                  <w:tcW w:w="2310" w:type="dxa"/>
                  <w:gridSpan w:val="2"/>
                  <w:vAlign w:val="center"/>
                </w:tcPr>
                <w:p>
                  <w:pPr>
                    <w:pStyle w:val="30"/>
                    <w:spacing w:line="360" w:lineRule="exact"/>
                    <w:rPr>
                      <w:color w:val="auto"/>
                      <w:szCs w:val="21"/>
                    </w:rPr>
                  </w:pPr>
                  <w:r>
                    <w:rPr>
                      <w:color w:val="auto"/>
                      <w:szCs w:val="21"/>
                    </w:rPr>
                    <w:t>排放口基本情况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restart"/>
                  <w:vAlign w:val="center"/>
                </w:tcPr>
                <w:p>
                  <w:pPr>
                    <w:pStyle w:val="30"/>
                    <w:spacing w:line="360" w:lineRule="exact"/>
                    <w:rPr>
                      <w:color w:val="auto"/>
                      <w:szCs w:val="21"/>
                    </w:rPr>
                  </w:pPr>
                  <w:r>
                    <w:rPr>
                      <w:color w:val="auto"/>
                      <w:szCs w:val="21"/>
                    </w:rPr>
                    <w:t>废旧冰箱处理线</w:t>
                  </w:r>
                </w:p>
              </w:tc>
              <w:tc>
                <w:tcPr>
                  <w:tcW w:w="752" w:type="dxa"/>
                  <w:vMerge w:val="restart"/>
                  <w:vAlign w:val="center"/>
                </w:tcPr>
                <w:p>
                  <w:pPr>
                    <w:pStyle w:val="30"/>
                    <w:spacing w:line="360" w:lineRule="exact"/>
                    <w:rPr>
                      <w:color w:val="auto"/>
                      <w:szCs w:val="21"/>
                    </w:rPr>
                  </w:pPr>
                  <w:r>
                    <w:rPr>
                      <w:color w:val="auto"/>
                      <w:szCs w:val="21"/>
                    </w:rPr>
                    <w:t>冷媒抽取+拆解+破碎</w:t>
                  </w:r>
                </w:p>
              </w:tc>
              <w:tc>
                <w:tcPr>
                  <w:tcW w:w="809" w:type="dxa"/>
                  <w:vMerge w:val="restart"/>
                  <w:vAlign w:val="center"/>
                </w:tcPr>
                <w:p>
                  <w:pPr>
                    <w:pStyle w:val="30"/>
                    <w:spacing w:line="360" w:lineRule="exact"/>
                    <w:rPr>
                      <w:color w:val="auto"/>
                      <w:szCs w:val="21"/>
                    </w:rPr>
                  </w:pPr>
                  <w:r>
                    <w:rPr>
                      <w:color w:val="auto"/>
                      <w:szCs w:val="21"/>
                    </w:rPr>
                    <w:t>粉尘、非甲烷总烃</w:t>
                  </w:r>
                </w:p>
              </w:tc>
              <w:tc>
                <w:tcPr>
                  <w:tcW w:w="3403" w:type="dxa"/>
                  <w:vMerge w:val="restart"/>
                  <w:vAlign w:val="center"/>
                </w:tcPr>
                <w:p>
                  <w:pPr>
                    <w:pStyle w:val="30"/>
                    <w:spacing w:line="360" w:lineRule="exact"/>
                    <w:ind w:firstLine="210" w:firstLineChars="100"/>
                    <w:jc w:val="both"/>
                    <w:rPr>
                      <w:color w:val="auto"/>
                      <w:szCs w:val="21"/>
                    </w:rPr>
                  </w:pPr>
                  <w:r>
                    <w:rPr>
                      <w:color w:val="auto"/>
                      <w:szCs w:val="21"/>
                    </w:rPr>
                    <w:t>针对废旧冰箱处理线废气，项目已设置集气效率不低于90%的集气罩、1套去除效率不低于70%的旋风除尘器、1套去除效率不低于95%的脉冲除尘器（3#）、1套去除效率不低于80%的有机废气处理装置（采用UV光氧裂解+活性炭吸附）对其进行处理，处理后通过1根Φ0.5m、高15m的排气筒（DA001）外排。</w:t>
                  </w:r>
                </w:p>
              </w:tc>
              <w:tc>
                <w:tcPr>
                  <w:tcW w:w="751" w:type="dxa"/>
                  <w:vMerge w:val="restart"/>
                  <w:vAlign w:val="center"/>
                </w:tcPr>
                <w:p>
                  <w:pPr>
                    <w:pStyle w:val="30"/>
                    <w:spacing w:line="360" w:lineRule="exact"/>
                    <w:rPr>
                      <w:color w:val="auto"/>
                      <w:szCs w:val="21"/>
                    </w:rPr>
                  </w:pPr>
                  <w:r>
                    <w:rPr>
                      <w:color w:val="auto"/>
                      <w:szCs w:val="21"/>
                    </w:rPr>
                    <w:t>有组织</w:t>
                  </w:r>
                </w:p>
              </w:tc>
              <w:tc>
                <w:tcPr>
                  <w:tcW w:w="2310" w:type="dxa"/>
                  <w:gridSpan w:val="2"/>
                  <w:vAlign w:val="center"/>
                </w:tcPr>
                <w:p>
                  <w:pPr>
                    <w:pStyle w:val="30"/>
                    <w:spacing w:line="360" w:lineRule="exact"/>
                    <w:rPr>
                      <w:color w:val="auto"/>
                      <w:szCs w:val="21"/>
                    </w:rPr>
                  </w:pPr>
                  <w:r>
                    <w:rPr>
                      <w:color w:val="auto"/>
                      <w:szCs w:val="21"/>
                    </w:rPr>
                    <w:t>排气筒参数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left"/>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高度</w:t>
                  </w:r>
                </w:p>
              </w:tc>
              <w:tc>
                <w:tcPr>
                  <w:tcW w:w="1558" w:type="dxa"/>
                  <w:vAlign w:val="center"/>
                </w:tcPr>
                <w:p>
                  <w:pPr>
                    <w:pStyle w:val="30"/>
                    <w:spacing w:line="360" w:lineRule="exact"/>
                    <w:rPr>
                      <w:color w:val="auto"/>
                      <w:szCs w:val="21"/>
                    </w:rPr>
                  </w:pPr>
                  <w:r>
                    <w:rPr>
                      <w:color w:val="auto"/>
                      <w:szCs w:val="21"/>
                    </w:rPr>
                    <w:t>15m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left"/>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内径</w:t>
                  </w:r>
                </w:p>
              </w:tc>
              <w:tc>
                <w:tcPr>
                  <w:tcW w:w="1558" w:type="dxa"/>
                  <w:vAlign w:val="center"/>
                </w:tcPr>
                <w:p>
                  <w:pPr>
                    <w:pStyle w:val="30"/>
                    <w:spacing w:line="360" w:lineRule="exact"/>
                    <w:rPr>
                      <w:color w:val="auto"/>
                      <w:szCs w:val="21"/>
                    </w:rPr>
                  </w:pPr>
                  <w:r>
                    <w:rPr>
                      <w:color w:val="auto"/>
                      <w:szCs w:val="21"/>
                    </w:rPr>
                    <w:t>0.5m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left"/>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温度</w:t>
                  </w:r>
                </w:p>
              </w:tc>
              <w:tc>
                <w:tcPr>
                  <w:tcW w:w="1558" w:type="dxa"/>
                  <w:vAlign w:val="center"/>
                </w:tcPr>
                <w:p>
                  <w:pPr>
                    <w:pStyle w:val="30"/>
                    <w:spacing w:line="360" w:lineRule="exact"/>
                    <w:rPr>
                      <w:color w:val="auto"/>
                      <w:szCs w:val="21"/>
                    </w:rPr>
                  </w:pPr>
                  <w:r>
                    <w:rPr>
                      <w:color w:val="auto"/>
                      <w:szCs w:val="21"/>
                    </w:rPr>
                    <w:t>常温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left"/>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编号</w:t>
                  </w:r>
                </w:p>
              </w:tc>
              <w:tc>
                <w:tcPr>
                  <w:tcW w:w="1558" w:type="dxa"/>
                  <w:vAlign w:val="center"/>
                </w:tcPr>
                <w:p>
                  <w:pPr>
                    <w:pStyle w:val="30"/>
                    <w:spacing w:line="360" w:lineRule="exact"/>
                    <w:rPr>
                      <w:color w:val="auto"/>
                      <w:szCs w:val="21"/>
                    </w:rPr>
                  </w:pPr>
                  <w:r>
                    <w:rPr>
                      <w:color w:val="auto"/>
                      <w:szCs w:val="21"/>
                    </w:rPr>
                    <w:t>DA00</w:t>
                  </w:r>
                  <w:r>
                    <w:rPr>
                      <w:rFonts w:hint="eastAsia"/>
                      <w:color w:val="auto"/>
                      <w:szCs w:val="21"/>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left"/>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类型</w:t>
                  </w:r>
                </w:p>
              </w:tc>
              <w:tc>
                <w:tcPr>
                  <w:tcW w:w="1558" w:type="dxa"/>
                  <w:vAlign w:val="center"/>
                </w:tcPr>
                <w:p>
                  <w:pPr>
                    <w:pStyle w:val="30"/>
                    <w:spacing w:line="360" w:lineRule="exact"/>
                    <w:rPr>
                      <w:color w:val="auto"/>
                      <w:szCs w:val="21"/>
                    </w:rPr>
                  </w:pPr>
                  <w:r>
                    <w:rPr>
                      <w:color w:val="auto"/>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left"/>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坐标</w:t>
                  </w:r>
                </w:p>
              </w:tc>
              <w:tc>
                <w:tcPr>
                  <w:tcW w:w="1558" w:type="dxa"/>
                  <w:vAlign w:val="center"/>
                </w:tcPr>
                <w:p>
                  <w:pPr>
                    <w:pStyle w:val="30"/>
                    <w:spacing w:line="360" w:lineRule="exact"/>
                    <w:rPr>
                      <w:color w:val="auto"/>
                      <w:szCs w:val="21"/>
                    </w:rPr>
                  </w:pPr>
                  <w:r>
                    <w:rPr>
                      <w:color w:val="auto"/>
                      <w:szCs w:val="21"/>
                    </w:rPr>
                    <w:t>E103.253678°</w:t>
                  </w:r>
                </w:p>
                <w:p>
                  <w:pPr>
                    <w:pStyle w:val="30"/>
                    <w:spacing w:line="360" w:lineRule="exact"/>
                    <w:rPr>
                      <w:color w:val="auto"/>
                      <w:szCs w:val="21"/>
                    </w:rPr>
                  </w:pPr>
                  <w:r>
                    <w:rPr>
                      <w:color w:val="auto"/>
                      <w:szCs w:val="21"/>
                    </w:rPr>
                    <w:t>N25.639969°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restart"/>
                  <w:vAlign w:val="center"/>
                </w:tcPr>
                <w:p>
                  <w:pPr>
                    <w:pStyle w:val="30"/>
                    <w:spacing w:line="360" w:lineRule="exact"/>
                    <w:rPr>
                      <w:color w:val="auto"/>
                      <w:szCs w:val="21"/>
                    </w:rPr>
                  </w:pPr>
                  <w:r>
                    <w:rPr>
                      <w:color w:val="auto"/>
                      <w:szCs w:val="21"/>
                    </w:rPr>
                    <w:t>空调/小家电/废手机及其视听设备消费电子产品处理线</w:t>
                  </w:r>
                </w:p>
              </w:tc>
              <w:tc>
                <w:tcPr>
                  <w:tcW w:w="752" w:type="dxa"/>
                  <w:vMerge w:val="restart"/>
                  <w:vAlign w:val="center"/>
                </w:tcPr>
                <w:p>
                  <w:pPr>
                    <w:pStyle w:val="30"/>
                    <w:spacing w:line="360" w:lineRule="exact"/>
                    <w:rPr>
                      <w:color w:val="auto"/>
                      <w:szCs w:val="21"/>
                    </w:rPr>
                  </w:pPr>
                  <w:r>
                    <w:rPr>
                      <w:color w:val="auto"/>
                      <w:szCs w:val="21"/>
                    </w:rPr>
                    <w:t>拆解</w:t>
                  </w:r>
                </w:p>
              </w:tc>
              <w:tc>
                <w:tcPr>
                  <w:tcW w:w="809" w:type="dxa"/>
                  <w:vMerge w:val="restart"/>
                  <w:vAlign w:val="center"/>
                </w:tcPr>
                <w:p>
                  <w:pPr>
                    <w:pStyle w:val="30"/>
                    <w:spacing w:line="360" w:lineRule="exact"/>
                    <w:rPr>
                      <w:color w:val="auto"/>
                      <w:szCs w:val="21"/>
                    </w:rPr>
                  </w:pPr>
                  <w:r>
                    <w:rPr>
                      <w:color w:val="auto"/>
                      <w:szCs w:val="21"/>
                    </w:rPr>
                    <w:t>粉尘</w:t>
                  </w:r>
                </w:p>
              </w:tc>
              <w:tc>
                <w:tcPr>
                  <w:tcW w:w="3403" w:type="dxa"/>
                  <w:vMerge w:val="restart"/>
                  <w:vAlign w:val="center"/>
                </w:tcPr>
                <w:p>
                  <w:pPr>
                    <w:pStyle w:val="30"/>
                    <w:spacing w:line="360" w:lineRule="exact"/>
                    <w:ind w:firstLine="210" w:firstLineChars="100"/>
                    <w:jc w:val="both"/>
                    <w:rPr>
                      <w:color w:val="auto"/>
                      <w:szCs w:val="21"/>
                    </w:rPr>
                  </w:pPr>
                  <w:r>
                    <w:rPr>
                      <w:color w:val="auto"/>
                      <w:szCs w:val="21"/>
                    </w:rPr>
                    <w:t>针对空调/小家电/废手机及其视听设备消费电子产品处理线拆解粉尘，项目已对喷吹室进行密闭，并设置1个集气效率不低于90%的集气罩对其进行收集，集气罩的集气效率不低于90%；集气罩风量为5000m³/h，收集后统一进入1个处理效率不低于95%的</w:t>
                  </w:r>
                  <w:r>
                    <w:rPr>
                      <w:rFonts w:hint="eastAsia"/>
                      <w:color w:val="auto"/>
                      <w:szCs w:val="21"/>
                    </w:rPr>
                    <w:t>2</w:t>
                  </w:r>
                  <w:r>
                    <w:rPr>
                      <w:color w:val="auto"/>
                      <w:szCs w:val="21"/>
                    </w:rPr>
                    <w:t>#脉冲除尘器对其进行处理后通过1根Φ0.4m、高15m的排气筒（DA00</w:t>
                  </w:r>
                  <w:r>
                    <w:rPr>
                      <w:rFonts w:hint="eastAsia"/>
                      <w:color w:val="auto"/>
                      <w:szCs w:val="21"/>
                    </w:rPr>
                    <w:t>2</w:t>
                  </w:r>
                  <w:r>
                    <w:rPr>
                      <w:color w:val="auto"/>
                      <w:szCs w:val="21"/>
                    </w:rPr>
                    <w:t>）外排</w:t>
                  </w:r>
                  <w:r>
                    <w:rPr>
                      <w:rFonts w:hint="eastAsia"/>
                      <w:color w:val="auto"/>
                      <w:szCs w:val="21"/>
                    </w:rPr>
                    <w:t>。</w:t>
                  </w:r>
                </w:p>
              </w:tc>
              <w:tc>
                <w:tcPr>
                  <w:tcW w:w="751" w:type="dxa"/>
                  <w:vMerge w:val="restart"/>
                  <w:vAlign w:val="center"/>
                </w:tcPr>
                <w:p>
                  <w:pPr>
                    <w:pStyle w:val="30"/>
                    <w:spacing w:line="360" w:lineRule="exact"/>
                    <w:rPr>
                      <w:color w:val="auto"/>
                      <w:szCs w:val="21"/>
                    </w:rPr>
                  </w:pPr>
                  <w:r>
                    <w:rPr>
                      <w:color w:val="auto"/>
                      <w:szCs w:val="21"/>
                    </w:rPr>
                    <w:t>有组织</w:t>
                  </w:r>
                </w:p>
              </w:tc>
              <w:tc>
                <w:tcPr>
                  <w:tcW w:w="2310" w:type="dxa"/>
                  <w:gridSpan w:val="2"/>
                  <w:vAlign w:val="center"/>
                </w:tcPr>
                <w:p>
                  <w:pPr>
                    <w:pStyle w:val="30"/>
                    <w:spacing w:line="360" w:lineRule="exact"/>
                    <w:rPr>
                      <w:color w:val="auto"/>
                      <w:szCs w:val="21"/>
                    </w:rPr>
                  </w:pPr>
                  <w:r>
                    <w:rPr>
                      <w:color w:val="auto"/>
                      <w:szCs w:val="21"/>
                    </w:rPr>
                    <w:t>排气筒参数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left"/>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高度</w:t>
                  </w:r>
                </w:p>
              </w:tc>
              <w:tc>
                <w:tcPr>
                  <w:tcW w:w="1558" w:type="dxa"/>
                  <w:vAlign w:val="center"/>
                </w:tcPr>
                <w:p>
                  <w:pPr>
                    <w:pStyle w:val="30"/>
                    <w:spacing w:line="360" w:lineRule="exact"/>
                    <w:rPr>
                      <w:color w:val="auto"/>
                      <w:szCs w:val="21"/>
                    </w:rPr>
                  </w:pPr>
                  <w:r>
                    <w:rPr>
                      <w:color w:val="auto"/>
                      <w:szCs w:val="21"/>
                    </w:rPr>
                    <w:t>15m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left"/>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内径</w:t>
                  </w:r>
                </w:p>
              </w:tc>
              <w:tc>
                <w:tcPr>
                  <w:tcW w:w="1558" w:type="dxa"/>
                  <w:vAlign w:val="center"/>
                </w:tcPr>
                <w:p>
                  <w:pPr>
                    <w:pStyle w:val="30"/>
                    <w:spacing w:line="360" w:lineRule="exact"/>
                    <w:rPr>
                      <w:color w:val="auto"/>
                      <w:szCs w:val="21"/>
                    </w:rPr>
                  </w:pPr>
                  <w:r>
                    <w:rPr>
                      <w:color w:val="auto"/>
                      <w:szCs w:val="21"/>
                    </w:rPr>
                    <w:t>0.</w:t>
                  </w:r>
                  <w:r>
                    <w:rPr>
                      <w:rFonts w:hint="eastAsia"/>
                      <w:color w:val="auto"/>
                      <w:szCs w:val="21"/>
                    </w:rPr>
                    <w:t>4</w:t>
                  </w:r>
                  <w:r>
                    <w:rPr>
                      <w:color w:val="auto"/>
                      <w:szCs w:val="21"/>
                    </w:rPr>
                    <w:t>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left"/>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温度</w:t>
                  </w:r>
                </w:p>
              </w:tc>
              <w:tc>
                <w:tcPr>
                  <w:tcW w:w="1558" w:type="dxa"/>
                  <w:vAlign w:val="center"/>
                </w:tcPr>
                <w:p>
                  <w:pPr>
                    <w:pStyle w:val="30"/>
                    <w:spacing w:line="360" w:lineRule="exact"/>
                    <w:rPr>
                      <w:color w:val="auto"/>
                      <w:szCs w:val="21"/>
                    </w:rPr>
                  </w:pPr>
                  <w:r>
                    <w:rPr>
                      <w:color w:val="auto"/>
                      <w:szCs w:val="21"/>
                    </w:rPr>
                    <w:t>常温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left"/>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编号</w:t>
                  </w:r>
                </w:p>
              </w:tc>
              <w:tc>
                <w:tcPr>
                  <w:tcW w:w="1558" w:type="dxa"/>
                  <w:vAlign w:val="center"/>
                </w:tcPr>
                <w:p>
                  <w:pPr>
                    <w:pStyle w:val="30"/>
                    <w:spacing w:line="360" w:lineRule="exact"/>
                    <w:rPr>
                      <w:color w:val="auto"/>
                      <w:szCs w:val="21"/>
                    </w:rPr>
                  </w:pPr>
                  <w:r>
                    <w:rPr>
                      <w:color w:val="auto"/>
                      <w:szCs w:val="21"/>
                    </w:rPr>
                    <w:t>DA00</w:t>
                  </w:r>
                  <w:r>
                    <w:rPr>
                      <w:rFonts w:hint="eastAsia"/>
                      <w:color w:val="auto"/>
                      <w:szCs w:val="21"/>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left"/>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类型</w:t>
                  </w:r>
                </w:p>
              </w:tc>
              <w:tc>
                <w:tcPr>
                  <w:tcW w:w="1558" w:type="dxa"/>
                  <w:vAlign w:val="center"/>
                </w:tcPr>
                <w:p>
                  <w:pPr>
                    <w:pStyle w:val="30"/>
                    <w:spacing w:line="360" w:lineRule="exact"/>
                    <w:rPr>
                      <w:color w:val="auto"/>
                      <w:szCs w:val="21"/>
                    </w:rPr>
                  </w:pPr>
                  <w:r>
                    <w:rPr>
                      <w:color w:val="auto"/>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left"/>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坐标</w:t>
                  </w:r>
                </w:p>
              </w:tc>
              <w:tc>
                <w:tcPr>
                  <w:tcW w:w="1558" w:type="dxa"/>
                  <w:vAlign w:val="center"/>
                </w:tcPr>
                <w:p>
                  <w:pPr>
                    <w:pStyle w:val="30"/>
                    <w:spacing w:line="360" w:lineRule="exact"/>
                    <w:rPr>
                      <w:color w:val="auto"/>
                      <w:szCs w:val="21"/>
                    </w:rPr>
                  </w:pPr>
                  <w:r>
                    <w:rPr>
                      <w:color w:val="auto"/>
                      <w:szCs w:val="21"/>
                    </w:rPr>
                    <w:t>E103.253528°</w:t>
                  </w:r>
                </w:p>
                <w:p>
                  <w:pPr>
                    <w:pStyle w:val="30"/>
                    <w:spacing w:line="360" w:lineRule="exact"/>
                    <w:rPr>
                      <w:color w:val="auto"/>
                      <w:szCs w:val="21"/>
                    </w:rPr>
                  </w:pPr>
                  <w:r>
                    <w:rPr>
                      <w:color w:val="auto"/>
                      <w:szCs w:val="21"/>
                    </w:rPr>
                    <w:t>N25.640046°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restart"/>
                  <w:vAlign w:val="center"/>
                </w:tcPr>
                <w:p>
                  <w:pPr>
                    <w:pStyle w:val="30"/>
                    <w:spacing w:line="360" w:lineRule="exact"/>
                    <w:rPr>
                      <w:color w:val="auto"/>
                      <w:szCs w:val="21"/>
                    </w:rPr>
                  </w:pPr>
                  <w:r>
                    <w:rPr>
                      <w:color w:val="auto"/>
                      <w:szCs w:val="21"/>
                    </w:rPr>
                    <w:t>废旧洗衣机处理线</w:t>
                  </w:r>
                </w:p>
              </w:tc>
              <w:tc>
                <w:tcPr>
                  <w:tcW w:w="752" w:type="dxa"/>
                  <w:vMerge w:val="restart"/>
                  <w:vAlign w:val="center"/>
                </w:tcPr>
                <w:p>
                  <w:pPr>
                    <w:pStyle w:val="30"/>
                    <w:spacing w:line="360" w:lineRule="exact"/>
                    <w:rPr>
                      <w:color w:val="auto"/>
                      <w:szCs w:val="21"/>
                    </w:rPr>
                  </w:pPr>
                  <w:r>
                    <w:rPr>
                      <w:color w:val="auto"/>
                      <w:szCs w:val="21"/>
                    </w:rPr>
                    <w:t>拆解+塑料破碎</w:t>
                  </w:r>
                </w:p>
              </w:tc>
              <w:tc>
                <w:tcPr>
                  <w:tcW w:w="809" w:type="dxa"/>
                  <w:vMerge w:val="restart"/>
                  <w:vAlign w:val="center"/>
                </w:tcPr>
                <w:p>
                  <w:pPr>
                    <w:pStyle w:val="30"/>
                    <w:spacing w:line="360" w:lineRule="exact"/>
                    <w:rPr>
                      <w:color w:val="auto"/>
                      <w:szCs w:val="21"/>
                    </w:rPr>
                  </w:pPr>
                  <w:r>
                    <w:rPr>
                      <w:color w:val="auto"/>
                      <w:szCs w:val="21"/>
                    </w:rPr>
                    <w:t>粉尘</w:t>
                  </w:r>
                </w:p>
              </w:tc>
              <w:tc>
                <w:tcPr>
                  <w:tcW w:w="3403" w:type="dxa"/>
                  <w:vMerge w:val="restart"/>
                  <w:vAlign w:val="center"/>
                </w:tcPr>
                <w:p>
                  <w:pPr>
                    <w:pStyle w:val="30"/>
                    <w:spacing w:line="360" w:lineRule="exact"/>
                    <w:ind w:firstLine="210" w:firstLineChars="100"/>
                    <w:jc w:val="both"/>
                    <w:rPr>
                      <w:color w:val="auto"/>
                      <w:szCs w:val="21"/>
                    </w:rPr>
                  </w:pPr>
                  <w:r>
                    <w:rPr>
                      <w:color w:val="auto"/>
                      <w:szCs w:val="21"/>
                    </w:rPr>
                    <w:t>针对废旧洗衣机拆解粉尘，项目拟对每个拆解工位设置集气效率不低于90%的集气罩进行收集，针对废旧洗衣机塑料破碎粉尘，项目拟分别对两台破碎机设置集气效率不低于90%的集气罩进行收集；收集后的粉尘通过1个处理效率不低于95%的</w:t>
                  </w:r>
                  <w:r>
                    <w:rPr>
                      <w:rFonts w:hint="eastAsia"/>
                      <w:color w:val="auto"/>
                      <w:szCs w:val="21"/>
                    </w:rPr>
                    <w:t>3</w:t>
                  </w:r>
                  <w:r>
                    <w:rPr>
                      <w:color w:val="auto"/>
                      <w:szCs w:val="21"/>
                    </w:rPr>
                    <w:t>#脉冲除尘器处理，处理后通过1根Φ0.84m、高15m的排气筒（DA003）外排。</w:t>
                  </w:r>
                </w:p>
              </w:tc>
              <w:tc>
                <w:tcPr>
                  <w:tcW w:w="751" w:type="dxa"/>
                  <w:vMerge w:val="restart"/>
                  <w:vAlign w:val="center"/>
                </w:tcPr>
                <w:p>
                  <w:pPr>
                    <w:pStyle w:val="30"/>
                    <w:spacing w:line="360" w:lineRule="exact"/>
                    <w:rPr>
                      <w:color w:val="auto"/>
                      <w:szCs w:val="21"/>
                    </w:rPr>
                  </w:pPr>
                  <w:r>
                    <w:rPr>
                      <w:color w:val="auto"/>
                      <w:szCs w:val="21"/>
                    </w:rPr>
                    <w:t>有组织</w:t>
                  </w:r>
                </w:p>
              </w:tc>
              <w:tc>
                <w:tcPr>
                  <w:tcW w:w="2310" w:type="dxa"/>
                  <w:gridSpan w:val="2"/>
                  <w:vAlign w:val="center"/>
                </w:tcPr>
                <w:p>
                  <w:pPr>
                    <w:pStyle w:val="30"/>
                    <w:spacing w:line="360" w:lineRule="exact"/>
                    <w:rPr>
                      <w:color w:val="auto"/>
                      <w:szCs w:val="21"/>
                    </w:rPr>
                  </w:pPr>
                  <w:r>
                    <w:rPr>
                      <w:color w:val="auto"/>
                      <w:szCs w:val="21"/>
                    </w:rPr>
                    <w:t>排气筒参数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left"/>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高度</w:t>
                  </w:r>
                </w:p>
              </w:tc>
              <w:tc>
                <w:tcPr>
                  <w:tcW w:w="1558" w:type="dxa"/>
                  <w:vAlign w:val="center"/>
                </w:tcPr>
                <w:p>
                  <w:pPr>
                    <w:pStyle w:val="30"/>
                    <w:spacing w:line="360" w:lineRule="exact"/>
                    <w:rPr>
                      <w:color w:val="auto"/>
                      <w:szCs w:val="21"/>
                    </w:rPr>
                  </w:pPr>
                  <w:r>
                    <w:rPr>
                      <w:color w:val="auto"/>
                      <w:szCs w:val="21"/>
                    </w:rPr>
                    <w:t>15m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left"/>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内径</w:t>
                  </w:r>
                </w:p>
              </w:tc>
              <w:tc>
                <w:tcPr>
                  <w:tcW w:w="1558" w:type="dxa"/>
                  <w:vAlign w:val="center"/>
                </w:tcPr>
                <w:p>
                  <w:pPr>
                    <w:pStyle w:val="30"/>
                    <w:spacing w:line="360" w:lineRule="exact"/>
                    <w:rPr>
                      <w:color w:val="auto"/>
                      <w:szCs w:val="21"/>
                    </w:rPr>
                  </w:pPr>
                  <w:r>
                    <w:rPr>
                      <w:color w:val="auto"/>
                      <w:szCs w:val="21"/>
                    </w:rPr>
                    <w:t>0.</w:t>
                  </w:r>
                  <w:r>
                    <w:rPr>
                      <w:rFonts w:hint="eastAsia"/>
                      <w:color w:val="auto"/>
                      <w:szCs w:val="21"/>
                    </w:rPr>
                    <w:t>84</w:t>
                  </w:r>
                  <w:r>
                    <w:rPr>
                      <w:color w:val="auto"/>
                      <w:szCs w:val="21"/>
                    </w:rPr>
                    <w:t>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left"/>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温度</w:t>
                  </w:r>
                </w:p>
              </w:tc>
              <w:tc>
                <w:tcPr>
                  <w:tcW w:w="1558" w:type="dxa"/>
                  <w:vAlign w:val="center"/>
                </w:tcPr>
                <w:p>
                  <w:pPr>
                    <w:pStyle w:val="30"/>
                    <w:spacing w:line="360" w:lineRule="exact"/>
                    <w:rPr>
                      <w:color w:val="auto"/>
                      <w:szCs w:val="21"/>
                    </w:rPr>
                  </w:pPr>
                  <w:r>
                    <w:rPr>
                      <w:color w:val="auto"/>
                      <w:szCs w:val="21"/>
                    </w:rPr>
                    <w:t>常温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left"/>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编号</w:t>
                  </w:r>
                </w:p>
              </w:tc>
              <w:tc>
                <w:tcPr>
                  <w:tcW w:w="1558" w:type="dxa"/>
                  <w:vAlign w:val="center"/>
                </w:tcPr>
                <w:p>
                  <w:pPr>
                    <w:pStyle w:val="30"/>
                    <w:spacing w:line="360" w:lineRule="exact"/>
                    <w:rPr>
                      <w:color w:val="auto"/>
                      <w:szCs w:val="21"/>
                    </w:rPr>
                  </w:pPr>
                  <w:r>
                    <w:rPr>
                      <w:color w:val="auto"/>
                      <w:szCs w:val="21"/>
                    </w:rPr>
                    <w:t>DA00</w:t>
                  </w:r>
                  <w:r>
                    <w:rPr>
                      <w:rFonts w:hint="eastAsia"/>
                      <w:color w:val="auto"/>
                      <w:szCs w:val="21"/>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left"/>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类型</w:t>
                  </w:r>
                </w:p>
              </w:tc>
              <w:tc>
                <w:tcPr>
                  <w:tcW w:w="1558" w:type="dxa"/>
                  <w:vAlign w:val="center"/>
                </w:tcPr>
                <w:p>
                  <w:pPr>
                    <w:pStyle w:val="30"/>
                    <w:spacing w:line="360" w:lineRule="exact"/>
                    <w:rPr>
                      <w:color w:val="auto"/>
                      <w:szCs w:val="21"/>
                    </w:rPr>
                  </w:pPr>
                  <w:r>
                    <w:rPr>
                      <w:color w:val="auto"/>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left"/>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坐标</w:t>
                  </w:r>
                </w:p>
              </w:tc>
              <w:tc>
                <w:tcPr>
                  <w:tcW w:w="1558" w:type="dxa"/>
                  <w:vAlign w:val="center"/>
                </w:tcPr>
                <w:p>
                  <w:pPr>
                    <w:pStyle w:val="30"/>
                    <w:spacing w:line="360" w:lineRule="exact"/>
                    <w:rPr>
                      <w:color w:val="auto"/>
                      <w:szCs w:val="21"/>
                    </w:rPr>
                  </w:pPr>
                  <w:r>
                    <w:rPr>
                      <w:color w:val="auto"/>
                      <w:szCs w:val="21"/>
                    </w:rPr>
                    <w:t>E103.253120°</w:t>
                  </w:r>
                </w:p>
                <w:p>
                  <w:pPr>
                    <w:pStyle w:val="30"/>
                    <w:spacing w:line="360" w:lineRule="exact"/>
                    <w:rPr>
                      <w:color w:val="auto"/>
                      <w:szCs w:val="21"/>
                    </w:rPr>
                  </w:pPr>
                  <w:r>
                    <w:rPr>
                      <w:color w:val="auto"/>
                      <w:szCs w:val="21"/>
                    </w:rPr>
                    <w:t>N25.640230°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restart"/>
                  <w:vAlign w:val="center"/>
                </w:tcPr>
                <w:p>
                  <w:pPr>
                    <w:pStyle w:val="30"/>
                    <w:spacing w:line="360" w:lineRule="exact"/>
                    <w:rPr>
                      <w:color w:val="auto"/>
                      <w:szCs w:val="21"/>
                    </w:rPr>
                  </w:pPr>
                  <w:r>
                    <w:rPr>
                      <w:color w:val="auto"/>
                      <w:szCs w:val="21"/>
                    </w:rPr>
                    <w:t>1号废旧电视机（液晶电视）处理线</w:t>
                  </w:r>
                </w:p>
              </w:tc>
              <w:tc>
                <w:tcPr>
                  <w:tcW w:w="752" w:type="dxa"/>
                  <w:vMerge w:val="restart"/>
                  <w:vAlign w:val="center"/>
                </w:tcPr>
                <w:p>
                  <w:pPr>
                    <w:pStyle w:val="30"/>
                    <w:spacing w:line="360" w:lineRule="exact"/>
                    <w:rPr>
                      <w:color w:val="auto"/>
                      <w:szCs w:val="21"/>
                    </w:rPr>
                  </w:pPr>
                  <w:r>
                    <w:rPr>
                      <w:color w:val="auto"/>
                      <w:szCs w:val="21"/>
                    </w:rPr>
                    <w:t>拆解</w:t>
                  </w:r>
                </w:p>
              </w:tc>
              <w:tc>
                <w:tcPr>
                  <w:tcW w:w="809" w:type="dxa"/>
                  <w:vMerge w:val="restart"/>
                  <w:vAlign w:val="center"/>
                </w:tcPr>
                <w:p>
                  <w:pPr>
                    <w:pStyle w:val="30"/>
                    <w:spacing w:line="360" w:lineRule="exact"/>
                    <w:rPr>
                      <w:color w:val="auto"/>
                      <w:szCs w:val="21"/>
                    </w:rPr>
                  </w:pPr>
                  <w:r>
                    <w:rPr>
                      <w:color w:val="auto"/>
                      <w:szCs w:val="21"/>
                    </w:rPr>
                    <w:t>粉尘、汞及其化合物</w:t>
                  </w:r>
                </w:p>
              </w:tc>
              <w:tc>
                <w:tcPr>
                  <w:tcW w:w="3403" w:type="dxa"/>
                  <w:vMerge w:val="restart"/>
                  <w:vAlign w:val="center"/>
                </w:tcPr>
                <w:p>
                  <w:pPr>
                    <w:pStyle w:val="30"/>
                    <w:spacing w:line="360" w:lineRule="exact"/>
                    <w:ind w:firstLine="210" w:firstLineChars="100"/>
                    <w:jc w:val="both"/>
                    <w:rPr>
                      <w:color w:val="auto"/>
                      <w:szCs w:val="21"/>
                    </w:rPr>
                  </w:pPr>
                  <w:r>
                    <w:rPr>
                      <w:color w:val="auto"/>
                      <w:szCs w:val="21"/>
                    </w:rPr>
                    <w:t>针对1号废旧电视机（液晶电视）处理线拆解粉尘，项目对每个拆解工位设置集气效率不低于90%的集气罩进行收集；</w:t>
                  </w:r>
                  <w:r>
                    <w:rPr>
                      <w:rFonts w:hint="eastAsia"/>
                      <w:color w:val="auto"/>
                      <w:szCs w:val="21"/>
                    </w:rPr>
                    <w:t>而</w:t>
                  </w:r>
                  <w:r>
                    <w:rPr>
                      <w:color w:val="auto"/>
                      <w:szCs w:val="21"/>
                    </w:rPr>
                    <w:t>汞及其化合物经负压系统全部收集后，通过1套去除效率不低于80%的汞及其化合物处理装置（采用UV光氧裂解+载硫活性炭吸附）对其进行处理；</w:t>
                  </w:r>
                  <w:r>
                    <w:rPr>
                      <w:rFonts w:hint="eastAsia"/>
                      <w:color w:val="auto"/>
                      <w:szCs w:val="21"/>
                    </w:rPr>
                    <w:t>处理后的</w:t>
                  </w:r>
                  <w:r>
                    <w:rPr>
                      <w:color w:val="auto"/>
                      <w:szCs w:val="21"/>
                    </w:rPr>
                    <w:t>汞及其化合物</w:t>
                  </w:r>
                  <w:r>
                    <w:rPr>
                      <w:rFonts w:hint="eastAsia"/>
                      <w:color w:val="auto"/>
                      <w:szCs w:val="21"/>
                    </w:rPr>
                    <w:t>和</w:t>
                  </w:r>
                  <w:r>
                    <w:rPr>
                      <w:color w:val="auto"/>
                      <w:szCs w:val="21"/>
                    </w:rPr>
                    <w:t>废旧电视机（液晶电视）处理线拆解粉尘统一进入1个处理效率不低于95%的</w:t>
                  </w:r>
                  <w:r>
                    <w:rPr>
                      <w:rFonts w:hint="eastAsia"/>
                      <w:color w:val="auto"/>
                      <w:szCs w:val="21"/>
                    </w:rPr>
                    <w:t>4</w:t>
                  </w:r>
                  <w:r>
                    <w:rPr>
                      <w:color w:val="auto"/>
                      <w:szCs w:val="21"/>
                    </w:rPr>
                    <w:t>#脉冲除尘器对其进行处理后通过1根Φ0.</w:t>
                  </w:r>
                  <w:r>
                    <w:rPr>
                      <w:rFonts w:hint="eastAsia"/>
                      <w:color w:val="auto"/>
                      <w:szCs w:val="21"/>
                    </w:rPr>
                    <w:t>4</w:t>
                  </w:r>
                  <w:r>
                    <w:rPr>
                      <w:color w:val="auto"/>
                      <w:szCs w:val="21"/>
                    </w:rPr>
                    <w:t>4m</w:t>
                  </w:r>
                  <w:r>
                    <w:rPr>
                      <w:rFonts w:hint="eastAsia"/>
                      <w:color w:val="auto"/>
                      <w:szCs w:val="21"/>
                    </w:rPr>
                    <w:t>、</w:t>
                  </w:r>
                  <w:r>
                    <w:rPr>
                      <w:color w:val="auto"/>
                      <w:szCs w:val="21"/>
                    </w:rPr>
                    <w:t>高15m的排气筒（DA00</w:t>
                  </w:r>
                  <w:r>
                    <w:rPr>
                      <w:rFonts w:hint="eastAsia"/>
                      <w:color w:val="auto"/>
                      <w:szCs w:val="21"/>
                    </w:rPr>
                    <w:t>4</w:t>
                  </w:r>
                  <w:r>
                    <w:rPr>
                      <w:color w:val="auto"/>
                      <w:szCs w:val="21"/>
                    </w:rPr>
                    <w:t>）外排。</w:t>
                  </w:r>
                </w:p>
              </w:tc>
              <w:tc>
                <w:tcPr>
                  <w:tcW w:w="751" w:type="dxa"/>
                  <w:vMerge w:val="restart"/>
                  <w:vAlign w:val="center"/>
                </w:tcPr>
                <w:p>
                  <w:pPr>
                    <w:pStyle w:val="30"/>
                    <w:spacing w:line="360" w:lineRule="exact"/>
                    <w:rPr>
                      <w:color w:val="auto"/>
                      <w:szCs w:val="21"/>
                    </w:rPr>
                  </w:pPr>
                  <w:r>
                    <w:rPr>
                      <w:color w:val="auto"/>
                      <w:szCs w:val="21"/>
                    </w:rPr>
                    <w:t>有组织</w:t>
                  </w:r>
                </w:p>
              </w:tc>
              <w:tc>
                <w:tcPr>
                  <w:tcW w:w="2310" w:type="dxa"/>
                  <w:gridSpan w:val="2"/>
                  <w:vAlign w:val="center"/>
                </w:tcPr>
                <w:p>
                  <w:pPr>
                    <w:pStyle w:val="30"/>
                    <w:spacing w:line="360" w:lineRule="exact"/>
                    <w:rPr>
                      <w:color w:val="auto"/>
                      <w:szCs w:val="21"/>
                    </w:rPr>
                  </w:pPr>
                  <w:r>
                    <w:rPr>
                      <w:color w:val="auto"/>
                      <w:szCs w:val="21"/>
                    </w:rPr>
                    <w:t>排气筒参数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left"/>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高度</w:t>
                  </w:r>
                </w:p>
              </w:tc>
              <w:tc>
                <w:tcPr>
                  <w:tcW w:w="1558" w:type="dxa"/>
                  <w:vAlign w:val="center"/>
                </w:tcPr>
                <w:p>
                  <w:pPr>
                    <w:pStyle w:val="30"/>
                    <w:spacing w:line="360" w:lineRule="exact"/>
                    <w:rPr>
                      <w:color w:val="auto"/>
                      <w:szCs w:val="21"/>
                    </w:rPr>
                  </w:pPr>
                  <w:r>
                    <w:rPr>
                      <w:color w:val="auto"/>
                      <w:szCs w:val="21"/>
                    </w:rPr>
                    <w:t>15m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left"/>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内径</w:t>
                  </w:r>
                </w:p>
              </w:tc>
              <w:tc>
                <w:tcPr>
                  <w:tcW w:w="1558" w:type="dxa"/>
                  <w:vAlign w:val="center"/>
                </w:tcPr>
                <w:p>
                  <w:pPr>
                    <w:pStyle w:val="30"/>
                    <w:spacing w:line="360" w:lineRule="exact"/>
                    <w:rPr>
                      <w:color w:val="auto"/>
                      <w:szCs w:val="21"/>
                    </w:rPr>
                  </w:pPr>
                  <w:r>
                    <w:rPr>
                      <w:color w:val="auto"/>
                      <w:szCs w:val="21"/>
                    </w:rPr>
                    <w:t>0.</w:t>
                  </w:r>
                  <w:r>
                    <w:rPr>
                      <w:rFonts w:hint="eastAsia"/>
                      <w:color w:val="auto"/>
                      <w:szCs w:val="21"/>
                    </w:rPr>
                    <w:t>44</w:t>
                  </w:r>
                  <w:r>
                    <w:rPr>
                      <w:color w:val="auto"/>
                      <w:szCs w:val="21"/>
                    </w:rPr>
                    <w:t>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left"/>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温度</w:t>
                  </w:r>
                </w:p>
              </w:tc>
              <w:tc>
                <w:tcPr>
                  <w:tcW w:w="1558" w:type="dxa"/>
                  <w:vAlign w:val="center"/>
                </w:tcPr>
                <w:p>
                  <w:pPr>
                    <w:pStyle w:val="30"/>
                    <w:spacing w:line="360" w:lineRule="exact"/>
                    <w:rPr>
                      <w:color w:val="auto"/>
                      <w:szCs w:val="21"/>
                    </w:rPr>
                  </w:pPr>
                  <w:r>
                    <w:rPr>
                      <w:color w:val="auto"/>
                      <w:szCs w:val="21"/>
                    </w:rPr>
                    <w:t>常温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left"/>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编号</w:t>
                  </w:r>
                </w:p>
              </w:tc>
              <w:tc>
                <w:tcPr>
                  <w:tcW w:w="1558" w:type="dxa"/>
                  <w:vAlign w:val="center"/>
                </w:tcPr>
                <w:p>
                  <w:pPr>
                    <w:pStyle w:val="30"/>
                    <w:spacing w:line="360" w:lineRule="exact"/>
                    <w:rPr>
                      <w:color w:val="auto"/>
                      <w:szCs w:val="21"/>
                    </w:rPr>
                  </w:pPr>
                  <w:r>
                    <w:rPr>
                      <w:color w:val="auto"/>
                      <w:szCs w:val="21"/>
                    </w:rPr>
                    <w:t>DA00</w:t>
                  </w:r>
                  <w:r>
                    <w:rPr>
                      <w:rFonts w:hint="eastAsia"/>
                      <w:color w:val="auto"/>
                      <w:szCs w:val="21"/>
                    </w:rPr>
                    <w:t>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left"/>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类型</w:t>
                  </w:r>
                </w:p>
              </w:tc>
              <w:tc>
                <w:tcPr>
                  <w:tcW w:w="1558" w:type="dxa"/>
                  <w:vAlign w:val="center"/>
                </w:tcPr>
                <w:p>
                  <w:pPr>
                    <w:pStyle w:val="30"/>
                    <w:spacing w:line="360" w:lineRule="exact"/>
                    <w:rPr>
                      <w:color w:val="auto"/>
                      <w:szCs w:val="21"/>
                    </w:rPr>
                  </w:pPr>
                  <w:r>
                    <w:rPr>
                      <w:color w:val="auto"/>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left"/>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坐标</w:t>
                  </w:r>
                </w:p>
              </w:tc>
              <w:tc>
                <w:tcPr>
                  <w:tcW w:w="1558" w:type="dxa"/>
                  <w:vAlign w:val="center"/>
                </w:tcPr>
                <w:p>
                  <w:pPr>
                    <w:pStyle w:val="30"/>
                    <w:spacing w:line="360" w:lineRule="exact"/>
                    <w:rPr>
                      <w:color w:val="auto"/>
                      <w:szCs w:val="21"/>
                    </w:rPr>
                  </w:pPr>
                  <w:r>
                    <w:rPr>
                      <w:color w:val="auto"/>
                      <w:szCs w:val="21"/>
                    </w:rPr>
                    <w:t>E103.253227°</w:t>
                  </w:r>
                </w:p>
                <w:p>
                  <w:pPr>
                    <w:pStyle w:val="30"/>
                    <w:spacing w:line="360" w:lineRule="exact"/>
                    <w:rPr>
                      <w:color w:val="auto"/>
                      <w:szCs w:val="21"/>
                    </w:rPr>
                  </w:pPr>
                  <w:r>
                    <w:rPr>
                      <w:color w:val="auto"/>
                      <w:szCs w:val="21"/>
                    </w:rPr>
                    <w:t>N25.640182°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restart"/>
                  <w:vAlign w:val="center"/>
                </w:tcPr>
                <w:p>
                  <w:pPr>
                    <w:pStyle w:val="30"/>
                    <w:spacing w:line="360" w:lineRule="exact"/>
                    <w:rPr>
                      <w:color w:val="auto"/>
                      <w:szCs w:val="21"/>
                    </w:rPr>
                  </w:pPr>
                  <w:r>
                    <w:rPr>
                      <w:color w:val="auto"/>
                      <w:szCs w:val="21"/>
                    </w:rPr>
                    <w:t>2号废旧电视机（CRT）处理线</w:t>
                  </w:r>
                </w:p>
              </w:tc>
              <w:tc>
                <w:tcPr>
                  <w:tcW w:w="752" w:type="dxa"/>
                  <w:vMerge w:val="restart"/>
                  <w:vAlign w:val="center"/>
                </w:tcPr>
                <w:p>
                  <w:pPr>
                    <w:pStyle w:val="30"/>
                    <w:spacing w:line="360" w:lineRule="exact"/>
                    <w:rPr>
                      <w:color w:val="auto"/>
                      <w:szCs w:val="21"/>
                    </w:rPr>
                  </w:pPr>
                  <w:r>
                    <w:rPr>
                      <w:rFonts w:hint="eastAsia"/>
                      <w:color w:val="auto"/>
                      <w:szCs w:val="21"/>
                    </w:rPr>
                    <w:t>前端</w:t>
                  </w:r>
                  <w:r>
                    <w:rPr>
                      <w:color w:val="auto"/>
                      <w:szCs w:val="21"/>
                    </w:rPr>
                    <w:t>拆解</w:t>
                  </w:r>
                </w:p>
              </w:tc>
              <w:tc>
                <w:tcPr>
                  <w:tcW w:w="809" w:type="dxa"/>
                  <w:vMerge w:val="restart"/>
                  <w:vAlign w:val="center"/>
                </w:tcPr>
                <w:p>
                  <w:pPr>
                    <w:pStyle w:val="30"/>
                    <w:spacing w:line="360" w:lineRule="exact"/>
                    <w:rPr>
                      <w:color w:val="auto"/>
                      <w:szCs w:val="21"/>
                    </w:rPr>
                  </w:pPr>
                  <w:r>
                    <w:rPr>
                      <w:rFonts w:hint="eastAsia"/>
                      <w:color w:val="auto"/>
                      <w:szCs w:val="21"/>
                    </w:rPr>
                    <w:t>普通粉尘</w:t>
                  </w:r>
                </w:p>
              </w:tc>
              <w:tc>
                <w:tcPr>
                  <w:tcW w:w="3403" w:type="dxa"/>
                  <w:vMerge w:val="restart"/>
                  <w:vAlign w:val="center"/>
                </w:tcPr>
                <w:p>
                  <w:pPr>
                    <w:pStyle w:val="30"/>
                    <w:spacing w:line="360" w:lineRule="exact"/>
                    <w:ind w:firstLine="210" w:firstLineChars="100"/>
                    <w:jc w:val="both"/>
                    <w:rPr>
                      <w:color w:val="auto"/>
                      <w:szCs w:val="21"/>
                    </w:rPr>
                  </w:pPr>
                  <w:r>
                    <w:rPr>
                      <w:color w:val="auto"/>
                      <w:szCs w:val="21"/>
                    </w:rPr>
                    <w:t>针对2号废旧电视机（CRT）处理线拆解普通粉尘，项目已分别在1个破碎区、2个人工喷吹室、1条人工拆解线工作台分别设置了集气效率不低于90%的集气罩进行收集</w:t>
                  </w:r>
                  <w:r>
                    <w:rPr>
                      <w:rFonts w:hint="eastAsia"/>
                      <w:color w:val="auto"/>
                      <w:szCs w:val="21"/>
                    </w:rPr>
                    <w:t>，</w:t>
                  </w:r>
                  <w:r>
                    <w:rPr>
                      <w:color w:val="auto"/>
                      <w:szCs w:val="21"/>
                    </w:rPr>
                    <w:t>收集后</w:t>
                  </w:r>
                  <w:r>
                    <w:rPr>
                      <w:rFonts w:hint="eastAsia"/>
                      <w:color w:val="auto"/>
                      <w:szCs w:val="21"/>
                    </w:rPr>
                    <w:t>,</w:t>
                  </w:r>
                  <w:r>
                    <w:rPr>
                      <w:color w:val="auto"/>
                      <w:szCs w:val="21"/>
                    </w:rPr>
                    <w:t>进入1个处理效率不低于95%的</w:t>
                  </w:r>
                  <w:r>
                    <w:rPr>
                      <w:rFonts w:hint="eastAsia"/>
                      <w:color w:val="auto"/>
                      <w:szCs w:val="21"/>
                    </w:rPr>
                    <w:t>5</w:t>
                  </w:r>
                  <w:r>
                    <w:rPr>
                      <w:color w:val="auto"/>
                      <w:szCs w:val="21"/>
                    </w:rPr>
                    <w:t>#脉冲除尘器对其进行处理后通过1根Φ0.74m、高15m的排气筒（DA00</w:t>
                  </w:r>
                  <w:r>
                    <w:rPr>
                      <w:rFonts w:hint="eastAsia"/>
                      <w:color w:val="auto"/>
                      <w:szCs w:val="21"/>
                    </w:rPr>
                    <w:t>5</w:t>
                  </w:r>
                  <w:r>
                    <w:rPr>
                      <w:color w:val="auto"/>
                      <w:szCs w:val="21"/>
                    </w:rPr>
                    <w:t>）外排。</w:t>
                  </w:r>
                </w:p>
              </w:tc>
              <w:tc>
                <w:tcPr>
                  <w:tcW w:w="751" w:type="dxa"/>
                  <w:vMerge w:val="restart"/>
                  <w:vAlign w:val="center"/>
                </w:tcPr>
                <w:p>
                  <w:pPr>
                    <w:pStyle w:val="30"/>
                    <w:spacing w:line="360" w:lineRule="exact"/>
                    <w:rPr>
                      <w:color w:val="auto"/>
                      <w:szCs w:val="21"/>
                    </w:rPr>
                  </w:pPr>
                  <w:r>
                    <w:rPr>
                      <w:color w:val="auto"/>
                      <w:szCs w:val="21"/>
                    </w:rPr>
                    <w:t>有组织</w:t>
                  </w:r>
                </w:p>
              </w:tc>
              <w:tc>
                <w:tcPr>
                  <w:tcW w:w="2310" w:type="dxa"/>
                  <w:gridSpan w:val="2"/>
                  <w:vAlign w:val="center"/>
                </w:tcPr>
                <w:p>
                  <w:pPr>
                    <w:pStyle w:val="30"/>
                    <w:spacing w:line="360" w:lineRule="exact"/>
                    <w:rPr>
                      <w:color w:val="auto"/>
                      <w:szCs w:val="21"/>
                    </w:rPr>
                  </w:pPr>
                  <w:r>
                    <w:rPr>
                      <w:color w:val="auto"/>
                      <w:szCs w:val="21"/>
                    </w:rPr>
                    <w:t>排气筒参数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both"/>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高度</w:t>
                  </w:r>
                </w:p>
              </w:tc>
              <w:tc>
                <w:tcPr>
                  <w:tcW w:w="1558" w:type="dxa"/>
                  <w:vAlign w:val="center"/>
                </w:tcPr>
                <w:p>
                  <w:pPr>
                    <w:pStyle w:val="30"/>
                    <w:spacing w:line="360" w:lineRule="exact"/>
                    <w:rPr>
                      <w:color w:val="auto"/>
                      <w:szCs w:val="21"/>
                    </w:rPr>
                  </w:pPr>
                  <w:r>
                    <w:rPr>
                      <w:color w:val="auto"/>
                      <w:szCs w:val="21"/>
                    </w:rPr>
                    <w:t>15m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both"/>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内径</w:t>
                  </w:r>
                </w:p>
              </w:tc>
              <w:tc>
                <w:tcPr>
                  <w:tcW w:w="1558" w:type="dxa"/>
                  <w:vAlign w:val="center"/>
                </w:tcPr>
                <w:p>
                  <w:pPr>
                    <w:pStyle w:val="30"/>
                    <w:spacing w:line="360" w:lineRule="exact"/>
                    <w:rPr>
                      <w:color w:val="auto"/>
                      <w:szCs w:val="21"/>
                    </w:rPr>
                  </w:pPr>
                  <w:r>
                    <w:rPr>
                      <w:color w:val="auto"/>
                      <w:szCs w:val="21"/>
                    </w:rPr>
                    <w:t>0.</w:t>
                  </w:r>
                  <w:r>
                    <w:rPr>
                      <w:rFonts w:hint="eastAsia"/>
                      <w:color w:val="auto"/>
                      <w:szCs w:val="21"/>
                    </w:rPr>
                    <w:t>74</w:t>
                  </w:r>
                  <w:r>
                    <w:rPr>
                      <w:color w:val="auto"/>
                      <w:szCs w:val="21"/>
                    </w:rPr>
                    <w:t>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both"/>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温度</w:t>
                  </w:r>
                </w:p>
              </w:tc>
              <w:tc>
                <w:tcPr>
                  <w:tcW w:w="1558" w:type="dxa"/>
                  <w:vAlign w:val="center"/>
                </w:tcPr>
                <w:p>
                  <w:pPr>
                    <w:pStyle w:val="30"/>
                    <w:spacing w:line="360" w:lineRule="exact"/>
                    <w:rPr>
                      <w:color w:val="auto"/>
                      <w:szCs w:val="21"/>
                    </w:rPr>
                  </w:pPr>
                  <w:r>
                    <w:rPr>
                      <w:color w:val="auto"/>
                      <w:szCs w:val="21"/>
                    </w:rPr>
                    <w:t>常温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both"/>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编号</w:t>
                  </w:r>
                </w:p>
              </w:tc>
              <w:tc>
                <w:tcPr>
                  <w:tcW w:w="1558" w:type="dxa"/>
                  <w:vAlign w:val="center"/>
                </w:tcPr>
                <w:p>
                  <w:pPr>
                    <w:pStyle w:val="30"/>
                    <w:spacing w:line="360" w:lineRule="exact"/>
                    <w:rPr>
                      <w:color w:val="auto"/>
                      <w:szCs w:val="21"/>
                    </w:rPr>
                  </w:pPr>
                  <w:r>
                    <w:rPr>
                      <w:color w:val="auto"/>
                      <w:szCs w:val="21"/>
                    </w:rPr>
                    <w:t>DA00</w:t>
                  </w:r>
                  <w:r>
                    <w:rPr>
                      <w:rFonts w:hint="eastAsia"/>
                      <w:color w:val="auto"/>
                      <w:szCs w:val="21"/>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both"/>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类型</w:t>
                  </w:r>
                </w:p>
              </w:tc>
              <w:tc>
                <w:tcPr>
                  <w:tcW w:w="1558" w:type="dxa"/>
                  <w:vAlign w:val="center"/>
                </w:tcPr>
                <w:p>
                  <w:pPr>
                    <w:pStyle w:val="30"/>
                    <w:spacing w:line="360" w:lineRule="exact"/>
                    <w:rPr>
                      <w:color w:val="auto"/>
                      <w:szCs w:val="21"/>
                    </w:rPr>
                  </w:pPr>
                  <w:r>
                    <w:rPr>
                      <w:color w:val="auto"/>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both"/>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坐标</w:t>
                  </w:r>
                </w:p>
              </w:tc>
              <w:tc>
                <w:tcPr>
                  <w:tcW w:w="1558" w:type="dxa"/>
                  <w:vAlign w:val="center"/>
                </w:tcPr>
                <w:p>
                  <w:pPr>
                    <w:pStyle w:val="30"/>
                    <w:spacing w:line="360" w:lineRule="exact"/>
                    <w:rPr>
                      <w:color w:val="auto"/>
                      <w:szCs w:val="21"/>
                    </w:rPr>
                  </w:pPr>
                  <w:r>
                    <w:rPr>
                      <w:color w:val="auto"/>
                      <w:szCs w:val="21"/>
                    </w:rPr>
                    <w:t>E103.252777°</w:t>
                  </w:r>
                </w:p>
                <w:p>
                  <w:pPr>
                    <w:pStyle w:val="30"/>
                    <w:spacing w:line="360" w:lineRule="exact"/>
                    <w:rPr>
                      <w:color w:val="auto"/>
                      <w:szCs w:val="21"/>
                    </w:rPr>
                  </w:pPr>
                  <w:r>
                    <w:rPr>
                      <w:color w:val="auto"/>
                      <w:szCs w:val="21"/>
                    </w:rPr>
                    <w:t>N25.638798°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restart"/>
                  <w:vAlign w:val="center"/>
                </w:tcPr>
                <w:p>
                  <w:pPr>
                    <w:pStyle w:val="30"/>
                    <w:spacing w:line="360" w:lineRule="exact"/>
                    <w:rPr>
                      <w:color w:val="auto"/>
                      <w:szCs w:val="21"/>
                    </w:rPr>
                  </w:pPr>
                  <w:r>
                    <w:rPr>
                      <w:color w:val="auto"/>
                      <w:szCs w:val="21"/>
                    </w:rPr>
                    <w:t>阴极射线管（CRT）拆解</w:t>
                  </w:r>
                </w:p>
              </w:tc>
              <w:tc>
                <w:tcPr>
                  <w:tcW w:w="809" w:type="dxa"/>
                  <w:vMerge w:val="restart"/>
                  <w:vAlign w:val="center"/>
                </w:tcPr>
                <w:p>
                  <w:pPr>
                    <w:pStyle w:val="30"/>
                    <w:spacing w:line="360" w:lineRule="exact"/>
                    <w:rPr>
                      <w:color w:val="auto"/>
                      <w:szCs w:val="21"/>
                    </w:rPr>
                  </w:pPr>
                  <w:r>
                    <w:rPr>
                      <w:color w:val="auto"/>
                      <w:szCs w:val="21"/>
                    </w:rPr>
                    <w:t>粉尘、汞及其化合物</w:t>
                  </w:r>
                </w:p>
              </w:tc>
              <w:tc>
                <w:tcPr>
                  <w:tcW w:w="3403" w:type="dxa"/>
                  <w:vMerge w:val="restart"/>
                  <w:vAlign w:val="center"/>
                </w:tcPr>
                <w:p>
                  <w:pPr>
                    <w:pStyle w:val="30"/>
                    <w:spacing w:line="360" w:lineRule="exact"/>
                    <w:ind w:firstLine="210" w:firstLineChars="100"/>
                    <w:jc w:val="both"/>
                    <w:rPr>
                      <w:color w:val="auto"/>
                      <w:szCs w:val="21"/>
                    </w:rPr>
                  </w:pPr>
                  <w:r>
                    <w:rPr>
                      <w:color w:val="auto"/>
                      <w:szCs w:val="21"/>
                    </w:rPr>
                    <w:t>针对2号废旧电视机（CRT）处理线拆解含铅粉尘，阴极射线管（CRT）拆解区为密闭式拆解区设置6个阴极射线管（CRT）拆解工作台，项目分别对6个阴极射线管（CRT）拆解工作台设置集气效率不低于95%的集气罩对其进行收集；收集后统一进入1个处理效率不低于95%的6#脉冲除尘器对其进行处理，处理后通过1根Φ0.76m、高15m的排气筒（DA006）外排。</w:t>
                  </w:r>
                </w:p>
              </w:tc>
              <w:tc>
                <w:tcPr>
                  <w:tcW w:w="751" w:type="dxa"/>
                  <w:vMerge w:val="restart"/>
                  <w:vAlign w:val="center"/>
                </w:tcPr>
                <w:p>
                  <w:pPr>
                    <w:pStyle w:val="30"/>
                    <w:spacing w:line="360" w:lineRule="exact"/>
                    <w:rPr>
                      <w:color w:val="auto"/>
                      <w:szCs w:val="21"/>
                    </w:rPr>
                  </w:pPr>
                  <w:r>
                    <w:rPr>
                      <w:color w:val="auto"/>
                      <w:szCs w:val="21"/>
                    </w:rPr>
                    <w:t>有组织</w:t>
                  </w:r>
                </w:p>
              </w:tc>
              <w:tc>
                <w:tcPr>
                  <w:tcW w:w="2310" w:type="dxa"/>
                  <w:gridSpan w:val="2"/>
                  <w:vAlign w:val="center"/>
                </w:tcPr>
                <w:p>
                  <w:pPr>
                    <w:pStyle w:val="30"/>
                    <w:spacing w:line="360" w:lineRule="exact"/>
                    <w:rPr>
                      <w:color w:val="auto"/>
                      <w:szCs w:val="21"/>
                    </w:rPr>
                  </w:pPr>
                  <w:r>
                    <w:rPr>
                      <w:color w:val="auto"/>
                      <w:szCs w:val="21"/>
                    </w:rPr>
                    <w:t>排气筒参数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left"/>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高度</w:t>
                  </w:r>
                </w:p>
              </w:tc>
              <w:tc>
                <w:tcPr>
                  <w:tcW w:w="1558" w:type="dxa"/>
                  <w:vAlign w:val="center"/>
                </w:tcPr>
                <w:p>
                  <w:pPr>
                    <w:pStyle w:val="30"/>
                    <w:spacing w:line="360" w:lineRule="exact"/>
                    <w:rPr>
                      <w:color w:val="auto"/>
                      <w:szCs w:val="21"/>
                    </w:rPr>
                  </w:pPr>
                  <w:r>
                    <w:rPr>
                      <w:color w:val="auto"/>
                      <w:szCs w:val="21"/>
                    </w:rPr>
                    <w:t>15m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left"/>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内径</w:t>
                  </w:r>
                </w:p>
              </w:tc>
              <w:tc>
                <w:tcPr>
                  <w:tcW w:w="1558" w:type="dxa"/>
                  <w:vAlign w:val="center"/>
                </w:tcPr>
                <w:p>
                  <w:pPr>
                    <w:pStyle w:val="30"/>
                    <w:spacing w:line="360" w:lineRule="exact"/>
                    <w:rPr>
                      <w:color w:val="auto"/>
                      <w:szCs w:val="21"/>
                    </w:rPr>
                  </w:pPr>
                  <w:r>
                    <w:rPr>
                      <w:color w:val="auto"/>
                      <w:szCs w:val="21"/>
                    </w:rPr>
                    <w:t>0.</w:t>
                  </w:r>
                  <w:r>
                    <w:rPr>
                      <w:rFonts w:hint="eastAsia"/>
                      <w:color w:val="auto"/>
                      <w:szCs w:val="21"/>
                    </w:rPr>
                    <w:t>76</w:t>
                  </w:r>
                  <w:r>
                    <w:rPr>
                      <w:color w:val="auto"/>
                      <w:szCs w:val="21"/>
                    </w:rPr>
                    <w:t>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left"/>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温度</w:t>
                  </w:r>
                </w:p>
              </w:tc>
              <w:tc>
                <w:tcPr>
                  <w:tcW w:w="1558" w:type="dxa"/>
                  <w:vAlign w:val="center"/>
                </w:tcPr>
                <w:p>
                  <w:pPr>
                    <w:pStyle w:val="30"/>
                    <w:spacing w:line="360" w:lineRule="exact"/>
                    <w:rPr>
                      <w:color w:val="auto"/>
                      <w:szCs w:val="21"/>
                    </w:rPr>
                  </w:pPr>
                  <w:r>
                    <w:rPr>
                      <w:color w:val="auto"/>
                      <w:szCs w:val="21"/>
                    </w:rPr>
                    <w:t>常温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left"/>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编号</w:t>
                  </w:r>
                </w:p>
              </w:tc>
              <w:tc>
                <w:tcPr>
                  <w:tcW w:w="1558" w:type="dxa"/>
                  <w:vAlign w:val="center"/>
                </w:tcPr>
                <w:p>
                  <w:pPr>
                    <w:pStyle w:val="30"/>
                    <w:spacing w:line="360" w:lineRule="exact"/>
                    <w:rPr>
                      <w:color w:val="auto"/>
                      <w:szCs w:val="21"/>
                    </w:rPr>
                  </w:pPr>
                  <w:r>
                    <w:rPr>
                      <w:color w:val="auto"/>
                      <w:szCs w:val="21"/>
                    </w:rPr>
                    <w:t>DA00</w:t>
                  </w:r>
                  <w:r>
                    <w:rPr>
                      <w:rFonts w:hint="eastAsia"/>
                      <w:color w:val="auto"/>
                      <w:szCs w:val="21"/>
                    </w:rPr>
                    <w:t>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left"/>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类型</w:t>
                  </w:r>
                </w:p>
              </w:tc>
              <w:tc>
                <w:tcPr>
                  <w:tcW w:w="1558" w:type="dxa"/>
                  <w:vAlign w:val="center"/>
                </w:tcPr>
                <w:p>
                  <w:pPr>
                    <w:pStyle w:val="30"/>
                    <w:spacing w:line="360" w:lineRule="exact"/>
                    <w:rPr>
                      <w:color w:val="auto"/>
                      <w:szCs w:val="21"/>
                    </w:rPr>
                  </w:pPr>
                  <w:r>
                    <w:rPr>
                      <w:color w:val="auto"/>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Merge w:val="continue"/>
                  <w:vAlign w:val="center"/>
                </w:tcPr>
                <w:p>
                  <w:pPr>
                    <w:pStyle w:val="30"/>
                    <w:spacing w:line="360" w:lineRule="exact"/>
                    <w:rPr>
                      <w:color w:val="auto"/>
                      <w:szCs w:val="21"/>
                    </w:rPr>
                  </w:pPr>
                </w:p>
              </w:tc>
              <w:tc>
                <w:tcPr>
                  <w:tcW w:w="752" w:type="dxa"/>
                  <w:vMerge w:val="continue"/>
                  <w:vAlign w:val="center"/>
                </w:tcPr>
                <w:p>
                  <w:pPr>
                    <w:pStyle w:val="30"/>
                    <w:spacing w:line="360" w:lineRule="exact"/>
                    <w:rPr>
                      <w:color w:val="auto"/>
                      <w:szCs w:val="21"/>
                    </w:rPr>
                  </w:pPr>
                </w:p>
              </w:tc>
              <w:tc>
                <w:tcPr>
                  <w:tcW w:w="809" w:type="dxa"/>
                  <w:vMerge w:val="continue"/>
                  <w:vAlign w:val="center"/>
                </w:tcPr>
                <w:p>
                  <w:pPr>
                    <w:pStyle w:val="30"/>
                    <w:spacing w:line="360" w:lineRule="exact"/>
                    <w:rPr>
                      <w:color w:val="auto"/>
                      <w:szCs w:val="21"/>
                    </w:rPr>
                  </w:pPr>
                </w:p>
              </w:tc>
              <w:tc>
                <w:tcPr>
                  <w:tcW w:w="3403" w:type="dxa"/>
                  <w:vMerge w:val="continue"/>
                  <w:vAlign w:val="center"/>
                </w:tcPr>
                <w:p>
                  <w:pPr>
                    <w:pStyle w:val="30"/>
                    <w:spacing w:line="360" w:lineRule="exact"/>
                    <w:ind w:firstLine="210" w:firstLineChars="100"/>
                    <w:jc w:val="left"/>
                    <w:rPr>
                      <w:color w:val="auto"/>
                      <w:szCs w:val="21"/>
                    </w:rPr>
                  </w:pPr>
                </w:p>
              </w:tc>
              <w:tc>
                <w:tcPr>
                  <w:tcW w:w="751" w:type="dxa"/>
                  <w:vMerge w:val="continue"/>
                  <w:vAlign w:val="center"/>
                </w:tcPr>
                <w:p>
                  <w:pPr>
                    <w:pStyle w:val="30"/>
                    <w:spacing w:line="360" w:lineRule="exact"/>
                    <w:rPr>
                      <w:color w:val="auto"/>
                      <w:szCs w:val="21"/>
                    </w:rPr>
                  </w:pPr>
                </w:p>
              </w:tc>
              <w:tc>
                <w:tcPr>
                  <w:tcW w:w="752" w:type="dxa"/>
                  <w:vAlign w:val="center"/>
                </w:tcPr>
                <w:p>
                  <w:pPr>
                    <w:pStyle w:val="30"/>
                    <w:spacing w:line="360" w:lineRule="exact"/>
                    <w:rPr>
                      <w:color w:val="auto"/>
                      <w:szCs w:val="21"/>
                    </w:rPr>
                  </w:pPr>
                  <w:r>
                    <w:rPr>
                      <w:color w:val="auto"/>
                      <w:szCs w:val="21"/>
                    </w:rPr>
                    <w:t>坐标</w:t>
                  </w:r>
                </w:p>
              </w:tc>
              <w:tc>
                <w:tcPr>
                  <w:tcW w:w="1558" w:type="dxa"/>
                  <w:vAlign w:val="center"/>
                </w:tcPr>
                <w:p>
                  <w:pPr>
                    <w:pStyle w:val="30"/>
                    <w:spacing w:line="360" w:lineRule="exact"/>
                    <w:rPr>
                      <w:color w:val="auto"/>
                      <w:szCs w:val="21"/>
                    </w:rPr>
                  </w:pPr>
                  <w:r>
                    <w:rPr>
                      <w:color w:val="auto"/>
                      <w:szCs w:val="21"/>
                    </w:rPr>
                    <w:t>E103.252948°</w:t>
                  </w:r>
                </w:p>
                <w:p>
                  <w:pPr>
                    <w:pStyle w:val="30"/>
                    <w:spacing w:line="360" w:lineRule="exact"/>
                    <w:rPr>
                      <w:color w:val="auto"/>
                      <w:szCs w:val="21"/>
                    </w:rPr>
                  </w:pPr>
                  <w:r>
                    <w:rPr>
                      <w:color w:val="auto"/>
                      <w:szCs w:val="21"/>
                    </w:rPr>
                    <w:t>N25.638673°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9" w:type="dxa"/>
                  <w:vAlign w:val="center"/>
                </w:tcPr>
                <w:p>
                  <w:pPr>
                    <w:pStyle w:val="30"/>
                    <w:spacing w:line="360" w:lineRule="exact"/>
                    <w:rPr>
                      <w:color w:val="auto"/>
                      <w:szCs w:val="21"/>
                    </w:rPr>
                  </w:pPr>
                  <w:r>
                    <w:rPr>
                      <w:color w:val="auto"/>
                      <w:szCs w:val="21"/>
                    </w:rPr>
                    <w:t>厨房</w:t>
                  </w:r>
                </w:p>
              </w:tc>
              <w:tc>
                <w:tcPr>
                  <w:tcW w:w="752" w:type="dxa"/>
                  <w:vAlign w:val="center"/>
                </w:tcPr>
                <w:p>
                  <w:pPr>
                    <w:pStyle w:val="30"/>
                    <w:spacing w:line="360" w:lineRule="exact"/>
                    <w:rPr>
                      <w:color w:val="auto"/>
                      <w:szCs w:val="21"/>
                    </w:rPr>
                  </w:pPr>
                  <w:r>
                    <w:rPr>
                      <w:color w:val="auto"/>
                      <w:szCs w:val="21"/>
                    </w:rPr>
                    <w:t>--</w:t>
                  </w:r>
                </w:p>
              </w:tc>
              <w:tc>
                <w:tcPr>
                  <w:tcW w:w="809" w:type="dxa"/>
                  <w:vAlign w:val="center"/>
                </w:tcPr>
                <w:p>
                  <w:pPr>
                    <w:pStyle w:val="30"/>
                    <w:spacing w:line="360" w:lineRule="exact"/>
                    <w:rPr>
                      <w:color w:val="auto"/>
                      <w:szCs w:val="21"/>
                    </w:rPr>
                  </w:pPr>
                  <w:r>
                    <w:rPr>
                      <w:color w:val="auto"/>
                      <w:szCs w:val="21"/>
                    </w:rPr>
                    <w:t>厨房油烟</w:t>
                  </w:r>
                </w:p>
              </w:tc>
              <w:tc>
                <w:tcPr>
                  <w:tcW w:w="3403" w:type="dxa"/>
                  <w:vAlign w:val="center"/>
                </w:tcPr>
                <w:p>
                  <w:pPr>
                    <w:pStyle w:val="30"/>
                    <w:spacing w:line="360" w:lineRule="exact"/>
                    <w:ind w:firstLine="210" w:firstLineChars="100"/>
                    <w:jc w:val="both"/>
                    <w:rPr>
                      <w:color w:val="auto"/>
                      <w:szCs w:val="21"/>
                    </w:rPr>
                  </w:pPr>
                  <w:r>
                    <w:rPr>
                      <w:color w:val="auto"/>
                      <w:szCs w:val="21"/>
                    </w:rPr>
                    <w:t>项目区厨房安装一个最低去除率60%的油烟净化器。</w:t>
                  </w:r>
                </w:p>
              </w:tc>
              <w:tc>
                <w:tcPr>
                  <w:tcW w:w="751" w:type="dxa"/>
                  <w:vAlign w:val="center"/>
                </w:tcPr>
                <w:p>
                  <w:pPr>
                    <w:pStyle w:val="30"/>
                    <w:spacing w:line="360" w:lineRule="exact"/>
                    <w:rPr>
                      <w:color w:val="auto"/>
                      <w:szCs w:val="21"/>
                    </w:rPr>
                  </w:pPr>
                  <w:r>
                    <w:rPr>
                      <w:color w:val="auto"/>
                      <w:szCs w:val="21"/>
                    </w:rPr>
                    <w:t>--</w:t>
                  </w:r>
                </w:p>
              </w:tc>
              <w:tc>
                <w:tcPr>
                  <w:tcW w:w="2310" w:type="dxa"/>
                  <w:gridSpan w:val="2"/>
                  <w:vAlign w:val="center"/>
                </w:tcPr>
                <w:p>
                  <w:pPr>
                    <w:pStyle w:val="30"/>
                    <w:spacing w:line="360" w:lineRule="exact"/>
                    <w:ind w:firstLine="210" w:firstLineChars="100"/>
                    <w:jc w:val="both"/>
                    <w:rPr>
                      <w:color w:val="auto"/>
                      <w:szCs w:val="21"/>
                      <w:highlight w:val="yellow"/>
                    </w:rPr>
                  </w:pPr>
                  <w:r>
                    <w:rPr>
                      <w:color w:val="auto"/>
                      <w:szCs w:val="21"/>
                    </w:rPr>
                    <w:t>高于房顶1.5m的烟道外排</w:t>
                  </w:r>
                </w:p>
              </w:tc>
            </w:tr>
          </w:tbl>
          <w:p>
            <w:pPr>
              <w:spacing w:beforeLines="50" w:line="360" w:lineRule="auto"/>
              <w:ind w:firstLine="482" w:firstLineChars="200"/>
              <w:rPr>
                <w:rFonts w:ascii="Times New Roman" w:hAnsi="Times New Roman" w:cs="Times New Roman"/>
                <w:b/>
                <w:color w:val="auto"/>
                <w:sz w:val="24"/>
              </w:rPr>
            </w:pPr>
            <w:r>
              <w:rPr>
                <w:rFonts w:ascii="Times New Roman" w:hAnsi="Times New Roman" w:eastAsia="宋体" w:cs="Times New Roman"/>
                <w:b/>
                <w:color w:val="auto"/>
                <w:sz w:val="24"/>
              </w:rPr>
              <w:t>②</w:t>
            </w:r>
            <w:r>
              <w:rPr>
                <w:rFonts w:ascii="Times New Roman" w:hAnsi="Times New Roman" w:cs="Times New Roman"/>
                <w:b/>
                <w:color w:val="auto"/>
                <w:sz w:val="24"/>
              </w:rPr>
              <w:t>废气污染物排放源产排量及达标情况</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根据项目现有工程和技改工程产污环节和废气污染源强核算可知，项目废气污染物排放源产排量如下表所示。</w:t>
            </w:r>
          </w:p>
          <w:p>
            <w:pPr>
              <w:spacing w:line="360" w:lineRule="auto"/>
              <w:ind w:firstLine="480" w:firstLineChars="200"/>
              <w:rPr>
                <w:rFonts w:ascii="Times New Roman" w:hAnsi="Times New Roman" w:cs="Times New Roman"/>
                <w:color w:val="auto"/>
                <w:sz w:val="24"/>
                <w:szCs w:val="24"/>
              </w:rPr>
            </w:pPr>
          </w:p>
          <w:p>
            <w:pPr>
              <w:jc w:val="center"/>
              <w:rPr>
                <w:rFonts w:ascii="Times New Roman" w:hAnsi="Times New Roman" w:cs="Times New Roman"/>
                <w:b/>
                <w:color w:val="auto"/>
                <w:szCs w:val="24"/>
              </w:rPr>
            </w:pPr>
          </w:p>
          <w:p>
            <w:pPr>
              <w:jc w:val="center"/>
              <w:rPr>
                <w:rFonts w:ascii="Times New Roman" w:hAnsi="Times New Roman" w:cs="Times New Roman"/>
                <w:b/>
                <w:color w:val="auto"/>
                <w:szCs w:val="24"/>
              </w:rPr>
            </w:pPr>
            <w:r>
              <w:rPr>
                <w:rFonts w:ascii="Times New Roman" w:hAnsi="Times New Roman" w:cs="Times New Roman"/>
                <w:b/>
                <w:color w:val="auto"/>
                <w:szCs w:val="24"/>
              </w:rPr>
              <w:t>表4.2.1-4  废气污染物排放源产排量一览表</w:t>
            </w:r>
          </w:p>
          <w:tbl>
            <w:tblPr>
              <w:tblStyle w:val="20"/>
              <w:tblW w:w="904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17"/>
              <w:gridCol w:w="992"/>
              <w:gridCol w:w="2126"/>
              <w:gridCol w:w="851"/>
              <w:gridCol w:w="992"/>
              <w:gridCol w:w="1134"/>
              <w:gridCol w:w="851"/>
              <w:gridCol w:w="88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209" w:type="dxa"/>
                  <w:gridSpan w:val="2"/>
                  <w:vMerge w:val="restart"/>
                  <w:vAlign w:val="center"/>
                </w:tcPr>
                <w:p>
                  <w:pPr>
                    <w:pStyle w:val="30"/>
                    <w:spacing w:line="360" w:lineRule="exact"/>
                    <w:rPr>
                      <w:color w:val="auto"/>
                      <w:szCs w:val="21"/>
                    </w:rPr>
                  </w:pPr>
                  <w:r>
                    <w:rPr>
                      <w:color w:val="auto"/>
                      <w:szCs w:val="21"/>
                    </w:rPr>
                    <w:t>产排污环节</w:t>
                  </w:r>
                </w:p>
              </w:tc>
              <w:tc>
                <w:tcPr>
                  <w:tcW w:w="2126" w:type="dxa"/>
                  <w:vMerge w:val="restart"/>
                  <w:vAlign w:val="center"/>
                </w:tcPr>
                <w:p>
                  <w:pPr>
                    <w:pStyle w:val="30"/>
                    <w:spacing w:line="360" w:lineRule="exact"/>
                    <w:rPr>
                      <w:color w:val="auto"/>
                      <w:szCs w:val="21"/>
                    </w:rPr>
                  </w:pPr>
                  <w:r>
                    <w:rPr>
                      <w:color w:val="auto"/>
                      <w:szCs w:val="21"/>
                    </w:rPr>
                    <w:t>污染物种类</w:t>
                  </w:r>
                </w:p>
              </w:tc>
              <w:tc>
                <w:tcPr>
                  <w:tcW w:w="1843" w:type="dxa"/>
                  <w:gridSpan w:val="2"/>
                  <w:vAlign w:val="center"/>
                </w:tcPr>
                <w:p>
                  <w:pPr>
                    <w:pStyle w:val="30"/>
                    <w:spacing w:line="360" w:lineRule="exact"/>
                    <w:rPr>
                      <w:color w:val="auto"/>
                      <w:szCs w:val="21"/>
                    </w:rPr>
                  </w:pPr>
                  <w:r>
                    <w:rPr>
                      <w:color w:val="auto"/>
                      <w:szCs w:val="21"/>
                    </w:rPr>
                    <w:t>污染物产生情况</w:t>
                  </w:r>
                </w:p>
              </w:tc>
              <w:tc>
                <w:tcPr>
                  <w:tcW w:w="2866" w:type="dxa"/>
                  <w:gridSpan w:val="3"/>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污染物排放量和浓度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209" w:type="dxa"/>
                  <w:gridSpan w:val="2"/>
                  <w:vMerge w:val="continue"/>
                  <w:vAlign w:val="center"/>
                </w:tcPr>
                <w:p>
                  <w:pPr>
                    <w:pStyle w:val="30"/>
                    <w:spacing w:line="360" w:lineRule="exact"/>
                    <w:rPr>
                      <w:color w:val="auto"/>
                      <w:szCs w:val="21"/>
                    </w:rPr>
                  </w:pPr>
                </w:p>
              </w:tc>
              <w:tc>
                <w:tcPr>
                  <w:tcW w:w="2126" w:type="dxa"/>
                  <w:vMerge w:val="continue"/>
                  <w:vAlign w:val="center"/>
                </w:tcPr>
                <w:p>
                  <w:pPr>
                    <w:pStyle w:val="30"/>
                    <w:spacing w:line="360" w:lineRule="exact"/>
                    <w:rPr>
                      <w:color w:val="auto"/>
                      <w:szCs w:val="21"/>
                    </w:rPr>
                  </w:pPr>
                </w:p>
              </w:tc>
              <w:tc>
                <w:tcPr>
                  <w:tcW w:w="851" w:type="dxa"/>
                  <w:vAlign w:val="center"/>
                </w:tcPr>
                <w:p>
                  <w:pPr>
                    <w:pStyle w:val="30"/>
                    <w:spacing w:line="360" w:lineRule="exact"/>
                    <w:rPr>
                      <w:color w:val="auto"/>
                      <w:szCs w:val="21"/>
                    </w:rPr>
                  </w:pPr>
                  <w:r>
                    <w:rPr>
                      <w:color w:val="auto"/>
                      <w:szCs w:val="21"/>
                    </w:rPr>
                    <w:t>产生浓度mg/m³</w:t>
                  </w:r>
                </w:p>
              </w:tc>
              <w:tc>
                <w:tcPr>
                  <w:tcW w:w="992" w:type="dxa"/>
                  <w:vAlign w:val="center"/>
                </w:tcPr>
                <w:p>
                  <w:pPr>
                    <w:pStyle w:val="30"/>
                    <w:spacing w:line="360" w:lineRule="exact"/>
                    <w:rPr>
                      <w:color w:val="auto"/>
                      <w:szCs w:val="21"/>
                    </w:rPr>
                  </w:pPr>
                  <w:r>
                    <w:rPr>
                      <w:color w:val="auto"/>
                      <w:szCs w:val="21"/>
                    </w:rPr>
                    <w:t>产生量t/a</w:t>
                  </w:r>
                </w:p>
              </w:tc>
              <w:tc>
                <w:tcPr>
                  <w:tcW w:w="1134" w:type="dxa"/>
                  <w:vAlign w:val="center"/>
                </w:tcPr>
                <w:p>
                  <w:pPr>
                    <w:pStyle w:val="30"/>
                    <w:spacing w:line="360" w:lineRule="exact"/>
                    <w:rPr>
                      <w:color w:val="auto"/>
                      <w:szCs w:val="21"/>
                    </w:rPr>
                  </w:pPr>
                  <w:r>
                    <w:rPr>
                      <w:color w:val="auto"/>
                      <w:szCs w:val="21"/>
                    </w:rPr>
                    <w:t>排放浓度mg/m³</w:t>
                  </w:r>
                </w:p>
              </w:tc>
              <w:tc>
                <w:tcPr>
                  <w:tcW w:w="851" w:type="dxa"/>
                  <w:tcBorders>
                    <w:top w:val="single" w:color="auto" w:sz="4" w:space="0"/>
                    <w:right w:val="single" w:color="auto" w:sz="4" w:space="0"/>
                  </w:tcBorders>
                  <w:vAlign w:val="center"/>
                </w:tcPr>
                <w:p>
                  <w:pPr>
                    <w:pStyle w:val="30"/>
                    <w:spacing w:line="360" w:lineRule="exact"/>
                    <w:rPr>
                      <w:color w:val="auto"/>
                      <w:szCs w:val="21"/>
                    </w:rPr>
                  </w:pPr>
                  <w:r>
                    <w:rPr>
                      <w:color w:val="auto"/>
                      <w:szCs w:val="21"/>
                    </w:rPr>
                    <w:t>排放量t/a</w:t>
                  </w:r>
                </w:p>
              </w:tc>
              <w:tc>
                <w:tcPr>
                  <w:tcW w:w="881" w:type="dxa"/>
                  <w:tcBorders>
                    <w:top w:val="single" w:color="auto" w:sz="4" w:space="0"/>
                    <w:left w:val="single" w:color="auto" w:sz="4" w:space="0"/>
                  </w:tcBorders>
                  <w:vAlign w:val="center"/>
                </w:tcPr>
                <w:p>
                  <w:pPr>
                    <w:pStyle w:val="30"/>
                    <w:spacing w:line="360" w:lineRule="exact"/>
                    <w:rPr>
                      <w:color w:val="auto"/>
                      <w:szCs w:val="21"/>
                    </w:rPr>
                  </w:pPr>
                  <w:r>
                    <w:rPr>
                      <w:color w:val="auto"/>
                      <w:szCs w:val="21"/>
                    </w:rPr>
                    <w:t>排放速率kg/h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17" w:type="dxa"/>
                  <w:vMerge w:val="restart"/>
                  <w:vAlign w:val="center"/>
                </w:tcPr>
                <w:p>
                  <w:pPr>
                    <w:pStyle w:val="30"/>
                    <w:spacing w:line="360" w:lineRule="exact"/>
                    <w:rPr>
                      <w:color w:val="auto"/>
                      <w:szCs w:val="21"/>
                    </w:rPr>
                  </w:pPr>
                  <w:r>
                    <w:rPr>
                      <w:color w:val="auto"/>
                      <w:szCs w:val="21"/>
                    </w:rPr>
                    <w:t>废旧冰箱处理线</w:t>
                  </w:r>
                </w:p>
              </w:tc>
              <w:tc>
                <w:tcPr>
                  <w:tcW w:w="992" w:type="dxa"/>
                  <w:vMerge w:val="restart"/>
                  <w:vAlign w:val="center"/>
                </w:tcPr>
                <w:p>
                  <w:pPr>
                    <w:pStyle w:val="30"/>
                    <w:spacing w:line="360" w:lineRule="exact"/>
                    <w:rPr>
                      <w:color w:val="auto"/>
                      <w:szCs w:val="21"/>
                    </w:rPr>
                  </w:pPr>
                  <w:r>
                    <w:rPr>
                      <w:color w:val="auto"/>
                      <w:szCs w:val="21"/>
                    </w:rPr>
                    <w:t>冷媒抽取+拆解+破碎</w:t>
                  </w:r>
                </w:p>
              </w:tc>
              <w:tc>
                <w:tcPr>
                  <w:tcW w:w="2126" w:type="dxa"/>
                  <w:vAlign w:val="center"/>
                </w:tcPr>
                <w:p>
                  <w:pPr>
                    <w:pStyle w:val="30"/>
                    <w:spacing w:line="360" w:lineRule="exact"/>
                    <w:rPr>
                      <w:color w:val="auto"/>
                      <w:szCs w:val="21"/>
                    </w:rPr>
                  </w:pPr>
                  <w:r>
                    <w:rPr>
                      <w:color w:val="auto"/>
                      <w:szCs w:val="21"/>
                    </w:rPr>
                    <w:t>废气量</w:t>
                  </w:r>
                  <w:r>
                    <w:rPr>
                      <w:rFonts w:hint="eastAsia"/>
                      <w:color w:val="auto"/>
                      <w:szCs w:val="21"/>
                    </w:rPr>
                    <w:t>（DA001）</w:t>
                  </w:r>
                </w:p>
              </w:tc>
              <w:tc>
                <w:tcPr>
                  <w:tcW w:w="1843" w:type="dxa"/>
                  <w:gridSpan w:val="2"/>
                  <w:tcBorders>
                    <w:top w:val="single" w:color="auto" w:sz="4" w:space="0"/>
                    <w:bottom w:val="single" w:color="auto" w:sz="4" w:space="0"/>
                  </w:tcBorders>
                  <w:vAlign w:val="center"/>
                </w:tcPr>
                <w:p>
                  <w:pPr>
                    <w:pStyle w:val="30"/>
                    <w:spacing w:line="360" w:lineRule="exact"/>
                    <w:rPr>
                      <w:color w:val="auto"/>
                      <w:szCs w:val="21"/>
                    </w:rPr>
                  </w:pPr>
                  <w:r>
                    <w:rPr>
                      <w:color w:val="auto"/>
                      <w:szCs w:val="21"/>
                    </w:rPr>
                    <w:t>6000万m³/a</w:t>
                  </w:r>
                </w:p>
              </w:tc>
              <w:tc>
                <w:tcPr>
                  <w:tcW w:w="2866" w:type="dxa"/>
                  <w:gridSpan w:val="3"/>
                  <w:vAlign w:val="center"/>
                </w:tcPr>
                <w:p>
                  <w:pPr>
                    <w:pStyle w:val="30"/>
                    <w:spacing w:line="360" w:lineRule="exact"/>
                    <w:rPr>
                      <w:color w:val="auto"/>
                      <w:szCs w:val="21"/>
                    </w:rPr>
                  </w:pPr>
                  <w:r>
                    <w:rPr>
                      <w:color w:val="auto"/>
                      <w:szCs w:val="21"/>
                    </w:rPr>
                    <w:t>6000万m³/a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17" w:type="dxa"/>
                  <w:vMerge w:val="continue"/>
                  <w:vAlign w:val="center"/>
                </w:tcPr>
                <w:p>
                  <w:pPr>
                    <w:pStyle w:val="30"/>
                    <w:spacing w:line="360" w:lineRule="exact"/>
                    <w:rPr>
                      <w:color w:val="auto"/>
                      <w:szCs w:val="21"/>
                    </w:rPr>
                  </w:pPr>
                </w:p>
              </w:tc>
              <w:tc>
                <w:tcPr>
                  <w:tcW w:w="992" w:type="dxa"/>
                  <w:vMerge w:val="continue"/>
                  <w:vAlign w:val="center"/>
                </w:tcPr>
                <w:p>
                  <w:pPr>
                    <w:pStyle w:val="30"/>
                    <w:spacing w:line="360" w:lineRule="exact"/>
                    <w:rPr>
                      <w:color w:val="auto"/>
                      <w:szCs w:val="21"/>
                    </w:rPr>
                  </w:pPr>
                </w:p>
              </w:tc>
              <w:tc>
                <w:tcPr>
                  <w:tcW w:w="2126" w:type="dxa"/>
                  <w:vAlign w:val="center"/>
                </w:tcPr>
                <w:p>
                  <w:pPr>
                    <w:pStyle w:val="30"/>
                    <w:spacing w:line="360" w:lineRule="exact"/>
                    <w:rPr>
                      <w:color w:val="auto"/>
                      <w:szCs w:val="21"/>
                    </w:rPr>
                  </w:pPr>
                  <w:r>
                    <w:rPr>
                      <w:color w:val="auto"/>
                      <w:szCs w:val="21"/>
                    </w:rPr>
                    <w:t>粉尘（有组织）</w:t>
                  </w:r>
                </w:p>
              </w:tc>
              <w:tc>
                <w:tcPr>
                  <w:tcW w:w="851" w:type="dxa"/>
                  <w:vMerge w:val="restart"/>
                  <w:tcBorders>
                    <w:top w:val="single" w:color="auto" w:sz="4" w:space="0"/>
                  </w:tcBorders>
                  <w:vAlign w:val="center"/>
                </w:tcPr>
                <w:p>
                  <w:pPr>
                    <w:pStyle w:val="30"/>
                    <w:spacing w:line="360" w:lineRule="exact"/>
                    <w:rPr>
                      <w:color w:val="auto"/>
                      <w:szCs w:val="21"/>
                    </w:rPr>
                  </w:pPr>
                  <w:r>
                    <w:rPr>
                      <w:color w:val="auto"/>
                      <w:szCs w:val="21"/>
                    </w:rPr>
                    <w:t>237</w:t>
                  </w:r>
                </w:p>
              </w:tc>
              <w:tc>
                <w:tcPr>
                  <w:tcW w:w="992" w:type="dxa"/>
                  <w:vMerge w:val="restart"/>
                  <w:tcBorders>
                    <w:top w:val="single" w:color="auto" w:sz="4" w:space="0"/>
                  </w:tcBorders>
                  <w:vAlign w:val="center"/>
                </w:tcPr>
                <w:p>
                  <w:pPr>
                    <w:pStyle w:val="30"/>
                    <w:spacing w:line="360" w:lineRule="exact"/>
                    <w:rPr>
                      <w:color w:val="auto"/>
                      <w:szCs w:val="21"/>
                    </w:rPr>
                  </w:pPr>
                  <w:r>
                    <w:rPr>
                      <w:color w:val="auto"/>
                      <w:szCs w:val="21"/>
                    </w:rPr>
                    <w:t>14.22</w:t>
                  </w:r>
                </w:p>
              </w:tc>
              <w:tc>
                <w:tcPr>
                  <w:tcW w:w="1134" w:type="dxa"/>
                  <w:vAlign w:val="center"/>
                </w:tcPr>
                <w:p>
                  <w:pPr>
                    <w:pStyle w:val="30"/>
                    <w:spacing w:line="360" w:lineRule="exact"/>
                    <w:rPr>
                      <w:color w:val="auto"/>
                      <w:szCs w:val="21"/>
                    </w:rPr>
                  </w:pPr>
                  <w:r>
                    <w:rPr>
                      <w:color w:val="auto"/>
                      <w:szCs w:val="21"/>
                    </w:rPr>
                    <w:t xml:space="preserve">3.17 </w:t>
                  </w:r>
                </w:p>
              </w:tc>
              <w:tc>
                <w:tcPr>
                  <w:tcW w:w="851" w:type="dxa"/>
                  <w:tcBorders>
                    <w:right w:val="single" w:color="auto" w:sz="4" w:space="0"/>
                  </w:tcBorders>
                  <w:vAlign w:val="center"/>
                </w:tcPr>
                <w:p>
                  <w:pPr>
                    <w:pStyle w:val="30"/>
                    <w:spacing w:line="360" w:lineRule="exact"/>
                    <w:rPr>
                      <w:color w:val="auto"/>
                      <w:szCs w:val="21"/>
                    </w:rPr>
                  </w:pPr>
                  <w:r>
                    <w:rPr>
                      <w:color w:val="auto"/>
                      <w:szCs w:val="21"/>
                    </w:rPr>
                    <w:t>0.19</w:t>
                  </w:r>
                </w:p>
              </w:tc>
              <w:tc>
                <w:tcPr>
                  <w:tcW w:w="881" w:type="dxa"/>
                  <w:tcBorders>
                    <w:left w:val="single" w:color="auto" w:sz="4" w:space="0"/>
                  </w:tcBorders>
                  <w:vAlign w:val="center"/>
                </w:tcPr>
                <w:p>
                  <w:pPr>
                    <w:pStyle w:val="30"/>
                    <w:spacing w:line="360" w:lineRule="exact"/>
                    <w:rPr>
                      <w:color w:val="auto"/>
                      <w:szCs w:val="21"/>
                    </w:rPr>
                  </w:pPr>
                  <w:r>
                    <w:rPr>
                      <w:color w:val="auto"/>
                      <w:szCs w:val="21"/>
                    </w:rPr>
                    <w:t xml:space="preserve">0.06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17" w:type="dxa"/>
                  <w:vMerge w:val="continue"/>
                  <w:vAlign w:val="center"/>
                </w:tcPr>
                <w:p>
                  <w:pPr>
                    <w:pStyle w:val="30"/>
                    <w:spacing w:line="360" w:lineRule="exact"/>
                    <w:rPr>
                      <w:color w:val="auto"/>
                      <w:szCs w:val="21"/>
                    </w:rPr>
                  </w:pPr>
                </w:p>
              </w:tc>
              <w:tc>
                <w:tcPr>
                  <w:tcW w:w="992" w:type="dxa"/>
                  <w:vMerge w:val="continue"/>
                  <w:vAlign w:val="center"/>
                </w:tcPr>
                <w:p>
                  <w:pPr>
                    <w:pStyle w:val="30"/>
                    <w:spacing w:line="360" w:lineRule="exact"/>
                    <w:rPr>
                      <w:color w:val="auto"/>
                      <w:szCs w:val="21"/>
                    </w:rPr>
                  </w:pPr>
                </w:p>
              </w:tc>
              <w:tc>
                <w:tcPr>
                  <w:tcW w:w="2126" w:type="dxa"/>
                  <w:vAlign w:val="center"/>
                </w:tcPr>
                <w:p>
                  <w:pPr>
                    <w:pStyle w:val="30"/>
                    <w:spacing w:line="360" w:lineRule="exact"/>
                    <w:rPr>
                      <w:color w:val="auto"/>
                      <w:szCs w:val="21"/>
                    </w:rPr>
                  </w:pPr>
                  <w:r>
                    <w:rPr>
                      <w:color w:val="auto"/>
                      <w:szCs w:val="21"/>
                    </w:rPr>
                    <w:t>粉尘（无组织）</w:t>
                  </w:r>
                </w:p>
              </w:tc>
              <w:tc>
                <w:tcPr>
                  <w:tcW w:w="851" w:type="dxa"/>
                  <w:vMerge w:val="continue"/>
                  <w:tcBorders>
                    <w:bottom w:val="single" w:color="auto" w:sz="4" w:space="0"/>
                  </w:tcBorders>
                  <w:vAlign w:val="center"/>
                </w:tcPr>
                <w:p>
                  <w:pPr>
                    <w:pStyle w:val="30"/>
                    <w:spacing w:line="360" w:lineRule="exact"/>
                    <w:rPr>
                      <w:color w:val="auto"/>
                      <w:szCs w:val="21"/>
                    </w:rPr>
                  </w:pPr>
                </w:p>
              </w:tc>
              <w:tc>
                <w:tcPr>
                  <w:tcW w:w="992" w:type="dxa"/>
                  <w:vMerge w:val="continue"/>
                  <w:tcBorders>
                    <w:bottom w:val="single" w:color="auto" w:sz="4" w:space="0"/>
                  </w:tcBorders>
                  <w:vAlign w:val="center"/>
                </w:tcPr>
                <w:p>
                  <w:pPr>
                    <w:pStyle w:val="30"/>
                    <w:spacing w:line="360" w:lineRule="exact"/>
                    <w:rPr>
                      <w:color w:val="auto"/>
                      <w:szCs w:val="21"/>
                    </w:rPr>
                  </w:pPr>
                </w:p>
              </w:tc>
              <w:tc>
                <w:tcPr>
                  <w:tcW w:w="1134" w:type="dxa"/>
                  <w:vAlign w:val="center"/>
                </w:tcPr>
                <w:p>
                  <w:pPr>
                    <w:pStyle w:val="30"/>
                    <w:spacing w:line="360" w:lineRule="exact"/>
                    <w:rPr>
                      <w:color w:val="auto"/>
                      <w:szCs w:val="21"/>
                    </w:rPr>
                  </w:pPr>
                  <w:r>
                    <w:rPr>
                      <w:color w:val="auto"/>
                      <w:szCs w:val="21"/>
                    </w:rPr>
                    <w:t>--</w:t>
                  </w:r>
                </w:p>
              </w:tc>
              <w:tc>
                <w:tcPr>
                  <w:tcW w:w="851" w:type="dxa"/>
                  <w:tcBorders>
                    <w:right w:val="single" w:color="auto" w:sz="4" w:space="0"/>
                  </w:tcBorders>
                  <w:vAlign w:val="center"/>
                </w:tcPr>
                <w:p>
                  <w:pPr>
                    <w:pStyle w:val="30"/>
                    <w:spacing w:line="360" w:lineRule="exact"/>
                    <w:rPr>
                      <w:color w:val="auto"/>
                      <w:szCs w:val="21"/>
                    </w:rPr>
                  </w:pPr>
                  <w:r>
                    <w:rPr>
                      <w:color w:val="auto"/>
                      <w:szCs w:val="21"/>
                    </w:rPr>
                    <w:t>1.422</w:t>
                  </w:r>
                </w:p>
              </w:tc>
              <w:tc>
                <w:tcPr>
                  <w:tcW w:w="881" w:type="dxa"/>
                  <w:tcBorders>
                    <w:left w:val="single" w:color="auto" w:sz="4" w:space="0"/>
                  </w:tcBorders>
                  <w:vAlign w:val="center"/>
                </w:tcPr>
                <w:p>
                  <w:pPr>
                    <w:pStyle w:val="30"/>
                    <w:spacing w:line="360" w:lineRule="exact"/>
                    <w:rPr>
                      <w:color w:val="auto"/>
                      <w:szCs w:val="21"/>
                    </w:rPr>
                  </w:pPr>
                  <w:r>
                    <w:rPr>
                      <w:rFonts w:hint="eastAsia"/>
                      <w:color w:val="auto"/>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17" w:type="dxa"/>
                  <w:vMerge w:val="continue"/>
                  <w:vAlign w:val="center"/>
                </w:tcPr>
                <w:p>
                  <w:pPr>
                    <w:pStyle w:val="30"/>
                    <w:spacing w:line="360" w:lineRule="exact"/>
                    <w:rPr>
                      <w:color w:val="auto"/>
                      <w:szCs w:val="21"/>
                    </w:rPr>
                  </w:pPr>
                </w:p>
              </w:tc>
              <w:tc>
                <w:tcPr>
                  <w:tcW w:w="992" w:type="dxa"/>
                  <w:vMerge w:val="continue"/>
                  <w:vAlign w:val="center"/>
                </w:tcPr>
                <w:p>
                  <w:pPr>
                    <w:pStyle w:val="30"/>
                    <w:spacing w:line="360" w:lineRule="exact"/>
                    <w:rPr>
                      <w:color w:val="auto"/>
                      <w:szCs w:val="21"/>
                    </w:rPr>
                  </w:pPr>
                </w:p>
              </w:tc>
              <w:tc>
                <w:tcPr>
                  <w:tcW w:w="2126" w:type="dxa"/>
                  <w:vAlign w:val="center"/>
                </w:tcPr>
                <w:p>
                  <w:pPr>
                    <w:pStyle w:val="30"/>
                    <w:spacing w:line="360" w:lineRule="exact"/>
                    <w:rPr>
                      <w:color w:val="auto"/>
                      <w:szCs w:val="21"/>
                    </w:rPr>
                  </w:pPr>
                  <w:r>
                    <w:rPr>
                      <w:color w:val="auto"/>
                      <w:szCs w:val="21"/>
                    </w:rPr>
                    <w:t>非甲烷总烃（有组织）</w:t>
                  </w:r>
                </w:p>
              </w:tc>
              <w:tc>
                <w:tcPr>
                  <w:tcW w:w="851" w:type="dxa"/>
                  <w:vMerge w:val="restart"/>
                  <w:tcBorders>
                    <w:top w:val="single" w:color="auto" w:sz="4" w:space="0"/>
                  </w:tcBorders>
                  <w:vAlign w:val="center"/>
                </w:tcPr>
                <w:p>
                  <w:pPr>
                    <w:pStyle w:val="30"/>
                    <w:spacing w:line="360" w:lineRule="exact"/>
                    <w:rPr>
                      <w:color w:val="auto"/>
                      <w:szCs w:val="21"/>
                    </w:rPr>
                  </w:pPr>
                  <w:r>
                    <w:rPr>
                      <w:color w:val="auto"/>
                      <w:szCs w:val="21"/>
                    </w:rPr>
                    <w:t>5.5</w:t>
                  </w:r>
                </w:p>
              </w:tc>
              <w:tc>
                <w:tcPr>
                  <w:tcW w:w="992" w:type="dxa"/>
                  <w:vMerge w:val="restart"/>
                  <w:tcBorders>
                    <w:top w:val="single" w:color="auto" w:sz="4" w:space="0"/>
                  </w:tcBorders>
                  <w:vAlign w:val="center"/>
                </w:tcPr>
                <w:p>
                  <w:pPr>
                    <w:pStyle w:val="30"/>
                    <w:spacing w:line="360" w:lineRule="exact"/>
                    <w:rPr>
                      <w:color w:val="auto"/>
                      <w:szCs w:val="21"/>
                    </w:rPr>
                  </w:pPr>
                  <w:r>
                    <w:rPr>
                      <w:color w:val="auto"/>
                      <w:szCs w:val="21"/>
                    </w:rPr>
                    <w:t>0.33</w:t>
                  </w:r>
                </w:p>
              </w:tc>
              <w:tc>
                <w:tcPr>
                  <w:tcW w:w="1134" w:type="dxa"/>
                  <w:vAlign w:val="center"/>
                </w:tcPr>
                <w:p>
                  <w:pPr>
                    <w:pStyle w:val="30"/>
                    <w:spacing w:line="360" w:lineRule="exact"/>
                    <w:rPr>
                      <w:color w:val="auto"/>
                      <w:szCs w:val="21"/>
                    </w:rPr>
                  </w:pPr>
                  <w:r>
                    <w:rPr>
                      <w:color w:val="auto"/>
                      <w:szCs w:val="21"/>
                    </w:rPr>
                    <w:t>1</w:t>
                  </w:r>
                </w:p>
              </w:tc>
              <w:tc>
                <w:tcPr>
                  <w:tcW w:w="851" w:type="dxa"/>
                  <w:tcBorders>
                    <w:right w:val="single" w:color="auto" w:sz="4" w:space="0"/>
                  </w:tcBorders>
                  <w:vAlign w:val="center"/>
                </w:tcPr>
                <w:p>
                  <w:pPr>
                    <w:pStyle w:val="30"/>
                    <w:spacing w:line="360" w:lineRule="exact"/>
                    <w:rPr>
                      <w:color w:val="auto"/>
                      <w:szCs w:val="21"/>
                    </w:rPr>
                  </w:pPr>
                  <w:r>
                    <w:rPr>
                      <w:color w:val="auto"/>
                      <w:szCs w:val="21"/>
                    </w:rPr>
                    <w:t>0.06</w:t>
                  </w:r>
                </w:p>
              </w:tc>
              <w:tc>
                <w:tcPr>
                  <w:tcW w:w="881" w:type="dxa"/>
                  <w:tcBorders>
                    <w:left w:val="single" w:color="auto" w:sz="4" w:space="0"/>
                  </w:tcBorders>
                  <w:vAlign w:val="center"/>
                </w:tcPr>
                <w:p>
                  <w:pPr>
                    <w:pStyle w:val="30"/>
                    <w:spacing w:line="360" w:lineRule="exact"/>
                    <w:rPr>
                      <w:color w:val="auto"/>
                      <w:szCs w:val="21"/>
                    </w:rPr>
                  </w:pPr>
                  <w:r>
                    <w:rPr>
                      <w:color w:val="auto"/>
                      <w:szCs w:val="21"/>
                    </w:rPr>
                    <w:t>0.02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17" w:type="dxa"/>
                  <w:vMerge w:val="continue"/>
                  <w:vAlign w:val="center"/>
                </w:tcPr>
                <w:p>
                  <w:pPr>
                    <w:pStyle w:val="30"/>
                    <w:spacing w:line="360" w:lineRule="exact"/>
                    <w:rPr>
                      <w:color w:val="auto"/>
                      <w:szCs w:val="21"/>
                    </w:rPr>
                  </w:pPr>
                </w:p>
              </w:tc>
              <w:tc>
                <w:tcPr>
                  <w:tcW w:w="992" w:type="dxa"/>
                  <w:vMerge w:val="continue"/>
                  <w:vAlign w:val="center"/>
                </w:tcPr>
                <w:p>
                  <w:pPr>
                    <w:pStyle w:val="30"/>
                    <w:spacing w:line="360" w:lineRule="exact"/>
                    <w:rPr>
                      <w:color w:val="auto"/>
                      <w:szCs w:val="21"/>
                    </w:rPr>
                  </w:pPr>
                </w:p>
              </w:tc>
              <w:tc>
                <w:tcPr>
                  <w:tcW w:w="2126" w:type="dxa"/>
                  <w:vAlign w:val="center"/>
                </w:tcPr>
                <w:p>
                  <w:pPr>
                    <w:pStyle w:val="30"/>
                    <w:spacing w:line="360" w:lineRule="exact"/>
                    <w:rPr>
                      <w:color w:val="auto"/>
                      <w:szCs w:val="21"/>
                    </w:rPr>
                  </w:pPr>
                  <w:r>
                    <w:rPr>
                      <w:color w:val="auto"/>
                      <w:szCs w:val="21"/>
                    </w:rPr>
                    <w:t>非甲烷总烃（无组织）</w:t>
                  </w:r>
                </w:p>
              </w:tc>
              <w:tc>
                <w:tcPr>
                  <w:tcW w:w="851" w:type="dxa"/>
                  <w:vMerge w:val="continue"/>
                  <w:tcBorders>
                    <w:bottom w:val="single" w:color="auto" w:sz="4" w:space="0"/>
                  </w:tcBorders>
                  <w:vAlign w:val="center"/>
                </w:tcPr>
                <w:p>
                  <w:pPr>
                    <w:pStyle w:val="30"/>
                    <w:spacing w:line="360" w:lineRule="exact"/>
                    <w:rPr>
                      <w:color w:val="auto"/>
                      <w:szCs w:val="21"/>
                    </w:rPr>
                  </w:pPr>
                </w:p>
              </w:tc>
              <w:tc>
                <w:tcPr>
                  <w:tcW w:w="992" w:type="dxa"/>
                  <w:vMerge w:val="continue"/>
                  <w:tcBorders>
                    <w:bottom w:val="single" w:color="auto" w:sz="4" w:space="0"/>
                  </w:tcBorders>
                  <w:vAlign w:val="center"/>
                </w:tcPr>
                <w:p>
                  <w:pPr>
                    <w:pStyle w:val="30"/>
                    <w:spacing w:line="360" w:lineRule="exact"/>
                    <w:rPr>
                      <w:color w:val="auto"/>
                      <w:szCs w:val="21"/>
                    </w:rPr>
                  </w:pPr>
                </w:p>
              </w:tc>
              <w:tc>
                <w:tcPr>
                  <w:tcW w:w="1134" w:type="dxa"/>
                  <w:vAlign w:val="center"/>
                </w:tcPr>
                <w:p>
                  <w:pPr>
                    <w:pStyle w:val="30"/>
                    <w:spacing w:line="360" w:lineRule="exact"/>
                    <w:rPr>
                      <w:color w:val="auto"/>
                      <w:szCs w:val="21"/>
                    </w:rPr>
                  </w:pPr>
                  <w:r>
                    <w:rPr>
                      <w:color w:val="auto"/>
                      <w:szCs w:val="21"/>
                    </w:rPr>
                    <w:t>--</w:t>
                  </w:r>
                </w:p>
              </w:tc>
              <w:tc>
                <w:tcPr>
                  <w:tcW w:w="851" w:type="dxa"/>
                  <w:tcBorders>
                    <w:right w:val="single" w:color="auto" w:sz="4" w:space="0"/>
                  </w:tcBorders>
                  <w:vAlign w:val="center"/>
                </w:tcPr>
                <w:p>
                  <w:pPr>
                    <w:pStyle w:val="30"/>
                    <w:spacing w:line="360" w:lineRule="exact"/>
                    <w:rPr>
                      <w:color w:val="auto"/>
                      <w:szCs w:val="21"/>
                    </w:rPr>
                  </w:pPr>
                  <w:r>
                    <w:rPr>
                      <w:color w:val="auto"/>
                      <w:szCs w:val="21"/>
                    </w:rPr>
                    <w:t>0.03</w:t>
                  </w:r>
                </w:p>
              </w:tc>
              <w:tc>
                <w:tcPr>
                  <w:tcW w:w="881" w:type="dxa"/>
                  <w:tcBorders>
                    <w:left w:val="single" w:color="auto" w:sz="4" w:space="0"/>
                  </w:tcBorders>
                  <w:vAlign w:val="center"/>
                </w:tcPr>
                <w:p>
                  <w:pPr>
                    <w:pStyle w:val="30"/>
                    <w:spacing w:line="360" w:lineRule="exact"/>
                    <w:rPr>
                      <w:color w:val="auto"/>
                      <w:szCs w:val="21"/>
                    </w:rPr>
                  </w:pPr>
                  <w:r>
                    <w:rPr>
                      <w:rFonts w:hint="eastAsia"/>
                      <w:color w:val="auto"/>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67" w:hRule="atLeast"/>
              </w:trPr>
              <w:tc>
                <w:tcPr>
                  <w:tcW w:w="1217" w:type="dxa"/>
                  <w:vMerge w:val="restart"/>
                  <w:vAlign w:val="center"/>
                </w:tcPr>
                <w:p>
                  <w:pPr>
                    <w:pStyle w:val="30"/>
                    <w:spacing w:line="360" w:lineRule="exact"/>
                    <w:rPr>
                      <w:color w:val="auto"/>
                      <w:szCs w:val="21"/>
                    </w:rPr>
                  </w:pPr>
                  <w:r>
                    <w:rPr>
                      <w:color w:val="auto"/>
                      <w:szCs w:val="21"/>
                    </w:rPr>
                    <w:t>空调/小家电/废手机及其视听设备消费电子产品处理线</w:t>
                  </w:r>
                </w:p>
              </w:tc>
              <w:tc>
                <w:tcPr>
                  <w:tcW w:w="992" w:type="dxa"/>
                  <w:vMerge w:val="restart"/>
                  <w:vAlign w:val="center"/>
                </w:tcPr>
                <w:p>
                  <w:pPr>
                    <w:pStyle w:val="30"/>
                    <w:spacing w:line="360" w:lineRule="exact"/>
                    <w:rPr>
                      <w:color w:val="auto"/>
                      <w:szCs w:val="21"/>
                    </w:rPr>
                  </w:pPr>
                  <w:r>
                    <w:rPr>
                      <w:color w:val="auto"/>
                      <w:szCs w:val="21"/>
                    </w:rPr>
                    <w:t>拆解</w:t>
                  </w:r>
                </w:p>
              </w:tc>
              <w:tc>
                <w:tcPr>
                  <w:tcW w:w="2126" w:type="dxa"/>
                  <w:vAlign w:val="center"/>
                </w:tcPr>
                <w:p>
                  <w:pPr>
                    <w:pStyle w:val="30"/>
                    <w:spacing w:line="360" w:lineRule="exact"/>
                    <w:rPr>
                      <w:color w:val="auto"/>
                      <w:szCs w:val="21"/>
                    </w:rPr>
                  </w:pPr>
                  <w:r>
                    <w:rPr>
                      <w:color w:val="auto"/>
                      <w:szCs w:val="21"/>
                    </w:rPr>
                    <w:t>废气量</w:t>
                  </w:r>
                  <w:r>
                    <w:rPr>
                      <w:rFonts w:hint="eastAsia"/>
                      <w:color w:val="auto"/>
                      <w:szCs w:val="21"/>
                    </w:rPr>
                    <w:t>（DA002）</w:t>
                  </w:r>
                </w:p>
              </w:tc>
              <w:tc>
                <w:tcPr>
                  <w:tcW w:w="1843" w:type="dxa"/>
                  <w:gridSpan w:val="2"/>
                  <w:tcBorders>
                    <w:top w:val="single" w:color="auto" w:sz="4" w:space="0"/>
                    <w:bottom w:val="single" w:color="auto" w:sz="4" w:space="0"/>
                  </w:tcBorders>
                  <w:vAlign w:val="center"/>
                </w:tcPr>
                <w:p>
                  <w:pPr>
                    <w:pStyle w:val="30"/>
                    <w:spacing w:line="360" w:lineRule="exact"/>
                    <w:rPr>
                      <w:color w:val="auto"/>
                      <w:szCs w:val="21"/>
                    </w:rPr>
                  </w:pPr>
                  <w:r>
                    <w:rPr>
                      <w:color w:val="auto"/>
                      <w:szCs w:val="21"/>
                    </w:rPr>
                    <w:t>2000万m³/a</w:t>
                  </w:r>
                </w:p>
              </w:tc>
              <w:tc>
                <w:tcPr>
                  <w:tcW w:w="2866" w:type="dxa"/>
                  <w:gridSpan w:val="3"/>
                  <w:vAlign w:val="center"/>
                </w:tcPr>
                <w:p>
                  <w:pPr>
                    <w:pStyle w:val="30"/>
                    <w:spacing w:line="360" w:lineRule="exact"/>
                    <w:rPr>
                      <w:color w:val="auto"/>
                      <w:szCs w:val="21"/>
                    </w:rPr>
                  </w:pPr>
                  <w:r>
                    <w:rPr>
                      <w:color w:val="auto"/>
                      <w:szCs w:val="21"/>
                    </w:rPr>
                    <w:t>2000万m³/a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47" w:hRule="atLeast"/>
              </w:trPr>
              <w:tc>
                <w:tcPr>
                  <w:tcW w:w="1217" w:type="dxa"/>
                  <w:vMerge w:val="continue"/>
                  <w:vAlign w:val="center"/>
                </w:tcPr>
                <w:p>
                  <w:pPr>
                    <w:pStyle w:val="30"/>
                    <w:spacing w:line="360" w:lineRule="exact"/>
                    <w:rPr>
                      <w:color w:val="auto"/>
                      <w:szCs w:val="21"/>
                    </w:rPr>
                  </w:pPr>
                </w:p>
              </w:tc>
              <w:tc>
                <w:tcPr>
                  <w:tcW w:w="992" w:type="dxa"/>
                  <w:vMerge w:val="continue"/>
                  <w:vAlign w:val="center"/>
                </w:tcPr>
                <w:p>
                  <w:pPr>
                    <w:pStyle w:val="30"/>
                    <w:spacing w:line="360" w:lineRule="exact"/>
                    <w:rPr>
                      <w:color w:val="auto"/>
                      <w:szCs w:val="21"/>
                    </w:rPr>
                  </w:pPr>
                </w:p>
              </w:tc>
              <w:tc>
                <w:tcPr>
                  <w:tcW w:w="2126" w:type="dxa"/>
                  <w:vAlign w:val="center"/>
                </w:tcPr>
                <w:p>
                  <w:pPr>
                    <w:pStyle w:val="30"/>
                    <w:spacing w:line="360" w:lineRule="exact"/>
                    <w:rPr>
                      <w:color w:val="auto"/>
                      <w:szCs w:val="21"/>
                    </w:rPr>
                  </w:pPr>
                  <w:r>
                    <w:rPr>
                      <w:color w:val="auto"/>
                      <w:szCs w:val="21"/>
                    </w:rPr>
                    <w:t>粉尘（有组织）</w:t>
                  </w:r>
                </w:p>
              </w:tc>
              <w:tc>
                <w:tcPr>
                  <w:tcW w:w="851" w:type="dxa"/>
                  <w:vMerge w:val="restart"/>
                  <w:tcBorders>
                    <w:top w:val="single" w:color="auto" w:sz="4" w:space="0"/>
                  </w:tcBorders>
                  <w:vAlign w:val="center"/>
                </w:tcPr>
                <w:p>
                  <w:pPr>
                    <w:pStyle w:val="30"/>
                    <w:spacing w:line="360" w:lineRule="exact"/>
                    <w:rPr>
                      <w:color w:val="auto"/>
                      <w:szCs w:val="21"/>
                    </w:rPr>
                  </w:pPr>
                  <w:r>
                    <w:rPr>
                      <w:color w:val="auto"/>
                      <w:szCs w:val="21"/>
                    </w:rPr>
                    <w:t>7.50</w:t>
                  </w:r>
                </w:p>
              </w:tc>
              <w:tc>
                <w:tcPr>
                  <w:tcW w:w="992" w:type="dxa"/>
                  <w:vMerge w:val="restart"/>
                  <w:tcBorders>
                    <w:top w:val="single" w:color="auto" w:sz="4" w:space="0"/>
                  </w:tcBorders>
                  <w:vAlign w:val="center"/>
                </w:tcPr>
                <w:p>
                  <w:pPr>
                    <w:pStyle w:val="30"/>
                    <w:spacing w:line="360" w:lineRule="exact"/>
                    <w:rPr>
                      <w:color w:val="auto"/>
                      <w:szCs w:val="21"/>
                    </w:rPr>
                  </w:pPr>
                  <w:r>
                    <w:rPr>
                      <w:color w:val="auto"/>
                      <w:szCs w:val="21"/>
                    </w:rPr>
                    <w:t>0.15</w:t>
                  </w:r>
                </w:p>
              </w:tc>
              <w:tc>
                <w:tcPr>
                  <w:tcW w:w="1134" w:type="dxa"/>
                  <w:vAlign w:val="center"/>
                </w:tcPr>
                <w:p>
                  <w:pPr>
                    <w:pStyle w:val="30"/>
                    <w:spacing w:line="360" w:lineRule="exact"/>
                    <w:rPr>
                      <w:color w:val="auto"/>
                      <w:szCs w:val="21"/>
                    </w:rPr>
                  </w:pPr>
                  <w:r>
                    <w:rPr>
                      <w:color w:val="auto"/>
                      <w:szCs w:val="21"/>
                    </w:rPr>
                    <w:t>0.35</w:t>
                  </w:r>
                </w:p>
              </w:tc>
              <w:tc>
                <w:tcPr>
                  <w:tcW w:w="851" w:type="dxa"/>
                  <w:tcBorders>
                    <w:right w:val="single" w:color="auto" w:sz="4" w:space="0"/>
                  </w:tcBorders>
                  <w:vAlign w:val="center"/>
                </w:tcPr>
                <w:p>
                  <w:pPr>
                    <w:pStyle w:val="30"/>
                    <w:spacing w:line="360" w:lineRule="exact"/>
                    <w:rPr>
                      <w:color w:val="auto"/>
                      <w:szCs w:val="21"/>
                    </w:rPr>
                  </w:pPr>
                  <w:r>
                    <w:rPr>
                      <w:color w:val="auto"/>
                      <w:szCs w:val="21"/>
                    </w:rPr>
                    <w:t>0.007</w:t>
                  </w:r>
                </w:p>
              </w:tc>
              <w:tc>
                <w:tcPr>
                  <w:tcW w:w="881" w:type="dxa"/>
                  <w:tcBorders>
                    <w:left w:val="single" w:color="auto" w:sz="4" w:space="0"/>
                  </w:tcBorders>
                  <w:vAlign w:val="center"/>
                </w:tcPr>
                <w:p>
                  <w:pPr>
                    <w:pStyle w:val="30"/>
                    <w:spacing w:line="360" w:lineRule="exact"/>
                    <w:rPr>
                      <w:color w:val="auto"/>
                      <w:szCs w:val="21"/>
                    </w:rPr>
                  </w:pPr>
                  <w:r>
                    <w:rPr>
                      <w:color w:val="auto"/>
                      <w:szCs w:val="21"/>
                    </w:rPr>
                    <w:t>0.002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17" w:type="dxa"/>
                  <w:vMerge w:val="continue"/>
                  <w:vAlign w:val="center"/>
                </w:tcPr>
                <w:p>
                  <w:pPr>
                    <w:pStyle w:val="30"/>
                    <w:spacing w:line="360" w:lineRule="exact"/>
                    <w:rPr>
                      <w:color w:val="auto"/>
                      <w:szCs w:val="21"/>
                    </w:rPr>
                  </w:pPr>
                </w:p>
              </w:tc>
              <w:tc>
                <w:tcPr>
                  <w:tcW w:w="992" w:type="dxa"/>
                  <w:vMerge w:val="continue"/>
                  <w:vAlign w:val="center"/>
                </w:tcPr>
                <w:p>
                  <w:pPr>
                    <w:pStyle w:val="30"/>
                    <w:spacing w:line="360" w:lineRule="exact"/>
                    <w:rPr>
                      <w:color w:val="auto"/>
                      <w:szCs w:val="21"/>
                    </w:rPr>
                  </w:pPr>
                </w:p>
              </w:tc>
              <w:tc>
                <w:tcPr>
                  <w:tcW w:w="2126" w:type="dxa"/>
                  <w:vAlign w:val="center"/>
                </w:tcPr>
                <w:p>
                  <w:pPr>
                    <w:pStyle w:val="30"/>
                    <w:spacing w:line="360" w:lineRule="exact"/>
                    <w:rPr>
                      <w:color w:val="auto"/>
                      <w:szCs w:val="21"/>
                    </w:rPr>
                  </w:pPr>
                  <w:r>
                    <w:rPr>
                      <w:color w:val="auto"/>
                      <w:szCs w:val="21"/>
                    </w:rPr>
                    <w:t>粉尘（无组织）</w:t>
                  </w:r>
                </w:p>
              </w:tc>
              <w:tc>
                <w:tcPr>
                  <w:tcW w:w="851" w:type="dxa"/>
                  <w:vMerge w:val="continue"/>
                  <w:tcBorders>
                    <w:bottom w:val="single" w:color="auto" w:sz="4" w:space="0"/>
                  </w:tcBorders>
                  <w:vAlign w:val="center"/>
                </w:tcPr>
                <w:p>
                  <w:pPr>
                    <w:pStyle w:val="30"/>
                    <w:spacing w:line="360" w:lineRule="exact"/>
                    <w:rPr>
                      <w:color w:val="auto"/>
                      <w:szCs w:val="21"/>
                    </w:rPr>
                  </w:pPr>
                </w:p>
              </w:tc>
              <w:tc>
                <w:tcPr>
                  <w:tcW w:w="992" w:type="dxa"/>
                  <w:vMerge w:val="continue"/>
                  <w:tcBorders>
                    <w:bottom w:val="single" w:color="auto" w:sz="4" w:space="0"/>
                  </w:tcBorders>
                  <w:vAlign w:val="center"/>
                </w:tcPr>
                <w:p>
                  <w:pPr>
                    <w:pStyle w:val="30"/>
                    <w:spacing w:line="360" w:lineRule="exact"/>
                    <w:rPr>
                      <w:color w:val="auto"/>
                      <w:szCs w:val="21"/>
                    </w:rPr>
                  </w:pPr>
                </w:p>
              </w:tc>
              <w:tc>
                <w:tcPr>
                  <w:tcW w:w="1134" w:type="dxa"/>
                  <w:vAlign w:val="center"/>
                </w:tcPr>
                <w:p>
                  <w:pPr>
                    <w:pStyle w:val="30"/>
                    <w:spacing w:line="360" w:lineRule="exact"/>
                    <w:rPr>
                      <w:color w:val="auto"/>
                      <w:szCs w:val="21"/>
                    </w:rPr>
                  </w:pPr>
                  <w:r>
                    <w:rPr>
                      <w:color w:val="auto"/>
                      <w:szCs w:val="21"/>
                    </w:rPr>
                    <w:t>--</w:t>
                  </w:r>
                </w:p>
              </w:tc>
              <w:tc>
                <w:tcPr>
                  <w:tcW w:w="851" w:type="dxa"/>
                  <w:tcBorders>
                    <w:right w:val="single" w:color="auto" w:sz="4" w:space="0"/>
                  </w:tcBorders>
                  <w:vAlign w:val="center"/>
                </w:tcPr>
                <w:p>
                  <w:pPr>
                    <w:pStyle w:val="30"/>
                    <w:spacing w:line="360" w:lineRule="exact"/>
                    <w:rPr>
                      <w:color w:val="auto"/>
                      <w:szCs w:val="21"/>
                    </w:rPr>
                  </w:pPr>
                  <w:r>
                    <w:rPr>
                      <w:color w:val="auto"/>
                      <w:szCs w:val="21"/>
                    </w:rPr>
                    <w:t>0.015</w:t>
                  </w:r>
                </w:p>
              </w:tc>
              <w:tc>
                <w:tcPr>
                  <w:tcW w:w="881" w:type="dxa"/>
                  <w:tcBorders>
                    <w:left w:val="single" w:color="auto" w:sz="4" w:space="0"/>
                  </w:tcBorders>
                  <w:vAlign w:val="center"/>
                </w:tcPr>
                <w:p>
                  <w:pPr>
                    <w:pStyle w:val="30"/>
                    <w:spacing w:line="360" w:lineRule="exact"/>
                    <w:rPr>
                      <w:color w:val="auto"/>
                      <w:szCs w:val="21"/>
                    </w:rPr>
                  </w:pPr>
                  <w:r>
                    <w:rPr>
                      <w:rFonts w:hint="eastAsia"/>
                      <w:color w:val="auto"/>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17" w:type="dxa"/>
                  <w:vMerge w:val="restart"/>
                  <w:vAlign w:val="center"/>
                </w:tcPr>
                <w:p>
                  <w:pPr>
                    <w:pStyle w:val="30"/>
                    <w:spacing w:line="360" w:lineRule="exact"/>
                    <w:rPr>
                      <w:color w:val="auto"/>
                      <w:szCs w:val="21"/>
                    </w:rPr>
                  </w:pPr>
                  <w:r>
                    <w:rPr>
                      <w:color w:val="auto"/>
                      <w:szCs w:val="21"/>
                    </w:rPr>
                    <w:t>废旧洗衣机处理线</w:t>
                  </w:r>
                </w:p>
              </w:tc>
              <w:tc>
                <w:tcPr>
                  <w:tcW w:w="992" w:type="dxa"/>
                  <w:vMerge w:val="restart"/>
                  <w:vAlign w:val="center"/>
                </w:tcPr>
                <w:p>
                  <w:pPr>
                    <w:pStyle w:val="30"/>
                    <w:spacing w:line="360" w:lineRule="exact"/>
                    <w:rPr>
                      <w:color w:val="auto"/>
                      <w:szCs w:val="21"/>
                    </w:rPr>
                  </w:pPr>
                  <w:r>
                    <w:rPr>
                      <w:color w:val="auto"/>
                      <w:szCs w:val="21"/>
                    </w:rPr>
                    <w:t>拆解+塑料破碎</w:t>
                  </w:r>
                </w:p>
              </w:tc>
              <w:tc>
                <w:tcPr>
                  <w:tcW w:w="2126" w:type="dxa"/>
                  <w:vAlign w:val="center"/>
                </w:tcPr>
                <w:p>
                  <w:pPr>
                    <w:pStyle w:val="30"/>
                    <w:spacing w:line="360" w:lineRule="exact"/>
                    <w:rPr>
                      <w:color w:val="auto"/>
                      <w:szCs w:val="21"/>
                    </w:rPr>
                  </w:pPr>
                  <w:r>
                    <w:rPr>
                      <w:color w:val="auto"/>
                      <w:szCs w:val="21"/>
                    </w:rPr>
                    <w:t>废气量</w:t>
                  </w:r>
                  <w:r>
                    <w:rPr>
                      <w:rFonts w:hint="eastAsia"/>
                      <w:color w:val="auto"/>
                      <w:szCs w:val="21"/>
                    </w:rPr>
                    <w:t>（DA003）</w:t>
                  </w:r>
                </w:p>
              </w:tc>
              <w:tc>
                <w:tcPr>
                  <w:tcW w:w="1843" w:type="dxa"/>
                  <w:gridSpan w:val="2"/>
                  <w:tcBorders>
                    <w:top w:val="single" w:color="auto" w:sz="4" w:space="0"/>
                    <w:bottom w:val="single" w:color="auto" w:sz="4" w:space="0"/>
                  </w:tcBorders>
                  <w:vAlign w:val="center"/>
                </w:tcPr>
                <w:p>
                  <w:pPr>
                    <w:pStyle w:val="30"/>
                    <w:spacing w:line="360" w:lineRule="exact"/>
                    <w:rPr>
                      <w:color w:val="auto"/>
                      <w:szCs w:val="21"/>
                    </w:rPr>
                  </w:pPr>
                  <w:r>
                    <w:rPr>
                      <w:color w:val="auto"/>
                      <w:szCs w:val="21"/>
                    </w:rPr>
                    <w:t>4400万m³/a</w:t>
                  </w:r>
                </w:p>
              </w:tc>
              <w:tc>
                <w:tcPr>
                  <w:tcW w:w="2866" w:type="dxa"/>
                  <w:gridSpan w:val="3"/>
                  <w:vAlign w:val="center"/>
                </w:tcPr>
                <w:p>
                  <w:pPr>
                    <w:pStyle w:val="30"/>
                    <w:spacing w:line="360" w:lineRule="exact"/>
                    <w:rPr>
                      <w:color w:val="auto"/>
                      <w:szCs w:val="21"/>
                    </w:rPr>
                  </w:pPr>
                  <w:r>
                    <w:rPr>
                      <w:color w:val="auto"/>
                      <w:szCs w:val="21"/>
                    </w:rPr>
                    <w:t>4400万m³/a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17" w:type="dxa"/>
                  <w:vMerge w:val="continue"/>
                  <w:vAlign w:val="center"/>
                </w:tcPr>
                <w:p>
                  <w:pPr>
                    <w:pStyle w:val="30"/>
                    <w:spacing w:line="360" w:lineRule="exact"/>
                    <w:rPr>
                      <w:color w:val="auto"/>
                      <w:szCs w:val="21"/>
                    </w:rPr>
                  </w:pPr>
                </w:p>
              </w:tc>
              <w:tc>
                <w:tcPr>
                  <w:tcW w:w="992" w:type="dxa"/>
                  <w:vMerge w:val="continue"/>
                  <w:vAlign w:val="center"/>
                </w:tcPr>
                <w:p>
                  <w:pPr>
                    <w:pStyle w:val="30"/>
                    <w:spacing w:line="360" w:lineRule="exact"/>
                    <w:rPr>
                      <w:color w:val="auto"/>
                      <w:szCs w:val="21"/>
                    </w:rPr>
                  </w:pPr>
                </w:p>
              </w:tc>
              <w:tc>
                <w:tcPr>
                  <w:tcW w:w="2126" w:type="dxa"/>
                  <w:vAlign w:val="center"/>
                </w:tcPr>
                <w:p>
                  <w:pPr>
                    <w:pStyle w:val="30"/>
                    <w:spacing w:line="360" w:lineRule="exact"/>
                    <w:rPr>
                      <w:color w:val="auto"/>
                      <w:szCs w:val="21"/>
                    </w:rPr>
                  </w:pPr>
                  <w:r>
                    <w:rPr>
                      <w:color w:val="auto"/>
                      <w:szCs w:val="21"/>
                    </w:rPr>
                    <w:t>粉尘（有组织）</w:t>
                  </w:r>
                </w:p>
              </w:tc>
              <w:tc>
                <w:tcPr>
                  <w:tcW w:w="851" w:type="dxa"/>
                  <w:vMerge w:val="restart"/>
                  <w:tcBorders>
                    <w:top w:val="single" w:color="auto" w:sz="4" w:space="0"/>
                  </w:tcBorders>
                  <w:vAlign w:val="center"/>
                </w:tcPr>
                <w:p>
                  <w:pPr>
                    <w:pStyle w:val="30"/>
                    <w:spacing w:line="360" w:lineRule="exact"/>
                    <w:rPr>
                      <w:color w:val="auto"/>
                      <w:szCs w:val="21"/>
                    </w:rPr>
                  </w:pPr>
                  <w:r>
                    <w:rPr>
                      <w:color w:val="auto"/>
                      <w:kern w:val="0"/>
                      <w:szCs w:val="21"/>
                    </w:rPr>
                    <w:t>61.36</w:t>
                  </w:r>
                </w:p>
              </w:tc>
              <w:tc>
                <w:tcPr>
                  <w:tcW w:w="992" w:type="dxa"/>
                  <w:vMerge w:val="restart"/>
                  <w:tcBorders>
                    <w:top w:val="single" w:color="auto" w:sz="4" w:space="0"/>
                  </w:tcBorders>
                  <w:vAlign w:val="center"/>
                </w:tcPr>
                <w:p>
                  <w:pPr>
                    <w:pStyle w:val="30"/>
                    <w:spacing w:line="360" w:lineRule="exact"/>
                    <w:rPr>
                      <w:color w:val="auto"/>
                      <w:szCs w:val="21"/>
                    </w:rPr>
                  </w:pPr>
                  <w:r>
                    <w:rPr>
                      <w:color w:val="auto"/>
                      <w:szCs w:val="21"/>
                    </w:rPr>
                    <w:t>2.7</w:t>
                  </w:r>
                </w:p>
              </w:tc>
              <w:tc>
                <w:tcPr>
                  <w:tcW w:w="1134" w:type="dxa"/>
                  <w:vAlign w:val="center"/>
                </w:tcPr>
                <w:p>
                  <w:pPr>
                    <w:pStyle w:val="30"/>
                    <w:spacing w:line="360" w:lineRule="exact"/>
                    <w:rPr>
                      <w:color w:val="auto"/>
                      <w:szCs w:val="21"/>
                    </w:rPr>
                  </w:pPr>
                  <w:r>
                    <w:rPr>
                      <w:color w:val="auto"/>
                      <w:szCs w:val="21"/>
                    </w:rPr>
                    <w:t>2.8</w:t>
                  </w:r>
                </w:p>
              </w:tc>
              <w:tc>
                <w:tcPr>
                  <w:tcW w:w="851" w:type="dxa"/>
                  <w:tcBorders>
                    <w:right w:val="single" w:color="auto" w:sz="4" w:space="0"/>
                  </w:tcBorders>
                  <w:vAlign w:val="center"/>
                </w:tcPr>
                <w:p>
                  <w:pPr>
                    <w:pStyle w:val="30"/>
                    <w:spacing w:line="360" w:lineRule="exact"/>
                    <w:rPr>
                      <w:color w:val="auto"/>
                      <w:szCs w:val="21"/>
                    </w:rPr>
                  </w:pPr>
                  <w:r>
                    <w:rPr>
                      <w:color w:val="auto"/>
                      <w:szCs w:val="21"/>
                    </w:rPr>
                    <w:t>0.123</w:t>
                  </w:r>
                </w:p>
              </w:tc>
              <w:tc>
                <w:tcPr>
                  <w:tcW w:w="881" w:type="dxa"/>
                  <w:tcBorders>
                    <w:left w:val="single" w:color="auto" w:sz="4" w:space="0"/>
                  </w:tcBorders>
                  <w:vAlign w:val="center"/>
                </w:tcPr>
                <w:p>
                  <w:pPr>
                    <w:pStyle w:val="30"/>
                    <w:spacing w:line="360" w:lineRule="exact"/>
                    <w:rPr>
                      <w:color w:val="auto"/>
                      <w:szCs w:val="21"/>
                    </w:rPr>
                  </w:pPr>
                  <w:r>
                    <w:rPr>
                      <w:color w:val="auto"/>
                      <w:szCs w:val="21"/>
                    </w:rPr>
                    <w:t>0.0615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17" w:type="dxa"/>
                  <w:vMerge w:val="continue"/>
                  <w:vAlign w:val="center"/>
                </w:tcPr>
                <w:p>
                  <w:pPr>
                    <w:pStyle w:val="30"/>
                    <w:spacing w:line="360" w:lineRule="exact"/>
                    <w:rPr>
                      <w:color w:val="auto"/>
                      <w:szCs w:val="21"/>
                    </w:rPr>
                  </w:pPr>
                </w:p>
              </w:tc>
              <w:tc>
                <w:tcPr>
                  <w:tcW w:w="992" w:type="dxa"/>
                  <w:vMerge w:val="continue"/>
                  <w:vAlign w:val="center"/>
                </w:tcPr>
                <w:p>
                  <w:pPr>
                    <w:pStyle w:val="30"/>
                    <w:spacing w:line="360" w:lineRule="exact"/>
                    <w:rPr>
                      <w:color w:val="auto"/>
                      <w:szCs w:val="21"/>
                    </w:rPr>
                  </w:pPr>
                </w:p>
              </w:tc>
              <w:tc>
                <w:tcPr>
                  <w:tcW w:w="2126" w:type="dxa"/>
                  <w:vAlign w:val="center"/>
                </w:tcPr>
                <w:p>
                  <w:pPr>
                    <w:pStyle w:val="30"/>
                    <w:spacing w:line="360" w:lineRule="exact"/>
                    <w:rPr>
                      <w:color w:val="auto"/>
                      <w:szCs w:val="21"/>
                    </w:rPr>
                  </w:pPr>
                  <w:r>
                    <w:rPr>
                      <w:color w:val="auto"/>
                      <w:szCs w:val="21"/>
                    </w:rPr>
                    <w:t>粉尘（无组织）</w:t>
                  </w:r>
                </w:p>
              </w:tc>
              <w:tc>
                <w:tcPr>
                  <w:tcW w:w="851" w:type="dxa"/>
                  <w:vMerge w:val="continue"/>
                  <w:tcBorders>
                    <w:bottom w:val="single" w:color="auto" w:sz="4" w:space="0"/>
                  </w:tcBorders>
                  <w:vAlign w:val="center"/>
                </w:tcPr>
                <w:p>
                  <w:pPr>
                    <w:pStyle w:val="30"/>
                    <w:spacing w:line="360" w:lineRule="exact"/>
                    <w:rPr>
                      <w:color w:val="auto"/>
                      <w:szCs w:val="21"/>
                    </w:rPr>
                  </w:pPr>
                </w:p>
              </w:tc>
              <w:tc>
                <w:tcPr>
                  <w:tcW w:w="992" w:type="dxa"/>
                  <w:vMerge w:val="continue"/>
                  <w:tcBorders>
                    <w:bottom w:val="single" w:color="auto" w:sz="4" w:space="0"/>
                  </w:tcBorders>
                  <w:vAlign w:val="center"/>
                </w:tcPr>
                <w:p>
                  <w:pPr>
                    <w:pStyle w:val="30"/>
                    <w:spacing w:line="360" w:lineRule="exact"/>
                    <w:rPr>
                      <w:color w:val="auto"/>
                      <w:szCs w:val="21"/>
                    </w:rPr>
                  </w:pPr>
                </w:p>
              </w:tc>
              <w:tc>
                <w:tcPr>
                  <w:tcW w:w="1134" w:type="dxa"/>
                  <w:vAlign w:val="center"/>
                </w:tcPr>
                <w:p>
                  <w:pPr>
                    <w:pStyle w:val="30"/>
                    <w:spacing w:line="360" w:lineRule="exact"/>
                    <w:rPr>
                      <w:color w:val="auto"/>
                      <w:szCs w:val="21"/>
                    </w:rPr>
                  </w:pPr>
                  <w:r>
                    <w:rPr>
                      <w:color w:val="auto"/>
                      <w:szCs w:val="21"/>
                    </w:rPr>
                    <w:t>--</w:t>
                  </w:r>
                </w:p>
              </w:tc>
              <w:tc>
                <w:tcPr>
                  <w:tcW w:w="851" w:type="dxa"/>
                  <w:tcBorders>
                    <w:right w:val="single" w:color="auto" w:sz="4" w:space="0"/>
                  </w:tcBorders>
                  <w:vAlign w:val="center"/>
                </w:tcPr>
                <w:p>
                  <w:pPr>
                    <w:pStyle w:val="30"/>
                    <w:spacing w:line="360" w:lineRule="exact"/>
                    <w:rPr>
                      <w:color w:val="auto"/>
                      <w:szCs w:val="21"/>
                    </w:rPr>
                  </w:pPr>
                  <w:r>
                    <w:rPr>
                      <w:color w:val="auto"/>
                      <w:szCs w:val="21"/>
                    </w:rPr>
                    <w:t>0.27</w:t>
                  </w:r>
                </w:p>
              </w:tc>
              <w:tc>
                <w:tcPr>
                  <w:tcW w:w="881" w:type="dxa"/>
                  <w:tcBorders>
                    <w:left w:val="single" w:color="auto" w:sz="4" w:space="0"/>
                  </w:tcBorders>
                  <w:vAlign w:val="center"/>
                </w:tcPr>
                <w:p>
                  <w:pPr>
                    <w:pStyle w:val="30"/>
                    <w:spacing w:line="360" w:lineRule="exact"/>
                    <w:rPr>
                      <w:color w:val="auto"/>
                      <w:szCs w:val="21"/>
                    </w:rPr>
                  </w:pPr>
                  <w:r>
                    <w:rPr>
                      <w:rFonts w:hint="eastAsia"/>
                      <w:color w:val="auto"/>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17" w:type="dxa"/>
                  <w:vMerge w:val="restart"/>
                  <w:vAlign w:val="center"/>
                </w:tcPr>
                <w:p>
                  <w:pPr>
                    <w:pStyle w:val="30"/>
                    <w:spacing w:line="360" w:lineRule="exact"/>
                    <w:rPr>
                      <w:color w:val="auto"/>
                      <w:szCs w:val="21"/>
                    </w:rPr>
                  </w:pPr>
                  <w:r>
                    <w:rPr>
                      <w:color w:val="auto"/>
                      <w:szCs w:val="21"/>
                    </w:rPr>
                    <w:t>1号废旧电视机（液晶电视）处理线</w:t>
                  </w:r>
                </w:p>
              </w:tc>
              <w:tc>
                <w:tcPr>
                  <w:tcW w:w="992" w:type="dxa"/>
                  <w:vMerge w:val="restart"/>
                  <w:vAlign w:val="center"/>
                </w:tcPr>
                <w:p>
                  <w:pPr>
                    <w:pStyle w:val="30"/>
                    <w:spacing w:line="360" w:lineRule="exact"/>
                    <w:rPr>
                      <w:color w:val="auto"/>
                      <w:szCs w:val="21"/>
                    </w:rPr>
                  </w:pPr>
                  <w:r>
                    <w:rPr>
                      <w:color w:val="auto"/>
                      <w:szCs w:val="21"/>
                    </w:rPr>
                    <w:t>拆解</w:t>
                  </w:r>
                </w:p>
              </w:tc>
              <w:tc>
                <w:tcPr>
                  <w:tcW w:w="2126" w:type="dxa"/>
                  <w:vAlign w:val="center"/>
                </w:tcPr>
                <w:p>
                  <w:pPr>
                    <w:pStyle w:val="30"/>
                    <w:spacing w:line="360" w:lineRule="exact"/>
                    <w:rPr>
                      <w:color w:val="auto"/>
                      <w:szCs w:val="21"/>
                    </w:rPr>
                  </w:pPr>
                  <w:r>
                    <w:rPr>
                      <w:color w:val="auto"/>
                      <w:szCs w:val="21"/>
                    </w:rPr>
                    <w:t>废气量</w:t>
                  </w:r>
                  <w:r>
                    <w:rPr>
                      <w:rFonts w:hint="eastAsia"/>
                      <w:color w:val="auto"/>
                      <w:szCs w:val="21"/>
                    </w:rPr>
                    <w:t>（DA004）</w:t>
                  </w:r>
                </w:p>
              </w:tc>
              <w:tc>
                <w:tcPr>
                  <w:tcW w:w="1843" w:type="dxa"/>
                  <w:gridSpan w:val="2"/>
                  <w:tcBorders>
                    <w:top w:val="single" w:color="auto" w:sz="4" w:space="0"/>
                    <w:bottom w:val="single" w:color="auto" w:sz="4" w:space="0"/>
                  </w:tcBorders>
                  <w:vAlign w:val="center"/>
                </w:tcPr>
                <w:p>
                  <w:pPr>
                    <w:pStyle w:val="30"/>
                    <w:spacing w:line="360" w:lineRule="exact"/>
                    <w:rPr>
                      <w:color w:val="auto"/>
                      <w:szCs w:val="21"/>
                    </w:rPr>
                  </w:pPr>
                  <w:r>
                    <w:rPr>
                      <w:color w:val="auto"/>
                      <w:szCs w:val="21"/>
                    </w:rPr>
                    <w:t>3024万m³/a</w:t>
                  </w:r>
                </w:p>
              </w:tc>
              <w:tc>
                <w:tcPr>
                  <w:tcW w:w="2866" w:type="dxa"/>
                  <w:gridSpan w:val="3"/>
                  <w:vAlign w:val="center"/>
                </w:tcPr>
                <w:p>
                  <w:pPr>
                    <w:pStyle w:val="30"/>
                    <w:spacing w:line="360" w:lineRule="exact"/>
                    <w:rPr>
                      <w:color w:val="auto"/>
                      <w:szCs w:val="21"/>
                    </w:rPr>
                  </w:pPr>
                  <w:r>
                    <w:rPr>
                      <w:color w:val="auto"/>
                      <w:szCs w:val="21"/>
                    </w:rPr>
                    <w:t>3024万m³/a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17" w:type="dxa"/>
                  <w:vMerge w:val="continue"/>
                  <w:vAlign w:val="center"/>
                </w:tcPr>
                <w:p>
                  <w:pPr>
                    <w:pStyle w:val="30"/>
                    <w:spacing w:line="360" w:lineRule="exact"/>
                    <w:rPr>
                      <w:color w:val="auto"/>
                      <w:szCs w:val="21"/>
                    </w:rPr>
                  </w:pPr>
                </w:p>
              </w:tc>
              <w:tc>
                <w:tcPr>
                  <w:tcW w:w="992" w:type="dxa"/>
                  <w:vMerge w:val="continue"/>
                  <w:vAlign w:val="center"/>
                </w:tcPr>
                <w:p>
                  <w:pPr>
                    <w:pStyle w:val="30"/>
                    <w:spacing w:line="360" w:lineRule="exact"/>
                    <w:rPr>
                      <w:color w:val="auto"/>
                      <w:szCs w:val="21"/>
                    </w:rPr>
                  </w:pPr>
                </w:p>
              </w:tc>
              <w:tc>
                <w:tcPr>
                  <w:tcW w:w="2126" w:type="dxa"/>
                  <w:vAlign w:val="center"/>
                </w:tcPr>
                <w:p>
                  <w:pPr>
                    <w:pStyle w:val="30"/>
                    <w:spacing w:line="360" w:lineRule="exact"/>
                    <w:rPr>
                      <w:color w:val="auto"/>
                      <w:szCs w:val="21"/>
                    </w:rPr>
                  </w:pPr>
                  <w:r>
                    <w:rPr>
                      <w:color w:val="auto"/>
                      <w:szCs w:val="21"/>
                    </w:rPr>
                    <w:t>粉尘（有组织）</w:t>
                  </w:r>
                </w:p>
              </w:tc>
              <w:tc>
                <w:tcPr>
                  <w:tcW w:w="851" w:type="dxa"/>
                  <w:vMerge w:val="restart"/>
                  <w:tcBorders>
                    <w:top w:val="single" w:color="auto" w:sz="4" w:space="0"/>
                  </w:tcBorders>
                  <w:vAlign w:val="center"/>
                </w:tcPr>
                <w:p>
                  <w:pPr>
                    <w:pStyle w:val="30"/>
                    <w:spacing w:line="360" w:lineRule="exact"/>
                    <w:rPr>
                      <w:color w:val="auto"/>
                      <w:szCs w:val="21"/>
                    </w:rPr>
                  </w:pPr>
                  <w:r>
                    <w:rPr>
                      <w:color w:val="auto"/>
                      <w:szCs w:val="21"/>
                    </w:rPr>
                    <w:t>2.65</w:t>
                  </w:r>
                </w:p>
              </w:tc>
              <w:tc>
                <w:tcPr>
                  <w:tcW w:w="992" w:type="dxa"/>
                  <w:vMerge w:val="restart"/>
                  <w:tcBorders>
                    <w:top w:val="single" w:color="auto" w:sz="4" w:space="0"/>
                  </w:tcBorders>
                  <w:vAlign w:val="center"/>
                </w:tcPr>
                <w:p>
                  <w:pPr>
                    <w:pStyle w:val="30"/>
                    <w:spacing w:line="360" w:lineRule="exact"/>
                    <w:rPr>
                      <w:color w:val="auto"/>
                      <w:szCs w:val="21"/>
                    </w:rPr>
                  </w:pPr>
                  <w:r>
                    <w:rPr>
                      <w:color w:val="auto"/>
                      <w:szCs w:val="21"/>
                    </w:rPr>
                    <w:t>0.08</w:t>
                  </w:r>
                </w:p>
              </w:tc>
              <w:tc>
                <w:tcPr>
                  <w:tcW w:w="1134" w:type="dxa"/>
                  <w:vAlign w:val="center"/>
                </w:tcPr>
                <w:p>
                  <w:pPr>
                    <w:pStyle w:val="30"/>
                    <w:spacing w:line="360" w:lineRule="exact"/>
                    <w:rPr>
                      <w:color w:val="auto"/>
                      <w:szCs w:val="21"/>
                    </w:rPr>
                  </w:pPr>
                  <w:r>
                    <w:rPr>
                      <w:color w:val="auto"/>
                      <w:szCs w:val="21"/>
                    </w:rPr>
                    <w:t>0.13</w:t>
                  </w:r>
                </w:p>
              </w:tc>
              <w:tc>
                <w:tcPr>
                  <w:tcW w:w="851" w:type="dxa"/>
                  <w:tcBorders>
                    <w:right w:val="single" w:color="auto" w:sz="4" w:space="0"/>
                  </w:tcBorders>
                  <w:vAlign w:val="center"/>
                </w:tcPr>
                <w:p>
                  <w:pPr>
                    <w:pStyle w:val="30"/>
                    <w:spacing w:line="360" w:lineRule="exact"/>
                    <w:rPr>
                      <w:color w:val="auto"/>
                      <w:szCs w:val="21"/>
                    </w:rPr>
                  </w:pPr>
                  <w:r>
                    <w:rPr>
                      <w:color w:val="auto"/>
                      <w:szCs w:val="21"/>
                    </w:rPr>
                    <w:t>0.004</w:t>
                  </w:r>
                </w:p>
              </w:tc>
              <w:tc>
                <w:tcPr>
                  <w:tcW w:w="881" w:type="dxa"/>
                  <w:tcBorders>
                    <w:left w:val="single" w:color="auto" w:sz="4" w:space="0"/>
                  </w:tcBorders>
                  <w:vAlign w:val="center"/>
                </w:tcPr>
                <w:p>
                  <w:pPr>
                    <w:pStyle w:val="30"/>
                    <w:spacing w:line="360" w:lineRule="exact"/>
                    <w:rPr>
                      <w:color w:val="auto"/>
                      <w:szCs w:val="21"/>
                    </w:rPr>
                  </w:pPr>
                  <w:r>
                    <w:rPr>
                      <w:color w:val="auto"/>
                      <w:szCs w:val="21"/>
                    </w:rPr>
                    <w:t>0.001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17" w:type="dxa"/>
                  <w:vMerge w:val="continue"/>
                  <w:vAlign w:val="center"/>
                </w:tcPr>
                <w:p>
                  <w:pPr>
                    <w:pStyle w:val="30"/>
                    <w:spacing w:line="360" w:lineRule="exact"/>
                    <w:rPr>
                      <w:color w:val="auto"/>
                      <w:szCs w:val="21"/>
                    </w:rPr>
                  </w:pPr>
                </w:p>
              </w:tc>
              <w:tc>
                <w:tcPr>
                  <w:tcW w:w="992" w:type="dxa"/>
                  <w:vMerge w:val="continue"/>
                  <w:vAlign w:val="center"/>
                </w:tcPr>
                <w:p>
                  <w:pPr>
                    <w:pStyle w:val="30"/>
                    <w:spacing w:line="360" w:lineRule="exact"/>
                    <w:rPr>
                      <w:color w:val="auto"/>
                      <w:szCs w:val="21"/>
                    </w:rPr>
                  </w:pPr>
                </w:p>
              </w:tc>
              <w:tc>
                <w:tcPr>
                  <w:tcW w:w="2126" w:type="dxa"/>
                  <w:vAlign w:val="center"/>
                </w:tcPr>
                <w:p>
                  <w:pPr>
                    <w:pStyle w:val="30"/>
                    <w:spacing w:line="360" w:lineRule="exact"/>
                    <w:rPr>
                      <w:color w:val="auto"/>
                      <w:szCs w:val="21"/>
                    </w:rPr>
                  </w:pPr>
                  <w:r>
                    <w:rPr>
                      <w:color w:val="auto"/>
                      <w:szCs w:val="21"/>
                    </w:rPr>
                    <w:t>粉尘（无组织）</w:t>
                  </w:r>
                </w:p>
              </w:tc>
              <w:tc>
                <w:tcPr>
                  <w:tcW w:w="851" w:type="dxa"/>
                  <w:vMerge w:val="continue"/>
                  <w:tcBorders>
                    <w:bottom w:val="single" w:color="auto" w:sz="4" w:space="0"/>
                  </w:tcBorders>
                  <w:vAlign w:val="center"/>
                </w:tcPr>
                <w:p>
                  <w:pPr>
                    <w:pStyle w:val="30"/>
                    <w:spacing w:line="360" w:lineRule="exact"/>
                    <w:rPr>
                      <w:color w:val="auto"/>
                      <w:szCs w:val="21"/>
                    </w:rPr>
                  </w:pPr>
                </w:p>
              </w:tc>
              <w:tc>
                <w:tcPr>
                  <w:tcW w:w="992" w:type="dxa"/>
                  <w:vMerge w:val="continue"/>
                  <w:tcBorders>
                    <w:bottom w:val="single" w:color="auto" w:sz="4" w:space="0"/>
                  </w:tcBorders>
                  <w:vAlign w:val="center"/>
                </w:tcPr>
                <w:p>
                  <w:pPr>
                    <w:pStyle w:val="30"/>
                    <w:spacing w:line="360" w:lineRule="exact"/>
                    <w:rPr>
                      <w:color w:val="auto"/>
                      <w:szCs w:val="21"/>
                    </w:rPr>
                  </w:pPr>
                </w:p>
              </w:tc>
              <w:tc>
                <w:tcPr>
                  <w:tcW w:w="1134" w:type="dxa"/>
                  <w:vAlign w:val="center"/>
                </w:tcPr>
                <w:p>
                  <w:pPr>
                    <w:pStyle w:val="30"/>
                    <w:spacing w:line="360" w:lineRule="exact"/>
                    <w:rPr>
                      <w:color w:val="auto"/>
                      <w:szCs w:val="21"/>
                    </w:rPr>
                  </w:pPr>
                  <w:r>
                    <w:rPr>
                      <w:color w:val="auto"/>
                      <w:szCs w:val="21"/>
                    </w:rPr>
                    <w:t>--</w:t>
                  </w:r>
                </w:p>
              </w:tc>
              <w:tc>
                <w:tcPr>
                  <w:tcW w:w="851" w:type="dxa"/>
                  <w:tcBorders>
                    <w:right w:val="single" w:color="auto" w:sz="4" w:space="0"/>
                  </w:tcBorders>
                  <w:vAlign w:val="center"/>
                </w:tcPr>
                <w:p>
                  <w:pPr>
                    <w:pStyle w:val="30"/>
                    <w:spacing w:line="360" w:lineRule="exact"/>
                    <w:rPr>
                      <w:color w:val="auto"/>
                      <w:szCs w:val="21"/>
                    </w:rPr>
                  </w:pPr>
                  <w:r>
                    <w:rPr>
                      <w:color w:val="auto"/>
                      <w:szCs w:val="21"/>
                    </w:rPr>
                    <w:t>0.008</w:t>
                  </w:r>
                </w:p>
              </w:tc>
              <w:tc>
                <w:tcPr>
                  <w:tcW w:w="881" w:type="dxa"/>
                  <w:tcBorders>
                    <w:left w:val="single" w:color="auto" w:sz="4" w:space="0"/>
                  </w:tcBorders>
                  <w:vAlign w:val="center"/>
                </w:tcPr>
                <w:p>
                  <w:pPr>
                    <w:pStyle w:val="30"/>
                    <w:spacing w:line="360" w:lineRule="exact"/>
                    <w:rPr>
                      <w:color w:val="auto"/>
                      <w:szCs w:val="21"/>
                    </w:rPr>
                  </w:pPr>
                  <w:r>
                    <w:rPr>
                      <w:color w:val="auto"/>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17" w:type="dxa"/>
                  <w:vMerge w:val="continue"/>
                  <w:vAlign w:val="center"/>
                </w:tcPr>
                <w:p>
                  <w:pPr>
                    <w:pStyle w:val="30"/>
                    <w:spacing w:line="360" w:lineRule="exact"/>
                    <w:rPr>
                      <w:color w:val="auto"/>
                      <w:szCs w:val="21"/>
                    </w:rPr>
                  </w:pPr>
                </w:p>
              </w:tc>
              <w:tc>
                <w:tcPr>
                  <w:tcW w:w="992" w:type="dxa"/>
                  <w:vMerge w:val="continue"/>
                  <w:vAlign w:val="center"/>
                </w:tcPr>
                <w:p>
                  <w:pPr>
                    <w:pStyle w:val="30"/>
                    <w:spacing w:line="360" w:lineRule="exact"/>
                    <w:rPr>
                      <w:color w:val="auto"/>
                      <w:szCs w:val="21"/>
                    </w:rPr>
                  </w:pPr>
                </w:p>
              </w:tc>
              <w:tc>
                <w:tcPr>
                  <w:tcW w:w="2126" w:type="dxa"/>
                  <w:vAlign w:val="center"/>
                </w:tcPr>
                <w:p>
                  <w:pPr>
                    <w:pStyle w:val="30"/>
                    <w:spacing w:line="360" w:lineRule="exact"/>
                    <w:rPr>
                      <w:color w:val="auto"/>
                      <w:szCs w:val="21"/>
                    </w:rPr>
                  </w:pPr>
                  <w:r>
                    <w:rPr>
                      <w:color w:val="auto"/>
                      <w:szCs w:val="21"/>
                    </w:rPr>
                    <w:t>汞及其化合物（有组织）</w:t>
                  </w:r>
                </w:p>
              </w:tc>
              <w:tc>
                <w:tcPr>
                  <w:tcW w:w="851" w:type="dxa"/>
                  <w:tcBorders>
                    <w:top w:val="single" w:color="auto" w:sz="4" w:space="0"/>
                    <w:bottom w:val="single" w:color="auto" w:sz="4" w:space="0"/>
                  </w:tcBorders>
                  <w:vAlign w:val="center"/>
                </w:tcPr>
                <w:p>
                  <w:pPr>
                    <w:pStyle w:val="30"/>
                    <w:spacing w:line="360" w:lineRule="exact"/>
                    <w:rPr>
                      <w:color w:val="auto"/>
                      <w:szCs w:val="21"/>
                    </w:rPr>
                  </w:pPr>
                  <w:r>
                    <w:rPr>
                      <w:color w:val="auto"/>
                      <w:szCs w:val="21"/>
                    </w:rPr>
                    <w:t>0.01</w:t>
                  </w:r>
                </w:p>
              </w:tc>
              <w:tc>
                <w:tcPr>
                  <w:tcW w:w="992" w:type="dxa"/>
                  <w:tcBorders>
                    <w:top w:val="single" w:color="auto" w:sz="4" w:space="0"/>
                    <w:bottom w:val="single" w:color="auto" w:sz="4" w:space="0"/>
                  </w:tcBorders>
                  <w:vAlign w:val="center"/>
                </w:tcPr>
                <w:p>
                  <w:pPr>
                    <w:pStyle w:val="30"/>
                    <w:spacing w:line="360" w:lineRule="exact"/>
                    <w:rPr>
                      <w:color w:val="auto"/>
                      <w:szCs w:val="21"/>
                    </w:rPr>
                  </w:pPr>
                  <w:r>
                    <w:rPr>
                      <w:color w:val="auto"/>
                      <w:szCs w:val="21"/>
                    </w:rPr>
                    <w:t>0.0002</w:t>
                  </w:r>
                </w:p>
              </w:tc>
              <w:tc>
                <w:tcPr>
                  <w:tcW w:w="1134" w:type="dxa"/>
                  <w:vAlign w:val="center"/>
                </w:tcPr>
                <w:p>
                  <w:pPr>
                    <w:pStyle w:val="30"/>
                    <w:spacing w:line="360" w:lineRule="exact"/>
                    <w:rPr>
                      <w:color w:val="auto"/>
                      <w:szCs w:val="21"/>
                    </w:rPr>
                  </w:pPr>
                  <w:r>
                    <w:rPr>
                      <w:color w:val="auto"/>
                      <w:szCs w:val="21"/>
                    </w:rPr>
                    <w:t>0.001</w:t>
                  </w:r>
                </w:p>
              </w:tc>
              <w:tc>
                <w:tcPr>
                  <w:tcW w:w="851" w:type="dxa"/>
                  <w:tcBorders>
                    <w:right w:val="single" w:color="auto" w:sz="4" w:space="0"/>
                  </w:tcBorders>
                  <w:vAlign w:val="center"/>
                </w:tcPr>
                <w:p>
                  <w:pPr>
                    <w:pStyle w:val="30"/>
                    <w:spacing w:line="360" w:lineRule="exact"/>
                    <w:rPr>
                      <w:color w:val="auto"/>
                      <w:szCs w:val="21"/>
                    </w:rPr>
                  </w:pPr>
                  <w:r>
                    <w:rPr>
                      <w:color w:val="auto"/>
                      <w:szCs w:val="21"/>
                    </w:rPr>
                    <w:t>0.00004</w:t>
                  </w:r>
                </w:p>
              </w:tc>
              <w:tc>
                <w:tcPr>
                  <w:tcW w:w="881" w:type="dxa"/>
                  <w:tcBorders>
                    <w:left w:val="single" w:color="auto" w:sz="4" w:space="0"/>
                  </w:tcBorders>
                  <w:vAlign w:val="center"/>
                </w:tcPr>
                <w:p>
                  <w:pPr>
                    <w:pStyle w:val="30"/>
                    <w:spacing w:line="360" w:lineRule="exact"/>
                    <w:rPr>
                      <w:color w:val="auto"/>
                      <w:szCs w:val="21"/>
                    </w:rPr>
                  </w:pPr>
                  <w:r>
                    <w:rPr>
                      <w:color w:val="auto"/>
                      <w:szCs w:val="21"/>
                    </w:rPr>
                    <w:t>0.00001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17" w:type="dxa"/>
                  <w:vMerge w:val="restart"/>
                  <w:vAlign w:val="center"/>
                </w:tcPr>
                <w:p>
                  <w:pPr>
                    <w:pStyle w:val="30"/>
                    <w:spacing w:line="360" w:lineRule="exact"/>
                    <w:rPr>
                      <w:color w:val="auto"/>
                      <w:szCs w:val="21"/>
                    </w:rPr>
                  </w:pPr>
                  <w:r>
                    <w:rPr>
                      <w:color w:val="auto"/>
                      <w:szCs w:val="21"/>
                    </w:rPr>
                    <w:t>2号废旧电视机（CRT）处理线</w:t>
                  </w:r>
                </w:p>
              </w:tc>
              <w:tc>
                <w:tcPr>
                  <w:tcW w:w="992" w:type="dxa"/>
                  <w:vMerge w:val="restart"/>
                  <w:vAlign w:val="center"/>
                </w:tcPr>
                <w:p>
                  <w:pPr>
                    <w:pStyle w:val="30"/>
                    <w:spacing w:line="360" w:lineRule="exact"/>
                    <w:rPr>
                      <w:color w:val="auto"/>
                      <w:szCs w:val="21"/>
                    </w:rPr>
                  </w:pPr>
                  <w:r>
                    <w:rPr>
                      <w:color w:val="auto"/>
                      <w:szCs w:val="21"/>
                    </w:rPr>
                    <w:t>阴极射线管（CRT）前端拆解</w:t>
                  </w:r>
                </w:p>
              </w:tc>
              <w:tc>
                <w:tcPr>
                  <w:tcW w:w="2126" w:type="dxa"/>
                  <w:vAlign w:val="center"/>
                </w:tcPr>
                <w:p>
                  <w:pPr>
                    <w:pStyle w:val="30"/>
                    <w:spacing w:line="360" w:lineRule="exact"/>
                    <w:rPr>
                      <w:color w:val="auto"/>
                      <w:szCs w:val="21"/>
                    </w:rPr>
                  </w:pPr>
                  <w:r>
                    <w:rPr>
                      <w:color w:val="auto"/>
                      <w:szCs w:val="21"/>
                    </w:rPr>
                    <w:t>废气量</w:t>
                  </w:r>
                  <w:r>
                    <w:rPr>
                      <w:rFonts w:hint="eastAsia"/>
                      <w:color w:val="auto"/>
                      <w:szCs w:val="21"/>
                    </w:rPr>
                    <w:t>（DA005）</w:t>
                  </w:r>
                </w:p>
              </w:tc>
              <w:tc>
                <w:tcPr>
                  <w:tcW w:w="1843" w:type="dxa"/>
                  <w:gridSpan w:val="2"/>
                  <w:tcBorders>
                    <w:top w:val="single" w:color="auto" w:sz="4" w:space="0"/>
                    <w:bottom w:val="single" w:color="auto" w:sz="4" w:space="0"/>
                  </w:tcBorders>
                  <w:vAlign w:val="center"/>
                </w:tcPr>
                <w:p>
                  <w:pPr>
                    <w:pStyle w:val="30"/>
                    <w:spacing w:line="360" w:lineRule="exact"/>
                    <w:rPr>
                      <w:color w:val="auto"/>
                      <w:szCs w:val="21"/>
                    </w:rPr>
                  </w:pPr>
                  <w:r>
                    <w:rPr>
                      <w:color w:val="auto"/>
                      <w:szCs w:val="21"/>
                    </w:rPr>
                    <w:t>8568万m³/a</w:t>
                  </w:r>
                </w:p>
              </w:tc>
              <w:tc>
                <w:tcPr>
                  <w:tcW w:w="2866" w:type="dxa"/>
                  <w:gridSpan w:val="3"/>
                  <w:vAlign w:val="center"/>
                </w:tcPr>
                <w:p>
                  <w:pPr>
                    <w:pStyle w:val="30"/>
                    <w:spacing w:line="360" w:lineRule="exact"/>
                    <w:rPr>
                      <w:color w:val="auto"/>
                      <w:szCs w:val="21"/>
                    </w:rPr>
                  </w:pPr>
                  <w:r>
                    <w:rPr>
                      <w:color w:val="auto"/>
                      <w:szCs w:val="21"/>
                    </w:rPr>
                    <w:t>8568万m³/a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17" w:type="dxa"/>
                  <w:vMerge w:val="continue"/>
                  <w:vAlign w:val="center"/>
                </w:tcPr>
                <w:p>
                  <w:pPr>
                    <w:pStyle w:val="30"/>
                    <w:spacing w:line="360" w:lineRule="exact"/>
                    <w:rPr>
                      <w:color w:val="auto"/>
                      <w:szCs w:val="21"/>
                    </w:rPr>
                  </w:pPr>
                </w:p>
              </w:tc>
              <w:tc>
                <w:tcPr>
                  <w:tcW w:w="992" w:type="dxa"/>
                  <w:vMerge w:val="continue"/>
                  <w:vAlign w:val="center"/>
                </w:tcPr>
                <w:p>
                  <w:pPr>
                    <w:pStyle w:val="30"/>
                    <w:spacing w:line="360" w:lineRule="exact"/>
                    <w:rPr>
                      <w:color w:val="auto"/>
                      <w:szCs w:val="21"/>
                    </w:rPr>
                  </w:pPr>
                </w:p>
              </w:tc>
              <w:tc>
                <w:tcPr>
                  <w:tcW w:w="2126" w:type="dxa"/>
                  <w:vAlign w:val="center"/>
                </w:tcPr>
                <w:p>
                  <w:pPr>
                    <w:pStyle w:val="30"/>
                    <w:spacing w:line="360" w:lineRule="exact"/>
                    <w:rPr>
                      <w:color w:val="auto"/>
                      <w:szCs w:val="21"/>
                    </w:rPr>
                  </w:pPr>
                  <w:r>
                    <w:rPr>
                      <w:color w:val="auto"/>
                      <w:szCs w:val="21"/>
                    </w:rPr>
                    <w:t>粉尘（有组织）</w:t>
                  </w:r>
                </w:p>
              </w:tc>
              <w:tc>
                <w:tcPr>
                  <w:tcW w:w="851" w:type="dxa"/>
                  <w:vMerge w:val="restart"/>
                  <w:tcBorders>
                    <w:top w:val="single" w:color="auto" w:sz="4" w:space="0"/>
                  </w:tcBorders>
                  <w:vAlign w:val="center"/>
                </w:tcPr>
                <w:p>
                  <w:pPr>
                    <w:pStyle w:val="30"/>
                    <w:spacing w:line="360" w:lineRule="exact"/>
                    <w:rPr>
                      <w:color w:val="auto"/>
                      <w:szCs w:val="21"/>
                    </w:rPr>
                  </w:pPr>
                  <w:r>
                    <w:rPr>
                      <w:color w:val="auto"/>
                      <w:szCs w:val="21"/>
                    </w:rPr>
                    <w:t>229.81</w:t>
                  </w:r>
                </w:p>
              </w:tc>
              <w:tc>
                <w:tcPr>
                  <w:tcW w:w="992" w:type="dxa"/>
                  <w:vMerge w:val="restart"/>
                  <w:tcBorders>
                    <w:top w:val="single" w:color="auto" w:sz="4" w:space="0"/>
                  </w:tcBorders>
                  <w:vAlign w:val="center"/>
                </w:tcPr>
                <w:p>
                  <w:pPr>
                    <w:pStyle w:val="30"/>
                    <w:spacing w:line="360" w:lineRule="exact"/>
                    <w:rPr>
                      <w:color w:val="auto"/>
                      <w:szCs w:val="21"/>
                    </w:rPr>
                  </w:pPr>
                  <w:r>
                    <w:rPr>
                      <w:color w:val="auto"/>
                      <w:szCs w:val="21"/>
                    </w:rPr>
                    <w:t>19.69</w:t>
                  </w:r>
                </w:p>
              </w:tc>
              <w:tc>
                <w:tcPr>
                  <w:tcW w:w="1134" w:type="dxa"/>
                  <w:vAlign w:val="center"/>
                </w:tcPr>
                <w:p>
                  <w:pPr>
                    <w:pStyle w:val="30"/>
                    <w:spacing w:line="360" w:lineRule="exact"/>
                    <w:rPr>
                      <w:color w:val="auto"/>
                      <w:szCs w:val="21"/>
                    </w:rPr>
                  </w:pPr>
                  <w:r>
                    <w:rPr>
                      <w:color w:val="auto"/>
                      <w:szCs w:val="21"/>
                    </w:rPr>
                    <w:t>10.38</w:t>
                  </w:r>
                </w:p>
              </w:tc>
              <w:tc>
                <w:tcPr>
                  <w:tcW w:w="851" w:type="dxa"/>
                  <w:tcBorders>
                    <w:right w:val="single" w:color="auto" w:sz="4" w:space="0"/>
                  </w:tcBorders>
                  <w:vAlign w:val="center"/>
                </w:tcPr>
                <w:p>
                  <w:pPr>
                    <w:pStyle w:val="30"/>
                    <w:spacing w:line="360" w:lineRule="exact"/>
                    <w:rPr>
                      <w:color w:val="auto"/>
                      <w:szCs w:val="21"/>
                    </w:rPr>
                  </w:pPr>
                  <w:r>
                    <w:rPr>
                      <w:color w:val="auto"/>
                      <w:szCs w:val="21"/>
                    </w:rPr>
                    <w:t>0.89</w:t>
                  </w:r>
                </w:p>
              </w:tc>
              <w:tc>
                <w:tcPr>
                  <w:tcW w:w="881" w:type="dxa"/>
                  <w:tcBorders>
                    <w:left w:val="single" w:color="auto" w:sz="4" w:space="0"/>
                  </w:tcBorders>
                  <w:vAlign w:val="center"/>
                </w:tcPr>
                <w:p>
                  <w:pPr>
                    <w:pStyle w:val="30"/>
                    <w:spacing w:line="360" w:lineRule="exact"/>
                    <w:rPr>
                      <w:color w:val="auto"/>
                      <w:szCs w:val="21"/>
                    </w:rPr>
                  </w:pPr>
                  <w:r>
                    <w:rPr>
                      <w:color w:val="auto"/>
                      <w:szCs w:val="21"/>
                    </w:rPr>
                    <w:t>0.18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17" w:type="dxa"/>
                  <w:vMerge w:val="continue"/>
                  <w:vAlign w:val="center"/>
                </w:tcPr>
                <w:p>
                  <w:pPr>
                    <w:pStyle w:val="30"/>
                    <w:spacing w:line="360" w:lineRule="exact"/>
                    <w:rPr>
                      <w:color w:val="auto"/>
                      <w:szCs w:val="21"/>
                    </w:rPr>
                  </w:pPr>
                </w:p>
              </w:tc>
              <w:tc>
                <w:tcPr>
                  <w:tcW w:w="992" w:type="dxa"/>
                  <w:vMerge w:val="continue"/>
                  <w:tcBorders>
                    <w:bottom w:val="single" w:color="auto" w:sz="4" w:space="0"/>
                  </w:tcBorders>
                  <w:vAlign w:val="center"/>
                </w:tcPr>
                <w:p>
                  <w:pPr>
                    <w:pStyle w:val="30"/>
                    <w:spacing w:line="360" w:lineRule="exact"/>
                    <w:rPr>
                      <w:color w:val="auto"/>
                      <w:szCs w:val="21"/>
                    </w:rPr>
                  </w:pPr>
                </w:p>
              </w:tc>
              <w:tc>
                <w:tcPr>
                  <w:tcW w:w="2126" w:type="dxa"/>
                  <w:vAlign w:val="center"/>
                </w:tcPr>
                <w:p>
                  <w:pPr>
                    <w:pStyle w:val="30"/>
                    <w:spacing w:line="360" w:lineRule="exact"/>
                    <w:rPr>
                      <w:color w:val="auto"/>
                      <w:szCs w:val="21"/>
                    </w:rPr>
                  </w:pPr>
                  <w:r>
                    <w:rPr>
                      <w:color w:val="auto"/>
                      <w:szCs w:val="21"/>
                    </w:rPr>
                    <w:t>粉尘（无组织）</w:t>
                  </w:r>
                </w:p>
              </w:tc>
              <w:tc>
                <w:tcPr>
                  <w:tcW w:w="851" w:type="dxa"/>
                  <w:vMerge w:val="continue"/>
                  <w:tcBorders>
                    <w:bottom w:val="single" w:color="auto" w:sz="4" w:space="0"/>
                  </w:tcBorders>
                  <w:vAlign w:val="center"/>
                </w:tcPr>
                <w:p>
                  <w:pPr>
                    <w:pStyle w:val="30"/>
                    <w:spacing w:line="360" w:lineRule="exact"/>
                    <w:rPr>
                      <w:color w:val="auto"/>
                      <w:szCs w:val="21"/>
                    </w:rPr>
                  </w:pPr>
                </w:p>
              </w:tc>
              <w:tc>
                <w:tcPr>
                  <w:tcW w:w="992" w:type="dxa"/>
                  <w:vMerge w:val="continue"/>
                  <w:tcBorders>
                    <w:bottom w:val="single" w:color="auto" w:sz="4" w:space="0"/>
                  </w:tcBorders>
                  <w:vAlign w:val="center"/>
                </w:tcPr>
                <w:p>
                  <w:pPr>
                    <w:pStyle w:val="30"/>
                    <w:spacing w:line="360" w:lineRule="exact"/>
                    <w:rPr>
                      <w:color w:val="auto"/>
                      <w:szCs w:val="21"/>
                    </w:rPr>
                  </w:pPr>
                </w:p>
              </w:tc>
              <w:tc>
                <w:tcPr>
                  <w:tcW w:w="1134" w:type="dxa"/>
                  <w:vAlign w:val="center"/>
                </w:tcPr>
                <w:p>
                  <w:pPr>
                    <w:pStyle w:val="30"/>
                    <w:spacing w:line="360" w:lineRule="exact"/>
                    <w:rPr>
                      <w:color w:val="auto"/>
                      <w:szCs w:val="21"/>
                    </w:rPr>
                  </w:pPr>
                  <w:r>
                    <w:rPr>
                      <w:color w:val="auto"/>
                      <w:szCs w:val="21"/>
                    </w:rPr>
                    <w:t>--</w:t>
                  </w:r>
                </w:p>
              </w:tc>
              <w:tc>
                <w:tcPr>
                  <w:tcW w:w="851" w:type="dxa"/>
                  <w:tcBorders>
                    <w:right w:val="single" w:color="auto" w:sz="4" w:space="0"/>
                  </w:tcBorders>
                  <w:vAlign w:val="center"/>
                </w:tcPr>
                <w:p>
                  <w:pPr>
                    <w:pStyle w:val="30"/>
                    <w:spacing w:line="360" w:lineRule="exact"/>
                    <w:rPr>
                      <w:color w:val="auto"/>
                      <w:szCs w:val="21"/>
                    </w:rPr>
                  </w:pPr>
                  <w:r>
                    <w:rPr>
                      <w:color w:val="auto"/>
                      <w:szCs w:val="21"/>
                    </w:rPr>
                    <w:t>1.97</w:t>
                  </w:r>
                </w:p>
              </w:tc>
              <w:tc>
                <w:tcPr>
                  <w:tcW w:w="881" w:type="dxa"/>
                  <w:tcBorders>
                    <w:left w:val="single" w:color="auto" w:sz="4" w:space="0"/>
                  </w:tcBorders>
                  <w:vAlign w:val="center"/>
                </w:tcPr>
                <w:p>
                  <w:pPr>
                    <w:pStyle w:val="30"/>
                    <w:spacing w:line="360" w:lineRule="exact"/>
                    <w:rPr>
                      <w:color w:val="auto"/>
                      <w:szCs w:val="21"/>
                    </w:rPr>
                  </w:pPr>
                  <w:r>
                    <w:rPr>
                      <w:color w:val="auto"/>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17" w:type="dxa"/>
                  <w:vMerge w:val="continue"/>
                  <w:vAlign w:val="center"/>
                </w:tcPr>
                <w:p>
                  <w:pPr>
                    <w:pStyle w:val="30"/>
                    <w:spacing w:line="360" w:lineRule="exact"/>
                    <w:rPr>
                      <w:color w:val="auto"/>
                      <w:szCs w:val="21"/>
                    </w:rPr>
                  </w:pPr>
                </w:p>
              </w:tc>
              <w:tc>
                <w:tcPr>
                  <w:tcW w:w="992" w:type="dxa"/>
                  <w:vMerge w:val="restart"/>
                  <w:tcBorders>
                    <w:top w:val="single" w:color="auto" w:sz="4" w:space="0"/>
                  </w:tcBorders>
                  <w:vAlign w:val="center"/>
                </w:tcPr>
                <w:p>
                  <w:pPr>
                    <w:pStyle w:val="30"/>
                    <w:spacing w:line="360" w:lineRule="exact"/>
                    <w:rPr>
                      <w:color w:val="auto"/>
                      <w:szCs w:val="21"/>
                    </w:rPr>
                  </w:pPr>
                  <w:r>
                    <w:rPr>
                      <w:color w:val="auto"/>
                      <w:szCs w:val="21"/>
                    </w:rPr>
                    <w:t>阴极射线管（CRT）后端拆解</w:t>
                  </w:r>
                </w:p>
              </w:tc>
              <w:tc>
                <w:tcPr>
                  <w:tcW w:w="2126" w:type="dxa"/>
                  <w:vAlign w:val="center"/>
                </w:tcPr>
                <w:p>
                  <w:pPr>
                    <w:pStyle w:val="30"/>
                    <w:spacing w:line="360" w:lineRule="exact"/>
                    <w:rPr>
                      <w:color w:val="auto"/>
                      <w:szCs w:val="21"/>
                    </w:rPr>
                  </w:pPr>
                  <w:r>
                    <w:rPr>
                      <w:color w:val="auto"/>
                      <w:szCs w:val="21"/>
                    </w:rPr>
                    <w:t>废气量</w:t>
                  </w:r>
                  <w:r>
                    <w:rPr>
                      <w:rFonts w:hint="eastAsia"/>
                      <w:color w:val="auto"/>
                      <w:szCs w:val="21"/>
                    </w:rPr>
                    <w:t>（DA006）</w:t>
                  </w:r>
                </w:p>
              </w:tc>
              <w:tc>
                <w:tcPr>
                  <w:tcW w:w="1843" w:type="dxa"/>
                  <w:gridSpan w:val="2"/>
                  <w:tcBorders>
                    <w:top w:val="single" w:color="auto" w:sz="4" w:space="0"/>
                    <w:bottom w:val="single" w:color="auto" w:sz="4" w:space="0"/>
                  </w:tcBorders>
                  <w:vAlign w:val="center"/>
                </w:tcPr>
                <w:p>
                  <w:pPr>
                    <w:pStyle w:val="30"/>
                    <w:spacing w:line="360" w:lineRule="exact"/>
                    <w:rPr>
                      <w:color w:val="auto"/>
                      <w:szCs w:val="21"/>
                    </w:rPr>
                  </w:pPr>
                  <w:r>
                    <w:rPr>
                      <w:color w:val="auto"/>
                      <w:szCs w:val="21"/>
                    </w:rPr>
                    <w:t>9072万m³/a</w:t>
                  </w:r>
                </w:p>
              </w:tc>
              <w:tc>
                <w:tcPr>
                  <w:tcW w:w="2866" w:type="dxa"/>
                  <w:gridSpan w:val="3"/>
                  <w:vAlign w:val="center"/>
                </w:tcPr>
                <w:p>
                  <w:pPr>
                    <w:pStyle w:val="30"/>
                    <w:spacing w:line="360" w:lineRule="exact"/>
                    <w:rPr>
                      <w:color w:val="auto"/>
                      <w:szCs w:val="21"/>
                    </w:rPr>
                  </w:pPr>
                  <w:r>
                    <w:rPr>
                      <w:color w:val="auto"/>
                      <w:szCs w:val="21"/>
                    </w:rPr>
                    <w:t>9072万m³/a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17" w:type="dxa"/>
                  <w:vMerge w:val="continue"/>
                  <w:vAlign w:val="center"/>
                </w:tcPr>
                <w:p>
                  <w:pPr>
                    <w:pStyle w:val="30"/>
                    <w:spacing w:line="360" w:lineRule="exact"/>
                    <w:rPr>
                      <w:color w:val="auto"/>
                      <w:szCs w:val="21"/>
                    </w:rPr>
                  </w:pPr>
                </w:p>
              </w:tc>
              <w:tc>
                <w:tcPr>
                  <w:tcW w:w="992" w:type="dxa"/>
                  <w:vMerge w:val="continue"/>
                  <w:tcBorders>
                    <w:top w:val="single" w:color="auto" w:sz="4" w:space="0"/>
                  </w:tcBorders>
                  <w:vAlign w:val="center"/>
                </w:tcPr>
                <w:p>
                  <w:pPr>
                    <w:pStyle w:val="30"/>
                    <w:spacing w:line="360" w:lineRule="exact"/>
                    <w:rPr>
                      <w:color w:val="auto"/>
                      <w:szCs w:val="21"/>
                    </w:rPr>
                  </w:pPr>
                </w:p>
              </w:tc>
              <w:tc>
                <w:tcPr>
                  <w:tcW w:w="2126" w:type="dxa"/>
                  <w:vAlign w:val="center"/>
                </w:tcPr>
                <w:p>
                  <w:pPr>
                    <w:pStyle w:val="30"/>
                    <w:spacing w:line="360" w:lineRule="exact"/>
                    <w:rPr>
                      <w:color w:val="auto"/>
                      <w:szCs w:val="21"/>
                    </w:rPr>
                  </w:pPr>
                  <w:r>
                    <w:rPr>
                      <w:color w:val="auto"/>
                      <w:szCs w:val="21"/>
                    </w:rPr>
                    <w:t>粉尘（有组织）</w:t>
                  </w:r>
                </w:p>
              </w:tc>
              <w:tc>
                <w:tcPr>
                  <w:tcW w:w="851" w:type="dxa"/>
                  <w:vMerge w:val="restart"/>
                  <w:tcBorders>
                    <w:top w:val="single" w:color="auto" w:sz="4" w:space="0"/>
                  </w:tcBorders>
                  <w:vAlign w:val="center"/>
                </w:tcPr>
                <w:p>
                  <w:pPr>
                    <w:pStyle w:val="30"/>
                    <w:spacing w:line="360" w:lineRule="exact"/>
                    <w:rPr>
                      <w:color w:val="auto"/>
                      <w:szCs w:val="21"/>
                    </w:rPr>
                  </w:pPr>
                  <w:r>
                    <w:rPr>
                      <w:color w:val="auto"/>
                      <w:szCs w:val="21"/>
                    </w:rPr>
                    <w:t>217.04</w:t>
                  </w:r>
                </w:p>
              </w:tc>
              <w:tc>
                <w:tcPr>
                  <w:tcW w:w="992" w:type="dxa"/>
                  <w:vMerge w:val="restart"/>
                  <w:tcBorders>
                    <w:top w:val="single" w:color="auto" w:sz="4" w:space="0"/>
                  </w:tcBorders>
                  <w:vAlign w:val="center"/>
                </w:tcPr>
                <w:p>
                  <w:pPr>
                    <w:pStyle w:val="30"/>
                    <w:spacing w:line="360" w:lineRule="exact"/>
                    <w:rPr>
                      <w:color w:val="auto"/>
                      <w:szCs w:val="21"/>
                    </w:rPr>
                  </w:pPr>
                  <w:r>
                    <w:rPr>
                      <w:color w:val="auto"/>
                      <w:szCs w:val="21"/>
                    </w:rPr>
                    <w:t>19.69</w:t>
                  </w:r>
                </w:p>
              </w:tc>
              <w:tc>
                <w:tcPr>
                  <w:tcW w:w="1134" w:type="dxa"/>
                  <w:vAlign w:val="center"/>
                </w:tcPr>
                <w:p>
                  <w:pPr>
                    <w:pStyle w:val="30"/>
                    <w:spacing w:line="360" w:lineRule="exact"/>
                    <w:rPr>
                      <w:color w:val="auto"/>
                      <w:szCs w:val="21"/>
                    </w:rPr>
                  </w:pPr>
                  <w:r>
                    <w:rPr>
                      <w:color w:val="auto"/>
                      <w:szCs w:val="21"/>
                    </w:rPr>
                    <w:t>9.81</w:t>
                  </w:r>
                </w:p>
              </w:tc>
              <w:tc>
                <w:tcPr>
                  <w:tcW w:w="851" w:type="dxa"/>
                  <w:tcBorders>
                    <w:right w:val="single" w:color="auto" w:sz="4" w:space="0"/>
                  </w:tcBorders>
                  <w:vAlign w:val="center"/>
                </w:tcPr>
                <w:p>
                  <w:pPr>
                    <w:pStyle w:val="30"/>
                    <w:spacing w:line="360" w:lineRule="exact"/>
                    <w:rPr>
                      <w:color w:val="auto"/>
                      <w:szCs w:val="21"/>
                    </w:rPr>
                  </w:pPr>
                  <w:r>
                    <w:rPr>
                      <w:color w:val="auto"/>
                      <w:szCs w:val="21"/>
                    </w:rPr>
                    <w:t>0.89</w:t>
                  </w:r>
                </w:p>
              </w:tc>
              <w:tc>
                <w:tcPr>
                  <w:tcW w:w="881" w:type="dxa"/>
                  <w:tcBorders>
                    <w:left w:val="single" w:color="auto" w:sz="4" w:space="0"/>
                  </w:tcBorders>
                  <w:vAlign w:val="center"/>
                </w:tcPr>
                <w:p>
                  <w:pPr>
                    <w:pStyle w:val="30"/>
                    <w:spacing w:line="360" w:lineRule="exact"/>
                    <w:rPr>
                      <w:color w:val="auto"/>
                      <w:szCs w:val="21"/>
                    </w:rPr>
                  </w:pPr>
                  <w:r>
                    <w:rPr>
                      <w:color w:val="auto"/>
                      <w:szCs w:val="21"/>
                    </w:rPr>
                    <w:t>0.18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17" w:type="dxa"/>
                  <w:vMerge w:val="continue"/>
                  <w:vAlign w:val="center"/>
                </w:tcPr>
                <w:p>
                  <w:pPr>
                    <w:pStyle w:val="30"/>
                    <w:spacing w:line="360" w:lineRule="exact"/>
                    <w:rPr>
                      <w:color w:val="auto"/>
                      <w:szCs w:val="21"/>
                    </w:rPr>
                  </w:pPr>
                </w:p>
              </w:tc>
              <w:tc>
                <w:tcPr>
                  <w:tcW w:w="992" w:type="dxa"/>
                  <w:vMerge w:val="continue"/>
                  <w:tcBorders>
                    <w:top w:val="single" w:color="auto" w:sz="4" w:space="0"/>
                  </w:tcBorders>
                  <w:vAlign w:val="center"/>
                </w:tcPr>
                <w:p>
                  <w:pPr>
                    <w:pStyle w:val="30"/>
                    <w:spacing w:line="360" w:lineRule="exact"/>
                    <w:rPr>
                      <w:color w:val="auto"/>
                      <w:szCs w:val="21"/>
                    </w:rPr>
                  </w:pPr>
                </w:p>
              </w:tc>
              <w:tc>
                <w:tcPr>
                  <w:tcW w:w="2126" w:type="dxa"/>
                  <w:vAlign w:val="center"/>
                </w:tcPr>
                <w:p>
                  <w:pPr>
                    <w:pStyle w:val="30"/>
                    <w:spacing w:line="360" w:lineRule="exact"/>
                    <w:rPr>
                      <w:color w:val="auto"/>
                      <w:szCs w:val="21"/>
                    </w:rPr>
                  </w:pPr>
                  <w:r>
                    <w:rPr>
                      <w:color w:val="auto"/>
                      <w:szCs w:val="21"/>
                    </w:rPr>
                    <w:t>粉尘（无组织）</w:t>
                  </w:r>
                </w:p>
              </w:tc>
              <w:tc>
                <w:tcPr>
                  <w:tcW w:w="851" w:type="dxa"/>
                  <w:vMerge w:val="continue"/>
                  <w:tcBorders>
                    <w:bottom w:val="single" w:color="auto" w:sz="4" w:space="0"/>
                  </w:tcBorders>
                  <w:vAlign w:val="center"/>
                </w:tcPr>
                <w:p>
                  <w:pPr>
                    <w:pStyle w:val="30"/>
                    <w:spacing w:line="360" w:lineRule="exact"/>
                    <w:rPr>
                      <w:color w:val="auto"/>
                      <w:szCs w:val="21"/>
                    </w:rPr>
                  </w:pPr>
                </w:p>
              </w:tc>
              <w:tc>
                <w:tcPr>
                  <w:tcW w:w="992" w:type="dxa"/>
                  <w:vMerge w:val="continue"/>
                  <w:tcBorders>
                    <w:bottom w:val="single" w:color="auto" w:sz="4" w:space="0"/>
                  </w:tcBorders>
                  <w:vAlign w:val="center"/>
                </w:tcPr>
                <w:p>
                  <w:pPr>
                    <w:pStyle w:val="30"/>
                    <w:spacing w:line="360" w:lineRule="exact"/>
                    <w:rPr>
                      <w:color w:val="auto"/>
                      <w:szCs w:val="21"/>
                    </w:rPr>
                  </w:pPr>
                </w:p>
              </w:tc>
              <w:tc>
                <w:tcPr>
                  <w:tcW w:w="1134" w:type="dxa"/>
                  <w:vAlign w:val="center"/>
                </w:tcPr>
                <w:p>
                  <w:pPr>
                    <w:pStyle w:val="30"/>
                    <w:spacing w:line="360" w:lineRule="exact"/>
                    <w:rPr>
                      <w:color w:val="auto"/>
                      <w:szCs w:val="21"/>
                    </w:rPr>
                  </w:pPr>
                  <w:r>
                    <w:rPr>
                      <w:color w:val="auto"/>
                      <w:szCs w:val="21"/>
                    </w:rPr>
                    <w:t>--</w:t>
                  </w:r>
                </w:p>
              </w:tc>
              <w:tc>
                <w:tcPr>
                  <w:tcW w:w="851" w:type="dxa"/>
                  <w:tcBorders>
                    <w:right w:val="single" w:color="auto" w:sz="4" w:space="0"/>
                  </w:tcBorders>
                  <w:vAlign w:val="center"/>
                </w:tcPr>
                <w:p>
                  <w:pPr>
                    <w:pStyle w:val="30"/>
                    <w:spacing w:line="360" w:lineRule="exact"/>
                    <w:rPr>
                      <w:color w:val="auto"/>
                      <w:szCs w:val="21"/>
                    </w:rPr>
                  </w:pPr>
                  <w:r>
                    <w:rPr>
                      <w:color w:val="auto"/>
                      <w:szCs w:val="21"/>
                    </w:rPr>
                    <w:t>1.97</w:t>
                  </w:r>
                </w:p>
              </w:tc>
              <w:tc>
                <w:tcPr>
                  <w:tcW w:w="881" w:type="dxa"/>
                  <w:tcBorders>
                    <w:left w:val="single" w:color="auto" w:sz="4" w:space="0"/>
                  </w:tcBorders>
                  <w:vAlign w:val="center"/>
                </w:tcPr>
                <w:p>
                  <w:pPr>
                    <w:pStyle w:val="30"/>
                    <w:spacing w:line="360" w:lineRule="exact"/>
                    <w:rPr>
                      <w:color w:val="auto"/>
                      <w:szCs w:val="21"/>
                    </w:rPr>
                  </w:pPr>
                  <w:r>
                    <w:rPr>
                      <w:color w:val="auto"/>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17" w:type="dxa"/>
                  <w:vMerge w:val="continue"/>
                  <w:vAlign w:val="center"/>
                </w:tcPr>
                <w:p>
                  <w:pPr>
                    <w:pStyle w:val="30"/>
                    <w:spacing w:line="360" w:lineRule="exact"/>
                    <w:rPr>
                      <w:color w:val="auto"/>
                      <w:szCs w:val="21"/>
                    </w:rPr>
                  </w:pPr>
                </w:p>
              </w:tc>
              <w:tc>
                <w:tcPr>
                  <w:tcW w:w="992" w:type="dxa"/>
                  <w:vMerge w:val="continue"/>
                  <w:vAlign w:val="center"/>
                </w:tcPr>
                <w:p>
                  <w:pPr>
                    <w:pStyle w:val="30"/>
                    <w:spacing w:line="360" w:lineRule="exact"/>
                    <w:rPr>
                      <w:color w:val="auto"/>
                      <w:szCs w:val="21"/>
                    </w:rPr>
                  </w:pPr>
                </w:p>
              </w:tc>
              <w:tc>
                <w:tcPr>
                  <w:tcW w:w="2126" w:type="dxa"/>
                  <w:vAlign w:val="center"/>
                </w:tcPr>
                <w:p>
                  <w:pPr>
                    <w:pStyle w:val="30"/>
                    <w:spacing w:line="360" w:lineRule="exact"/>
                    <w:rPr>
                      <w:color w:val="auto"/>
                      <w:szCs w:val="21"/>
                    </w:rPr>
                  </w:pPr>
                  <w:r>
                    <w:rPr>
                      <w:color w:val="auto"/>
                      <w:szCs w:val="21"/>
                    </w:rPr>
                    <w:t>铅及其化合物（有组织）</w:t>
                  </w:r>
                </w:p>
              </w:tc>
              <w:tc>
                <w:tcPr>
                  <w:tcW w:w="851" w:type="dxa"/>
                  <w:vMerge w:val="restart"/>
                  <w:tcBorders>
                    <w:top w:val="single" w:color="auto" w:sz="4" w:space="0"/>
                  </w:tcBorders>
                  <w:vAlign w:val="center"/>
                </w:tcPr>
                <w:p>
                  <w:pPr>
                    <w:pStyle w:val="30"/>
                    <w:spacing w:line="360" w:lineRule="exact"/>
                    <w:rPr>
                      <w:color w:val="auto"/>
                      <w:szCs w:val="21"/>
                    </w:rPr>
                  </w:pPr>
                  <w:r>
                    <w:rPr>
                      <w:color w:val="auto"/>
                      <w:szCs w:val="21"/>
                    </w:rPr>
                    <w:t>0.21</w:t>
                  </w:r>
                </w:p>
              </w:tc>
              <w:tc>
                <w:tcPr>
                  <w:tcW w:w="992" w:type="dxa"/>
                  <w:vMerge w:val="restart"/>
                  <w:tcBorders>
                    <w:top w:val="single" w:color="auto" w:sz="4" w:space="0"/>
                  </w:tcBorders>
                  <w:vAlign w:val="center"/>
                </w:tcPr>
                <w:p>
                  <w:pPr>
                    <w:pStyle w:val="30"/>
                    <w:spacing w:line="360" w:lineRule="exact"/>
                    <w:rPr>
                      <w:color w:val="auto"/>
                      <w:szCs w:val="21"/>
                    </w:rPr>
                  </w:pPr>
                  <w:r>
                    <w:rPr>
                      <w:color w:val="auto"/>
                      <w:szCs w:val="21"/>
                    </w:rPr>
                    <w:t>0.0188</w:t>
                  </w:r>
                </w:p>
              </w:tc>
              <w:tc>
                <w:tcPr>
                  <w:tcW w:w="1134" w:type="dxa"/>
                  <w:vAlign w:val="center"/>
                </w:tcPr>
                <w:p>
                  <w:pPr>
                    <w:pStyle w:val="30"/>
                    <w:spacing w:line="360" w:lineRule="exact"/>
                    <w:rPr>
                      <w:color w:val="auto"/>
                      <w:szCs w:val="21"/>
                    </w:rPr>
                  </w:pPr>
                  <w:r>
                    <w:rPr>
                      <w:color w:val="auto"/>
                      <w:szCs w:val="21"/>
                    </w:rPr>
                    <w:t>0.01</w:t>
                  </w:r>
                </w:p>
              </w:tc>
              <w:tc>
                <w:tcPr>
                  <w:tcW w:w="851" w:type="dxa"/>
                  <w:tcBorders>
                    <w:right w:val="single" w:color="auto" w:sz="4" w:space="0"/>
                  </w:tcBorders>
                  <w:vAlign w:val="center"/>
                </w:tcPr>
                <w:p>
                  <w:pPr>
                    <w:pStyle w:val="30"/>
                    <w:spacing w:line="360" w:lineRule="exact"/>
                    <w:rPr>
                      <w:color w:val="auto"/>
                      <w:szCs w:val="21"/>
                    </w:rPr>
                  </w:pPr>
                  <w:r>
                    <w:rPr>
                      <w:color w:val="auto"/>
                      <w:szCs w:val="21"/>
                    </w:rPr>
                    <w:t>0.0009</w:t>
                  </w:r>
                </w:p>
              </w:tc>
              <w:tc>
                <w:tcPr>
                  <w:tcW w:w="881" w:type="dxa"/>
                  <w:tcBorders>
                    <w:left w:val="single" w:color="auto" w:sz="4" w:space="0"/>
                  </w:tcBorders>
                  <w:vAlign w:val="center"/>
                </w:tcPr>
                <w:p>
                  <w:pPr>
                    <w:pStyle w:val="30"/>
                    <w:spacing w:line="360" w:lineRule="exact"/>
                    <w:rPr>
                      <w:color w:val="auto"/>
                      <w:szCs w:val="21"/>
                    </w:rPr>
                  </w:pPr>
                  <w:r>
                    <w:rPr>
                      <w:color w:val="auto"/>
                      <w:szCs w:val="21"/>
                    </w:rPr>
                    <w:t>0.0002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17" w:type="dxa"/>
                  <w:vMerge w:val="continue"/>
                  <w:vAlign w:val="center"/>
                </w:tcPr>
                <w:p>
                  <w:pPr>
                    <w:pStyle w:val="30"/>
                    <w:spacing w:line="360" w:lineRule="exact"/>
                    <w:rPr>
                      <w:color w:val="auto"/>
                      <w:szCs w:val="21"/>
                    </w:rPr>
                  </w:pPr>
                </w:p>
              </w:tc>
              <w:tc>
                <w:tcPr>
                  <w:tcW w:w="992" w:type="dxa"/>
                  <w:vMerge w:val="continue"/>
                  <w:vAlign w:val="center"/>
                </w:tcPr>
                <w:p>
                  <w:pPr>
                    <w:pStyle w:val="30"/>
                    <w:spacing w:line="360" w:lineRule="exact"/>
                    <w:rPr>
                      <w:color w:val="auto"/>
                      <w:szCs w:val="21"/>
                    </w:rPr>
                  </w:pPr>
                </w:p>
              </w:tc>
              <w:tc>
                <w:tcPr>
                  <w:tcW w:w="2126" w:type="dxa"/>
                  <w:vAlign w:val="center"/>
                </w:tcPr>
                <w:p>
                  <w:pPr>
                    <w:pStyle w:val="30"/>
                    <w:spacing w:line="360" w:lineRule="exact"/>
                    <w:rPr>
                      <w:color w:val="auto"/>
                      <w:szCs w:val="21"/>
                    </w:rPr>
                  </w:pPr>
                  <w:r>
                    <w:rPr>
                      <w:color w:val="auto"/>
                      <w:szCs w:val="21"/>
                    </w:rPr>
                    <w:t>铅及其化合物（无组织）</w:t>
                  </w:r>
                </w:p>
              </w:tc>
              <w:tc>
                <w:tcPr>
                  <w:tcW w:w="851" w:type="dxa"/>
                  <w:vMerge w:val="continue"/>
                  <w:tcBorders>
                    <w:bottom w:val="single" w:color="auto" w:sz="4" w:space="0"/>
                  </w:tcBorders>
                  <w:vAlign w:val="center"/>
                </w:tcPr>
                <w:p>
                  <w:pPr>
                    <w:pStyle w:val="30"/>
                    <w:spacing w:line="360" w:lineRule="exact"/>
                    <w:rPr>
                      <w:color w:val="auto"/>
                      <w:szCs w:val="21"/>
                    </w:rPr>
                  </w:pPr>
                </w:p>
              </w:tc>
              <w:tc>
                <w:tcPr>
                  <w:tcW w:w="992" w:type="dxa"/>
                  <w:vMerge w:val="continue"/>
                  <w:tcBorders>
                    <w:bottom w:val="single" w:color="auto" w:sz="4" w:space="0"/>
                  </w:tcBorders>
                  <w:vAlign w:val="center"/>
                </w:tcPr>
                <w:p>
                  <w:pPr>
                    <w:pStyle w:val="30"/>
                    <w:spacing w:line="360" w:lineRule="exact"/>
                    <w:rPr>
                      <w:color w:val="auto"/>
                      <w:szCs w:val="21"/>
                    </w:rPr>
                  </w:pPr>
                </w:p>
              </w:tc>
              <w:tc>
                <w:tcPr>
                  <w:tcW w:w="1134" w:type="dxa"/>
                  <w:vAlign w:val="center"/>
                </w:tcPr>
                <w:p>
                  <w:pPr>
                    <w:pStyle w:val="30"/>
                    <w:spacing w:line="360" w:lineRule="exact"/>
                    <w:rPr>
                      <w:color w:val="auto"/>
                      <w:szCs w:val="21"/>
                    </w:rPr>
                  </w:pPr>
                  <w:r>
                    <w:rPr>
                      <w:color w:val="auto"/>
                      <w:szCs w:val="21"/>
                    </w:rPr>
                    <w:t>--</w:t>
                  </w:r>
                </w:p>
              </w:tc>
              <w:tc>
                <w:tcPr>
                  <w:tcW w:w="851" w:type="dxa"/>
                  <w:tcBorders>
                    <w:right w:val="single" w:color="auto" w:sz="4" w:space="0"/>
                  </w:tcBorders>
                  <w:vAlign w:val="center"/>
                </w:tcPr>
                <w:p>
                  <w:pPr>
                    <w:pStyle w:val="30"/>
                    <w:spacing w:line="360" w:lineRule="exact"/>
                    <w:rPr>
                      <w:color w:val="auto"/>
                      <w:szCs w:val="21"/>
                    </w:rPr>
                  </w:pPr>
                  <w:r>
                    <w:rPr>
                      <w:color w:val="auto"/>
                      <w:szCs w:val="21"/>
                    </w:rPr>
                    <w:t>0.0019</w:t>
                  </w:r>
                </w:p>
              </w:tc>
              <w:tc>
                <w:tcPr>
                  <w:tcW w:w="881" w:type="dxa"/>
                  <w:tcBorders>
                    <w:left w:val="single" w:color="auto" w:sz="4" w:space="0"/>
                  </w:tcBorders>
                  <w:vAlign w:val="center"/>
                </w:tcPr>
                <w:p>
                  <w:pPr>
                    <w:pStyle w:val="30"/>
                    <w:spacing w:line="360" w:lineRule="exact"/>
                    <w:rPr>
                      <w:color w:val="auto"/>
                      <w:szCs w:val="21"/>
                    </w:rPr>
                  </w:pPr>
                  <w:r>
                    <w:rPr>
                      <w:color w:val="auto"/>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17" w:type="dxa"/>
                  <w:vAlign w:val="center"/>
                </w:tcPr>
                <w:p>
                  <w:pPr>
                    <w:pStyle w:val="30"/>
                    <w:spacing w:line="360" w:lineRule="exact"/>
                    <w:rPr>
                      <w:color w:val="auto"/>
                      <w:szCs w:val="21"/>
                    </w:rPr>
                  </w:pPr>
                  <w:r>
                    <w:rPr>
                      <w:color w:val="auto"/>
                      <w:szCs w:val="21"/>
                    </w:rPr>
                    <w:t>厨房</w:t>
                  </w:r>
                </w:p>
              </w:tc>
              <w:tc>
                <w:tcPr>
                  <w:tcW w:w="992" w:type="dxa"/>
                  <w:vAlign w:val="center"/>
                </w:tcPr>
                <w:p>
                  <w:pPr>
                    <w:pStyle w:val="30"/>
                    <w:spacing w:line="360" w:lineRule="exact"/>
                    <w:rPr>
                      <w:color w:val="auto"/>
                      <w:szCs w:val="21"/>
                    </w:rPr>
                  </w:pPr>
                  <w:r>
                    <w:rPr>
                      <w:color w:val="auto"/>
                      <w:szCs w:val="21"/>
                    </w:rPr>
                    <w:t>--</w:t>
                  </w:r>
                </w:p>
              </w:tc>
              <w:tc>
                <w:tcPr>
                  <w:tcW w:w="2126" w:type="dxa"/>
                  <w:vAlign w:val="center"/>
                </w:tcPr>
                <w:p>
                  <w:pPr>
                    <w:pStyle w:val="30"/>
                    <w:spacing w:line="360" w:lineRule="exact"/>
                    <w:rPr>
                      <w:color w:val="auto"/>
                      <w:szCs w:val="21"/>
                    </w:rPr>
                  </w:pPr>
                  <w:r>
                    <w:rPr>
                      <w:color w:val="auto"/>
                      <w:szCs w:val="21"/>
                    </w:rPr>
                    <w:t>厨房油烟</w:t>
                  </w:r>
                </w:p>
              </w:tc>
              <w:tc>
                <w:tcPr>
                  <w:tcW w:w="851" w:type="dxa"/>
                  <w:tcBorders>
                    <w:top w:val="single" w:color="auto" w:sz="4" w:space="0"/>
                  </w:tcBorders>
                  <w:vAlign w:val="center"/>
                </w:tcPr>
                <w:p>
                  <w:pPr>
                    <w:pStyle w:val="30"/>
                    <w:spacing w:line="360" w:lineRule="exact"/>
                    <w:rPr>
                      <w:color w:val="auto"/>
                      <w:szCs w:val="21"/>
                    </w:rPr>
                  </w:pPr>
                  <w:r>
                    <w:rPr>
                      <w:color w:val="auto"/>
                      <w:szCs w:val="21"/>
                    </w:rPr>
                    <w:t>2.0</w:t>
                  </w:r>
                </w:p>
              </w:tc>
              <w:tc>
                <w:tcPr>
                  <w:tcW w:w="992" w:type="dxa"/>
                  <w:tcBorders>
                    <w:top w:val="single" w:color="auto" w:sz="4" w:space="0"/>
                  </w:tcBorders>
                  <w:vAlign w:val="center"/>
                </w:tcPr>
                <w:p>
                  <w:pPr>
                    <w:pStyle w:val="30"/>
                    <w:spacing w:line="360" w:lineRule="exact"/>
                    <w:rPr>
                      <w:color w:val="auto"/>
                      <w:szCs w:val="21"/>
                    </w:rPr>
                  </w:pPr>
                  <w:r>
                    <w:rPr>
                      <w:color w:val="auto"/>
                      <w:szCs w:val="21"/>
                    </w:rPr>
                    <w:t>12g/d</w:t>
                  </w:r>
                </w:p>
              </w:tc>
              <w:tc>
                <w:tcPr>
                  <w:tcW w:w="1134" w:type="dxa"/>
                  <w:vAlign w:val="center"/>
                </w:tcPr>
                <w:p>
                  <w:pPr>
                    <w:pStyle w:val="30"/>
                    <w:spacing w:line="360" w:lineRule="exact"/>
                    <w:rPr>
                      <w:color w:val="auto"/>
                      <w:szCs w:val="21"/>
                    </w:rPr>
                  </w:pPr>
                  <w:r>
                    <w:rPr>
                      <w:color w:val="auto"/>
                      <w:szCs w:val="21"/>
                    </w:rPr>
                    <w:t>0.8</w:t>
                  </w:r>
                </w:p>
              </w:tc>
              <w:tc>
                <w:tcPr>
                  <w:tcW w:w="851" w:type="dxa"/>
                  <w:tcBorders>
                    <w:right w:val="single" w:color="auto" w:sz="4" w:space="0"/>
                  </w:tcBorders>
                  <w:vAlign w:val="center"/>
                </w:tcPr>
                <w:p>
                  <w:pPr>
                    <w:pStyle w:val="30"/>
                    <w:spacing w:line="360" w:lineRule="exact"/>
                    <w:rPr>
                      <w:color w:val="auto"/>
                      <w:szCs w:val="21"/>
                    </w:rPr>
                  </w:pPr>
                  <w:r>
                    <w:rPr>
                      <w:color w:val="auto"/>
                      <w:szCs w:val="21"/>
                    </w:rPr>
                    <w:t>4.8g/d</w:t>
                  </w:r>
                </w:p>
              </w:tc>
              <w:tc>
                <w:tcPr>
                  <w:tcW w:w="881" w:type="dxa"/>
                  <w:tcBorders>
                    <w:left w:val="single" w:color="auto" w:sz="4" w:space="0"/>
                  </w:tcBorders>
                  <w:vAlign w:val="center"/>
                </w:tcPr>
                <w:p>
                  <w:pPr>
                    <w:pStyle w:val="30"/>
                    <w:spacing w:line="360" w:lineRule="exact"/>
                    <w:rPr>
                      <w:color w:val="auto"/>
                      <w:szCs w:val="21"/>
                    </w:rPr>
                  </w:pPr>
                  <w:r>
                    <w:rPr>
                      <w:color w:val="auto"/>
                      <w:szCs w:val="21"/>
                    </w:rPr>
                    <w:t>--</w:t>
                  </w:r>
                </w:p>
              </w:tc>
            </w:tr>
          </w:tbl>
          <w:p>
            <w:pPr>
              <w:pStyle w:val="38"/>
              <w:spacing w:beforeLines="50"/>
              <w:ind w:firstLine="480"/>
              <w:rPr>
                <w:color w:val="auto"/>
                <w:szCs w:val="24"/>
              </w:rPr>
            </w:pPr>
            <w:r>
              <w:rPr>
                <w:rFonts w:hint="eastAsia"/>
                <w:color w:val="auto"/>
                <w:szCs w:val="24"/>
              </w:rPr>
              <w:t>由上表可知，</w:t>
            </w:r>
            <w:r>
              <w:rPr>
                <w:color w:val="auto"/>
                <w:szCs w:val="24"/>
              </w:rPr>
              <w:t>废气污染物排放源产排量及达标情况</w:t>
            </w:r>
            <w:r>
              <w:rPr>
                <w:rFonts w:hint="eastAsia"/>
                <w:color w:val="auto"/>
                <w:szCs w:val="24"/>
              </w:rPr>
              <w:t>如下表所示。</w:t>
            </w:r>
          </w:p>
          <w:p>
            <w:pPr>
              <w:jc w:val="center"/>
              <w:rPr>
                <w:rFonts w:ascii="Times New Roman" w:hAnsi="Times New Roman" w:cs="Times New Roman"/>
                <w:b/>
                <w:color w:val="auto"/>
                <w:szCs w:val="24"/>
              </w:rPr>
            </w:pPr>
            <w:r>
              <w:rPr>
                <w:rFonts w:ascii="Times New Roman" w:hAnsi="Times New Roman" w:cs="Times New Roman"/>
                <w:b/>
                <w:color w:val="auto"/>
                <w:szCs w:val="24"/>
              </w:rPr>
              <w:t>表4.2.1-</w:t>
            </w:r>
            <w:r>
              <w:rPr>
                <w:rFonts w:hint="eastAsia" w:ascii="Times New Roman" w:hAnsi="Times New Roman" w:cs="Times New Roman"/>
                <w:b/>
                <w:color w:val="auto"/>
                <w:szCs w:val="24"/>
              </w:rPr>
              <w:t>5</w:t>
            </w:r>
            <w:r>
              <w:rPr>
                <w:rFonts w:ascii="Times New Roman" w:hAnsi="Times New Roman" w:cs="Times New Roman"/>
                <w:b/>
                <w:color w:val="auto"/>
                <w:szCs w:val="24"/>
              </w:rPr>
              <w:t xml:space="preserve">  废气污染物排放源排</w:t>
            </w:r>
            <w:r>
              <w:rPr>
                <w:rFonts w:hint="eastAsia" w:ascii="Times New Roman" w:hAnsi="Times New Roman" w:cs="Times New Roman"/>
                <w:b/>
                <w:color w:val="auto"/>
                <w:szCs w:val="24"/>
              </w:rPr>
              <w:t>放</w:t>
            </w:r>
            <w:r>
              <w:rPr>
                <w:rFonts w:ascii="Times New Roman" w:hAnsi="Times New Roman" w:cs="Times New Roman"/>
                <w:b/>
                <w:color w:val="auto"/>
                <w:szCs w:val="24"/>
              </w:rPr>
              <w:t>量及达标情况一览表</w:t>
            </w:r>
          </w:p>
          <w:tbl>
            <w:tblPr>
              <w:tblStyle w:val="20"/>
              <w:tblW w:w="904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018"/>
              <w:gridCol w:w="1612"/>
              <w:gridCol w:w="1276"/>
              <w:gridCol w:w="1177"/>
              <w:gridCol w:w="1050"/>
              <w:gridCol w:w="1051"/>
              <w:gridCol w:w="1024"/>
              <w:gridCol w:w="83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restart"/>
                  <w:vAlign w:val="center"/>
                </w:tcPr>
                <w:p>
                  <w:pPr>
                    <w:pStyle w:val="30"/>
                    <w:spacing w:line="360" w:lineRule="exact"/>
                    <w:rPr>
                      <w:color w:val="auto"/>
                      <w:szCs w:val="21"/>
                    </w:rPr>
                  </w:pPr>
                  <w:r>
                    <w:rPr>
                      <w:color w:val="auto"/>
                      <w:szCs w:val="21"/>
                    </w:rPr>
                    <w:t>排气筒编号</w:t>
                  </w:r>
                </w:p>
              </w:tc>
              <w:tc>
                <w:tcPr>
                  <w:tcW w:w="1612" w:type="dxa"/>
                  <w:vMerge w:val="restart"/>
                  <w:vAlign w:val="center"/>
                </w:tcPr>
                <w:p>
                  <w:pPr>
                    <w:pStyle w:val="30"/>
                    <w:spacing w:line="360" w:lineRule="exact"/>
                    <w:rPr>
                      <w:color w:val="auto"/>
                      <w:szCs w:val="21"/>
                    </w:rPr>
                  </w:pPr>
                  <w:r>
                    <w:rPr>
                      <w:color w:val="auto"/>
                      <w:szCs w:val="21"/>
                    </w:rPr>
                    <w:t>污染物种类</w:t>
                  </w:r>
                </w:p>
              </w:tc>
              <w:tc>
                <w:tcPr>
                  <w:tcW w:w="3503" w:type="dxa"/>
                  <w:gridSpan w:val="3"/>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污染物排放量和浓度</w:t>
                  </w:r>
                </w:p>
              </w:tc>
              <w:tc>
                <w:tcPr>
                  <w:tcW w:w="2075" w:type="dxa"/>
                  <w:gridSpan w:val="2"/>
                  <w:tcBorders>
                    <w:bottom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排放标准</w:t>
                  </w:r>
                </w:p>
              </w:tc>
              <w:tc>
                <w:tcPr>
                  <w:tcW w:w="836" w:type="dxa"/>
                  <w:vMerge w:val="restart"/>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达标情况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color w:val="auto"/>
                      <w:szCs w:val="21"/>
                    </w:rPr>
                  </w:pPr>
                </w:p>
              </w:tc>
              <w:tc>
                <w:tcPr>
                  <w:tcW w:w="1612" w:type="dxa"/>
                  <w:vMerge w:val="continue"/>
                  <w:vAlign w:val="center"/>
                </w:tcPr>
                <w:p>
                  <w:pPr>
                    <w:pStyle w:val="30"/>
                    <w:spacing w:line="360" w:lineRule="exact"/>
                    <w:rPr>
                      <w:color w:val="auto"/>
                      <w:szCs w:val="21"/>
                    </w:rPr>
                  </w:pPr>
                </w:p>
              </w:tc>
              <w:tc>
                <w:tcPr>
                  <w:tcW w:w="1276" w:type="dxa"/>
                  <w:vAlign w:val="center"/>
                </w:tcPr>
                <w:p>
                  <w:pPr>
                    <w:pStyle w:val="30"/>
                    <w:spacing w:line="360" w:lineRule="exact"/>
                    <w:rPr>
                      <w:color w:val="auto"/>
                      <w:szCs w:val="21"/>
                    </w:rPr>
                  </w:pPr>
                  <w:r>
                    <w:rPr>
                      <w:color w:val="auto"/>
                      <w:szCs w:val="21"/>
                    </w:rPr>
                    <w:t>排放浓度mg/m³</w:t>
                  </w:r>
                </w:p>
              </w:tc>
              <w:tc>
                <w:tcPr>
                  <w:tcW w:w="1177" w:type="dxa"/>
                  <w:tcBorders>
                    <w:top w:val="single" w:color="auto" w:sz="4" w:space="0"/>
                    <w:right w:val="single" w:color="auto" w:sz="4" w:space="0"/>
                  </w:tcBorders>
                  <w:vAlign w:val="center"/>
                </w:tcPr>
                <w:p>
                  <w:pPr>
                    <w:pStyle w:val="30"/>
                    <w:spacing w:line="360" w:lineRule="exact"/>
                    <w:rPr>
                      <w:color w:val="auto"/>
                      <w:szCs w:val="21"/>
                    </w:rPr>
                  </w:pPr>
                  <w:r>
                    <w:rPr>
                      <w:color w:val="auto"/>
                      <w:szCs w:val="21"/>
                    </w:rPr>
                    <w:t>排放量t/a</w:t>
                  </w:r>
                </w:p>
              </w:tc>
              <w:tc>
                <w:tcPr>
                  <w:tcW w:w="1050" w:type="dxa"/>
                  <w:tcBorders>
                    <w:top w:val="single" w:color="auto" w:sz="4" w:space="0"/>
                    <w:left w:val="single" w:color="auto" w:sz="4" w:space="0"/>
                  </w:tcBorders>
                  <w:vAlign w:val="center"/>
                </w:tcPr>
                <w:p>
                  <w:pPr>
                    <w:pStyle w:val="30"/>
                    <w:spacing w:line="360" w:lineRule="exact"/>
                    <w:rPr>
                      <w:color w:val="auto"/>
                      <w:szCs w:val="21"/>
                    </w:rPr>
                  </w:pPr>
                  <w:r>
                    <w:rPr>
                      <w:color w:val="auto"/>
                      <w:szCs w:val="21"/>
                    </w:rPr>
                    <w:t>排放速率kg/h</w:t>
                  </w:r>
                </w:p>
              </w:tc>
              <w:tc>
                <w:tcPr>
                  <w:tcW w:w="1051" w:type="dxa"/>
                  <w:tcBorders>
                    <w:top w:val="single" w:color="auto" w:sz="4" w:space="0"/>
                    <w:right w:val="single" w:color="auto" w:sz="4" w:space="0"/>
                  </w:tcBorders>
                  <w:vAlign w:val="center"/>
                </w:tcPr>
                <w:p>
                  <w:pPr>
                    <w:pStyle w:val="30"/>
                    <w:spacing w:line="360" w:lineRule="exact"/>
                    <w:rPr>
                      <w:color w:val="auto"/>
                      <w:szCs w:val="21"/>
                    </w:rPr>
                  </w:pPr>
                  <w:r>
                    <w:rPr>
                      <w:color w:val="auto"/>
                      <w:szCs w:val="21"/>
                    </w:rPr>
                    <w:t>速率kg/h</w:t>
                  </w:r>
                </w:p>
              </w:tc>
              <w:tc>
                <w:tcPr>
                  <w:tcW w:w="1024" w:type="dxa"/>
                  <w:tcBorders>
                    <w:top w:val="single" w:color="auto" w:sz="4" w:space="0"/>
                    <w:left w:val="single" w:color="auto" w:sz="4" w:space="0"/>
                  </w:tcBorders>
                  <w:vAlign w:val="center"/>
                </w:tcPr>
                <w:p>
                  <w:pPr>
                    <w:pStyle w:val="30"/>
                    <w:spacing w:line="360" w:lineRule="exact"/>
                    <w:rPr>
                      <w:color w:val="auto"/>
                      <w:szCs w:val="21"/>
                    </w:rPr>
                  </w:pPr>
                  <w:r>
                    <w:rPr>
                      <w:color w:val="auto"/>
                      <w:szCs w:val="21"/>
                    </w:rPr>
                    <w:t>浓度mg/m³</w:t>
                  </w:r>
                </w:p>
              </w:tc>
              <w:tc>
                <w:tcPr>
                  <w:tcW w:w="836" w:type="dxa"/>
                  <w:vMerge w:val="continue"/>
                  <w:vAlign w:val="center"/>
                </w:tcPr>
                <w:p>
                  <w:pPr>
                    <w:pStyle w:val="30"/>
                    <w:rPr>
                      <w:bCs w:val="0"/>
                      <w:color w:va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restart"/>
                  <w:vAlign w:val="center"/>
                </w:tcPr>
                <w:p>
                  <w:pPr>
                    <w:pStyle w:val="30"/>
                    <w:spacing w:line="360" w:lineRule="exact"/>
                    <w:rPr>
                      <w:color w:val="auto"/>
                      <w:szCs w:val="21"/>
                    </w:rPr>
                  </w:pPr>
                  <w:r>
                    <w:rPr>
                      <w:color w:val="auto"/>
                      <w:szCs w:val="21"/>
                    </w:rPr>
                    <w:t>DA001</w:t>
                  </w:r>
                </w:p>
              </w:tc>
              <w:tc>
                <w:tcPr>
                  <w:tcW w:w="1612" w:type="dxa"/>
                  <w:vAlign w:val="center"/>
                </w:tcPr>
                <w:p>
                  <w:pPr>
                    <w:pStyle w:val="30"/>
                    <w:spacing w:line="360" w:lineRule="exact"/>
                    <w:rPr>
                      <w:color w:val="auto"/>
                      <w:szCs w:val="21"/>
                    </w:rPr>
                  </w:pPr>
                  <w:r>
                    <w:rPr>
                      <w:color w:val="auto"/>
                      <w:szCs w:val="21"/>
                    </w:rPr>
                    <w:t>废气量</w:t>
                  </w:r>
                </w:p>
              </w:tc>
              <w:tc>
                <w:tcPr>
                  <w:tcW w:w="3503" w:type="dxa"/>
                  <w:gridSpan w:val="3"/>
                  <w:vAlign w:val="center"/>
                </w:tcPr>
                <w:p>
                  <w:pPr>
                    <w:pStyle w:val="30"/>
                    <w:spacing w:line="360" w:lineRule="exact"/>
                    <w:rPr>
                      <w:color w:val="auto"/>
                      <w:szCs w:val="21"/>
                    </w:rPr>
                  </w:pPr>
                  <w:r>
                    <w:rPr>
                      <w:color w:val="auto"/>
                      <w:szCs w:val="21"/>
                    </w:rPr>
                    <w:t>6000万m³/a</w:t>
                  </w:r>
                </w:p>
              </w:tc>
              <w:tc>
                <w:tcPr>
                  <w:tcW w:w="1051" w:type="dxa"/>
                  <w:tcBorders>
                    <w:right w:val="single" w:color="auto" w:sz="4" w:space="0"/>
                  </w:tcBorders>
                  <w:vAlign w:val="center"/>
                </w:tcPr>
                <w:p>
                  <w:pPr>
                    <w:pStyle w:val="30"/>
                    <w:spacing w:line="360" w:lineRule="exact"/>
                    <w:rPr>
                      <w:color w:val="auto"/>
                      <w:szCs w:val="21"/>
                    </w:rPr>
                  </w:pPr>
                  <w:r>
                    <w:rPr>
                      <w:rFonts w:hint="eastAsia"/>
                      <w:color w:val="auto"/>
                      <w:szCs w:val="21"/>
                    </w:rPr>
                    <w:t>--</w:t>
                  </w:r>
                </w:p>
              </w:tc>
              <w:tc>
                <w:tcPr>
                  <w:tcW w:w="1024" w:type="dxa"/>
                  <w:tcBorders>
                    <w:left w:val="single" w:color="auto" w:sz="4" w:space="0"/>
                  </w:tcBorders>
                  <w:vAlign w:val="center"/>
                </w:tcPr>
                <w:p>
                  <w:pPr>
                    <w:pStyle w:val="30"/>
                    <w:spacing w:line="360" w:lineRule="exact"/>
                    <w:rPr>
                      <w:color w:val="auto"/>
                      <w:szCs w:val="21"/>
                    </w:rPr>
                  </w:pPr>
                  <w:r>
                    <w:rPr>
                      <w:rFonts w:hint="eastAsia"/>
                      <w:color w:val="auto"/>
                      <w:szCs w:val="21"/>
                    </w:rPr>
                    <w:t>--</w:t>
                  </w:r>
                </w:p>
              </w:tc>
              <w:tc>
                <w:tcPr>
                  <w:tcW w:w="836" w:type="dxa"/>
                  <w:vAlign w:val="center"/>
                </w:tcPr>
                <w:p>
                  <w:pPr>
                    <w:pStyle w:val="30"/>
                    <w:spacing w:line="360" w:lineRule="exact"/>
                    <w:rPr>
                      <w:color w:val="auto"/>
                      <w:szCs w:val="21"/>
                    </w:rPr>
                  </w:pPr>
                  <w:r>
                    <w:rPr>
                      <w:color w:val="auto"/>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color w:val="auto"/>
                      <w:szCs w:val="21"/>
                    </w:rPr>
                  </w:pPr>
                </w:p>
              </w:tc>
              <w:tc>
                <w:tcPr>
                  <w:tcW w:w="1612" w:type="dxa"/>
                  <w:vAlign w:val="center"/>
                </w:tcPr>
                <w:p>
                  <w:pPr>
                    <w:pStyle w:val="30"/>
                    <w:spacing w:line="360" w:lineRule="exact"/>
                    <w:rPr>
                      <w:color w:val="auto"/>
                      <w:szCs w:val="21"/>
                    </w:rPr>
                  </w:pPr>
                  <w:r>
                    <w:rPr>
                      <w:color w:val="auto"/>
                      <w:szCs w:val="21"/>
                    </w:rPr>
                    <w:t>粉尘</w:t>
                  </w:r>
                </w:p>
              </w:tc>
              <w:tc>
                <w:tcPr>
                  <w:tcW w:w="1276" w:type="dxa"/>
                  <w:vAlign w:val="center"/>
                </w:tcPr>
                <w:p>
                  <w:pPr>
                    <w:pStyle w:val="30"/>
                    <w:spacing w:line="360" w:lineRule="exact"/>
                    <w:rPr>
                      <w:color w:val="auto"/>
                      <w:szCs w:val="21"/>
                    </w:rPr>
                  </w:pPr>
                  <w:r>
                    <w:rPr>
                      <w:color w:val="auto"/>
                      <w:szCs w:val="21"/>
                    </w:rPr>
                    <w:t xml:space="preserve">3.17 </w:t>
                  </w:r>
                </w:p>
              </w:tc>
              <w:tc>
                <w:tcPr>
                  <w:tcW w:w="1177" w:type="dxa"/>
                  <w:tcBorders>
                    <w:right w:val="single" w:color="auto" w:sz="4" w:space="0"/>
                  </w:tcBorders>
                  <w:vAlign w:val="center"/>
                </w:tcPr>
                <w:p>
                  <w:pPr>
                    <w:pStyle w:val="30"/>
                    <w:spacing w:line="360" w:lineRule="exact"/>
                    <w:rPr>
                      <w:color w:val="auto"/>
                      <w:szCs w:val="21"/>
                    </w:rPr>
                  </w:pPr>
                  <w:r>
                    <w:rPr>
                      <w:color w:val="auto"/>
                      <w:szCs w:val="21"/>
                    </w:rPr>
                    <w:t>0.19</w:t>
                  </w:r>
                </w:p>
              </w:tc>
              <w:tc>
                <w:tcPr>
                  <w:tcW w:w="1050" w:type="dxa"/>
                  <w:tcBorders>
                    <w:left w:val="single" w:color="auto" w:sz="4" w:space="0"/>
                  </w:tcBorders>
                  <w:vAlign w:val="center"/>
                </w:tcPr>
                <w:p>
                  <w:pPr>
                    <w:pStyle w:val="30"/>
                    <w:spacing w:line="360" w:lineRule="exact"/>
                    <w:rPr>
                      <w:color w:val="auto"/>
                      <w:szCs w:val="21"/>
                    </w:rPr>
                  </w:pPr>
                  <w:r>
                    <w:rPr>
                      <w:color w:val="auto"/>
                      <w:szCs w:val="21"/>
                    </w:rPr>
                    <w:t xml:space="preserve">0.06 </w:t>
                  </w:r>
                </w:p>
              </w:tc>
              <w:tc>
                <w:tcPr>
                  <w:tcW w:w="1051" w:type="dxa"/>
                  <w:tcBorders>
                    <w:right w:val="single" w:color="auto" w:sz="4" w:space="0"/>
                  </w:tcBorders>
                  <w:vAlign w:val="center"/>
                </w:tcPr>
                <w:p>
                  <w:pPr>
                    <w:pStyle w:val="30"/>
                    <w:spacing w:line="360" w:lineRule="exact"/>
                    <w:rPr>
                      <w:color w:val="auto"/>
                      <w:szCs w:val="21"/>
                    </w:rPr>
                  </w:pPr>
                  <w:r>
                    <w:rPr>
                      <w:color w:val="auto"/>
                      <w:szCs w:val="21"/>
                    </w:rPr>
                    <w:t>3.5</w:t>
                  </w:r>
                </w:p>
              </w:tc>
              <w:tc>
                <w:tcPr>
                  <w:tcW w:w="1024" w:type="dxa"/>
                  <w:tcBorders>
                    <w:left w:val="single" w:color="auto" w:sz="4" w:space="0"/>
                  </w:tcBorders>
                  <w:vAlign w:val="center"/>
                </w:tcPr>
                <w:p>
                  <w:pPr>
                    <w:pStyle w:val="30"/>
                    <w:spacing w:line="360" w:lineRule="exact"/>
                    <w:rPr>
                      <w:color w:val="auto"/>
                      <w:szCs w:val="21"/>
                    </w:rPr>
                  </w:pPr>
                  <w:r>
                    <w:rPr>
                      <w:color w:val="auto"/>
                      <w:szCs w:val="21"/>
                    </w:rPr>
                    <w:t>120</w:t>
                  </w:r>
                </w:p>
              </w:tc>
              <w:tc>
                <w:tcPr>
                  <w:tcW w:w="836" w:type="dxa"/>
                  <w:vAlign w:val="center"/>
                </w:tcPr>
                <w:p>
                  <w:pPr>
                    <w:pStyle w:val="30"/>
                    <w:spacing w:line="360" w:lineRule="exact"/>
                    <w:rPr>
                      <w:color w:val="auto"/>
                      <w:szCs w:val="21"/>
                    </w:rPr>
                  </w:pPr>
                  <w:r>
                    <w:rPr>
                      <w:color w:val="auto"/>
                      <w:szCs w:val="2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color w:val="auto"/>
                      <w:szCs w:val="21"/>
                    </w:rPr>
                  </w:pPr>
                </w:p>
              </w:tc>
              <w:tc>
                <w:tcPr>
                  <w:tcW w:w="1612" w:type="dxa"/>
                  <w:vAlign w:val="center"/>
                </w:tcPr>
                <w:p>
                  <w:pPr>
                    <w:pStyle w:val="30"/>
                    <w:spacing w:line="360" w:lineRule="exact"/>
                    <w:rPr>
                      <w:color w:val="auto"/>
                      <w:szCs w:val="21"/>
                    </w:rPr>
                  </w:pPr>
                  <w:r>
                    <w:rPr>
                      <w:color w:val="auto"/>
                      <w:szCs w:val="21"/>
                    </w:rPr>
                    <w:t>非甲烷总烃</w:t>
                  </w:r>
                </w:p>
              </w:tc>
              <w:tc>
                <w:tcPr>
                  <w:tcW w:w="1276" w:type="dxa"/>
                  <w:vAlign w:val="center"/>
                </w:tcPr>
                <w:p>
                  <w:pPr>
                    <w:pStyle w:val="30"/>
                    <w:spacing w:line="360" w:lineRule="exact"/>
                    <w:rPr>
                      <w:color w:val="auto"/>
                      <w:szCs w:val="21"/>
                    </w:rPr>
                  </w:pPr>
                  <w:r>
                    <w:rPr>
                      <w:color w:val="auto"/>
                      <w:szCs w:val="21"/>
                    </w:rPr>
                    <w:t>1</w:t>
                  </w:r>
                </w:p>
              </w:tc>
              <w:tc>
                <w:tcPr>
                  <w:tcW w:w="1177" w:type="dxa"/>
                  <w:tcBorders>
                    <w:right w:val="single" w:color="auto" w:sz="4" w:space="0"/>
                  </w:tcBorders>
                  <w:vAlign w:val="center"/>
                </w:tcPr>
                <w:p>
                  <w:pPr>
                    <w:pStyle w:val="30"/>
                    <w:spacing w:line="360" w:lineRule="exact"/>
                    <w:rPr>
                      <w:color w:val="auto"/>
                      <w:szCs w:val="21"/>
                    </w:rPr>
                  </w:pPr>
                  <w:r>
                    <w:rPr>
                      <w:color w:val="auto"/>
                      <w:szCs w:val="21"/>
                    </w:rPr>
                    <w:t>0.06</w:t>
                  </w:r>
                </w:p>
              </w:tc>
              <w:tc>
                <w:tcPr>
                  <w:tcW w:w="1050" w:type="dxa"/>
                  <w:tcBorders>
                    <w:left w:val="single" w:color="auto" w:sz="4" w:space="0"/>
                  </w:tcBorders>
                  <w:vAlign w:val="center"/>
                </w:tcPr>
                <w:p>
                  <w:pPr>
                    <w:pStyle w:val="30"/>
                    <w:spacing w:line="360" w:lineRule="exact"/>
                    <w:rPr>
                      <w:color w:val="auto"/>
                      <w:szCs w:val="21"/>
                    </w:rPr>
                  </w:pPr>
                  <w:r>
                    <w:rPr>
                      <w:color w:val="auto"/>
                      <w:szCs w:val="21"/>
                    </w:rPr>
                    <w:t>0.02</w:t>
                  </w:r>
                </w:p>
              </w:tc>
              <w:tc>
                <w:tcPr>
                  <w:tcW w:w="1051" w:type="dxa"/>
                  <w:tcBorders>
                    <w:right w:val="single" w:color="auto" w:sz="4" w:space="0"/>
                  </w:tcBorders>
                  <w:vAlign w:val="center"/>
                </w:tcPr>
                <w:p>
                  <w:pPr>
                    <w:pStyle w:val="30"/>
                    <w:spacing w:line="360" w:lineRule="exact"/>
                    <w:rPr>
                      <w:color w:val="auto"/>
                      <w:szCs w:val="21"/>
                    </w:rPr>
                  </w:pPr>
                  <w:r>
                    <w:rPr>
                      <w:rFonts w:hint="eastAsia"/>
                      <w:color w:val="auto"/>
                      <w:szCs w:val="21"/>
                    </w:rPr>
                    <w:t>10</w:t>
                  </w:r>
                </w:p>
              </w:tc>
              <w:tc>
                <w:tcPr>
                  <w:tcW w:w="1024" w:type="dxa"/>
                  <w:tcBorders>
                    <w:left w:val="single" w:color="auto" w:sz="4" w:space="0"/>
                    <w:bottom w:val="single" w:color="auto" w:sz="4" w:space="0"/>
                  </w:tcBorders>
                  <w:vAlign w:val="center"/>
                </w:tcPr>
                <w:p>
                  <w:pPr>
                    <w:pStyle w:val="30"/>
                    <w:spacing w:line="360" w:lineRule="exact"/>
                    <w:rPr>
                      <w:color w:val="auto"/>
                      <w:szCs w:val="21"/>
                    </w:rPr>
                  </w:pPr>
                  <w:r>
                    <w:rPr>
                      <w:rFonts w:hint="eastAsia"/>
                      <w:color w:val="auto"/>
                      <w:szCs w:val="21"/>
                    </w:rPr>
                    <w:t>120</w:t>
                  </w:r>
                </w:p>
              </w:tc>
              <w:tc>
                <w:tcPr>
                  <w:tcW w:w="836" w:type="dxa"/>
                  <w:vAlign w:val="center"/>
                </w:tcPr>
                <w:p>
                  <w:pPr>
                    <w:pStyle w:val="30"/>
                    <w:spacing w:line="360" w:lineRule="exact"/>
                    <w:rPr>
                      <w:color w:val="auto"/>
                      <w:szCs w:val="21"/>
                    </w:rPr>
                  </w:pPr>
                  <w:r>
                    <w:rPr>
                      <w:color w:val="auto"/>
                      <w:szCs w:val="2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restart"/>
                  <w:vAlign w:val="center"/>
                </w:tcPr>
                <w:p>
                  <w:pPr>
                    <w:pStyle w:val="30"/>
                    <w:spacing w:line="360" w:lineRule="exact"/>
                    <w:rPr>
                      <w:color w:val="auto"/>
                      <w:szCs w:val="21"/>
                    </w:rPr>
                  </w:pPr>
                  <w:r>
                    <w:rPr>
                      <w:color w:val="auto"/>
                      <w:szCs w:val="21"/>
                    </w:rPr>
                    <w:t>DA002</w:t>
                  </w:r>
                </w:p>
              </w:tc>
              <w:tc>
                <w:tcPr>
                  <w:tcW w:w="1612" w:type="dxa"/>
                  <w:vAlign w:val="center"/>
                </w:tcPr>
                <w:p>
                  <w:pPr>
                    <w:pStyle w:val="30"/>
                    <w:spacing w:line="360" w:lineRule="exact"/>
                    <w:rPr>
                      <w:color w:val="auto"/>
                      <w:szCs w:val="21"/>
                    </w:rPr>
                  </w:pPr>
                  <w:r>
                    <w:rPr>
                      <w:color w:val="auto"/>
                      <w:szCs w:val="21"/>
                    </w:rPr>
                    <w:t>废气量</w:t>
                  </w:r>
                </w:p>
              </w:tc>
              <w:tc>
                <w:tcPr>
                  <w:tcW w:w="3503" w:type="dxa"/>
                  <w:gridSpan w:val="3"/>
                  <w:vAlign w:val="center"/>
                </w:tcPr>
                <w:p>
                  <w:pPr>
                    <w:pStyle w:val="30"/>
                    <w:spacing w:line="360" w:lineRule="exact"/>
                    <w:rPr>
                      <w:color w:val="auto"/>
                      <w:szCs w:val="21"/>
                    </w:rPr>
                  </w:pPr>
                  <w:r>
                    <w:rPr>
                      <w:color w:val="auto"/>
                      <w:szCs w:val="21"/>
                    </w:rPr>
                    <w:t>2000万m³/a</w:t>
                  </w:r>
                </w:p>
              </w:tc>
              <w:tc>
                <w:tcPr>
                  <w:tcW w:w="1051" w:type="dxa"/>
                  <w:tcBorders>
                    <w:right w:val="single" w:color="auto" w:sz="4" w:space="0"/>
                  </w:tcBorders>
                  <w:vAlign w:val="center"/>
                </w:tcPr>
                <w:p>
                  <w:pPr>
                    <w:pStyle w:val="30"/>
                    <w:spacing w:line="360" w:lineRule="exact"/>
                    <w:rPr>
                      <w:color w:val="auto"/>
                      <w:szCs w:val="21"/>
                    </w:rPr>
                  </w:pPr>
                  <w:r>
                    <w:rPr>
                      <w:rFonts w:hint="eastAsia"/>
                      <w:color w:val="auto"/>
                      <w:szCs w:val="21"/>
                    </w:rPr>
                    <w:t>--</w:t>
                  </w:r>
                </w:p>
              </w:tc>
              <w:tc>
                <w:tcPr>
                  <w:tcW w:w="1024" w:type="dxa"/>
                  <w:tcBorders>
                    <w:top w:val="single" w:color="auto" w:sz="4" w:space="0"/>
                    <w:left w:val="single" w:color="auto" w:sz="4" w:space="0"/>
                  </w:tcBorders>
                  <w:vAlign w:val="center"/>
                </w:tcPr>
                <w:p>
                  <w:pPr>
                    <w:pStyle w:val="30"/>
                    <w:spacing w:line="360" w:lineRule="exact"/>
                    <w:rPr>
                      <w:color w:val="auto"/>
                      <w:szCs w:val="21"/>
                    </w:rPr>
                  </w:pPr>
                  <w:r>
                    <w:rPr>
                      <w:rFonts w:hint="eastAsia"/>
                      <w:color w:val="auto"/>
                      <w:szCs w:val="21"/>
                    </w:rPr>
                    <w:t>--</w:t>
                  </w:r>
                </w:p>
              </w:tc>
              <w:tc>
                <w:tcPr>
                  <w:tcW w:w="836" w:type="dxa"/>
                  <w:vAlign w:val="center"/>
                </w:tcPr>
                <w:p>
                  <w:pPr>
                    <w:pStyle w:val="30"/>
                    <w:spacing w:line="360" w:lineRule="exact"/>
                    <w:rPr>
                      <w:color w:val="auto"/>
                      <w:szCs w:val="21"/>
                    </w:rPr>
                  </w:pPr>
                  <w:r>
                    <w:rPr>
                      <w:color w:val="auto"/>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color w:val="auto"/>
                      <w:szCs w:val="21"/>
                    </w:rPr>
                  </w:pPr>
                </w:p>
              </w:tc>
              <w:tc>
                <w:tcPr>
                  <w:tcW w:w="1612" w:type="dxa"/>
                  <w:vAlign w:val="center"/>
                </w:tcPr>
                <w:p>
                  <w:pPr>
                    <w:pStyle w:val="30"/>
                    <w:spacing w:line="360" w:lineRule="exact"/>
                    <w:rPr>
                      <w:color w:val="auto"/>
                      <w:szCs w:val="21"/>
                    </w:rPr>
                  </w:pPr>
                  <w:r>
                    <w:rPr>
                      <w:color w:val="auto"/>
                      <w:szCs w:val="21"/>
                    </w:rPr>
                    <w:t>粉尘</w:t>
                  </w:r>
                </w:p>
              </w:tc>
              <w:tc>
                <w:tcPr>
                  <w:tcW w:w="1276" w:type="dxa"/>
                  <w:vAlign w:val="center"/>
                </w:tcPr>
                <w:p>
                  <w:pPr>
                    <w:pStyle w:val="30"/>
                    <w:spacing w:line="360" w:lineRule="exact"/>
                    <w:rPr>
                      <w:color w:val="auto"/>
                      <w:szCs w:val="21"/>
                    </w:rPr>
                  </w:pPr>
                  <w:r>
                    <w:rPr>
                      <w:color w:val="auto"/>
                      <w:szCs w:val="21"/>
                    </w:rPr>
                    <w:t>0.35</w:t>
                  </w:r>
                </w:p>
              </w:tc>
              <w:tc>
                <w:tcPr>
                  <w:tcW w:w="1177" w:type="dxa"/>
                  <w:tcBorders>
                    <w:right w:val="single" w:color="auto" w:sz="4" w:space="0"/>
                  </w:tcBorders>
                  <w:vAlign w:val="center"/>
                </w:tcPr>
                <w:p>
                  <w:pPr>
                    <w:pStyle w:val="30"/>
                    <w:spacing w:line="360" w:lineRule="exact"/>
                    <w:rPr>
                      <w:color w:val="auto"/>
                      <w:szCs w:val="21"/>
                    </w:rPr>
                  </w:pPr>
                  <w:r>
                    <w:rPr>
                      <w:color w:val="auto"/>
                      <w:szCs w:val="21"/>
                    </w:rPr>
                    <w:t>0.007</w:t>
                  </w:r>
                </w:p>
              </w:tc>
              <w:tc>
                <w:tcPr>
                  <w:tcW w:w="1050" w:type="dxa"/>
                  <w:tcBorders>
                    <w:left w:val="single" w:color="auto" w:sz="4" w:space="0"/>
                  </w:tcBorders>
                  <w:vAlign w:val="center"/>
                </w:tcPr>
                <w:p>
                  <w:pPr>
                    <w:pStyle w:val="30"/>
                    <w:spacing w:line="360" w:lineRule="exact"/>
                    <w:rPr>
                      <w:color w:val="auto"/>
                      <w:szCs w:val="21"/>
                    </w:rPr>
                  </w:pPr>
                  <w:r>
                    <w:rPr>
                      <w:color w:val="auto"/>
                      <w:szCs w:val="21"/>
                    </w:rPr>
                    <w:t>0.002</w:t>
                  </w:r>
                </w:p>
              </w:tc>
              <w:tc>
                <w:tcPr>
                  <w:tcW w:w="1051" w:type="dxa"/>
                  <w:tcBorders>
                    <w:right w:val="single" w:color="auto" w:sz="4" w:space="0"/>
                  </w:tcBorders>
                  <w:vAlign w:val="center"/>
                </w:tcPr>
                <w:p>
                  <w:pPr>
                    <w:pStyle w:val="30"/>
                    <w:spacing w:line="360" w:lineRule="exact"/>
                    <w:rPr>
                      <w:color w:val="auto"/>
                      <w:szCs w:val="21"/>
                    </w:rPr>
                  </w:pPr>
                  <w:r>
                    <w:rPr>
                      <w:color w:val="auto"/>
                      <w:szCs w:val="21"/>
                    </w:rPr>
                    <w:t>3.5</w:t>
                  </w:r>
                </w:p>
              </w:tc>
              <w:tc>
                <w:tcPr>
                  <w:tcW w:w="1024" w:type="dxa"/>
                  <w:tcBorders>
                    <w:left w:val="single" w:color="auto" w:sz="4" w:space="0"/>
                  </w:tcBorders>
                  <w:vAlign w:val="center"/>
                </w:tcPr>
                <w:p>
                  <w:pPr>
                    <w:pStyle w:val="30"/>
                    <w:spacing w:line="360" w:lineRule="exact"/>
                    <w:rPr>
                      <w:color w:val="auto"/>
                      <w:szCs w:val="21"/>
                    </w:rPr>
                  </w:pPr>
                  <w:r>
                    <w:rPr>
                      <w:color w:val="auto"/>
                      <w:szCs w:val="21"/>
                    </w:rPr>
                    <w:t>120</w:t>
                  </w:r>
                </w:p>
              </w:tc>
              <w:tc>
                <w:tcPr>
                  <w:tcW w:w="836" w:type="dxa"/>
                  <w:vAlign w:val="center"/>
                </w:tcPr>
                <w:p>
                  <w:pPr>
                    <w:pStyle w:val="30"/>
                    <w:spacing w:line="360" w:lineRule="exact"/>
                    <w:rPr>
                      <w:color w:val="auto"/>
                      <w:szCs w:val="21"/>
                    </w:rPr>
                  </w:pPr>
                  <w:r>
                    <w:rPr>
                      <w:color w:val="auto"/>
                      <w:szCs w:val="2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restart"/>
                  <w:vAlign w:val="center"/>
                </w:tcPr>
                <w:p>
                  <w:pPr>
                    <w:pStyle w:val="30"/>
                    <w:spacing w:line="360" w:lineRule="exact"/>
                    <w:rPr>
                      <w:color w:val="auto"/>
                      <w:szCs w:val="21"/>
                    </w:rPr>
                  </w:pPr>
                  <w:r>
                    <w:rPr>
                      <w:color w:val="auto"/>
                      <w:szCs w:val="21"/>
                    </w:rPr>
                    <w:t>DA003</w:t>
                  </w:r>
                </w:p>
              </w:tc>
              <w:tc>
                <w:tcPr>
                  <w:tcW w:w="1612" w:type="dxa"/>
                  <w:vAlign w:val="center"/>
                </w:tcPr>
                <w:p>
                  <w:pPr>
                    <w:pStyle w:val="30"/>
                    <w:spacing w:line="360" w:lineRule="exact"/>
                    <w:rPr>
                      <w:color w:val="auto"/>
                      <w:szCs w:val="21"/>
                    </w:rPr>
                  </w:pPr>
                  <w:r>
                    <w:rPr>
                      <w:color w:val="auto"/>
                      <w:szCs w:val="21"/>
                    </w:rPr>
                    <w:t>废气量</w:t>
                  </w:r>
                </w:p>
              </w:tc>
              <w:tc>
                <w:tcPr>
                  <w:tcW w:w="3503" w:type="dxa"/>
                  <w:gridSpan w:val="3"/>
                  <w:vAlign w:val="center"/>
                </w:tcPr>
                <w:p>
                  <w:pPr>
                    <w:pStyle w:val="30"/>
                    <w:spacing w:line="360" w:lineRule="exact"/>
                    <w:rPr>
                      <w:color w:val="auto"/>
                      <w:szCs w:val="21"/>
                    </w:rPr>
                  </w:pPr>
                  <w:r>
                    <w:rPr>
                      <w:color w:val="auto"/>
                      <w:szCs w:val="21"/>
                    </w:rPr>
                    <w:t>4400万m³/a</w:t>
                  </w:r>
                </w:p>
              </w:tc>
              <w:tc>
                <w:tcPr>
                  <w:tcW w:w="1051" w:type="dxa"/>
                  <w:tcBorders>
                    <w:right w:val="single" w:color="auto" w:sz="4" w:space="0"/>
                  </w:tcBorders>
                  <w:vAlign w:val="center"/>
                </w:tcPr>
                <w:p>
                  <w:pPr>
                    <w:pStyle w:val="30"/>
                    <w:spacing w:line="360" w:lineRule="exact"/>
                    <w:rPr>
                      <w:color w:val="auto"/>
                      <w:szCs w:val="21"/>
                    </w:rPr>
                  </w:pPr>
                  <w:r>
                    <w:rPr>
                      <w:rFonts w:hint="eastAsia"/>
                      <w:color w:val="auto"/>
                      <w:szCs w:val="21"/>
                    </w:rPr>
                    <w:t>--</w:t>
                  </w:r>
                </w:p>
              </w:tc>
              <w:tc>
                <w:tcPr>
                  <w:tcW w:w="1024" w:type="dxa"/>
                  <w:tcBorders>
                    <w:left w:val="single" w:color="auto" w:sz="4" w:space="0"/>
                  </w:tcBorders>
                  <w:vAlign w:val="center"/>
                </w:tcPr>
                <w:p>
                  <w:pPr>
                    <w:pStyle w:val="30"/>
                    <w:spacing w:line="360" w:lineRule="exact"/>
                    <w:rPr>
                      <w:color w:val="auto"/>
                      <w:szCs w:val="21"/>
                    </w:rPr>
                  </w:pPr>
                  <w:r>
                    <w:rPr>
                      <w:rFonts w:hint="eastAsia"/>
                      <w:color w:val="auto"/>
                      <w:szCs w:val="21"/>
                    </w:rPr>
                    <w:t>--</w:t>
                  </w:r>
                </w:p>
              </w:tc>
              <w:tc>
                <w:tcPr>
                  <w:tcW w:w="836" w:type="dxa"/>
                  <w:vAlign w:val="center"/>
                </w:tcPr>
                <w:p>
                  <w:pPr>
                    <w:pStyle w:val="30"/>
                    <w:spacing w:line="360" w:lineRule="exact"/>
                    <w:rPr>
                      <w:color w:val="auto"/>
                      <w:szCs w:val="21"/>
                    </w:rPr>
                  </w:pPr>
                  <w:r>
                    <w:rPr>
                      <w:color w:val="auto"/>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color w:val="auto"/>
                      <w:szCs w:val="21"/>
                    </w:rPr>
                  </w:pPr>
                </w:p>
              </w:tc>
              <w:tc>
                <w:tcPr>
                  <w:tcW w:w="1612" w:type="dxa"/>
                  <w:vAlign w:val="center"/>
                </w:tcPr>
                <w:p>
                  <w:pPr>
                    <w:pStyle w:val="30"/>
                    <w:spacing w:line="360" w:lineRule="exact"/>
                    <w:rPr>
                      <w:color w:val="auto"/>
                      <w:szCs w:val="21"/>
                    </w:rPr>
                  </w:pPr>
                  <w:r>
                    <w:rPr>
                      <w:color w:val="auto"/>
                      <w:szCs w:val="21"/>
                    </w:rPr>
                    <w:t>粉尘</w:t>
                  </w:r>
                </w:p>
              </w:tc>
              <w:tc>
                <w:tcPr>
                  <w:tcW w:w="1276" w:type="dxa"/>
                  <w:vAlign w:val="center"/>
                </w:tcPr>
                <w:p>
                  <w:pPr>
                    <w:pStyle w:val="30"/>
                    <w:spacing w:line="360" w:lineRule="exact"/>
                    <w:rPr>
                      <w:color w:val="auto"/>
                      <w:szCs w:val="21"/>
                    </w:rPr>
                  </w:pPr>
                  <w:r>
                    <w:rPr>
                      <w:color w:val="auto"/>
                      <w:szCs w:val="21"/>
                    </w:rPr>
                    <w:t>2.8</w:t>
                  </w:r>
                </w:p>
              </w:tc>
              <w:tc>
                <w:tcPr>
                  <w:tcW w:w="1177" w:type="dxa"/>
                  <w:tcBorders>
                    <w:right w:val="single" w:color="auto" w:sz="4" w:space="0"/>
                  </w:tcBorders>
                  <w:vAlign w:val="center"/>
                </w:tcPr>
                <w:p>
                  <w:pPr>
                    <w:pStyle w:val="30"/>
                    <w:spacing w:line="360" w:lineRule="exact"/>
                    <w:rPr>
                      <w:color w:val="auto"/>
                      <w:szCs w:val="21"/>
                    </w:rPr>
                  </w:pPr>
                  <w:r>
                    <w:rPr>
                      <w:color w:val="auto"/>
                      <w:szCs w:val="21"/>
                    </w:rPr>
                    <w:t>0.123</w:t>
                  </w:r>
                </w:p>
              </w:tc>
              <w:tc>
                <w:tcPr>
                  <w:tcW w:w="1050" w:type="dxa"/>
                  <w:tcBorders>
                    <w:left w:val="single" w:color="auto" w:sz="4" w:space="0"/>
                  </w:tcBorders>
                  <w:vAlign w:val="center"/>
                </w:tcPr>
                <w:p>
                  <w:pPr>
                    <w:pStyle w:val="30"/>
                    <w:spacing w:line="360" w:lineRule="exact"/>
                    <w:rPr>
                      <w:color w:val="auto"/>
                      <w:szCs w:val="21"/>
                    </w:rPr>
                  </w:pPr>
                  <w:r>
                    <w:rPr>
                      <w:color w:val="auto"/>
                      <w:szCs w:val="21"/>
                    </w:rPr>
                    <w:t>0.0615</w:t>
                  </w:r>
                </w:p>
              </w:tc>
              <w:tc>
                <w:tcPr>
                  <w:tcW w:w="1051" w:type="dxa"/>
                  <w:tcBorders>
                    <w:right w:val="single" w:color="auto" w:sz="4" w:space="0"/>
                  </w:tcBorders>
                  <w:vAlign w:val="center"/>
                </w:tcPr>
                <w:p>
                  <w:pPr>
                    <w:pStyle w:val="30"/>
                    <w:spacing w:line="360" w:lineRule="exact"/>
                    <w:rPr>
                      <w:color w:val="auto"/>
                      <w:szCs w:val="21"/>
                    </w:rPr>
                  </w:pPr>
                  <w:r>
                    <w:rPr>
                      <w:color w:val="auto"/>
                      <w:szCs w:val="21"/>
                    </w:rPr>
                    <w:t>3.5</w:t>
                  </w:r>
                </w:p>
              </w:tc>
              <w:tc>
                <w:tcPr>
                  <w:tcW w:w="1024" w:type="dxa"/>
                  <w:tcBorders>
                    <w:left w:val="single" w:color="auto" w:sz="4" w:space="0"/>
                  </w:tcBorders>
                  <w:vAlign w:val="center"/>
                </w:tcPr>
                <w:p>
                  <w:pPr>
                    <w:pStyle w:val="30"/>
                    <w:spacing w:line="360" w:lineRule="exact"/>
                    <w:rPr>
                      <w:color w:val="auto"/>
                      <w:szCs w:val="21"/>
                    </w:rPr>
                  </w:pPr>
                  <w:r>
                    <w:rPr>
                      <w:color w:val="auto"/>
                      <w:szCs w:val="21"/>
                    </w:rPr>
                    <w:t>120</w:t>
                  </w:r>
                </w:p>
              </w:tc>
              <w:tc>
                <w:tcPr>
                  <w:tcW w:w="836" w:type="dxa"/>
                  <w:vAlign w:val="center"/>
                </w:tcPr>
                <w:p>
                  <w:pPr>
                    <w:pStyle w:val="30"/>
                    <w:spacing w:line="360" w:lineRule="exact"/>
                    <w:rPr>
                      <w:color w:val="auto"/>
                      <w:szCs w:val="21"/>
                    </w:rPr>
                  </w:pPr>
                  <w:r>
                    <w:rPr>
                      <w:color w:val="auto"/>
                      <w:szCs w:val="2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restart"/>
                  <w:vAlign w:val="center"/>
                </w:tcPr>
                <w:p>
                  <w:pPr>
                    <w:pStyle w:val="30"/>
                    <w:spacing w:line="360" w:lineRule="exact"/>
                    <w:rPr>
                      <w:color w:val="auto"/>
                      <w:szCs w:val="21"/>
                    </w:rPr>
                  </w:pPr>
                  <w:r>
                    <w:rPr>
                      <w:color w:val="auto"/>
                      <w:szCs w:val="21"/>
                    </w:rPr>
                    <w:t>DA00</w:t>
                  </w:r>
                  <w:r>
                    <w:rPr>
                      <w:rFonts w:hint="eastAsia"/>
                      <w:color w:val="auto"/>
                      <w:szCs w:val="21"/>
                    </w:rPr>
                    <w:t>4</w:t>
                  </w:r>
                </w:p>
              </w:tc>
              <w:tc>
                <w:tcPr>
                  <w:tcW w:w="1612" w:type="dxa"/>
                  <w:vAlign w:val="center"/>
                </w:tcPr>
                <w:p>
                  <w:pPr>
                    <w:pStyle w:val="30"/>
                    <w:spacing w:line="360" w:lineRule="exact"/>
                    <w:rPr>
                      <w:color w:val="auto"/>
                      <w:szCs w:val="21"/>
                    </w:rPr>
                  </w:pPr>
                  <w:r>
                    <w:rPr>
                      <w:color w:val="auto"/>
                      <w:szCs w:val="21"/>
                    </w:rPr>
                    <w:t>废气量</w:t>
                  </w:r>
                </w:p>
              </w:tc>
              <w:tc>
                <w:tcPr>
                  <w:tcW w:w="3503" w:type="dxa"/>
                  <w:gridSpan w:val="3"/>
                  <w:vAlign w:val="center"/>
                </w:tcPr>
                <w:p>
                  <w:pPr>
                    <w:pStyle w:val="30"/>
                    <w:spacing w:line="360" w:lineRule="exact"/>
                    <w:rPr>
                      <w:color w:val="auto"/>
                      <w:szCs w:val="21"/>
                    </w:rPr>
                  </w:pPr>
                  <w:r>
                    <w:rPr>
                      <w:color w:val="auto"/>
                      <w:szCs w:val="21"/>
                    </w:rPr>
                    <w:t>3024万m³/a</w:t>
                  </w:r>
                </w:p>
              </w:tc>
              <w:tc>
                <w:tcPr>
                  <w:tcW w:w="1051" w:type="dxa"/>
                  <w:tcBorders>
                    <w:right w:val="single" w:color="auto" w:sz="4" w:space="0"/>
                  </w:tcBorders>
                  <w:vAlign w:val="center"/>
                </w:tcPr>
                <w:p>
                  <w:pPr>
                    <w:pStyle w:val="30"/>
                    <w:spacing w:line="360" w:lineRule="exact"/>
                    <w:rPr>
                      <w:color w:val="auto"/>
                      <w:szCs w:val="21"/>
                    </w:rPr>
                  </w:pPr>
                  <w:r>
                    <w:rPr>
                      <w:rFonts w:hint="eastAsia"/>
                      <w:color w:val="auto"/>
                      <w:szCs w:val="21"/>
                    </w:rPr>
                    <w:t>--</w:t>
                  </w:r>
                </w:p>
              </w:tc>
              <w:tc>
                <w:tcPr>
                  <w:tcW w:w="1024" w:type="dxa"/>
                  <w:tcBorders>
                    <w:left w:val="single" w:color="auto" w:sz="4" w:space="0"/>
                  </w:tcBorders>
                  <w:vAlign w:val="center"/>
                </w:tcPr>
                <w:p>
                  <w:pPr>
                    <w:pStyle w:val="30"/>
                    <w:spacing w:line="360" w:lineRule="exact"/>
                    <w:rPr>
                      <w:color w:val="auto"/>
                      <w:szCs w:val="21"/>
                    </w:rPr>
                  </w:pPr>
                  <w:r>
                    <w:rPr>
                      <w:rFonts w:hint="eastAsia"/>
                      <w:color w:val="auto"/>
                      <w:szCs w:val="21"/>
                    </w:rPr>
                    <w:t>--</w:t>
                  </w:r>
                </w:p>
              </w:tc>
              <w:tc>
                <w:tcPr>
                  <w:tcW w:w="836" w:type="dxa"/>
                  <w:vAlign w:val="center"/>
                </w:tcPr>
                <w:p>
                  <w:pPr>
                    <w:pStyle w:val="30"/>
                    <w:spacing w:line="360" w:lineRule="exact"/>
                    <w:rPr>
                      <w:color w:val="auto"/>
                      <w:szCs w:val="21"/>
                    </w:rPr>
                  </w:pPr>
                  <w:r>
                    <w:rPr>
                      <w:color w:val="auto"/>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color w:val="auto"/>
                      <w:szCs w:val="21"/>
                    </w:rPr>
                  </w:pPr>
                </w:p>
              </w:tc>
              <w:tc>
                <w:tcPr>
                  <w:tcW w:w="1612" w:type="dxa"/>
                  <w:vAlign w:val="center"/>
                </w:tcPr>
                <w:p>
                  <w:pPr>
                    <w:pStyle w:val="30"/>
                    <w:spacing w:line="360" w:lineRule="exact"/>
                    <w:rPr>
                      <w:color w:val="auto"/>
                      <w:szCs w:val="21"/>
                    </w:rPr>
                  </w:pPr>
                  <w:r>
                    <w:rPr>
                      <w:color w:val="auto"/>
                      <w:szCs w:val="21"/>
                    </w:rPr>
                    <w:t>粉尘</w:t>
                  </w:r>
                </w:p>
              </w:tc>
              <w:tc>
                <w:tcPr>
                  <w:tcW w:w="1276" w:type="dxa"/>
                  <w:vAlign w:val="center"/>
                </w:tcPr>
                <w:p>
                  <w:pPr>
                    <w:pStyle w:val="30"/>
                    <w:spacing w:line="360" w:lineRule="exact"/>
                    <w:rPr>
                      <w:color w:val="auto"/>
                      <w:szCs w:val="21"/>
                    </w:rPr>
                  </w:pPr>
                  <w:r>
                    <w:rPr>
                      <w:color w:val="auto"/>
                      <w:szCs w:val="21"/>
                    </w:rPr>
                    <w:t>0.13</w:t>
                  </w:r>
                </w:p>
              </w:tc>
              <w:tc>
                <w:tcPr>
                  <w:tcW w:w="1177" w:type="dxa"/>
                  <w:tcBorders>
                    <w:right w:val="single" w:color="auto" w:sz="4" w:space="0"/>
                  </w:tcBorders>
                  <w:vAlign w:val="center"/>
                </w:tcPr>
                <w:p>
                  <w:pPr>
                    <w:pStyle w:val="30"/>
                    <w:spacing w:line="360" w:lineRule="exact"/>
                    <w:rPr>
                      <w:color w:val="auto"/>
                      <w:szCs w:val="21"/>
                    </w:rPr>
                  </w:pPr>
                  <w:r>
                    <w:rPr>
                      <w:color w:val="auto"/>
                      <w:szCs w:val="21"/>
                    </w:rPr>
                    <w:t>0.004</w:t>
                  </w:r>
                </w:p>
              </w:tc>
              <w:tc>
                <w:tcPr>
                  <w:tcW w:w="1050" w:type="dxa"/>
                  <w:tcBorders>
                    <w:left w:val="single" w:color="auto" w:sz="4" w:space="0"/>
                  </w:tcBorders>
                  <w:vAlign w:val="center"/>
                </w:tcPr>
                <w:p>
                  <w:pPr>
                    <w:pStyle w:val="30"/>
                    <w:spacing w:line="360" w:lineRule="exact"/>
                    <w:rPr>
                      <w:color w:val="auto"/>
                      <w:szCs w:val="21"/>
                    </w:rPr>
                  </w:pPr>
                  <w:r>
                    <w:rPr>
                      <w:color w:val="auto"/>
                      <w:szCs w:val="21"/>
                    </w:rPr>
                    <w:t>0.001</w:t>
                  </w:r>
                </w:p>
              </w:tc>
              <w:tc>
                <w:tcPr>
                  <w:tcW w:w="1051" w:type="dxa"/>
                  <w:tcBorders>
                    <w:right w:val="single" w:color="auto" w:sz="4" w:space="0"/>
                  </w:tcBorders>
                  <w:vAlign w:val="center"/>
                </w:tcPr>
                <w:p>
                  <w:pPr>
                    <w:pStyle w:val="30"/>
                    <w:spacing w:line="360" w:lineRule="exact"/>
                    <w:rPr>
                      <w:color w:val="auto"/>
                      <w:szCs w:val="21"/>
                    </w:rPr>
                  </w:pPr>
                  <w:r>
                    <w:rPr>
                      <w:color w:val="auto"/>
                      <w:szCs w:val="21"/>
                    </w:rPr>
                    <w:t>3.5</w:t>
                  </w:r>
                </w:p>
              </w:tc>
              <w:tc>
                <w:tcPr>
                  <w:tcW w:w="1024" w:type="dxa"/>
                  <w:tcBorders>
                    <w:left w:val="single" w:color="auto" w:sz="4" w:space="0"/>
                  </w:tcBorders>
                  <w:vAlign w:val="center"/>
                </w:tcPr>
                <w:p>
                  <w:pPr>
                    <w:pStyle w:val="30"/>
                    <w:spacing w:line="360" w:lineRule="exact"/>
                    <w:rPr>
                      <w:color w:val="auto"/>
                      <w:szCs w:val="21"/>
                    </w:rPr>
                  </w:pPr>
                  <w:r>
                    <w:rPr>
                      <w:color w:val="auto"/>
                      <w:szCs w:val="21"/>
                    </w:rPr>
                    <w:t>120</w:t>
                  </w:r>
                </w:p>
              </w:tc>
              <w:tc>
                <w:tcPr>
                  <w:tcW w:w="836" w:type="dxa"/>
                  <w:vAlign w:val="center"/>
                </w:tcPr>
                <w:p>
                  <w:pPr>
                    <w:pStyle w:val="30"/>
                    <w:spacing w:line="360" w:lineRule="exact"/>
                    <w:rPr>
                      <w:color w:val="auto"/>
                      <w:szCs w:val="21"/>
                    </w:rPr>
                  </w:pPr>
                  <w:r>
                    <w:rPr>
                      <w:color w:val="auto"/>
                      <w:szCs w:val="2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color w:val="auto"/>
                      <w:szCs w:val="21"/>
                    </w:rPr>
                  </w:pPr>
                </w:p>
              </w:tc>
              <w:tc>
                <w:tcPr>
                  <w:tcW w:w="1612" w:type="dxa"/>
                  <w:vAlign w:val="center"/>
                </w:tcPr>
                <w:p>
                  <w:pPr>
                    <w:pStyle w:val="30"/>
                    <w:spacing w:line="360" w:lineRule="exact"/>
                    <w:rPr>
                      <w:color w:val="auto"/>
                      <w:szCs w:val="21"/>
                    </w:rPr>
                  </w:pPr>
                  <w:r>
                    <w:rPr>
                      <w:color w:val="auto"/>
                      <w:szCs w:val="21"/>
                    </w:rPr>
                    <w:t>汞及其化合物</w:t>
                  </w:r>
                </w:p>
              </w:tc>
              <w:tc>
                <w:tcPr>
                  <w:tcW w:w="1276" w:type="dxa"/>
                  <w:vAlign w:val="center"/>
                </w:tcPr>
                <w:p>
                  <w:pPr>
                    <w:pStyle w:val="30"/>
                    <w:spacing w:line="360" w:lineRule="exact"/>
                    <w:rPr>
                      <w:color w:val="auto"/>
                      <w:szCs w:val="21"/>
                    </w:rPr>
                  </w:pPr>
                  <w:r>
                    <w:rPr>
                      <w:color w:val="auto"/>
                      <w:szCs w:val="21"/>
                    </w:rPr>
                    <w:t>0.001</w:t>
                  </w:r>
                </w:p>
              </w:tc>
              <w:tc>
                <w:tcPr>
                  <w:tcW w:w="1177" w:type="dxa"/>
                  <w:tcBorders>
                    <w:right w:val="single" w:color="auto" w:sz="4" w:space="0"/>
                  </w:tcBorders>
                  <w:vAlign w:val="center"/>
                </w:tcPr>
                <w:p>
                  <w:pPr>
                    <w:pStyle w:val="30"/>
                    <w:spacing w:line="360" w:lineRule="exact"/>
                    <w:rPr>
                      <w:color w:val="auto"/>
                      <w:szCs w:val="21"/>
                    </w:rPr>
                  </w:pPr>
                  <w:r>
                    <w:rPr>
                      <w:color w:val="auto"/>
                      <w:szCs w:val="21"/>
                    </w:rPr>
                    <w:t>0.00004</w:t>
                  </w:r>
                </w:p>
              </w:tc>
              <w:tc>
                <w:tcPr>
                  <w:tcW w:w="1050" w:type="dxa"/>
                  <w:tcBorders>
                    <w:left w:val="single" w:color="auto" w:sz="4" w:space="0"/>
                  </w:tcBorders>
                  <w:vAlign w:val="center"/>
                </w:tcPr>
                <w:p>
                  <w:pPr>
                    <w:pStyle w:val="30"/>
                    <w:spacing w:line="360" w:lineRule="exact"/>
                    <w:rPr>
                      <w:color w:val="auto"/>
                      <w:szCs w:val="21"/>
                    </w:rPr>
                  </w:pPr>
                  <w:r>
                    <w:rPr>
                      <w:color w:val="auto"/>
                      <w:szCs w:val="21"/>
                    </w:rPr>
                    <w:t>0.00001</w:t>
                  </w:r>
                </w:p>
              </w:tc>
              <w:tc>
                <w:tcPr>
                  <w:tcW w:w="1051" w:type="dxa"/>
                  <w:tcBorders>
                    <w:right w:val="single" w:color="auto" w:sz="4" w:space="0"/>
                  </w:tcBorders>
                  <w:vAlign w:val="center"/>
                </w:tcPr>
                <w:p>
                  <w:pPr>
                    <w:pStyle w:val="30"/>
                    <w:spacing w:line="360" w:lineRule="exact"/>
                    <w:rPr>
                      <w:color w:val="auto"/>
                      <w:szCs w:val="21"/>
                    </w:rPr>
                  </w:pPr>
                  <w:r>
                    <w:rPr>
                      <w:color w:val="auto"/>
                      <w:szCs w:val="21"/>
                    </w:rPr>
                    <w:t>1.5×10-3</w:t>
                  </w:r>
                </w:p>
              </w:tc>
              <w:tc>
                <w:tcPr>
                  <w:tcW w:w="1024" w:type="dxa"/>
                  <w:tcBorders>
                    <w:left w:val="single" w:color="auto" w:sz="4" w:space="0"/>
                  </w:tcBorders>
                  <w:vAlign w:val="center"/>
                </w:tcPr>
                <w:p>
                  <w:pPr>
                    <w:pStyle w:val="30"/>
                    <w:spacing w:line="360" w:lineRule="exact"/>
                    <w:rPr>
                      <w:color w:val="auto"/>
                      <w:szCs w:val="21"/>
                    </w:rPr>
                  </w:pPr>
                  <w:r>
                    <w:rPr>
                      <w:color w:val="auto"/>
                      <w:szCs w:val="21"/>
                    </w:rPr>
                    <w:t>0.012</w:t>
                  </w:r>
                </w:p>
              </w:tc>
              <w:tc>
                <w:tcPr>
                  <w:tcW w:w="836" w:type="dxa"/>
                  <w:vAlign w:val="center"/>
                </w:tcPr>
                <w:p>
                  <w:pPr>
                    <w:pStyle w:val="30"/>
                    <w:spacing w:line="360" w:lineRule="exact"/>
                    <w:rPr>
                      <w:color w:val="auto"/>
                      <w:szCs w:val="21"/>
                    </w:rPr>
                  </w:pPr>
                  <w:r>
                    <w:rPr>
                      <w:color w:val="auto"/>
                      <w:szCs w:val="2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restart"/>
                  <w:vAlign w:val="center"/>
                </w:tcPr>
                <w:p>
                  <w:pPr>
                    <w:pStyle w:val="30"/>
                    <w:spacing w:line="360" w:lineRule="exact"/>
                    <w:rPr>
                      <w:color w:val="auto"/>
                      <w:szCs w:val="21"/>
                    </w:rPr>
                  </w:pPr>
                  <w:r>
                    <w:rPr>
                      <w:color w:val="auto"/>
                      <w:szCs w:val="21"/>
                    </w:rPr>
                    <w:t>DA00</w:t>
                  </w:r>
                  <w:r>
                    <w:rPr>
                      <w:rFonts w:hint="eastAsia"/>
                      <w:color w:val="auto"/>
                      <w:szCs w:val="21"/>
                    </w:rPr>
                    <w:t>5</w:t>
                  </w:r>
                </w:p>
              </w:tc>
              <w:tc>
                <w:tcPr>
                  <w:tcW w:w="1612" w:type="dxa"/>
                  <w:vAlign w:val="center"/>
                </w:tcPr>
                <w:p>
                  <w:pPr>
                    <w:pStyle w:val="30"/>
                    <w:spacing w:line="360" w:lineRule="exact"/>
                    <w:rPr>
                      <w:color w:val="auto"/>
                      <w:szCs w:val="21"/>
                    </w:rPr>
                  </w:pPr>
                  <w:r>
                    <w:rPr>
                      <w:color w:val="auto"/>
                      <w:szCs w:val="21"/>
                    </w:rPr>
                    <w:t>废气量</w:t>
                  </w:r>
                </w:p>
              </w:tc>
              <w:tc>
                <w:tcPr>
                  <w:tcW w:w="3503" w:type="dxa"/>
                  <w:gridSpan w:val="3"/>
                  <w:vAlign w:val="center"/>
                </w:tcPr>
                <w:p>
                  <w:pPr>
                    <w:pStyle w:val="30"/>
                    <w:spacing w:line="360" w:lineRule="exact"/>
                    <w:rPr>
                      <w:color w:val="auto"/>
                      <w:szCs w:val="21"/>
                    </w:rPr>
                  </w:pPr>
                  <w:r>
                    <w:rPr>
                      <w:color w:val="auto"/>
                      <w:szCs w:val="21"/>
                    </w:rPr>
                    <w:t>8568万m³/a</w:t>
                  </w:r>
                </w:p>
              </w:tc>
              <w:tc>
                <w:tcPr>
                  <w:tcW w:w="1051" w:type="dxa"/>
                  <w:tcBorders>
                    <w:right w:val="single" w:color="auto" w:sz="4" w:space="0"/>
                  </w:tcBorders>
                  <w:vAlign w:val="center"/>
                </w:tcPr>
                <w:p>
                  <w:pPr>
                    <w:pStyle w:val="30"/>
                    <w:spacing w:line="360" w:lineRule="exact"/>
                    <w:rPr>
                      <w:color w:val="auto"/>
                      <w:szCs w:val="21"/>
                    </w:rPr>
                  </w:pPr>
                  <w:r>
                    <w:rPr>
                      <w:rFonts w:hint="eastAsia"/>
                      <w:color w:val="auto"/>
                      <w:szCs w:val="21"/>
                    </w:rPr>
                    <w:t>--</w:t>
                  </w:r>
                </w:p>
              </w:tc>
              <w:tc>
                <w:tcPr>
                  <w:tcW w:w="1024" w:type="dxa"/>
                  <w:tcBorders>
                    <w:left w:val="single" w:color="auto" w:sz="4" w:space="0"/>
                  </w:tcBorders>
                  <w:vAlign w:val="center"/>
                </w:tcPr>
                <w:p>
                  <w:pPr>
                    <w:pStyle w:val="30"/>
                    <w:spacing w:line="360" w:lineRule="exact"/>
                    <w:rPr>
                      <w:color w:val="auto"/>
                      <w:szCs w:val="21"/>
                    </w:rPr>
                  </w:pPr>
                  <w:r>
                    <w:rPr>
                      <w:rFonts w:hint="eastAsia"/>
                      <w:color w:val="auto"/>
                      <w:szCs w:val="21"/>
                    </w:rPr>
                    <w:t>--</w:t>
                  </w:r>
                </w:p>
              </w:tc>
              <w:tc>
                <w:tcPr>
                  <w:tcW w:w="836" w:type="dxa"/>
                  <w:vAlign w:val="center"/>
                </w:tcPr>
                <w:p>
                  <w:pPr>
                    <w:pStyle w:val="30"/>
                    <w:spacing w:line="360" w:lineRule="exact"/>
                    <w:rPr>
                      <w:color w:val="auto"/>
                      <w:szCs w:val="21"/>
                    </w:rPr>
                  </w:pPr>
                  <w:r>
                    <w:rPr>
                      <w:color w:val="auto"/>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color w:val="auto"/>
                      <w:szCs w:val="21"/>
                    </w:rPr>
                  </w:pPr>
                </w:p>
              </w:tc>
              <w:tc>
                <w:tcPr>
                  <w:tcW w:w="1612" w:type="dxa"/>
                  <w:vAlign w:val="center"/>
                </w:tcPr>
                <w:p>
                  <w:pPr>
                    <w:pStyle w:val="30"/>
                    <w:spacing w:line="360" w:lineRule="exact"/>
                    <w:rPr>
                      <w:color w:val="auto"/>
                      <w:szCs w:val="21"/>
                    </w:rPr>
                  </w:pPr>
                  <w:r>
                    <w:rPr>
                      <w:color w:val="auto"/>
                      <w:szCs w:val="21"/>
                    </w:rPr>
                    <w:t>粉尘</w:t>
                  </w:r>
                </w:p>
              </w:tc>
              <w:tc>
                <w:tcPr>
                  <w:tcW w:w="1276" w:type="dxa"/>
                  <w:vAlign w:val="center"/>
                </w:tcPr>
                <w:p>
                  <w:pPr>
                    <w:pStyle w:val="30"/>
                    <w:spacing w:line="360" w:lineRule="exact"/>
                    <w:rPr>
                      <w:color w:val="auto"/>
                      <w:szCs w:val="21"/>
                    </w:rPr>
                  </w:pPr>
                  <w:r>
                    <w:rPr>
                      <w:color w:val="auto"/>
                      <w:szCs w:val="21"/>
                    </w:rPr>
                    <w:t>10.38</w:t>
                  </w:r>
                </w:p>
              </w:tc>
              <w:tc>
                <w:tcPr>
                  <w:tcW w:w="1177" w:type="dxa"/>
                  <w:tcBorders>
                    <w:right w:val="single" w:color="auto" w:sz="4" w:space="0"/>
                  </w:tcBorders>
                  <w:vAlign w:val="center"/>
                </w:tcPr>
                <w:p>
                  <w:pPr>
                    <w:pStyle w:val="30"/>
                    <w:spacing w:line="360" w:lineRule="exact"/>
                    <w:rPr>
                      <w:color w:val="auto"/>
                      <w:szCs w:val="21"/>
                    </w:rPr>
                  </w:pPr>
                  <w:r>
                    <w:rPr>
                      <w:color w:val="auto"/>
                      <w:szCs w:val="21"/>
                    </w:rPr>
                    <w:t>0.89</w:t>
                  </w:r>
                </w:p>
              </w:tc>
              <w:tc>
                <w:tcPr>
                  <w:tcW w:w="1050" w:type="dxa"/>
                  <w:tcBorders>
                    <w:left w:val="single" w:color="auto" w:sz="4" w:space="0"/>
                  </w:tcBorders>
                  <w:vAlign w:val="center"/>
                </w:tcPr>
                <w:p>
                  <w:pPr>
                    <w:pStyle w:val="30"/>
                    <w:spacing w:line="360" w:lineRule="exact"/>
                    <w:rPr>
                      <w:color w:val="auto"/>
                      <w:szCs w:val="21"/>
                    </w:rPr>
                  </w:pPr>
                  <w:r>
                    <w:rPr>
                      <w:color w:val="auto"/>
                      <w:szCs w:val="21"/>
                    </w:rPr>
                    <w:t>0.18</w:t>
                  </w:r>
                </w:p>
              </w:tc>
              <w:tc>
                <w:tcPr>
                  <w:tcW w:w="1051" w:type="dxa"/>
                  <w:tcBorders>
                    <w:right w:val="single" w:color="auto" w:sz="4" w:space="0"/>
                  </w:tcBorders>
                  <w:vAlign w:val="center"/>
                </w:tcPr>
                <w:p>
                  <w:pPr>
                    <w:pStyle w:val="30"/>
                    <w:spacing w:line="360" w:lineRule="exact"/>
                    <w:rPr>
                      <w:color w:val="auto"/>
                      <w:szCs w:val="21"/>
                    </w:rPr>
                  </w:pPr>
                  <w:r>
                    <w:rPr>
                      <w:color w:val="auto"/>
                      <w:szCs w:val="21"/>
                    </w:rPr>
                    <w:t>3.5</w:t>
                  </w:r>
                </w:p>
              </w:tc>
              <w:tc>
                <w:tcPr>
                  <w:tcW w:w="1024" w:type="dxa"/>
                  <w:tcBorders>
                    <w:left w:val="single" w:color="auto" w:sz="4" w:space="0"/>
                  </w:tcBorders>
                  <w:vAlign w:val="center"/>
                </w:tcPr>
                <w:p>
                  <w:pPr>
                    <w:pStyle w:val="30"/>
                    <w:spacing w:line="360" w:lineRule="exact"/>
                    <w:rPr>
                      <w:color w:val="auto"/>
                      <w:szCs w:val="21"/>
                    </w:rPr>
                  </w:pPr>
                  <w:r>
                    <w:rPr>
                      <w:color w:val="auto"/>
                      <w:szCs w:val="21"/>
                    </w:rPr>
                    <w:t>120</w:t>
                  </w:r>
                </w:p>
              </w:tc>
              <w:tc>
                <w:tcPr>
                  <w:tcW w:w="836" w:type="dxa"/>
                  <w:vAlign w:val="center"/>
                </w:tcPr>
                <w:p>
                  <w:pPr>
                    <w:pStyle w:val="30"/>
                    <w:spacing w:line="360" w:lineRule="exact"/>
                    <w:rPr>
                      <w:color w:val="auto"/>
                      <w:szCs w:val="21"/>
                    </w:rPr>
                  </w:pPr>
                  <w:r>
                    <w:rPr>
                      <w:color w:val="auto"/>
                      <w:szCs w:val="2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restart"/>
                  <w:vAlign w:val="center"/>
                </w:tcPr>
                <w:p>
                  <w:pPr>
                    <w:pStyle w:val="30"/>
                    <w:spacing w:line="360" w:lineRule="exact"/>
                    <w:rPr>
                      <w:color w:val="auto"/>
                      <w:szCs w:val="21"/>
                    </w:rPr>
                  </w:pPr>
                  <w:r>
                    <w:rPr>
                      <w:color w:val="auto"/>
                      <w:szCs w:val="21"/>
                    </w:rPr>
                    <w:t>DA00</w:t>
                  </w:r>
                  <w:r>
                    <w:rPr>
                      <w:rFonts w:hint="eastAsia"/>
                      <w:color w:val="auto"/>
                      <w:szCs w:val="21"/>
                    </w:rPr>
                    <w:t>6</w:t>
                  </w:r>
                </w:p>
              </w:tc>
              <w:tc>
                <w:tcPr>
                  <w:tcW w:w="1612" w:type="dxa"/>
                  <w:vAlign w:val="center"/>
                </w:tcPr>
                <w:p>
                  <w:pPr>
                    <w:pStyle w:val="30"/>
                    <w:spacing w:line="360" w:lineRule="exact"/>
                    <w:rPr>
                      <w:color w:val="auto"/>
                      <w:szCs w:val="21"/>
                    </w:rPr>
                  </w:pPr>
                  <w:r>
                    <w:rPr>
                      <w:color w:val="auto"/>
                      <w:szCs w:val="21"/>
                    </w:rPr>
                    <w:t>废气量</w:t>
                  </w:r>
                </w:p>
              </w:tc>
              <w:tc>
                <w:tcPr>
                  <w:tcW w:w="3503" w:type="dxa"/>
                  <w:gridSpan w:val="3"/>
                  <w:vAlign w:val="center"/>
                </w:tcPr>
                <w:p>
                  <w:pPr>
                    <w:pStyle w:val="30"/>
                    <w:spacing w:line="360" w:lineRule="exact"/>
                    <w:rPr>
                      <w:color w:val="auto"/>
                      <w:szCs w:val="21"/>
                    </w:rPr>
                  </w:pPr>
                  <w:r>
                    <w:rPr>
                      <w:color w:val="auto"/>
                      <w:szCs w:val="21"/>
                    </w:rPr>
                    <w:t>9072万m³/a</w:t>
                  </w:r>
                </w:p>
              </w:tc>
              <w:tc>
                <w:tcPr>
                  <w:tcW w:w="1051" w:type="dxa"/>
                  <w:tcBorders>
                    <w:right w:val="single" w:color="auto" w:sz="4" w:space="0"/>
                  </w:tcBorders>
                  <w:vAlign w:val="center"/>
                </w:tcPr>
                <w:p>
                  <w:pPr>
                    <w:pStyle w:val="30"/>
                    <w:spacing w:line="360" w:lineRule="exact"/>
                    <w:rPr>
                      <w:color w:val="auto"/>
                      <w:szCs w:val="21"/>
                    </w:rPr>
                  </w:pPr>
                  <w:r>
                    <w:rPr>
                      <w:rFonts w:hint="eastAsia"/>
                      <w:color w:val="auto"/>
                      <w:szCs w:val="21"/>
                    </w:rPr>
                    <w:t>--</w:t>
                  </w:r>
                </w:p>
              </w:tc>
              <w:tc>
                <w:tcPr>
                  <w:tcW w:w="1024" w:type="dxa"/>
                  <w:tcBorders>
                    <w:left w:val="single" w:color="auto" w:sz="4" w:space="0"/>
                  </w:tcBorders>
                  <w:vAlign w:val="center"/>
                </w:tcPr>
                <w:p>
                  <w:pPr>
                    <w:pStyle w:val="30"/>
                    <w:spacing w:line="360" w:lineRule="exact"/>
                    <w:rPr>
                      <w:color w:val="auto"/>
                      <w:szCs w:val="21"/>
                    </w:rPr>
                  </w:pPr>
                  <w:r>
                    <w:rPr>
                      <w:rFonts w:hint="eastAsia"/>
                      <w:color w:val="auto"/>
                      <w:szCs w:val="21"/>
                    </w:rPr>
                    <w:t>--</w:t>
                  </w:r>
                </w:p>
              </w:tc>
              <w:tc>
                <w:tcPr>
                  <w:tcW w:w="836" w:type="dxa"/>
                  <w:vAlign w:val="center"/>
                </w:tcPr>
                <w:p>
                  <w:pPr>
                    <w:pStyle w:val="30"/>
                    <w:spacing w:line="360" w:lineRule="exact"/>
                    <w:rPr>
                      <w:color w:val="auto"/>
                      <w:szCs w:val="21"/>
                    </w:rPr>
                  </w:pPr>
                  <w:r>
                    <w:rPr>
                      <w:color w:val="auto"/>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color w:val="auto"/>
                      <w:szCs w:val="21"/>
                    </w:rPr>
                  </w:pPr>
                </w:p>
              </w:tc>
              <w:tc>
                <w:tcPr>
                  <w:tcW w:w="1612" w:type="dxa"/>
                  <w:vAlign w:val="center"/>
                </w:tcPr>
                <w:p>
                  <w:pPr>
                    <w:pStyle w:val="30"/>
                    <w:spacing w:line="360" w:lineRule="exact"/>
                    <w:rPr>
                      <w:color w:val="auto"/>
                      <w:szCs w:val="21"/>
                    </w:rPr>
                  </w:pPr>
                  <w:r>
                    <w:rPr>
                      <w:color w:val="auto"/>
                      <w:szCs w:val="21"/>
                    </w:rPr>
                    <w:t>粉尘</w:t>
                  </w:r>
                </w:p>
              </w:tc>
              <w:tc>
                <w:tcPr>
                  <w:tcW w:w="1276" w:type="dxa"/>
                  <w:vAlign w:val="center"/>
                </w:tcPr>
                <w:p>
                  <w:pPr>
                    <w:pStyle w:val="30"/>
                    <w:spacing w:line="360" w:lineRule="exact"/>
                    <w:rPr>
                      <w:color w:val="auto"/>
                      <w:szCs w:val="21"/>
                    </w:rPr>
                  </w:pPr>
                  <w:r>
                    <w:rPr>
                      <w:color w:val="auto"/>
                      <w:szCs w:val="21"/>
                    </w:rPr>
                    <w:t>9.81</w:t>
                  </w:r>
                </w:p>
              </w:tc>
              <w:tc>
                <w:tcPr>
                  <w:tcW w:w="1177" w:type="dxa"/>
                  <w:tcBorders>
                    <w:right w:val="single" w:color="auto" w:sz="4" w:space="0"/>
                  </w:tcBorders>
                  <w:vAlign w:val="center"/>
                </w:tcPr>
                <w:p>
                  <w:pPr>
                    <w:pStyle w:val="30"/>
                    <w:spacing w:line="360" w:lineRule="exact"/>
                    <w:rPr>
                      <w:color w:val="auto"/>
                      <w:szCs w:val="21"/>
                    </w:rPr>
                  </w:pPr>
                  <w:r>
                    <w:rPr>
                      <w:color w:val="auto"/>
                      <w:szCs w:val="21"/>
                    </w:rPr>
                    <w:t>0.89</w:t>
                  </w:r>
                </w:p>
              </w:tc>
              <w:tc>
                <w:tcPr>
                  <w:tcW w:w="1050" w:type="dxa"/>
                  <w:tcBorders>
                    <w:left w:val="single" w:color="auto" w:sz="4" w:space="0"/>
                  </w:tcBorders>
                  <w:vAlign w:val="center"/>
                </w:tcPr>
                <w:p>
                  <w:pPr>
                    <w:pStyle w:val="30"/>
                    <w:spacing w:line="360" w:lineRule="exact"/>
                    <w:rPr>
                      <w:color w:val="auto"/>
                      <w:szCs w:val="21"/>
                    </w:rPr>
                  </w:pPr>
                  <w:r>
                    <w:rPr>
                      <w:color w:val="auto"/>
                      <w:szCs w:val="21"/>
                    </w:rPr>
                    <w:t>0.18</w:t>
                  </w:r>
                </w:p>
              </w:tc>
              <w:tc>
                <w:tcPr>
                  <w:tcW w:w="1051" w:type="dxa"/>
                  <w:tcBorders>
                    <w:right w:val="single" w:color="auto" w:sz="4" w:space="0"/>
                  </w:tcBorders>
                  <w:vAlign w:val="center"/>
                </w:tcPr>
                <w:p>
                  <w:pPr>
                    <w:pStyle w:val="30"/>
                    <w:spacing w:line="360" w:lineRule="exact"/>
                    <w:rPr>
                      <w:color w:val="auto"/>
                      <w:szCs w:val="21"/>
                    </w:rPr>
                  </w:pPr>
                  <w:r>
                    <w:rPr>
                      <w:color w:val="auto"/>
                      <w:szCs w:val="21"/>
                    </w:rPr>
                    <w:t>3.5</w:t>
                  </w:r>
                </w:p>
              </w:tc>
              <w:tc>
                <w:tcPr>
                  <w:tcW w:w="1024" w:type="dxa"/>
                  <w:tcBorders>
                    <w:left w:val="single" w:color="auto" w:sz="4" w:space="0"/>
                  </w:tcBorders>
                  <w:vAlign w:val="center"/>
                </w:tcPr>
                <w:p>
                  <w:pPr>
                    <w:pStyle w:val="30"/>
                    <w:spacing w:line="360" w:lineRule="exact"/>
                    <w:rPr>
                      <w:color w:val="auto"/>
                      <w:szCs w:val="21"/>
                    </w:rPr>
                  </w:pPr>
                  <w:r>
                    <w:rPr>
                      <w:color w:val="auto"/>
                      <w:szCs w:val="21"/>
                    </w:rPr>
                    <w:t>120</w:t>
                  </w:r>
                </w:p>
              </w:tc>
              <w:tc>
                <w:tcPr>
                  <w:tcW w:w="836" w:type="dxa"/>
                  <w:vAlign w:val="center"/>
                </w:tcPr>
                <w:p>
                  <w:pPr>
                    <w:pStyle w:val="30"/>
                    <w:spacing w:line="360" w:lineRule="exact"/>
                    <w:rPr>
                      <w:color w:val="auto"/>
                      <w:szCs w:val="21"/>
                    </w:rPr>
                  </w:pPr>
                  <w:r>
                    <w:rPr>
                      <w:color w:val="auto"/>
                      <w:szCs w:val="21"/>
                    </w:rPr>
                    <w:t>达标</w:t>
                  </w:r>
                </w:p>
              </w:tc>
            </w:tr>
            <w:tr>
              <w:tblPrEx>
                <w:tblLayout w:type="fixed"/>
                <w:tblCellMar>
                  <w:top w:w="0" w:type="dxa"/>
                  <w:left w:w="108" w:type="dxa"/>
                  <w:bottom w:w="0" w:type="dxa"/>
                  <w:right w:w="108" w:type="dxa"/>
                </w:tblCellMar>
              </w:tblPrEx>
              <w:tc>
                <w:tcPr>
                  <w:tcW w:w="1018" w:type="dxa"/>
                  <w:vMerge w:val="continue"/>
                  <w:vAlign w:val="center"/>
                </w:tcPr>
                <w:p>
                  <w:pPr>
                    <w:pStyle w:val="30"/>
                    <w:spacing w:line="360" w:lineRule="exact"/>
                    <w:rPr>
                      <w:color w:val="auto"/>
                      <w:szCs w:val="21"/>
                    </w:rPr>
                  </w:pPr>
                </w:p>
              </w:tc>
              <w:tc>
                <w:tcPr>
                  <w:tcW w:w="1612" w:type="dxa"/>
                  <w:vAlign w:val="center"/>
                </w:tcPr>
                <w:p>
                  <w:pPr>
                    <w:pStyle w:val="30"/>
                    <w:spacing w:line="360" w:lineRule="exact"/>
                    <w:rPr>
                      <w:color w:val="auto"/>
                      <w:szCs w:val="21"/>
                    </w:rPr>
                  </w:pPr>
                  <w:r>
                    <w:rPr>
                      <w:color w:val="auto"/>
                      <w:szCs w:val="21"/>
                    </w:rPr>
                    <w:t>铅及其化合物</w:t>
                  </w:r>
                </w:p>
              </w:tc>
              <w:tc>
                <w:tcPr>
                  <w:tcW w:w="1276" w:type="dxa"/>
                  <w:vAlign w:val="center"/>
                </w:tcPr>
                <w:p>
                  <w:pPr>
                    <w:pStyle w:val="30"/>
                    <w:spacing w:line="360" w:lineRule="exact"/>
                    <w:rPr>
                      <w:color w:val="auto"/>
                      <w:szCs w:val="21"/>
                    </w:rPr>
                  </w:pPr>
                  <w:r>
                    <w:rPr>
                      <w:color w:val="auto"/>
                      <w:szCs w:val="21"/>
                    </w:rPr>
                    <w:t>0.01</w:t>
                  </w:r>
                </w:p>
              </w:tc>
              <w:tc>
                <w:tcPr>
                  <w:tcW w:w="1177" w:type="dxa"/>
                  <w:tcBorders>
                    <w:right w:val="single" w:color="auto" w:sz="4" w:space="0"/>
                  </w:tcBorders>
                  <w:vAlign w:val="center"/>
                </w:tcPr>
                <w:p>
                  <w:pPr>
                    <w:pStyle w:val="30"/>
                    <w:spacing w:line="360" w:lineRule="exact"/>
                    <w:rPr>
                      <w:color w:val="auto"/>
                      <w:szCs w:val="21"/>
                    </w:rPr>
                  </w:pPr>
                  <w:r>
                    <w:rPr>
                      <w:color w:val="auto"/>
                      <w:szCs w:val="21"/>
                    </w:rPr>
                    <w:t>0.0009</w:t>
                  </w:r>
                </w:p>
              </w:tc>
              <w:tc>
                <w:tcPr>
                  <w:tcW w:w="1050" w:type="dxa"/>
                  <w:tcBorders>
                    <w:left w:val="single" w:color="auto" w:sz="4" w:space="0"/>
                  </w:tcBorders>
                  <w:vAlign w:val="center"/>
                </w:tcPr>
                <w:p>
                  <w:pPr>
                    <w:pStyle w:val="30"/>
                    <w:spacing w:line="360" w:lineRule="exact"/>
                    <w:rPr>
                      <w:color w:val="auto"/>
                      <w:szCs w:val="21"/>
                    </w:rPr>
                  </w:pPr>
                  <w:r>
                    <w:rPr>
                      <w:color w:val="auto"/>
                      <w:szCs w:val="21"/>
                    </w:rPr>
                    <w:t>0.0002</w:t>
                  </w:r>
                </w:p>
              </w:tc>
              <w:tc>
                <w:tcPr>
                  <w:tcW w:w="1051" w:type="dxa"/>
                  <w:tcBorders>
                    <w:right w:val="single" w:color="auto" w:sz="4" w:space="0"/>
                  </w:tcBorders>
                  <w:vAlign w:val="center"/>
                </w:tcPr>
                <w:p>
                  <w:pPr>
                    <w:pStyle w:val="30"/>
                    <w:spacing w:line="360" w:lineRule="exact"/>
                    <w:rPr>
                      <w:color w:val="auto"/>
                      <w:szCs w:val="21"/>
                    </w:rPr>
                  </w:pPr>
                  <w:r>
                    <w:rPr>
                      <w:color w:val="auto"/>
                      <w:szCs w:val="21"/>
                    </w:rPr>
                    <w:t>0.004</w:t>
                  </w:r>
                </w:p>
              </w:tc>
              <w:tc>
                <w:tcPr>
                  <w:tcW w:w="1024" w:type="dxa"/>
                  <w:tcBorders>
                    <w:left w:val="single" w:color="auto" w:sz="4" w:space="0"/>
                  </w:tcBorders>
                  <w:vAlign w:val="center"/>
                </w:tcPr>
                <w:p>
                  <w:pPr>
                    <w:pStyle w:val="30"/>
                    <w:spacing w:line="360" w:lineRule="exact"/>
                    <w:rPr>
                      <w:color w:val="auto"/>
                      <w:szCs w:val="21"/>
                    </w:rPr>
                  </w:pPr>
                  <w:r>
                    <w:rPr>
                      <w:color w:val="auto"/>
                      <w:szCs w:val="21"/>
                    </w:rPr>
                    <w:t>0.70</w:t>
                  </w:r>
                </w:p>
              </w:tc>
              <w:tc>
                <w:tcPr>
                  <w:tcW w:w="836" w:type="dxa"/>
                  <w:vAlign w:val="center"/>
                </w:tcPr>
                <w:p>
                  <w:pPr>
                    <w:pStyle w:val="30"/>
                    <w:spacing w:line="360" w:lineRule="exact"/>
                    <w:rPr>
                      <w:color w:val="auto"/>
                      <w:szCs w:val="21"/>
                    </w:rPr>
                  </w:pPr>
                  <w:r>
                    <w:rPr>
                      <w:color w:val="auto"/>
                      <w:szCs w:val="2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restart"/>
                  <w:vAlign w:val="center"/>
                </w:tcPr>
                <w:p>
                  <w:pPr>
                    <w:pStyle w:val="30"/>
                    <w:spacing w:line="360" w:lineRule="exact"/>
                    <w:rPr>
                      <w:color w:val="auto"/>
                      <w:szCs w:val="21"/>
                    </w:rPr>
                  </w:pPr>
                  <w:r>
                    <w:rPr>
                      <w:color w:val="auto"/>
                      <w:szCs w:val="21"/>
                    </w:rPr>
                    <w:t>无组织</w:t>
                  </w:r>
                </w:p>
              </w:tc>
              <w:tc>
                <w:tcPr>
                  <w:tcW w:w="1612" w:type="dxa"/>
                  <w:vAlign w:val="center"/>
                </w:tcPr>
                <w:p>
                  <w:pPr>
                    <w:pStyle w:val="30"/>
                    <w:spacing w:line="360" w:lineRule="exact"/>
                    <w:rPr>
                      <w:color w:val="auto"/>
                      <w:szCs w:val="21"/>
                    </w:rPr>
                  </w:pPr>
                  <w:r>
                    <w:rPr>
                      <w:color w:val="auto"/>
                      <w:szCs w:val="21"/>
                    </w:rPr>
                    <w:t>粉尘</w:t>
                  </w:r>
                </w:p>
              </w:tc>
              <w:tc>
                <w:tcPr>
                  <w:tcW w:w="1276" w:type="dxa"/>
                  <w:vAlign w:val="center"/>
                </w:tcPr>
                <w:p>
                  <w:pPr>
                    <w:pStyle w:val="30"/>
                    <w:spacing w:line="360" w:lineRule="exact"/>
                    <w:rPr>
                      <w:color w:val="auto"/>
                      <w:szCs w:val="21"/>
                    </w:rPr>
                  </w:pPr>
                  <w:r>
                    <w:rPr>
                      <w:rFonts w:hint="eastAsia"/>
                      <w:color w:val="auto"/>
                      <w:szCs w:val="21"/>
                    </w:rPr>
                    <w:t>0.079</w:t>
                  </w:r>
                  <w:r>
                    <w:rPr>
                      <w:color w:val="auto"/>
                      <w:szCs w:val="21"/>
                    </w:rPr>
                    <w:t>68</w:t>
                  </w:r>
                </w:p>
              </w:tc>
              <w:tc>
                <w:tcPr>
                  <w:tcW w:w="1177" w:type="dxa"/>
                  <w:tcBorders>
                    <w:right w:val="single" w:color="auto" w:sz="4" w:space="0"/>
                  </w:tcBorders>
                  <w:vAlign w:val="center"/>
                </w:tcPr>
                <w:p>
                  <w:pPr>
                    <w:pStyle w:val="30"/>
                    <w:spacing w:line="360" w:lineRule="exact"/>
                    <w:rPr>
                      <w:color w:val="auto"/>
                      <w:szCs w:val="21"/>
                    </w:rPr>
                  </w:pPr>
                  <w:r>
                    <w:rPr>
                      <w:color w:val="auto"/>
                      <w:szCs w:val="21"/>
                    </w:rPr>
                    <w:t>5.655</w:t>
                  </w:r>
                </w:p>
              </w:tc>
              <w:tc>
                <w:tcPr>
                  <w:tcW w:w="1050" w:type="dxa"/>
                  <w:tcBorders>
                    <w:left w:val="single" w:color="auto" w:sz="4" w:space="0"/>
                  </w:tcBorders>
                  <w:vAlign w:val="center"/>
                </w:tcPr>
                <w:p>
                  <w:pPr>
                    <w:pStyle w:val="30"/>
                    <w:spacing w:line="360" w:lineRule="exact"/>
                    <w:rPr>
                      <w:color w:val="auto"/>
                      <w:szCs w:val="21"/>
                    </w:rPr>
                  </w:pPr>
                  <w:r>
                    <w:rPr>
                      <w:rFonts w:hint="eastAsia"/>
                      <w:color w:val="auto"/>
                      <w:szCs w:val="21"/>
                    </w:rPr>
                    <w:t>--</w:t>
                  </w:r>
                </w:p>
              </w:tc>
              <w:tc>
                <w:tcPr>
                  <w:tcW w:w="2075" w:type="dxa"/>
                  <w:gridSpan w:val="2"/>
                  <w:vAlign w:val="center"/>
                </w:tcPr>
                <w:p>
                  <w:pPr>
                    <w:pStyle w:val="30"/>
                    <w:spacing w:line="360" w:lineRule="exact"/>
                    <w:rPr>
                      <w:color w:val="auto"/>
                      <w:szCs w:val="21"/>
                    </w:rPr>
                  </w:pPr>
                  <w:r>
                    <w:rPr>
                      <w:color w:val="auto"/>
                      <w:szCs w:val="21"/>
                    </w:rPr>
                    <w:t>1.0</w:t>
                  </w:r>
                </w:p>
              </w:tc>
              <w:tc>
                <w:tcPr>
                  <w:tcW w:w="836" w:type="dxa"/>
                  <w:vAlign w:val="center"/>
                </w:tcPr>
                <w:p>
                  <w:pPr>
                    <w:pStyle w:val="30"/>
                    <w:spacing w:line="360" w:lineRule="exact"/>
                    <w:rPr>
                      <w:color w:val="auto"/>
                      <w:szCs w:val="21"/>
                    </w:rPr>
                  </w:pPr>
                  <w:r>
                    <w:rPr>
                      <w:color w:val="auto"/>
                      <w:szCs w:val="2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color w:val="auto"/>
                      <w:szCs w:val="21"/>
                    </w:rPr>
                  </w:pPr>
                </w:p>
              </w:tc>
              <w:tc>
                <w:tcPr>
                  <w:tcW w:w="1612" w:type="dxa"/>
                  <w:vAlign w:val="center"/>
                </w:tcPr>
                <w:p>
                  <w:pPr>
                    <w:pStyle w:val="30"/>
                    <w:spacing w:line="360" w:lineRule="exact"/>
                    <w:rPr>
                      <w:color w:val="auto"/>
                      <w:szCs w:val="21"/>
                    </w:rPr>
                  </w:pPr>
                  <w:r>
                    <w:rPr>
                      <w:color w:val="auto"/>
                      <w:szCs w:val="21"/>
                    </w:rPr>
                    <w:t>铅及其化合物</w:t>
                  </w:r>
                </w:p>
              </w:tc>
              <w:tc>
                <w:tcPr>
                  <w:tcW w:w="1276" w:type="dxa"/>
                  <w:vAlign w:val="center"/>
                </w:tcPr>
                <w:p>
                  <w:pPr>
                    <w:pStyle w:val="30"/>
                    <w:spacing w:line="360" w:lineRule="exact"/>
                    <w:rPr>
                      <w:color w:val="auto"/>
                      <w:szCs w:val="21"/>
                    </w:rPr>
                  </w:pPr>
                  <w:r>
                    <w:rPr>
                      <w:color w:val="auto"/>
                      <w:szCs w:val="21"/>
                    </w:rPr>
                    <w:t>0.0</w:t>
                  </w:r>
                  <w:r>
                    <w:rPr>
                      <w:rFonts w:hint="eastAsia"/>
                      <w:color w:val="auto"/>
                      <w:szCs w:val="21"/>
                    </w:rPr>
                    <w:t>000</w:t>
                  </w:r>
                  <w:r>
                    <w:rPr>
                      <w:color w:val="auto"/>
                      <w:szCs w:val="21"/>
                    </w:rPr>
                    <w:t>4</w:t>
                  </w:r>
                </w:p>
              </w:tc>
              <w:tc>
                <w:tcPr>
                  <w:tcW w:w="1177" w:type="dxa"/>
                  <w:tcBorders>
                    <w:right w:val="single" w:color="auto" w:sz="4" w:space="0"/>
                  </w:tcBorders>
                  <w:vAlign w:val="center"/>
                </w:tcPr>
                <w:p>
                  <w:pPr>
                    <w:pStyle w:val="30"/>
                    <w:spacing w:line="360" w:lineRule="exact"/>
                    <w:rPr>
                      <w:color w:val="auto"/>
                      <w:szCs w:val="21"/>
                    </w:rPr>
                  </w:pPr>
                  <w:r>
                    <w:rPr>
                      <w:color w:val="auto"/>
                      <w:szCs w:val="21"/>
                    </w:rPr>
                    <w:t>0.0019</w:t>
                  </w:r>
                </w:p>
              </w:tc>
              <w:tc>
                <w:tcPr>
                  <w:tcW w:w="1050" w:type="dxa"/>
                  <w:tcBorders>
                    <w:left w:val="single" w:color="auto" w:sz="4" w:space="0"/>
                  </w:tcBorders>
                  <w:vAlign w:val="center"/>
                </w:tcPr>
                <w:p>
                  <w:pPr>
                    <w:pStyle w:val="30"/>
                    <w:spacing w:line="360" w:lineRule="exact"/>
                    <w:rPr>
                      <w:color w:val="auto"/>
                      <w:szCs w:val="21"/>
                    </w:rPr>
                  </w:pPr>
                  <w:r>
                    <w:rPr>
                      <w:rFonts w:hint="eastAsia"/>
                      <w:color w:val="auto"/>
                      <w:szCs w:val="21"/>
                    </w:rPr>
                    <w:t>--</w:t>
                  </w:r>
                </w:p>
              </w:tc>
              <w:tc>
                <w:tcPr>
                  <w:tcW w:w="2075" w:type="dxa"/>
                  <w:gridSpan w:val="2"/>
                  <w:vAlign w:val="center"/>
                </w:tcPr>
                <w:p>
                  <w:pPr>
                    <w:pStyle w:val="30"/>
                    <w:spacing w:line="360" w:lineRule="exact"/>
                    <w:rPr>
                      <w:color w:val="auto"/>
                      <w:szCs w:val="21"/>
                    </w:rPr>
                  </w:pPr>
                  <w:r>
                    <w:rPr>
                      <w:rFonts w:hint="eastAsia"/>
                      <w:color w:val="auto"/>
                      <w:szCs w:val="21"/>
                    </w:rPr>
                    <w:t>0.0060</w:t>
                  </w:r>
                </w:p>
              </w:tc>
              <w:tc>
                <w:tcPr>
                  <w:tcW w:w="836" w:type="dxa"/>
                  <w:vAlign w:val="center"/>
                </w:tcPr>
                <w:p>
                  <w:pPr>
                    <w:pStyle w:val="30"/>
                    <w:spacing w:line="360" w:lineRule="exact"/>
                    <w:rPr>
                      <w:color w:val="auto"/>
                      <w:szCs w:val="21"/>
                    </w:rPr>
                  </w:pPr>
                  <w:r>
                    <w:rPr>
                      <w:color w:val="auto"/>
                      <w:szCs w:val="2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Merge w:val="continue"/>
                  <w:vAlign w:val="center"/>
                </w:tcPr>
                <w:p>
                  <w:pPr>
                    <w:pStyle w:val="30"/>
                    <w:spacing w:line="360" w:lineRule="exact"/>
                    <w:rPr>
                      <w:color w:val="auto"/>
                      <w:szCs w:val="21"/>
                    </w:rPr>
                  </w:pPr>
                </w:p>
              </w:tc>
              <w:tc>
                <w:tcPr>
                  <w:tcW w:w="1612" w:type="dxa"/>
                  <w:vAlign w:val="center"/>
                </w:tcPr>
                <w:p>
                  <w:pPr>
                    <w:pStyle w:val="30"/>
                    <w:spacing w:line="360" w:lineRule="exact"/>
                    <w:rPr>
                      <w:color w:val="auto"/>
                      <w:szCs w:val="21"/>
                    </w:rPr>
                  </w:pPr>
                  <w:r>
                    <w:rPr>
                      <w:color w:val="auto"/>
                      <w:szCs w:val="21"/>
                    </w:rPr>
                    <w:t>非甲烷总烃</w:t>
                  </w:r>
                </w:p>
              </w:tc>
              <w:tc>
                <w:tcPr>
                  <w:tcW w:w="1276" w:type="dxa"/>
                  <w:vAlign w:val="center"/>
                </w:tcPr>
                <w:p>
                  <w:pPr>
                    <w:pStyle w:val="30"/>
                    <w:spacing w:line="360" w:lineRule="exact"/>
                    <w:rPr>
                      <w:color w:val="auto"/>
                      <w:szCs w:val="21"/>
                    </w:rPr>
                  </w:pPr>
                  <w:r>
                    <w:rPr>
                      <w:color w:val="auto"/>
                      <w:szCs w:val="21"/>
                    </w:rPr>
                    <w:t>0.</w:t>
                  </w:r>
                  <w:r>
                    <w:rPr>
                      <w:rFonts w:hint="eastAsia"/>
                      <w:color w:val="auto"/>
                      <w:szCs w:val="21"/>
                    </w:rPr>
                    <w:t>000</w:t>
                  </w:r>
                  <w:r>
                    <w:rPr>
                      <w:color w:val="auto"/>
                      <w:szCs w:val="21"/>
                    </w:rPr>
                    <w:t>66</w:t>
                  </w:r>
                </w:p>
              </w:tc>
              <w:tc>
                <w:tcPr>
                  <w:tcW w:w="1177" w:type="dxa"/>
                  <w:tcBorders>
                    <w:right w:val="single" w:color="auto" w:sz="4" w:space="0"/>
                  </w:tcBorders>
                  <w:vAlign w:val="center"/>
                </w:tcPr>
                <w:p>
                  <w:pPr>
                    <w:pStyle w:val="30"/>
                    <w:spacing w:line="360" w:lineRule="exact"/>
                    <w:rPr>
                      <w:color w:val="auto"/>
                      <w:szCs w:val="21"/>
                    </w:rPr>
                  </w:pPr>
                  <w:r>
                    <w:rPr>
                      <w:color w:val="auto"/>
                      <w:szCs w:val="21"/>
                    </w:rPr>
                    <w:t>0.03</w:t>
                  </w:r>
                </w:p>
              </w:tc>
              <w:tc>
                <w:tcPr>
                  <w:tcW w:w="1050" w:type="dxa"/>
                  <w:tcBorders>
                    <w:left w:val="single" w:color="auto" w:sz="4" w:space="0"/>
                  </w:tcBorders>
                  <w:vAlign w:val="center"/>
                </w:tcPr>
                <w:p>
                  <w:pPr>
                    <w:pStyle w:val="30"/>
                    <w:spacing w:line="360" w:lineRule="exact"/>
                    <w:rPr>
                      <w:color w:val="auto"/>
                      <w:szCs w:val="21"/>
                    </w:rPr>
                  </w:pPr>
                  <w:r>
                    <w:rPr>
                      <w:rFonts w:hint="eastAsia"/>
                      <w:color w:val="auto"/>
                      <w:szCs w:val="21"/>
                    </w:rPr>
                    <w:t>--</w:t>
                  </w:r>
                </w:p>
              </w:tc>
              <w:tc>
                <w:tcPr>
                  <w:tcW w:w="2075" w:type="dxa"/>
                  <w:gridSpan w:val="2"/>
                  <w:vAlign w:val="center"/>
                </w:tcPr>
                <w:p>
                  <w:pPr>
                    <w:pStyle w:val="30"/>
                    <w:spacing w:line="360" w:lineRule="exact"/>
                    <w:rPr>
                      <w:color w:val="auto"/>
                      <w:szCs w:val="21"/>
                    </w:rPr>
                  </w:pPr>
                  <w:r>
                    <w:rPr>
                      <w:color w:val="auto"/>
                      <w:szCs w:val="21"/>
                    </w:rPr>
                    <w:t>4.0</w:t>
                  </w:r>
                </w:p>
              </w:tc>
              <w:tc>
                <w:tcPr>
                  <w:tcW w:w="836" w:type="dxa"/>
                  <w:vAlign w:val="center"/>
                </w:tcPr>
                <w:p>
                  <w:pPr>
                    <w:pStyle w:val="30"/>
                    <w:spacing w:line="360" w:lineRule="exact"/>
                    <w:rPr>
                      <w:color w:val="auto"/>
                      <w:szCs w:val="21"/>
                    </w:rPr>
                  </w:pPr>
                  <w:r>
                    <w:rPr>
                      <w:color w:val="auto"/>
                      <w:szCs w:val="2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18" w:type="dxa"/>
                  <w:vAlign w:val="center"/>
                </w:tcPr>
                <w:p>
                  <w:pPr>
                    <w:pStyle w:val="30"/>
                    <w:spacing w:line="360" w:lineRule="exact"/>
                    <w:rPr>
                      <w:color w:val="auto"/>
                      <w:szCs w:val="21"/>
                    </w:rPr>
                  </w:pPr>
                  <w:r>
                    <w:rPr>
                      <w:color w:val="auto"/>
                      <w:szCs w:val="21"/>
                    </w:rPr>
                    <w:t>厨房</w:t>
                  </w:r>
                </w:p>
              </w:tc>
              <w:tc>
                <w:tcPr>
                  <w:tcW w:w="1612" w:type="dxa"/>
                  <w:vAlign w:val="center"/>
                </w:tcPr>
                <w:p>
                  <w:pPr>
                    <w:pStyle w:val="30"/>
                    <w:spacing w:line="360" w:lineRule="exact"/>
                    <w:rPr>
                      <w:color w:val="auto"/>
                      <w:szCs w:val="21"/>
                    </w:rPr>
                  </w:pPr>
                  <w:r>
                    <w:rPr>
                      <w:color w:val="auto"/>
                      <w:szCs w:val="21"/>
                    </w:rPr>
                    <w:t>厨房油烟</w:t>
                  </w:r>
                </w:p>
              </w:tc>
              <w:tc>
                <w:tcPr>
                  <w:tcW w:w="1276" w:type="dxa"/>
                  <w:vAlign w:val="center"/>
                </w:tcPr>
                <w:p>
                  <w:pPr>
                    <w:pStyle w:val="30"/>
                    <w:spacing w:line="360" w:lineRule="exact"/>
                    <w:rPr>
                      <w:color w:val="auto"/>
                      <w:szCs w:val="21"/>
                    </w:rPr>
                  </w:pPr>
                  <w:r>
                    <w:rPr>
                      <w:color w:val="auto"/>
                      <w:szCs w:val="21"/>
                    </w:rPr>
                    <w:t>0.8</w:t>
                  </w:r>
                </w:p>
              </w:tc>
              <w:tc>
                <w:tcPr>
                  <w:tcW w:w="1177" w:type="dxa"/>
                  <w:tcBorders>
                    <w:right w:val="single" w:color="auto" w:sz="4" w:space="0"/>
                  </w:tcBorders>
                  <w:vAlign w:val="center"/>
                </w:tcPr>
                <w:p>
                  <w:pPr>
                    <w:pStyle w:val="30"/>
                    <w:spacing w:line="360" w:lineRule="exact"/>
                    <w:rPr>
                      <w:color w:val="auto"/>
                      <w:szCs w:val="21"/>
                    </w:rPr>
                  </w:pPr>
                  <w:r>
                    <w:rPr>
                      <w:color w:val="auto"/>
                      <w:szCs w:val="21"/>
                    </w:rPr>
                    <w:t>4.8g/d</w:t>
                  </w:r>
                </w:p>
              </w:tc>
              <w:tc>
                <w:tcPr>
                  <w:tcW w:w="1050" w:type="dxa"/>
                  <w:tcBorders>
                    <w:left w:val="single" w:color="auto" w:sz="4" w:space="0"/>
                  </w:tcBorders>
                  <w:vAlign w:val="center"/>
                </w:tcPr>
                <w:p>
                  <w:pPr>
                    <w:pStyle w:val="30"/>
                    <w:spacing w:line="360" w:lineRule="exact"/>
                    <w:rPr>
                      <w:color w:val="auto"/>
                      <w:szCs w:val="21"/>
                    </w:rPr>
                  </w:pPr>
                  <w:r>
                    <w:rPr>
                      <w:color w:val="auto"/>
                      <w:szCs w:val="21"/>
                    </w:rPr>
                    <w:t>--</w:t>
                  </w:r>
                </w:p>
              </w:tc>
              <w:tc>
                <w:tcPr>
                  <w:tcW w:w="2075" w:type="dxa"/>
                  <w:gridSpan w:val="2"/>
                  <w:vAlign w:val="center"/>
                </w:tcPr>
                <w:p>
                  <w:pPr>
                    <w:pStyle w:val="30"/>
                    <w:spacing w:line="360" w:lineRule="exact"/>
                    <w:rPr>
                      <w:color w:val="auto"/>
                      <w:szCs w:val="21"/>
                    </w:rPr>
                  </w:pPr>
                  <w:r>
                    <w:rPr>
                      <w:rFonts w:hint="eastAsia"/>
                      <w:color w:val="auto"/>
                      <w:szCs w:val="21"/>
                    </w:rPr>
                    <w:t>2.0</w:t>
                  </w:r>
                </w:p>
              </w:tc>
              <w:tc>
                <w:tcPr>
                  <w:tcW w:w="836" w:type="dxa"/>
                  <w:vAlign w:val="center"/>
                </w:tcPr>
                <w:p>
                  <w:pPr>
                    <w:pStyle w:val="30"/>
                    <w:spacing w:line="360" w:lineRule="exact"/>
                    <w:rPr>
                      <w:color w:val="auto"/>
                      <w:szCs w:val="21"/>
                    </w:rPr>
                  </w:pPr>
                  <w:r>
                    <w:rPr>
                      <w:color w:val="auto"/>
                      <w:szCs w:val="21"/>
                    </w:rPr>
                    <w:t>达标</w:t>
                  </w:r>
                </w:p>
              </w:tc>
            </w:tr>
          </w:tbl>
          <w:p>
            <w:pPr>
              <w:pStyle w:val="38"/>
              <w:spacing w:beforeLines="50"/>
              <w:ind w:firstLine="480"/>
              <w:rPr>
                <w:color w:val="auto"/>
                <w:szCs w:val="24"/>
              </w:rPr>
            </w:pPr>
            <w:r>
              <w:rPr>
                <w:color w:val="auto"/>
                <w:szCs w:val="24"/>
              </w:rPr>
              <w:t>由上表可知，项目达标性结论如下：</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 1 \* GB2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⑴</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项目</w:t>
            </w:r>
            <w:r>
              <w:rPr>
                <w:rFonts w:hint="eastAsia" w:ascii="Times New Roman" w:hAnsi="Times New Roman" w:cs="Times New Roman"/>
                <w:color w:val="auto"/>
                <w:sz w:val="24"/>
                <w:szCs w:val="24"/>
              </w:rPr>
              <w:t>有组织排放污染</w:t>
            </w:r>
            <w:r>
              <w:rPr>
                <w:rFonts w:ascii="Times New Roman" w:hAnsi="Times New Roman" w:cs="Times New Roman"/>
                <w:color w:val="auto"/>
                <w:sz w:val="24"/>
                <w:szCs w:val="24"/>
              </w:rPr>
              <w:t>物均可达到《大气污染物综合排放标准》（GB16297-1996）表2中的二级排放标准。</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 2 \* GB2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⑵</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各生产线未收集到的废气无组织排放，《环境影响评价技术导则-大气环境》（HJ2.2-2018）附录A推荐模型中的AERSCREEN模式进行预测，项目无组织排放的颗粒物、铅及其化合物和非甲烷总烃均可达到《大气污染物综合排放标准》（GB16297-1996）无组织排放监控浓度限值要求。</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 3 \* GB2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⑶</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项目区厨房安装一个最低去除率60%的油烟净化器，经油烟净化器处理后的厨房油烟可达到《昆明市地方标准 餐饮业油烟污染物排放要求》（DB5301/T50-2021），通过高于房顶1.5m的烟道外排。</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（3）废气污染治理设施可行性分析</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本项目属于物理拆解项目，本项目针对粉尘和铅及其化合物设置的集气罩+脉冲除尘；针对非甲烷总烃设置的UV光氧裂解+活性炭吸附，针对汞及其化合物设置的UV光氧裂解+载硫活性炭吸附等废气处理措施为《排污许可证申请与核发技术规范 废弃资源加工工业》（HJ1034-2019）明确的可行技术；且实际运行效果较好，属于可行技术，措施可行。</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（4）自行监测要求</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根据《排污单位自行监测技术指南 总则》（HJ819-2017）和《排污许可证申请与核发技术规范 废弃资源加工工业》（HJ1034-2019）的要求，项目废气自行监测要求如下表所示。</w:t>
            </w:r>
          </w:p>
          <w:p>
            <w:pPr>
              <w:jc w:val="center"/>
              <w:rPr>
                <w:rFonts w:ascii="Times New Roman" w:hAnsi="Times New Roman" w:cs="Times New Roman"/>
                <w:b/>
                <w:color w:val="auto"/>
                <w:szCs w:val="24"/>
              </w:rPr>
            </w:pPr>
            <w:r>
              <w:rPr>
                <w:rFonts w:ascii="Times New Roman" w:hAnsi="Times New Roman" w:cs="Times New Roman"/>
                <w:b/>
                <w:color w:val="auto"/>
                <w:szCs w:val="24"/>
              </w:rPr>
              <w:t>表4.2.1-6  项目运营期废气自行监测计划一览表</w:t>
            </w:r>
          </w:p>
          <w:tbl>
            <w:tblPr>
              <w:tblStyle w:val="19"/>
              <w:tblW w:w="90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1417"/>
              <w:gridCol w:w="2835"/>
              <w:gridCol w:w="1843"/>
              <w:gridCol w:w="2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2" w:type="dxa"/>
                  <w:vAlign w:val="center"/>
                </w:tcPr>
                <w:p>
                  <w:pPr>
                    <w:pStyle w:val="30"/>
                    <w:spacing w:line="360" w:lineRule="exact"/>
                    <w:rPr>
                      <w:rFonts w:eastAsiaTheme="minorEastAsia"/>
                      <w:color w:val="auto"/>
                      <w:szCs w:val="21"/>
                    </w:rPr>
                  </w:pPr>
                  <w:r>
                    <w:rPr>
                      <w:rFonts w:eastAsiaTheme="minorEastAsia"/>
                      <w:color w:val="auto"/>
                      <w:szCs w:val="21"/>
                    </w:rPr>
                    <w:t>对象</w:t>
                  </w:r>
                </w:p>
              </w:tc>
              <w:tc>
                <w:tcPr>
                  <w:tcW w:w="1417" w:type="dxa"/>
                  <w:vAlign w:val="center"/>
                </w:tcPr>
                <w:p>
                  <w:pPr>
                    <w:pStyle w:val="30"/>
                    <w:spacing w:line="360" w:lineRule="exact"/>
                    <w:rPr>
                      <w:rFonts w:eastAsiaTheme="minorEastAsia"/>
                      <w:color w:val="auto"/>
                      <w:szCs w:val="21"/>
                    </w:rPr>
                  </w:pPr>
                  <w:r>
                    <w:rPr>
                      <w:rFonts w:eastAsiaTheme="minorEastAsia"/>
                      <w:color w:val="auto"/>
                      <w:szCs w:val="21"/>
                    </w:rPr>
                    <w:t>监测点位</w:t>
                  </w:r>
                </w:p>
              </w:tc>
              <w:tc>
                <w:tcPr>
                  <w:tcW w:w="2835" w:type="dxa"/>
                  <w:vAlign w:val="center"/>
                </w:tcPr>
                <w:p>
                  <w:pPr>
                    <w:pStyle w:val="30"/>
                    <w:spacing w:line="360" w:lineRule="exact"/>
                    <w:rPr>
                      <w:rFonts w:eastAsiaTheme="minorEastAsia"/>
                      <w:color w:val="auto"/>
                      <w:szCs w:val="21"/>
                    </w:rPr>
                  </w:pPr>
                  <w:r>
                    <w:rPr>
                      <w:rFonts w:eastAsiaTheme="minorEastAsia"/>
                      <w:color w:val="auto"/>
                      <w:szCs w:val="21"/>
                    </w:rPr>
                    <w:t>监测因子</w:t>
                  </w:r>
                </w:p>
              </w:tc>
              <w:tc>
                <w:tcPr>
                  <w:tcW w:w="1843" w:type="dxa"/>
                  <w:vAlign w:val="center"/>
                </w:tcPr>
                <w:p>
                  <w:pPr>
                    <w:pStyle w:val="30"/>
                    <w:spacing w:line="360" w:lineRule="exact"/>
                    <w:rPr>
                      <w:rFonts w:eastAsiaTheme="minorEastAsia"/>
                      <w:color w:val="auto"/>
                      <w:szCs w:val="21"/>
                    </w:rPr>
                  </w:pPr>
                  <w:r>
                    <w:rPr>
                      <w:rFonts w:eastAsiaTheme="minorEastAsia"/>
                      <w:color w:val="auto"/>
                      <w:szCs w:val="21"/>
                    </w:rPr>
                    <w:t>最低监测频率</w:t>
                  </w:r>
                </w:p>
              </w:tc>
              <w:tc>
                <w:tcPr>
                  <w:tcW w:w="2157" w:type="dxa"/>
                  <w:vAlign w:val="center"/>
                </w:tcPr>
                <w:p>
                  <w:pPr>
                    <w:pStyle w:val="30"/>
                    <w:spacing w:line="360" w:lineRule="exact"/>
                    <w:rPr>
                      <w:rFonts w:eastAsiaTheme="minorEastAsia"/>
                      <w:color w:val="auto"/>
                      <w:szCs w:val="21"/>
                    </w:rPr>
                  </w:pPr>
                  <w:r>
                    <w:rPr>
                      <w:rFonts w:eastAsiaTheme="minorEastAsia"/>
                      <w:color w:val="auto"/>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2" w:type="dxa"/>
                  <w:vMerge w:val="restart"/>
                  <w:vAlign w:val="center"/>
                </w:tcPr>
                <w:p>
                  <w:pPr>
                    <w:pStyle w:val="30"/>
                    <w:spacing w:line="360" w:lineRule="exact"/>
                    <w:rPr>
                      <w:rFonts w:eastAsiaTheme="minorEastAsia"/>
                      <w:color w:val="auto"/>
                      <w:szCs w:val="21"/>
                    </w:rPr>
                  </w:pPr>
                  <w:r>
                    <w:rPr>
                      <w:rFonts w:eastAsiaTheme="minorEastAsia"/>
                      <w:color w:val="auto"/>
                      <w:szCs w:val="21"/>
                    </w:rPr>
                    <w:t>废气</w:t>
                  </w:r>
                </w:p>
              </w:tc>
              <w:tc>
                <w:tcPr>
                  <w:tcW w:w="1417" w:type="dxa"/>
                  <w:vAlign w:val="center"/>
                </w:tcPr>
                <w:p>
                  <w:pPr>
                    <w:pStyle w:val="30"/>
                    <w:spacing w:line="360" w:lineRule="exact"/>
                    <w:rPr>
                      <w:rFonts w:eastAsiaTheme="minorEastAsia"/>
                      <w:color w:val="auto"/>
                      <w:szCs w:val="21"/>
                    </w:rPr>
                  </w:pPr>
                  <w:r>
                    <w:rPr>
                      <w:color w:val="auto"/>
                      <w:szCs w:val="21"/>
                    </w:rPr>
                    <w:t>DA00</w:t>
                  </w:r>
                  <w:r>
                    <w:rPr>
                      <w:rFonts w:hint="eastAsia"/>
                      <w:color w:val="auto"/>
                      <w:szCs w:val="21"/>
                    </w:rPr>
                    <w:t>1</w:t>
                  </w:r>
                </w:p>
              </w:tc>
              <w:tc>
                <w:tcPr>
                  <w:tcW w:w="2835" w:type="dxa"/>
                  <w:vAlign w:val="center"/>
                </w:tcPr>
                <w:p>
                  <w:pPr>
                    <w:pStyle w:val="30"/>
                    <w:spacing w:line="360" w:lineRule="exact"/>
                    <w:ind w:firstLine="210" w:firstLineChars="100"/>
                    <w:jc w:val="left"/>
                    <w:rPr>
                      <w:color w:val="auto"/>
                      <w:szCs w:val="21"/>
                    </w:rPr>
                  </w:pPr>
                  <w:r>
                    <w:rPr>
                      <w:color w:val="auto"/>
                      <w:szCs w:val="21"/>
                    </w:rPr>
                    <w:t>颗粒物、非甲烷总烃</w:t>
                  </w:r>
                </w:p>
              </w:tc>
              <w:tc>
                <w:tcPr>
                  <w:tcW w:w="1843" w:type="dxa"/>
                  <w:vAlign w:val="center"/>
                </w:tcPr>
                <w:p>
                  <w:pPr>
                    <w:pStyle w:val="30"/>
                    <w:spacing w:line="360" w:lineRule="exact"/>
                    <w:rPr>
                      <w:color w:val="auto"/>
                      <w:szCs w:val="21"/>
                    </w:rPr>
                  </w:pPr>
                  <w:r>
                    <w:rPr>
                      <w:color w:val="auto"/>
                      <w:szCs w:val="21"/>
                    </w:rPr>
                    <w:t>1次/年</w:t>
                  </w:r>
                </w:p>
              </w:tc>
              <w:tc>
                <w:tcPr>
                  <w:tcW w:w="2157" w:type="dxa"/>
                  <w:vMerge w:val="restart"/>
                  <w:vAlign w:val="center"/>
                </w:tcPr>
                <w:p>
                  <w:pPr>
                    <w:pStyle w:val="30"/>
                    <w:spacing w:line="360" w:lineRule="exact"/>
                    <w:rPr>
                      <w:rFonts w:eastAsiaTheme="minorEastAsia"/>
                      <w:color w:val="auto"/>
                      <w:szCs w:val="21"/>
                    </w:rPr>
                  </w:pPr>
                  <w:r>
                    <w:rPr>
                      <w:color w:val="auto"/>
                      <w:szCs w:val="24"/>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2" w:type="dxa"/>
                  <w:vMerge w:val="continue"/>
                  <w:vAlign w:val="center"/>
                </w:tcPr>
                <w:p>
                  <w:pPr>
                    <w:pStyle w:val="30"/>
                    <w:spacing w:line="360" w:lineRule="exact"/>
                    <w:rPr>
                      <w:rFonts w:eastAsiaTheme="minorEastAsia"/>
                      <w:color w:val="auto"/>
                      <w:szCs w:val="21"/>
                    </w:rPr>
                  </w:pPr>
                </w:p>
              </w:tc>
              <w:tc>
                <w:tcPr>
                  <w:tcW w:w="1417" w:type="dxa"/>
                  <w:vAlign w:val="center"/>
                </w:tcPr>
                <w:p>
                  <w:pPr>
                    <w:pStyle w:val="30"/>
                    <w:spacing w:line="360" w:lineRule="exact"/>
                    <w:rPr>
                      <w:rFonts w:eastAsiaTheme="minorEastAsia"/>
                      <w:color w:val="auto"/>
                      <w:szCs w:val="21"/>
                    </w:rPr>
                  </w:pPr>
                  <w:r>
                    <w:rPr>
                      <w:color w:val="auto"/>
                      <w:szCs w:val="21"/>
                    </w:rPr>
                    <w:t>DA00</w:t>
                  </w:r>
                  <w:r>
                    <w:rPr>
                      <w:rFonts w:hint="eastAsia"/>
                      <w:color w:val="auto"/>
                      <w:szCs w:val="21"/>
                    </w:rPr>
                    <w:t>2</w:t>
                  </w:r>
                </w:p>
              </w:tc>
              <w:tc>
                <w:tcPr>
                  <w:tcW w:w="2835" w:type="dxa"/>
                  <w:vAlign w:val="center"/>
                </w:tcPr>
                <w:p>
                  <w:pPr>
                    <w:pStyle w:val="30"/>
                    <w:spacing w:line="360" w:lineRule="exact"/>
                    <w:rPr>
                      <w:rFonts w:eastAsiaTheme="minorEastAsia"/>
                      <w:color w:val="auto"/>
                      <w:szCs w:val="21"/>
                    </w:rPr>
                  </w:pPr>
                  <w:r>
                    <w:rPr>
                      <w:color w:val="auto"/>
                      <w:szCs w:val="21"/>
                    </w:rPr>
                    <w:t>颗粒物</w:t>
                  </w:r>
                </w:p>
              </w:tc>
              <w:tc>
                <w:tcPr>
                  <w:tcW w:w="1843" w:type="dxa"/>
                  <w:vAlign w:val="center"/>
                </w:tcPr>
                <w:p>
                  <w:pPr>
                    <w:pStyle w:val="30"/>
                    <w:spacing w:line="360" w:lineRule="exact"/>
                    <w:rPr>
                      <w:rFonts w:eastAsiaTheme="minorEastAsia"/>
                      <w:color w:val="auto"/>
                      <w:szCs w:val="21"/>
                    </w:rPr>
                  </w:pPr>
                  <w:r>
                    <w:rPr>
                      <w:color w:val="auto"/>
                      <w:szCs w:val="21"/>
                    </w:rPr>
                    <w:t>1次/年</w:t>
                  </w:r>
                </w:p>
              </w:tc>
              <w:tc>
                <w:tcPr>
                  <w:tcW w:w="2157" w:type="dxa"/>
                  <w:vMerge w:val="continue"/>
                  <w:vAlign w:val="center"/>
                </w:tcPr>
                <w:p>
                  <w:pPr>
                    <w:pStyle w:val="30"/>
                    <w:spacing w:line="360" w:lineRule="exact"/>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2" w:type="dxa"/>
                  <w:vMerge w:val="continue"/>
                  <w:vAlign w:val="center"/>
                </w:tcPr>
                <w:p>
                  <w:pPr>
                    <w:pStyle w:val="30"/>
                    <w:spacing w:line="360" w:lineRule="exact"/>
                    <w:rPr>
                      <w:rFonts w:eastAsiaTheme="minorEastAsia"/>
                      <w:color w:val="auto"/>
                      <w:szCs w:val="21"/>
                    </w:rPr>
                  </w:pPr>
                </w:p>
              </w:tc>
              <w:tc>
                <w:tcPr>
                  <w:tcW w:w="1417" w:type="dxa"/>
                  <w:vAlign w:val="center"/>
                </w:tcPr>
                <w:p>
                  <w:pPr>
                    <w:pStyle w:val="30"/>
                    <w:spacing w:line="360" w:lineRule="exact"/>
                    <w:rPr>
                      <w:color w:val="auto"/>
                      <w:szCs w:val="21"/>
                    </w:rPr>
                  </w:pPr>
                  <w:r>
                    <w:rPr>
                      <w:color w:val="auto"/>
                      <w:szCs w:val="21"/>
                    </w:rPr>
                    <w:t>DA00</w:t>
                  </w:r>
                  <w:r>
                    <w:rPr>
                      <w:rFonts w:hint="eastAsia"/>
                      <w:color w:val="auto"/>
                      <w:szCs w:val="21"/>
                    </w:rPr>
                    <w:t>3</w:t>
                  </w:r>
                </w:p>
              </w:tc>
              <w:tc>
                <w:tcPr>
                  <w:tcW w:w="2835" w:type="dxa"/>
                  <w:vAlign w:val="center"/>
                </w:tcPr>
                <w:p>
                  <w:pPr>
                    <w:pStyle w:val="30"/>
                    <w:spacing w:line="360" w:lineRule="exact"/>
                    <w:rPr>
                      <w:color w:val="auto"/>
                      <w:szCs w:val="21"/>
                    </w:rPr>
                  </w:pPr>
                  <w:r>
                    <w:rPr>
                      <w:color w:val="auto"/>
                      <w:szCs w:val="21"/>
                    </w:rPr>
                    <w:t>颗粒物</w:t>
                  </w:r>
                </w:p>
              </w:tc>
              <w:tc>
                <w:tcPr>
                  <w:tcW w:w="1843" w:type="dxa"/>
                  <w:vAlign w:val="center"/>
                </w:tcPr>
                <w:p>
                  <w:pPr>
                    <w:pStyle w:val="30"/>
                    <w:spacing w:line="360" w:lineRule="exact"/>
                    <w:rPr>
                      <w:color w:val="auto"/>
                      <w:szCs w:val="21"/>
                    </w:rPr>
                  </w:pPr>
                  <w:r>
                    <w:rPr>
                      <w:color w:val="auto"/>
                      <w:szCs w:val="21"/>
                    </w:rPr>
                    <w:t>1次/年</w:t>
                  </w:r>
                </w:p>
              </w:tc>
              <w:tc>
                <w:tcPr>
                  <w:tcW w:w="2157" w:type="dxa"/>
                  <w:vMerge w:val="continue"/>
                  <w:vAlign w:val="center"/>
                </w:tcPr>
                <w:p>
                  <w:pPr>
                    <w:pStyle w:val="30"/>
                    <w:spacing w:line="360" w:lineRule="exact"/>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2" w:type="dxa"/>
                  <w:vMerge w:val="continue"/>
                  <w:vAlign w:val="center"/>
                </w:tcPr>
                <w:p>
                  <w:pPr>
                    <w:pStyle w:val="30"/>
                    <w:spacing w:line="360" w:lineRule="exact"/>
                    <w:rPr>
                      <w:rFonts w:eastAsiaTheme="minorEastAsia"/>
                      <w:color w:val="auto"/>
                      <w:szCs w:val="21"/>
                    </w:rPr>
                  </w:pPr>
                </w:p>
              </w:tc>
              <w:tc>
                <w:tcPr>
                  <w:tcW w:w="1417" w:type="dxa"/>
                  <w:vAlign w:val="center"/>
                </w:tcPr>
                <w:p>
                  <w:pPr>
                    <w:pStyle w:val="30"/>
                    <w:spacing w:line="360" w:lineRule="exact"/>
                    <w:rPr>
                      <w:color w:val="auto"/>
                      <w:szCs w:val="21"/>
                    </w:rPr>
                  </w:pPr>
                  <w:r>
                    <w:rPr>
                      <w:color w:val="auto"/>
                      <w:szCs w:val="21"/>
                    </w:rPr>
                    <w:t>DA00</w:t>
                  </w:r>
                  <w:r>
                    <w:rPr>
                      <w:rFonts w:hint="eastAsia"/>
                      <w:color w:val="auto"/>
                      <w:szCs w:val="21"/>
                    </w:rPr>
                    <w:t>4</w:t>
                  </w:r>
                </w:p>
              </w:tc>
              <w:tc>
                <w:tcPr>
                  <w:tcW w:w="2835" w:type="dxa"/>
                  <w:vAlign w:val="center"/>
                </w:tcPr>
                <w:p>
                  <w:pPr>
                    <w:pStyle w:val="30"/>
                    <w:spacing w:line="360" w:lineRule="exact"/>
                    <w:rPr>
                      <w:color w:val="auto"/>
                      <w:szCs w:val="21"/>
                    </w:rPr>
                  </w:pPr>
                  <w:r>
                    <w:rPr>
                      <w:color w:val="auto"/>
                      <w:szCs w:val="21"/>
                    </w:rPr>
                    <w:t>颗粒物、汞及其化合物</w:t>
                  </w:r>
                </w:p>
              </w:tc>
              <w:tc>
                <w:tcPr>
                  <w:tcW w:w="1843" w:type="dxa"/>
                  <w:vAlign w:val="center"/>
                </w:tcPr>
                <w:p>
                  <w:pPr>
                    <w:pStyle w:val="30"/>
                    <w:spacing w:line="360" w:lineRule="exact"/>
                    <w:rPr>
                      <w:color w:val="auto"/>
                      <w:szCs w:val="21"/>
                    </w:rPr>
                  </w:pPr>
                  <w:r>
                    <w:rPr>
                      <w:color w:val="auto"/>
                      <w:szCs w:val="21"/>
                    </w:rPr>
                    <w:t>1次/半年</w:t>
                  </w:r>
                </w:p>
              </w:tc>
              <w:tc>
                <w:tcPr>
                  <w:tcW w:w="2157" w:type="dxa"/>
                  <w:vMerge w:val="continue"/>
                  <w:vAlign w:val="center"/>
                </w:tcPr>
                <w:p>
                  <w:pPr>
                    <w:pStyle w:val="30"/>
                    <w:spacing w:line="360" w:lineRule="exact"/>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2" w:type="dxa"/>
                  <w:vMerge w:val="continue"/>
                  <w:vAlign w:val="center"/>
                </w:tcPr>
                <w:p>
                  <w:pPr>
                    <w:pStyle w:val="30"/>
                    <w:spacing w:line="360" w:lineRule="exact"/>
                    <w:rPr>
                      <w:rFonts w:eastAsiaTheme="minorEastAsia"/>
                      <w:color w:val="auto"/>
                      <w:szCs w:val="21"/>
                    </w:rPr>
                  </w:pPr>
                </w:p>
              </w:tc>
              <w:tc>
                <w:tcPr>
                  <w:tcW w:w="1417" w:type="dxa"/>
                  <w:vAlign w:val="center"/>
                </w:tcPr>
                <w:p>
                  <w:pPr>
                    <w:pStyle w:val="30"/>
                    <w:spacing w:line="360" w:lineRule="exact"/>
                    <w:rPr>
                      <w:color w:val="auto"/>
                      <w:szCs w:val="21"/>
                    </w:rPr>
                  </w:pPr>
                  <w:r>
                    <w:rPr>
                      <w:color w:val="auto"/>
                      <w:szCs w:val="21"/>
                    </w:rPr>
                    <w:t>DA00</w:t>
                  </w:r>
                  <w:r>
                    <w:rPr>
                      <w:rFonts w:hint="eastAsia"/>
                      <w:color w:val="auto"/>
                      <w:szCs w:val="21"/>
                    </w:rPr>
                    <w:t>5</w:t>
                  </w:r>
                </w:p>
              </w:tc>
              <w:tc>
                <w:tcPr>
                  <w:tcW w:w="2835" w:type="dxa"/>
                  <w:vAlign w:val="center"/>
                </w:tcPr>
                <w:p>
                  <w:pPr>
                    <w:pStyle w:val="30"/>
                    <w:spacing w:line="360" w:lineRule="exact"/>
                    <w:rPr>
                      <w:color w:val="auto"/>
                      <w:szCs w:val="21"/>
                    </w:rPr>
                  </w:pPr>
                  <w:r>
                    <w:rPr>
                      <w:color w:val="auto"/>
                      <w:szCs w:val="21"/>
                    </w:rPr>
                    <w:t>颗粒物</w:t>
                  </w:r>
                </w:p>
              </w:tc>
              <w:tc>
                <w:tcPr>
                  <w:tcW w:w="1843" w:type="dxa"/>
                  <w:vAlign w:val="center"/>
                </w:tcPr>
                <w:p>
                  <w:pPr>
                    <w:pStyle w:val="30"/>
                    <w:spacing w:line="360" w:lineRule="exact"/>
                    <w:rPr>
                      <w:color w:val="auto"/>
                      <w:szCs w:val="21"/>
                    </w:rPr>
                  </w:pPr>
                  <w:r>
                    <w:rPr>
                      <w:color w:val="auto"/>
                      <w:szCs w:val="21"/>
                    </w:rPr>
                    <w:t>1次/年</w:t>
                  </w:r>
                </w:p>
              </w:tc>
              <w:tc>
                <w:tcPr>
                  <w:tcW w:w="2157" w:type="dxa"/>
                  <w:vMerge w:val="continue"/>
                  <w:vAlign w:val="center"/>
                </w:tcPr>
                <w:p>
                  <w:pPr>
                    <w:pStyle w:val="30"/>
                    <w:spacing w:line="360" w:lineRule="exact"/>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2" w:type="dxa"/>
                  <w:vMerge w:val="continue"/>
                  <w:vAlign w:val="center"/>
                </w:tcPr>
                <w:p>
                  <w:pPr>
                    <w:pStyle w:val="30"/>
                    <w:spacing w:line="360" w:lineRule="exact"/>
                    <w:rPr>
                      <w:rFonts w:eastAsiaTheme="minorEastAsia"/>
                      <w:color w:val="auto"/>
                      <w:szCs w:val="21"/>
                    </w:rPr>
                  </w:pPr>
                </w:p>
              </w:tc>
              <w:tc>
                <w:tcPr>
                  <w:tcW w:w="1417" w:type="dxa"/>
                  <w:vAlign w:val="center"/>
                </w:tcPr>
                <w:p>
                  <w:pPr>
                    <w:pStyle w:val="30"/>
                    <w:spacing w:line="360" w:lineRule="exact"/>
                    <w:rPr>
                      <w:color w:val="auto"/>
                      <w:szCs w:val="21"/>
                    </w:rPr>
                  </w:pPr>
                  <w:r>
                    <w:rPr>
                      <w:color w:val="auto"/>
                      <w:szCs w:val="21"/>
                    </w:rPr>
                    <w:t>DA00</w:t>
                  </w:r>
                  <w:r>
                    <w:rPr>
                      <w:rFonts w:hint="eastAsia"/>
                      <w:color w:val="auto"/>
                      <w:szCs w:val="21"/>
                    </w:rPr>
                    <w:t>6</w:t>
                  </w:r>
                </w:p>
              </w:tc>
              <w:tc>
                <w:tcPr>
                  <w:tcW w:w="2835" w:type="dxa"/>
                  <w:vAlign w:val="center"/>
                </w:tcPr>
                <w:p>
                  <w:pPr>
                    <w:pStyle w:val="30"/>
                    <w:spacing w:line="360" w:lineRule="exact"/>
                    <w:ind w:firstLine="210" w:firstLineChars="100"/>
                    <w:jc w:val="left"/>
                    <w:rPr>
                      <w:color w:val="auto"/>
                      <w:szCs w:val="21"/>
                    </w:rPr>
                  </w:pPr>
                  <w:r>
                    <w:rPr>
                      <w:color w:val="auto"/>
                      <w:szCs w:val="21"/>
                    </w:rPr>
                    <w:t>颗粒物、铅及其化合物</w:t>
                  </w:r>
                </w:p>
              </w:tc>
              <w:tc>
                <w:tcPr>
                  <w:tcW w:w="1843" w:type="dxa"/>
                  <w:vAlign w:val="center"/>
                </w:tcPr>
                <w:p>
                  <w:pPr>
                    <w:pStyle w:val="30"/>
                    <w:spacing w:line="360" w:lineRule="exact"/>
                    <w:rPr>
                      <w:color w:val="auto"/>
                      <w:szCs w:val="21"/>
                    </w:rPr>
                  </w:pPr>
                  <w:r>
                    <w:rPr>
                      <w:color w:val="auto"/>
                      <w:szCs w:val="21"/>
                    </w:rPr>
                    <w:t>1次/半年</w:t>
                  </w:r>
                </w:p>
              </w:tc>
              <w:tc>
                <w:tcPr>
                  <w:tcW w:w="2157" w:type="dxa"/>
                  <w:vMerge w:val="continue"/>
                  <w:vAlign w:val="center"/>
                </w:tcPr>
                <w:p>
                  <w:pPr>
                    <w:pStyle w:val="30"/>
                    <w:spacing w:line="360" w:lineRule="exact"/>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 w:hRule="atLeast"/>
                <w:jc w:val="center"/>
              </w:trPr>
              <w:tc>
                <w:tcPr>
                  <w:tcW w:w="792" w:type="dxa"/>
                  <w:vMerge w:val="continue"/>
                  <w:vAlign w:val="center"/>
                </w:tcPr>
                <w:p>
                  <w:pPr>
                    <w:pStyle w:val="30"/>
                    <w:spacing w:line="360" w:lineRule="exact"/>
                    <w:rPr>
                      <w:rFonts w:eastAsiaTheme="minorEastAsia"/>
                      <w:color w:val="auto"/>
                      <w:szCs w:val="21"/>
                    </w:rPr>
                  </w:pPr>
                </w:p>
              </w:tc>
              <w:tc>
                <w:tcPr>
                  <w:tcW w:w="1417" w:type="dxa"/>
                  <w:vAlign w:val="center"/>
                </w:tcPr>
                <w:p>
                  <w:pPr>
                    <w:pStyle w:val="30"/>
                    <w:spacing w:line="360" w:lineRule="exact"/>
                    <w:rPr>
                      <w:rFonts w:eastAsiaTheme="minorEastAsia"/>
                      <w:color w:val="auto"/>
                      <w:szCs w:val="21"/>
                    </w:rPr>
                  </w:pPr>
                  <w:r>
                    <w:rPr>
                      <w:rFonts w:eastAsiaTheme="minorEastAsia"/>
                      <w:color w:val="auto"/>
                      <w:szCs w:val="21"/>
                    </w:rPr>
                    <w:t>企业边界</w:t>
                  </w:r>
                </w:p>
              </w:tc>
              <w:tc>
                <w:tcPr>
                  <w:tcW w:w="2835" w:type="dxa"/>
                  <w:vAlign w:val="center"/>
                </w:tcPr>
                <w:p>
                  <w:pPr>
                    <w:pStyle w:val="30"/>
                    <w:spacing w:line="360" w:lineRule="exact"/>
                    <w:ind w:firstLine="210" w:firstLineChars="100"/>
                    <w:jc w:val="left"/>
                    <w:rPr>
                      <w:rFonts w:eastAsiaTheme="minorEastAsia"/>
                      <w:color w:val="auto"/>
                      <w:szCs w:val="21"/>
                    </w:rPr>
                  </w:pPr>
                  <w:r>
                    <w:rPr>
                      <w:color w:val="auto"/>
                      <w:szCs w:val="21"/>
                    </w:rPr>
                    <w:t>颗粒物、汞及其化合物、铅及其化合物、非甲烷总烃</w:t>
                  </w:r>
                </w:p>
              </w:tc>
              <w:tc>
                <w:tcPr>
                  <w:tcW w:w="1843" w:type="dxa"/>
                  <w:vAlign w:val="center"/>
                </w:tcPr>
                <w:p>
                  <w:pPr>
                    <w:pStyle w:val="30"/>
                    <w:spacing w:line="360" w:lineRule="exact"/>
                    <w:rPr>
                      <w:rFonts w:eastAsiaTheme="minorEastAsia"/>
                      <w:color w:val="auto"/>
                      <w:szCs w:val="21"/>
                    </w:rPr>
                  </w:pPr>
                  <w:r>
                    <w:rPr>
                      <w:rFonts w:eastAsiaTheme="minorEastAsia"/>
                      <w:color w:val="auto"/>
                      <w:szCs w:val="21"/>
                    </w:rPr>
                    <w:t>1次/年</w:t>
                  </w:r>
                </w:p>
              </w:tc>
              <w:tc>
                <w:tcPr>
                  <w:tcW w:w="2157" w:type="dxa"/>
                  <w:vMerge w:val="continue"/>
                  <w:vAlign w:val="center"/>
                </w:tcPr>
                <w:p>
                  <w:pPr>
                    <w:pStyle w:val="30"/>
                    <w:spacing w:line="360" w:lineRule="exact"/>
                    <w:ind w:firstLine="210" w:firstLineChars="100"/>
                    <w:jc w:val="both"/>
                    <w:rPr>
                      <w:rFonts w:eastAsiaTheme="minorEastAsia"/>
                      <w:color w:val="auto"/>
                      <w:szCs w:val="21"/>
                    </w:rPr>
                  </w:pPr>
                </w:p>
              </w:tc>
            </w:tr>
          </w:tbl>
          <w:p>
            <w:pPr>
              <w:spacing w:beforeLines="50"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（5）非正常情况污染物排放情况</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根据项目特点，本项目非正常排放情形主要为项目污染治理措施失效，所有污染物无组织排放，非正常情形下废气污染物排放源排放情况如下表所示。</w:t>
            </w:r>
          </w:p>
          <w:p>
            <w:pPr>
              <w:jc w:val="center"/>
              <w:rPr>
                <w:rFonts w:ascii="Times New Roman" w:hAnsi="Times New Roman" w:cs="Times New Roman"/>
                <w:b/>
                <w:color w:val="auto"/>
                <w:szCs w:val="24"/>
              </w:rPr>
            </w:pPr>
            <w:r>
              <w:rPr>
                <w:rFonts w:ascii="Times New Roman" w:hAnsi="Times New Roman" w:cs="Times New Roman"/>
                <w:b/>
                <w:color w:val="auto"/>
                <w:szCs w:val="24"/>
              </w:rPr>
              <w:t>表4.2.1-7  非正常情形下废气污染物排放源排放量及达标情况一览表</w:t>
            </w:r>
          </w:p>
          <w:tbl>
            <w:tblPr>
              <w:tblStyle w:val="19"/>
              <w:tblW w:w="9034" w:type="dxa"/>
              <w:tblInd w:w="0" w:type="dxa"/>
              <w:tblLayout w:type="fixed"/>
              <w:tblCellMar>
                <w:top w:w="0" w:type="dxa"/>
                <w:left w:w="108" w:type="dxa"/>
                <w:bottom w:w="0" w:type="dxa"/>
                <w:right w:w="108" w:type="dxa"/>
              </w:tblCellMar>
            </w:tblPr>
            <w:tblGrid>
              <w:gridCol w:w="2218"/>
              <w:gridCol w:w="1353"/>
              <w:gridCol w:w="1502"/>
              <w:gridCol w:w="1202"/>
              <w:gridCol w:w="890"/>
              <w:gridCol w:w="851"/>
              <w:gridCol w:w="1018"/>
            </w:tblGrid>
            <w:tr>
              <w:tblPrEx>
                <w:tblLayout w:type="fixed"/>
                <w:tblCellMar>
                  <w:top w:w="0" w:type="dxa"/>
                  <w:left w:w="108" w:type="dxa"/>
                  <w:bottom w:w="0" w:type="dxa"/>
                  <w:right w:w="108" w:type="dxa"/>
                </w:tblCellMar>
              </w:tblPrEx>
              <w:tc>
                <w:tcPr>
                  <w:tcW w:w="3571"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pStyle w:val="30"/>
                    <w:spacing w:line="360" w:lineRule="exact"/>
                    <w:rPr>
                      <w:color w:val="auto"/>
                      <w:szCs w:val="21"/>
                    </w:rPr>
                  </w:pPr>
                  <w:r>
                    <w:rPr>
                      <w:color w:val="auto"/>
                      <w:szCs w:val="21"/>
                    </w:rPr>
                    <w:t>产排污环节</w:t>
                  </w:r>
                </w:p>
              </w:tc>
              <w:tc>
                <w:tcPr>
                  <w:tcW w:w="1502"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30"/>
                    <w:spacing w:line="360" w:lineRule="exact"/>
                    <w:rPr>
                      <w:color w:val="auto"/>
                      <w:szCs w:val="21"/>
                    </w:rPr>
                  </w:pPr>
                  <w:r>
                    <w:rPr>
                      <w:color w:val="auto"/>
                      <w:szCs w:val="21"/>
                    </w:rPr>
                    <w:t>污染物种类</w:t>
                  </w:r>
                </w:p>
              </w:tc>
              <w:tc>
                <w:tcPr>
                  <w:tcW w:w="1202" w:type="dxa"/>
                  <w:tcBorders>
                    <w:top w:val="single" w:color="000000" w:sz="8" w:space="0"/>
                    <w:left w:val="nil"/>
                    <w:right w:val="single" w:color="000000" w:sz="8" w:space="0"/>
                  </w:tcBorders>
                  <w:shd w:val="clear" w:color="auto" w:fill="auto"/>
                  <w:vAlign w:val="center"/>
                </w:tcPr>
                <w:p>
                  <w:pPr>
                    <w:pStyle w:val="30"/>
                    <w:spacing w:line="360" w:lineRule="exact"/>
                    <w:rPr>
                      <w:color w:val="auto"/>
                      <w:szCs w:val="21"/>
                    </w:rPr>
                  </w:pPr>
                  <w:r>
                    <w:rPr>
                      <w:color w:val="auto"/>
                      <w:szCs w:val="21"/>
                    </w:rPr>
                    <w:t>排放量kg/次</w:t>
                  </w:r>
                </w:p>
              </w:tc>
              <w:tc>
                <w:tcPr>
                  <w:tcW w:w="890" w:type="dxa"/>
                  <w:tcBorders>
                    <w:top w:val="single" w:color="000000" w:sz="8" w:space="0"/>
                    <w:left w:val="single" w:color="000000" w:sz="8" w:space="0"/>
                    <w:bottom w:val="single" w:color="000000" w:sz="8" w:space="0"/>
                    <w:right w:val="single" w:color="auto" w:sz="4" w:space="0"/>
                  </w:tcBorders>
                  <w:shd w:val="clear" w:color="auto" w:fill="auto"/>
                  <w:vAlign w:val="center"/>
                </w:tcPr>
                <w:p>
                  <w:pPr>
                    <w:pStyle w:val="30"/>
                    <w:spacing w:line="360" w:lineRule="exact"/>
                    <w:rPr>
                      <w:color w:val="auto"/>
                      <w:szCs w:val="21"/>
                    </w:rPr>
                  </w:pPr>
                  <w:r>
                    <w:rPr>
                      <w:color w:val="auto"/>
                      <w:szCs w:val="21"/>
                    </w:rPr>
                    <w:t>频次</w:t>
                  </w:r>
                </w:p>
              </w:tc>
              <w:tc>
                <w:tcPr>
                  <w:tcW w:w="851" w:type="dxa"/>
                  <w:tcBorders>
                    <w:top w:val="single" w:color="000000" w:sz="8" w:space="0"/>
                    <w:left w:val="single" w:color="auto" w:sz="4" w:space="0"/>
                    <w:bottom w:val="single" w:color="000000" w:sz="8" w:space="0"/>
                    <w:right w:val="single" w:color="000000" w:sz="8" w:space="0"/>
                  </w:tcBorders>
                  <w:shd w:val="clear" w:color="auto" w:fill="auto"/>
                  <w:vAlign w:val="center"/>
                </w:tcPr>
                <w:p>
                  <w:pPr>
                    <w:pStyle w:val="30"/>
                    <w:spacing w:line="360" w:lineRule="exact"/>
                    <w:rPr>
                      <w:color w:val="auto"/>
                      <w:szCs w:val="21"/>
                    </w:rPr>
                  </w:pPr>
                  <w:r>
                    <w:rPr>
                      <w:color w:val="auto"/>
                      <w:szCs w:val="21"/>
                    </w:rPr>
                    <w:t>持续时间</w:t>
                  </w:r>
                </w:p>
              </w:tc>
              <w:tc>
                <w:tcPr>
                  <w:tcW w:w="101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措施</w:t>
                  </w:r>
                </w:p>
              </w:tc>
            </w:tr>
            <w:tr>
              <w:tblPrEx>
                <w:tblLayout w:type="fixed"/>
                <w:tblCellMar>
                  <w:top w:w="0" w:type="dxa"/>
                  <w:left w:w="108" w:type="dxa"/>
                  <w:bottom w:w="0" w:type="dxa"/>
                  <w:right w:w="108" w:type="dxa"/>
                </w:tblCellMar>
              </w:tblPrEx>
              <w:tc>
                <w:tcPr>
                  <w:tcW w:w="2218" w:type="dxa"/>
                  <w:vMerge w:val="restart"/>
                  <w:tcBorders>
                    <w:top w:val="nil"/>
                    <w:left w:val="single" w:color="000000" w:sz="8" w:space="0"/>
                    <w:right w:val="single" w:color="000000" w:sz="8" w:space="0"/>
                  </w:tcBorders>
                  <w:shd w:val="clear" w:color="auto" w:fill="auto"/>
                  <w:vAlign w:val="center"/>
                </w:tcPr>
                <w:p>
                  <w:pPr>
                    <w:pStyle w:val="30"/>
                    <w:spacing w:line="360" w:lineRule="exact"/>
                    <w:rPr>
                      <w:color w:val="auto"/>
                      <w:szCs w:val="21"/>
                    </w:rPr>
                  </w:pPr>
                  <w:r>
                    <w:rPr>
                      <w:color w:val="auto"/>
                      <w:szCs w:val="21"/>
                    </w:rPr>
                    <w:t>废旧冰箱处理线</w:t>
                  </w:r>
                </w:p>
              </w:tc>
              <w:tc>
                <w:tcPr>
                  <w:tcW w:w="1353" w:type="dxa"/>
                  <w:vMerge w:val="restart"/>
                  <w:tcBorders>
                    <w:top w:val="nil"/>
                    <w:left w:val="single" w:color="000000" w:sz="8" w:space="0"/>
                    <w:right w:val="single" w:color="000000" w:sz="8" w:space="0"/>
                  </w:tcBorders>
                  <w:shd w:val="clear" w:color="auto" w:fill="auto"/>
                  <w:vAlign w:val="center"/>
                </w:tcPr>
                <w:p>
                  <w:pPr>
                    <w:pStyle w:val="30"/>
                    <w:spacing w:line="360" w:lineRule="exact"/>
                    <w:rPr>
                      <w:color w:val="auto"/>
                      <w:szCs w:val="21"/>
                    </w:rPr>
                  </w:pPr>
                  <w:r>
                    <w:rPr>
                      <w:color w:val="auto"/>
                      <w:szCs w:val="21"/>
                    </w:rPr>
                    <w:t>冷媒抽取+拆解+破碎</w:t>
                  </w:r>
                </w:p>
              </w:tc>
              <w:tc>
                <w:tcPr>
                  <w:tcW w:w="150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粉尘</w:t>
                  </w:r>
                </w:p>
              </w:tc>
              <w:tc>
                <w:tcPr>
                  <w:tcW w:w="1202"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4.74</w:t>
                  </w:r>
                </w:p>
              </w:tc>
              <w:tc>
                <w:tcPr>
                  <w:tcW w:w="89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1次/a</w:t>
                  </w:r>
                </w:p>
              </w:tc>
              <w:tc>
                <w:tcPr>
                  <w:tcW w:w="851" w:type="dxa"/>
                  <w:tcBorders>
                    <w:top w:val="nil"/>
                    <w:left w:val="single" w:color="auto" w:sz="4" w:space="0"/>
                    <w:bottom w:val="single" w:color="auto" w:sz="4" w:space="0"/>
                    <w:right w:val="single" w:color="000000" w:sz="8" w:space="0"/>
                  </w:tcBorders>
                  <w:shd w:val="clear" w:color="auto" w:fill="auto"/>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1h/次</w:t>
                  </w:r>
                </w:p>
              </w:tc>
              <w:tc>
                <w:tcPr>
                  <w:tcW w:w="1018" w:type="dxa"/>
                  <w:vMerge w:val="restart"/>
                  <w:tcBorders>
                    <w:top w:val="single" w:color="auto" w:sz="4" w:space="0"/>
                    <w:left w:val="nil"/>
                    <w:right w:val="single" w:color="000000" w:sz="8" w:space="0"/>
                  </w:tcBorders>
                  <w:shd w:val="clear" w:color="auto" w:fill="auto"/>
                  <w:vAlign w:val="center"/>
                </w:tcPr>
                <w:p>
                  <w:pPr>
                    <w:pStyle w:val="30"/>
                    <w:spacing w:line="360" w:lineRule="exact"/>
                    <w:ind w:firstLine="210" w:firstLineChars="100"/>
                    <w:jc w:val="both"/>
                    <w:rPr>
                      <w:color w:val="auto"/>
                      <w:kern w:val="0"/>
                      <w:szCs w:val="21"/>
                    </w:rPr>
                  </w:pPr>
                  <w:r>
                    <w:rPr>
                      <w:color w:val="auto"/>
                      <w:szCs w:val="24"/>
                    </w:rPr>
                    <w:t>加强环保设施的运营和维护，确保污染物达标排放。</w:t>
                  </w:r>
                </w:p>
              </w:tc>
            </w:tr>
            <w:tr>
              <w:tblPrEx>
                <w:tblLayout w:type="fixed"/>
                <w:tblCellMar>
                  <w:top w:w="0" w:type="dxa"/>
                  <w:left w:w="108" w:type="dxa"/>
                  <w:bottom w:w="0" w:type="dxa"/>
                  <w:right w:w="108" w:type="dxa"/>
                </w:tblCellMar>
              </w:tblPrEx>
              <w:tc>
                <w:tcPr>
                  <w:tcW w:w="2218" w:type="dxa"/>
                  <w:vMerge w:val="continue"/>
                  <w:tcBorders>
                    <w:left w:val="single" w:color="000000" w:sz="8" w:space="0"/>
                    <w:bottom w:val="single" w:color="000000" w:sz="8" w:space="0"/>
                    <w:right w:val="single" w:color="000000" w:sz="8" w:space="0"/>
                  </w:tcBorders>
                  <w:shd w:val="clear" w:color="auto" w:fill="auto"/>
                  <w:vAlign w:val="center"/>
                </w:tcPr>
                <w:p>
                  <w:pPr>
                    <w:pStyle w:val="30"/>
                    <w:spacing w:line="360" w:lineRule="exact"/>
                    <w:rPr>
                      <w:color w:val="auto"/>
                      <w:szCs w:val="21"/>
                    </w:rPr>
                  </w:pPr>
                </w:p>
              </w:tc>
              <w:tc>
                <w:tcPr>
                  <w:tcW w:w="1353" w:type="dxa"/>
                  <w:vMerge w:val="continue"/>
                  <w:tcBorders>
                    <w:left w:val="single" w:color="000000" w:sz="8" w:space="0"/>
                    <w:bottom w:val="single" w:color="000000" w:sz="8" w:space="0"/>
                    <w:right w:val="single" w:color="000000" w:sz="8" w:space="0"/>
                  </w:tcBorders>
                  <w:shd w:val="clear" w:color="auto" w:fill="auto"/>
                  <w:vAlign w:val="center"/>
                </w:tcPr>
                <w:p>
                  <w:pPr>
                    <w:pStyle w:val="30"/>
                    <w:spacing w:line="360" w:lineRule="exact"/>
                    <w:rPr>
                      <w:color w:val="auto"/>
                      <w:szCs w:val="21"/>
                    </w:rPr>
                  </w:pPr>
                </w:p>
              </w:tc>
              <w:tc>
                <w:tcPr>
                  <w:tcW w:w="1502" w:type="dxa"/>
                  <w:tcBorders>
                    <w:top w:val="nil"/>
                    <w:left w:val="nil"/>
                    <w:bottom w:val="single" w:color="000000" w:sz="8" w:space="0"/>
                    <w:right w:val="single" w:color="000000" w:sz="8" w:space="0"/>
                  </w:tcBorders>
                  <w:shd w:val="clear" w:color="auto" w:fill="auto"/>
                  <w:vAlign w:val="center"/>
                </w:tcPr>
                <w:p>
                  <w:pPr>
                    <w:pStyle w:val="30"/>
                    <w:spacing w:line="360" w:lineRule="exact"/>
                    <w:rPr>
                      <w:color w:val="auto"/>
                      <w:szCs w:val="21"/>
                    </w:rPr>
                  </w:pPr>
                  <w:r>
                    <w:rPr>
                      <w:color w:val="auto"/>
                      <w:szCs w:val="21"/>
                    </w:rPr>
                    <w:t>非甲烷总烃</w:t>
                  </w:r>
                </w:p>
              </w:tc>
              <w:tc>
                <w:tcPr>
                  <w:tcW w:w="1202" w:type="dxa"/>
                  <w:tcBorders>
                    <w:top w:val="single" w:color="000000" w:sz="8" w:space="0"/>
                    <w:left w:val="nil"/>
                    <w:bottom w:val="single" w:color="000000" w:sz="8" w:space="0"/>
                    <w:right w:val="single" w:color="000000" w:sz="8" w:space="0"/>
                  </w:tcBorders>
                  <w:shd w:val="clear" w:color="auto" w:fill="auto"/>
                  <w:vAlign w:val="center"/>
                </w:tcPr>
                <w:p>
                  <w:pPr>
                    <w:pStyle w:val="30"/>
                    <w:spacing w:line="360" w:lineRule="exact"/>
                    <w:rPr>
                      <w:color w:val="auto"/>
                      <w:szCs w:val="21"/>
                    </w:rPr>
                  </w:pPr>
                  <w:r>
                    <w:rPr>
                      <w:color w:val="auto"/>
                      <w:szCs w:val="21"/>
                    </w:rPr>
                    <w:t>0.11</w:t>
                  </w:r>
                </w:p>
              </w:tc>
              <w:tc>
                <w:tcPr>
                  <w:tcW w:w="890" w:type="dxa"/>
                  <w:tcBorders>
                    <w:top w:val="single" w:color="auto" w:sz="4" w:space="0"/>
                    <w:left w:val="nil"/>
                    <w:bottom w:val="single" w:color="auto" w:sz="4" w:space="0"/>
                    <w:right w:val="single" w:color="auto" w:sz="4" w:space="0"/>
                  </w:tcBorders>
                  <w:shd w:val="clear" w:color="auto" w:fill="auto"/>
                  <w:vAlign w:val="center"/>
                </w:tcPr>
                <w:p>
                  <w:pPr>
                    <w:pStyle w:val="30"/>
                    <w:spacing w:line="360" w:lineRule="exact"/>
                    <w:rPr>
                      <w:color w:val="auto"/>
                      <w:szCs w:val="21"/>
                    </w:rPr>
                  </w:pPr>
                  <w:r>
                    <w:rPr>
                      <w:color w:val="auto"/>
                      <w:szCs w:val="21"/>
                    </w:rPr>
                    <w:t>1次/a</w:t>
                  </w:r>
                </w:p>
              </w:tc>
              <w:tc>
                <w:tcPr>
                  <w:tcW w:w="851" w:type="dxa"/>
                  <w:tcBorders>
                    <w:top w:val="single" w:color="auto" w:sz="4" w:space="0"/>
                    <w:left w:val="single" w:color="auto" w:sz="4" w:space="0"/>
                    <w:bottom w:val="single" w:color="auto" w:sz="4" w:space="0"/>
                    <w:right w:val="single" w:color="000000" w:sz="8" w:space="0"/>
                  </w:tcBorders>
                  <w:shd w:val="clear" w:color="auto" w:fill="auto"/>
                  <w:vAlign w:val="center"/>
                </w:tcPr>
                <w:p>
                  <w:pPr>
                    <w:pStyle w:val="30"/>
                    <w:spacing w:line="360" w:lineRule="exact"/>
                    <w:rPr>
                      <w:color w:val="auto"/>
                      <w:szCs w:val="21"/>
                    </w:rPr>
                  </w:pPr>
                  <w:r>
                    <w:rPr>
                      <w:color w:val="auto"/>
                      <w:szCs w:val="21"/>
                    </w:rPr>
                    <w:t>1h/次</w:t>
                  </w:r>
                </w:p>
              </w:tc>
              <w:tc>
                <w:tcPr>
                  <w:tcW w:w="1018" w:type="dxa"/>
                  <w:vMerge w:val="continue"/>
                  <w:tcBorders>
                    <w:left w:val="nil"/>
                    <w:right w:val="single" w:color="000000" w:sz="8" w:space="0"/>
                  </w:tcBorders>
                  <w:shd w:val="clear" w:color="auto" w:fill="auto"/>
                  <w:vAlign w:val="center"/>
                </w:tcPr>
                <w:p>
                  <w:pPr>
                    <w:pStyle w:val="30"/>
                    <w:spacing w:line="360" w:lineRule="exact"/>
                    <w:ind w:firstLine="210" w:firstLineChars="100"/>
                    <w:jc w:val="left"/>
                    <w:rPr>
                      <w:color w:val="auto"/>
                      <w:kern w:val="0"/>
                      <w:szCs w:val="21"/>
                    </w:rPr>
                  </w:pPr>
                </w:p>
              </w:tc>
            </w:tr>
            <w:tr>
              <w:tblPrEx>
                <w:tblLayout w:type="fixed"/>
                <w:tblCellMar>
                  <w:top w:w="0" w:type="dxa"/>
                  <w:left w:w="108" w:type="dxa"/>
                  <w:bottom w:w="0" w:type="dxa"/>
                  <w:right w:w="108" w:type="dxa"/>
                </w:tblCellMar>
              </w:tblPrEx>
              <w:tc>
                <w:tcPr>
                  <w:tcW w:w="2218" w:type="dxa"/>
                  <w:tcBorders>
                    <w:top w:val="nil"/>
                    <w:left w:val="single" w:color="000000" w:sz="8" w:space="0"/>
                    <w:bottom w:val="single" w:color="000000" w:sz="8" w:space="0"/>
                    <w:right w:val="single" w:color="000000" w:sz="8" w:space="0"/>
                  </w:tcBorders>
                  <w:shd w:val="clear" w:color="auto" w:fill="auto"/>
                  <w:vAlign w:val="center"/>
                </w:tcPr>
                <w:p>
                  <w:pPr>
                    <w:pStyle w:val="30"/>
                    <w:spacing w:line="360" w:lineRule="exact"/>
                    <w:rPr>
                      <w:color w:val="auto"/>
                      <w:szCs w:val="21"/>
                    </w:rPr>
                  </w:pPr>
                  <w:r>
                    <w:rPr>
                      <w:color w:val="auto"/>
                      <w:szCs w:val="21"/>
                    </w:rPr>
                    <w:t>空调/小家电/废手机及其视听设备消费电子产品处理线</w:t>
                  </w:r>
                </w:p>
              </w:tc>
              <w:tc>
                <w:tcPr>
                  <w:tcW w:w="1353" w:type="dxa"/>
                  <w:tcBorders>
                    <w:top w:val="nil"/>
                    <w:left w:val="single" w:color="000000" w:sz="8" w:space="0"/>
                    <w:bottom w:val="single" w:color="000000" w:sz="8" w:space="0"/>
                    <w:right w:val="single" w:color="000000" w:sz="8" w:space="0"/>
                  </w:tcBorders>
                  <w:shd w:val="clear" w:color="auto" w:fill="auto"/>
                  <w:vAlign w:val="center"/>
                </w:tcPr>
                <w:p>
                  <w:pPr>
                    <w:pStyle w:val="30"/>
                    <w:spacing w:line="360" w:lineRule="exact"/>
                    <w:rPr>
                      <w:color w:val="auto"/>
                      <w:szCs w:val="21"/>
                    </w:rPr>
                  </w:pPr>
                  <w:r>
                    <w:rPr>
                      <w:color w:val="auto"/>
                      <w:szCs w:val="21"/>
                    </w:rPr>
                    <w:t>拆解</w:t>
                  </w:r>
                </w:p>
              </w:tc>
              <w:tc>
                <w:tcPr>
                  <w:tcW w:w="1502" w:type="dxa"/>
                  <w:tcBorders>
                    <w:top w:val="nil"/>
                    <w:left w:val="nil"/>
                    <w:bottom w:val="single" w:color="000000" w:sz="8" w:space="0"/>
                    <w:right w:val="single" w:color="000000" w:sz="8" w:space="0"/>
                  </w:tcBorders>
                  <w:shd w:val="clear" w:color="auto" w:fill="auto"/>
                  <w:vAlign w:val="center"/>
                </w:tcPr>
                <w:p>
                  <w:pPr>
                    <w:pStyle w:val="30"/>
                    <w:spacing w:line="360" w:lineRule="exact"/>
                    <w:rPr>
                      <w:color w:val="auto"/>
                      <w:szCs w:val="21"/>
                    </w:rPr>
                  </w:pPr>
                  <w:r>
                    <w:rPr>
                      <w:color w:val="auto"/>
                      <w:szCs w:val="21"/>
                    </w:rPr>
                    <w:t>粉尘</w:t>
                  </w:r>
                </w:p>
              </w:tc>
              <w:tc>
                <w:tcPr>
                  <w:tcW w:w="1202" w:type="dxa"/>
                  <w:tcBorders>
                    <w:top w:val="single" w:color="000000" w:sz="8" w:space="0"/>
                    <w:left w:val="nil"/>
                    <w:bottom w:val="single" w:color="000000" w:sz="8" w:space="0"/>
                    <w:right w:val="single" w:color="000000" w:sz="8" w:space="0"/>
                  </w:tcBorders>
                  <w:shd w:val="clear" w:color="auto" w:fill="auto"/>
                  <w:vAlign w:val="center"/>
                </w:tcPr>
                <w:p>
                  <w:pPr>
                    <w:pStyle w:val="30"/>
                    <w:spacing w:line="360" w:lineRule="exact"/>
                    <w:rPr>
                      <w:color w:val="auto"/>
                      <w:szCs w:val="21"/>
                    </w:rPr>
                  </w:pPr>
                  <w:r>
                    <w:rPr>
                      <w:color w:val="auto"/>
                      <w:szCs w:val="21"/>
                    </w:rPr>
                    <w:t>0.05</w:t>
                  </w:r>
                </w:p>
              </w:tc>
              <w:tc>
                <w:tcPr>
                  <w:tcW w:w="890" w:type="dxa"/>
                  <w:tcBorders>
                    <w:top w:val="nil"/>
                    <w:left w:val="nil"/>
                    <w:bottom w:val="single" w:color="auto" w:sz="4" w:space="0"/>
                    <w:right w:val="single" w:color="auto" w:sz="4" w:space="0"/>
                  </w:tcBorders>
                  <w:shd w:val="clear" w:color="auto" w:fill="auto"/>
                  <w:vAlign w:val="center"/>
                </w:tcPr>
                <w:p>
                  <w:pPr>
                    <w:pStyle w:val="30"/>
                    <w:spacing w:line="360" w:lineRule="exact"/>
                    <w:rPr>
                      <w:color w:val="auto"/>
                      <w:szCs w:val="21"/>
                    </w:rPr>
                  </w:pPr>
                  <w:r>
                    <w:rPr>
                      <w:color w:val="auto"/>
                      <w:szCs w:val="21"/>
                    </w:rPr>
                    <w:t>1次/a</w:t>
                  </w:r>
                </w:p>
              </w:tc>
              <w:tc>
                <w:tcPr>
                  <w:tcW w:w="851" w:type="dxa"/>
                  <w:tcBorders>
                    <w:top w:val="nil"/>
                    <w:left w:val="single" w:color="auto" w:sz="4" w:space="0"/>
                    <w:bottom w:val="single" w:color="auto" w:sz="4" w:space="0"/>
                    <w:right w:val="single" w:color="000000" w:sz="8" w:space="0"/>
                  </w:tcBorders>
                  <w:shd w:val="clear" w:color="auto" w:fill="auto"/>
                  <w:vAlign w:val="center"/>
                </w:tcPr>
                <w:p>
                  <w:pPr>
                    <w:pStyle w:val="30"/>
                    <w:spacing w:line="360" w:lineRule="exact"/>
                    <w:rPr>
                      <w:color w:val="auto"/>
                      <w:szCs w:val="21"/>
                    </w:rPr>
                  </w:pPr>
                  <w:r>
                    <w:rPr>
                      <w:color w:val="auto"/>
                      <w:szCs w:val="21"/>
                    </w:rPr>
                    <w:t>1h/次</w:t>
                  </w:r>
                </w:p>
              </w:tc>
              <w:tc>
                <w:tcPr>
                  <w:tcW w:w="1018" w:type="dxa"/>
                  <w:vMerge w:val="continue"/>
                  <w:tcBorders>
                    <w:left w:val="nil"/>
                    <w:right w:val="single" w:color="000000" w:sz="8" w:space="0"/>
                  </w:tcBorders>
                  <w:shd w:val="clear" w:color="auto" w:fill="auto"/>
                  <w:vAlign w:val="center"/>
                </w:tcPr>
                <w:p>
                  <w:pPr>
                    <w:pStyle w:val="30"/>
                    <w:spacing w:line="360" w:lineRule="exact"/>
                    <w:ind w:firstLine="210" w:firstLineChars="100"/>
                    <w:jc w:val="both"/>
                    <w:rPr>
                      <w:color w:val="auto"/>
                      <w:kern w:val="0"/>
                      <w:szCs w:val="21"/>
                    </w:rPr>
                  </w:pPr>
                </w:p>
              </w:tc>
            </w:tr>
            <w:tr>
              <w:tblPrEx>
                <w:tblLayout w:type="fixed"/>
                <w:tblCellMar>
                  <w:top w:w="0" w:type="dxa"/>
                  <w:left w:w="108" w:type="dxa"/>
                  <w:bottom w:w="0" w:type="dxa"/>
                  <w:right w:w="108" w:type="dxa"/>
                </w:tblCellMar>
              </w:tblPrEx>
              <w:tc>
                <w:tcPr>
                  <w:tcW w:w="2218" w:type="dxa"/>
                  <w:tcBorders>
                    <w:top w:val="nil"/>
                    <w:left w:val="single" w:color="000000" w:sz="8" w:space="0"/>
                    <w:bottom w:val="single" w:color="auto" w:sz="4" w:space="0"/>
                    <w:right w:val="single" w:color="000000" w:sz="8" w:space="0"/>
                  </w:tcBorders>
                  <w:shd w:val="clear" w:color="auto" w:fill="auto"/>
                  <w:vAlign w:val="center"/>
                </w:tcPr>
                <w:p>
                  <w:pPr>
                    <w:pStyle w:val="30"/>
                    <w:spacing w:line="360" w:lineRule="exact"/>
                    <w:rPr>
                      <w:color w:val="auto"/>
                      <w:szCs w:val="21"/>
                    </w:rPr>
                  </w:pPr>
                  <w:r>
                    <w:rPr>
                      <w:color w:val="auto"/>
                      <w:szCs w:val="21"/>
                    </w:rPr>
                    <w:t>废旧洗衣机处理线</w:t>
                  </w:r>
                </w:p>
              </w:tc>
              <w:tc>
                <w:tcPr>
                  <w:tcW w:w="1353" w:type="dxa"/>
                  <w:tcBorders>
                    <w:top w:val="nil"/>
                    <w:left w:val="single" w:color="000000" w:sz="8" w:space="0"/>
                    <w:bottom w:val="single" w:color="auto" w:sz="4" w:space="0"/>
                    <w:right w:val="single" w:color="000000" w:sz="8" w:space="0"/>
                  </w:tcBorders>
                  <w:shd w:val="clear" w:color="auto" w:fill="auto"/>
                  <w:vAlign w:val="center"/>
                </w:tcPr>
                <w:p>
                  <w:pPr>
                    <w:pStyle w:val="30"/>
                    <w:spacing w:line="360" w:lineRule="exact"/>
                    <w:rPr>
                      <w:color w:val="auto"/>
                      <w:szCs w:val="21"/>
                    </w:rPr>
                  </w:pPr>
                  <w:r>
                    <w:rPr>
                      <w:color w:val="auto"/>
                      <w:szCs w:val="21"/>
                    </w:rPr>
                    <w:t>拆解+塑料破碎</w:t>
                  </w:r>
                </w:p>
              </w:tc>
              <w:tc>
                <w:tcPr>
                  <w:tcW w:w="1502" w:type="dxa"/>
                  <w:tcBorders>
                    <w:top w:val="nil"/>
                    <w:left w:val="nil"/>
                    <w:bottom w:val="single" w:color="000000" w:sz="8" w:space="0"/>
                    <w:right w:val="single" w:color="000000" w:sz="8" w:space="0"/>
                  </w:tcBorders>
                  <w:shd w:val="clear" w:color="auto" w:fill="auto"/>
                  <w:vAlign w:val="center"/>
                </w:tcPr>
                <w:p>
                  <w:pPr>
                    <w:pStyle w:val="30"/>
                    <w:spacing w:line="360" w:lineRule="exact"/>
                    <w:rPr>
                      <w:color w:val="auto"/>
                      <w:szCs w:val="21"/>
                    </w:rPr>
                  </w:pPr>
                  <w:r>
                    <w:rPr>
                      <w:color w:val="auto"/>
                      <w:szCs w:val="21"/>
                    </w:rPr>
                    <w:t>粉尘</w:t>
                  </w:r>
                </w:p>
              </w:tc>
              <w:tc>
                <w:tcPr>
                  <w:tcW w:w="1202" w:type="dxa"/>
                  <w:tcBorders>
                    <w:top w:val="single" w:color="000000" w:sz="8" w:space="0"/>
                    <w:left w:val="nil"/>
                    <w:bottom w:val="single" w:color="000000" w:sz="8" w:space="0"/>
                    <w:right w:val="single" w:color="000000" w:sz="8" w:space="0"/>
                  </w:tcBorders>
                  <w:shd w:val="clear" w:color="auto" w:fill="auto"/>
                  <w:vAlign w:val="center"/>
                </w:tcPr>
                <w:p>
                  <w:pPr>
                    <w:pStyle w:val="30"/>
                    <w:spacing w:line="360" w:lineRule="exact"/>
                    <w:rPr>
                      <w:color w:val="auto"/>
                      <w:szCs w:val="21"/>
                    </w:rPr>
                  </w:pPr>
                  <w:r>
                    <w:rPr>
                      <w:color w:val="auto"/>
                      <w:szCs w:val="21"/>
                    </w:rPr>
                    <w:t>1.35</w:t>
                  </w:r>
                </w:p>
              </w:tc>
              <w:tc>
                <w:tcPr>
                  <w:tcW w:w="890" w:type="dxa"/>
                  <w:tcBorders>
                    <w:top w:val="nil"/>
                    <w:left w:val="nil"/>
                    <w:bottom w:val="single" w:color="auto" w:sz="4" w:space="0"/>
                    <w:right w:val="single" w:color="auto" w:sz="4" w:space="0"/>
                  </w:tcBorders>
                  <w:shd w:val="clear" w:color="auto" w:fill="auto"/>
                  <w:vAlign w:val="center"/>
                </w:tcPr>
                <w:p>
                  <w:pPr>
                    <w:pStyle w:val="30"/>
                    <w:spacing w:line="360" w:lineRule="exact"/>
                    <w:rPr>
                      <w:color w:val="auto"/>
                      <w:szCs w:val="21"/>
                    </w:rPr>
                  </w:pPr>
                  <w:r>
                    <w:rPr>
                      <w:color w:val="auto"/>
                      <w:szCs w:val="21"/>
                    </w:rPr>
                    <w:t>1次/a</w:t>
                  </w:r>
                </w:p>
              </w:tc>
              <w:tc>
                <w:tcPr>
                  <w:tcW w:w="851" w:type="dxa"/>
                  <w:tcBorders>
                    <w:top w:val="nil"/>
                    <w:left w:val="single" w:color="auto" w:sz="4" w:space="0"/>
                    <w:bottom w:val="single" w:color="auto" w:sz="4" w:space="0"/>
                    <w:right w:val="single" w:color="000000" w:sz="8" w:space="0"/>
                  </w:tcBorders>
                  <w:shd w:val="clear" w:color="auto" w:fill="auto"/>
                  <w:vAlign w:val="center"/>
                </w:tcPr>
                <w:p>
                  <w:pPr>
                    <w:pStyle w:val="30"/>
                    <w:spacing w:line="360" w:lineRule="exact"/>
                    <w:rPr>
                      <w:color w:val="auto"/>
                      <w:szCs w:val="21"/>
                    </w:rPr>
                  </w:pPr>
                  <w:r>
                    <w:rPr>
                      <w:color w:val="auto"/>
                      <w:szCs w:val="21"/>
                    </w:rPr>
                    <w:t>1h/次</w:t>
                  </w:r>
                </w:p>
              </w:tc>
              <w:tc>
                <w:tcPr>
                  <w:tcW w:w="1018" w:type="dxa"/>
                  <w:vMerge w:val="continue"/>
                  <w:tcBorders>
                    <w:left w:val="nil"/>
                    <w:right w:val="single" w:color="000000" w:sz="8" w:space="0"/>
                  </w:tcBorders>
                  <w:shd w:val="clear" w:color="auto" w:fill="auto"/>
                  <w:vAlign w:val="center"/>
                </w:tcPr>
                <w:p>
                  <w:pPr>
                    <w:pStyle w:val="30"/>
                    <w:spacing w:line="360" w:lineRule="exact"/>
                    <w:ind w:firstLine="210" w:firstLineChars="100"/>
                    <w:jc w:val="left"/>
                    <w:rPr>
                      <w:color w:val="auto"/>
                      <w:kern w:val="0"/>
                      <w:szCs w:val="21"/>
                    </w:rPr>
                  </w:pPr>
                </w:p>
              </w:tc>
            </w:tr>
            <w:tr>
              <w:tblPrEx>
                <w:tblLayout w:type="fixed"/>
                <w:tblCellMar>
                  <w:top w:w="0" w:type="dxa"/>
                  <w:left w:w="108" w:type="dxa"/>
                  <w:bottom w:w="0" w:type="dxa"/>
                  <w:right w:w="108" w:type="dxa"/>
                </w:tblCellMar>
              </w:tblPrEx>
              <w:tc>
                <w:tcPr>
                  <w:tcW w:w="2218" w:type="dxa"/>
                  <w:vMerge w:val="restart"/>
                  <w:tcBorders>
                    <w:top w:val="nil"/>
                    <w:left w:val="single" w:color="000000" w:sz="8" w:space="0"/>
                    <w:right w:val="single" w:color="000000" w:sz="8" w:space="0"/>
                  </w:tcBorders>
                  <w:shd w:val="clear" w:color="auto" w:fill="auto"/>
                  <w:vAlign w:val="center"/>
                </w:tcPr>
                <w:p>
                  <w:pPr>
                    <w:pStyle w:val="30"/>
                    <w:spacing w:line="360" w:lineRule="exact"/>
                    <w:rPr>
                      <w:color w:val="auto"/>
                      <w:szCs w:val="21"/>
                    </w:rPr>
                  </w:pPr>
                  <w:r>
                    <w:rPr>
                      <w:color w:val="auto"/>
                      <w:szCs w:val="21"/>
                    </w:rPr>
                    <w:t>1号废旧电视机（液晶电视）处理线</w:t>
                  </w:r>
                </w:p>
              </w:tc>
              <w:tc>
                <w:tcPr>
                  <w:tcW w:w="1353" w:type="dxa"/>
                  <w:vMerge w:val="restart"/>
                  <w:tcBorders>
                    <w:top w:val="nil"/>
                    <w:left w:val="single" w:color="000000" w:sz="8" w:space="0"/>
                    <w:right w:val="single" w:color="000000" w:sz="8" w:space="0"/>
                  </w:tcBorders>
                  <w:shd w:val="clear" w:color="auto" w:fill="auto"/>
                  <w:vAlign w:val="center"/>
                </w:tcPr>
                <w:p>
                  <w:pPr>
                    <w:pStyle w:val="30"/>
                    <w:spacing w:line="360" w:lineRule="exact"/>
                    <w:rPr>
                      <w:color w:val="auto"/>
                      <w:szCs w:val="21"/>
                    </w:rPr>
                  </w:pPr>
                  <w:r>
                    <w:rPr>
                      <w:color w:val="auto"/>
                      <w:szCs w:val="21"/>
                    </w:rPr>
                    <w:t>拆解</w:t>
                  </w:r>
                </w:p>
              </w:tc>
              <w:tc>
                <w:tcPr>
                  <w:tcW w:w="1502" w:type="dxa"/>
                  <w:tcBorders>
                    <w:top w:val="nil"/>
                    <w:left w:val="nil"/>
                    <w:bottom w:val="single" w:color="auto" w:sz="4" w:space="0"/>
                    <w:right w:val="single" w:color="000000" w:sz="8" w:space="0"/>
                  </w:tcBorders>
                  <w:shd w:val="clear" w:color="auto" w:fill="auto"/>
                  <w:vAlign w:val="center"/>
                </w:tcPr>
                <w:p>
                  <w:pPr>
                    <w:pStyle w:val="30"/>
                    <w:spacing w:line="360" w:lineRule="exact"/>
                    <w:rPr>
                      <w:color w:val="auto"/>
                      <w:szCs w:val="21"/>
                    </w:rPr>
                  </w:pPr>
                  <w:r>
                    <w:rPr>
                      <w:color w:val="auto"/>
                      <w:szCs w:val="21"/>
                    </w:rPr>
                    <w:t>粉尘</w:t>
                  </w:r>
                </w:p>
              </w:tc>
              <w:tc>
                <w:tcPr>
                  <w:tcW w:w="1202" w:type="dxa"/>
                  <w:tcBorders>
                    <w:top w:val="single" w:color="000000" w:sz="8" w:space="0"/>
                    <w:left w:val="nil"/>
                    <w:bottom w:val="single" w:color="000000" w:sz="8" w:space="0"/>
                    <w:right w:val="single" w:color="000000" w:sz="8" w:space="0"/>
                  </w:tcBorders>
                  <w:shd w:val="clear" w:color="auto" w:fill="auto"/>
                  <w:vAlign w:val="center"/>
                </w:tcPr>
                <w:p>
                  <w:pPr>
                    <w:pStyle w:val="30"/>
                    <w:spacing w:line="360" w:lineRule="exact"/>
                    <w:rPr>
                      <w:color w:val="auto"/>
                      <w:szCs w:val="21"/>
                    </w:rPr>
                  </w:pPr>
                  <w:r>
                    <w:rPr>
                      <w:color w:val="auto"/>
                      <w:szCs w:val="21"/>
                    </w:rPr>
                    <w:t>0.026667</w:t>
                  </w:r>
                </w:p>
              </w:tc>
              <w:tc>
                <w:tcPr>
                  <w:tcW w:w="890" w:type="dxa"/>
                  <w:tcBorders>
                    <w:top w:val="nil"/>
                    <w:left w:val="nil"/>
                    <w:bottom w:val="single" w:color="auto" w:sz="4" w:space="0"/>
                    <w:right w:val="single" w:color="auto" w:sz="4" w:space="0"/>
                  </w:tcBorders>
                  <w:shd w:val="clear" w:color="auto" w:fill="auto"/>
                  <w:vAlign w:val="center"/>
                </w:tcPr>
                <w:p>
                  <w:pPr>
                    <w:pStyle w:val="30"/>
                    <w:spacing w:line="360" w:lineRule="exact"/>
                    <w:rPr>
                      <w:color w:val="auto"/>
                      <w:szCs w:val="21"/>
                    </w:rPr>
                  </w:pPr>
                  <w:r>
                    <w:rPr>
                      <w:color w:val="auto"/>
                      <w:szCs w:val="21"/>
                    </w:rPr>
                    <w:t>1次/a</w:t>
                  </w:r>
                </w:p>
              </w:tc>
              <w:tc>
                <w:tcPr>
                  <w:tcW w:w="851" w:type="dxa"/>
                  <w:tcBorders>
                    <w:top w:val="nil"/>
                    <w:left w:val="single" w:color="auto" w:sz="4" w:space="0"/>
                    <w:bottom w:val="single" w:color="auto" w:sz="4" w:space="0"/>
                    <w:right w:val="single" w:color="000000" w:sz="8" w:space="0"/>
                  </w:tcBorders>
                  <w:shd w:val="clear" w:color="auto" w:fill="auto"/>
                  <w:vAlign w:val="center"/>
                </w:tcPr>
                <w:p>
                  <w:pPr>
                    <w:pStyle w:val="30"/>
                    <w:spacing w:line="360" w:lineRule="exact"/>
                    <w:rPr>
                      <w:color w:val="auto"/>
                      <w:szCs w:val="21"/>
                    </w:rPr>
                  </w:pPr>
                  <w:r>
                    <w:rPr>
                      <w:color w:val="auto"/>
                      <w:szCs w:val="21"/>
                    </w:rPr>
                    <w:t>1h/次</w:t>
                  </w:r>
                </w:p>
              </w:tc>
              <w:tc>
                <w:tcPr>
                  <w:tcW w:w="1018" w:type="dxa"/>
                  <w:vMerge w:val="continue"/>
                  <w:tcBorders>
                    <w:left w:val="nil"/>
                    <w:right w:val="single" w:color="000000" w:sz="8" w:space="0"/>
                  </w:tcBorders>
                  <w:shd w:val="clear" w:color="auto" w:fill="auto"/>
                  <w:vAlign w:val="center"/>
                </w:tcPr>
                <w:p>
                  <w:pPr>
                    <w:pStyle w:val="30"/>
                    <w:spacing w:line="360" w:lineRule="exact"/>
                    <w:ind w:firstLine="210" w:firstLineChars="100"/>
                    <w:jc w:val="left"/>
                    <w:rPr>
                      <w:color w:val="auto"/>
                      <w:kern w:val="0"/>
                      <w:szCs w:val="21"/>
                    </w:rPr>
                  </w:pPr>
                </w:p>
              </w:tc>
            </w:tr>
            <w:tr>
              <w:tblPrEx>
                <w:tblLayout w:type="fixed"/>
                <w:tblCellMar>
                  <w:top w:w="0" w:type="dxa"/>
                  <w:left w:w="108" w:type="dxa"/>
                  <w:bottom w:w="0" w:type="dxa"/>
                  <w:right w:w="108" w:type="dxa"/>
                </w:tblCellMar>
              </w:tblPrEx>
              <w:tc>
                <w:tcPr>
                  <w:tcW w:w="2218" w:type="dxa"/>
                  <w:vMerge w:val="continue"/>
                  <w:tcBorders>
                    <w:left w:val="single" w:color="000000" w:sz="8" w:space="0"/>
                    <w:bottom w:val="single" w:color="000000" w:sz="8" w:space="0"/>
                    <w:right w:val="single" w:color="000000" w:sz="8" w:space="0"/>
                  </w:tcBorders>
                  <w:shd w:val="clear" w:color="auto" w:fill="auto"/>
                  <w:vAlign w:val="center"/>
                </w:tcPr>
                <w:p>
                  <w:pPr>
                    <w:pStyle w:val="30"/>
                    <w:spacing w:line="360" w:lineRule="exact"/>
                    <w:rPr>
                      <w:color w:val="auto"/>
                      <w:szCs w:val="21"/>
                    </w:rPr>
                  </w:pPr>
                </w:p>
              </w:tc>
              <w:tc>
                <w:tcPr>
                  <w:tcW w:w="1353" w:type="dxa"/>
                  <w:vMerge w:val="continue"/>
                  <w:tcBorders>
                    <w:left w:val="single" w:color="000000" w:sz="8" w:space="0"/>
                    <w:bottom w:val="single" w:color="000000" w:sz="8" w:space="0"/>
                    <w:right w:val="single" w:color="000000" w:sz="8" w:space="0"/>
                  </w:tcBorders>
                  <w:shd w:val="clear" w:color="auto" w:fill="auto"/>
                  <w:vAlign w:val="center"/>
                </w:tcPr>
                <w:p>
                  <w:pPr>
                    <w:pStyle w:val="30"/>
                    <w:spacing w:line="360" w:lineRule="exact"/>
                    <w:rPr>
                      <w:color w:val="auto"/>
                      <w:szCs w:val="21"/>
                    </w:rPr>
                  </w:pPr>
                </w:p>
              </w:tc>
              <w:tc>
                <w:tcPr>
                  <w:tcW w:w="1502" w:type="dxa"/>
                  <w:tcBorders>
                    <w:top w:val="single" w:color="auto" w:sz="4" w:space="0"/>
                    <w:left w:val="nil"/>
                    <w:bottom w:val="single" w:color="000000" w:sz="8" w:space="0"/>
                    <w:right w:val="single" w:color="000000" w:sz="8" w:space="0"/>
                  </w:tcBorders>
                  <w:shd w:val="clear" w:color="auto" w:fill="auto"/>
                  <w:vAlign w:val="center"/>
                </w:tcPr>
                <w:p>
                  <w:pPr>
                    <w:pStyle w:val="30"/>
                    <w:spacing w:line="360" w:lineRule="exact"/>
                    <w:rPr>
                      <w:color w:val="auto"/>
                      <w:szCs w:val="21"/>
                    </w:rPr>
                  </w:pPr>
                  <w:r>
                    <w:rPr>
                      <w:color w:val="auto"/>
                      <w:szCs w:val="21"/>
                    </w:rPr>
                    <w:t>汞及其化合物</w:t>
                  </w:r>
                </w:p>
              </w:tc>
              <w:tc>
                <w:tcPr>
                  <w:tcW w:w="1202" w:type="dxa"/>
                  <w:tcBorders>
                    <w:top w:val="single" w:color="000000" w:sz="8" w:space="0"/>
                    <w:left w:val="nil"/>
                    <w:bottom w:val="single" w:color="000000" w:sz="8" w:space="0"/>
                    <w:right w:val="single" w:color="000000" w:sz="8" w:space="0"/>
                  </w:tcBorders>
                  <w:shd w:val="clear" w:color="auto" w:fill="auto"/>
                  <w:vAlign w:val="center"/>
                </w:tcPr>
                <w:p>
                  <w:pPr>
                    <w:pStyle w:val="30"/>
                    <w:spacing w:line="360" w:lineRule="exact"/>
                    <w:rPr>
                      <w:color w:val="auto"/>
                      <w:szCs w:val="21"/>
                    </w:rPr>
                  </w:pPr>
                  <w:r>
                    <w:rPr>
                      <w:color w:val="auto"/>
                      <w:szCs w:val="21"/>
                    </w:rPr>
                    <w:t>0.000007</w:t>
                  </w:r>
                </w:p>
              </w:tc>
              <w:tc>
                <w:tcPr>
                  <w:tcW w:w="890" w:type="dxa"/>
                  <w:tcBorders>
                    <w:top w:val="nil"/>
                    <w:left w:val="nil"/>
                    <w:bottom w:val="single" w:color="auto" w:sz="4" w:space="0"/>
                    <w:right w:val="single" w:color="auto" w:sz="4" w:space="0"/>
                  </w:tcBorders>
                  <w:shd w:val="clear" w:color="auto" w:fill="auto"/>
                  <w:vAlign w:val="center"/>
                </w:tcPr>
                <w:p>
                  <w:pPr>
                    <w:pStyle w:val="30"/>
                    <w:spacing w:line="360" w:lineRule="exact"/>
                    <w:rPr>
                      <w:color w:val="auto"/>
                      <w:szCs w:val="21"/>
                    </w:rPr>
                  </w:pPr>
                  <w:r>
                    <w:rPr>
                      <w:color w:val="auto"/>
                      <w:szCs w:val="21"/>
                    </w:rPr>
                    <w:t>1次/a</w:t>
                  </w:r>
                </w:p>
              </w:tc>
              <w:tc>
                <w:tcPr>
                  <w:tcW w:w="851" w:type="dxa"/>
                  <w:tcBorders>
                    <w:top w:val="nil"/>
                    <w:left w:val="single" w:color="auto" w:sz="4" w:space="0"/>
                    <w:bottom w:val="single" w:color="auto" w:sz="4" w:space="0"/>
                    <w:right w:val="single" w:color="000000" w:sz="8" w:space="0"/>
                  </w:tcBorders>
                  <w:shd w:val="clear" w:color="auto" w:fill="auto"/>
                  <w:vAlign w:val="center"/>
                </w:tcPr>
                <w:p>
                  <w:pPr>
                    <w:pStyle w:val="30"/>
                    <w:spacing w:line="360" w:lineRule="exact"/>
                    <w:rPr>
                      <w:color w:val="auto"/>
                      <w:szCs w:val="21"/>
                    </w:rPr>
                  </w:pPr>
                  <w:r>
                    <w:rPr>
                      <w:color w:val="auto"/>
                      <w:szCs w:val="21"/>
                    </w:rPr>
                    <w:t>1h/次</w:t>
                  </w:r>
                </w:p>
              </w:tc>
              <w:tc>
                <w:tcPr>
                  <w:tcW w:w="1018" w:type="dxa"/>
                  <w:vMerge w:val="continue"/>
                  <w:tcBorders>
                    <w:left w:val="nil"/>
                    <w:right w:val="single" w:color="000000" w:sz="8" w:space="0"/>
                  </w:tcBorders>
                  <w:shd w:val="clear" w:color="auto" w:fill="auto"/>
                  <w:vAlign w:val="center"/>
                </w:tcPr>
                <w:p>
                  <w:pPr>
                    <w:pStyle w:val="30"/>
                    <w:spacing w:line="360" w:lineRule="exact"/>
                    <w:ind w:firstLine="210" w:firstLineChars="100"/>
                    <w:jc w:val="left"/>
                    <w:rPr>
                      <w:color w:val="auto"/>
                      <w:kern w:val="0"/>
                      <w:szCs w:val="21"/>
                    </w:rPr>
                  </w:pPr>
                </w:p>
              </w:tc>
            </w:tr>
            <w:tr>
              <w:tblPrEx>
                <w:tblLayout w:type="fixed"/>
                <w:tblCellMar>
                  <w:top w:w="0" w:type="dxa"/>
                  <w:left w:w="108" w:type="dxa"/>
                  <w:bottom w:w="0" w:type="dxa"/>
                  <w:right w:w="108" w:type="dxa"/>
                </w:tblCellMar>
              </w:tblPrEx>
              <w:tc>
                <w:tcPr>
                  <w:tcW w:w="2218" w:type="dxa"/>
                  <w:vMerge w:val="restart"/>
                  <w:tcBorders>
                    <w:top w:val="nil"/>
                    <w:left w:val="single" w:color="000000" w:sz="8" w:space="0"/>
                    <w:right w:val="single" w:color="000000" w:sz="8" w:space="0"/>
                  </w:tcBorders>
                  <w:shd w:val="clear" w:color="auto" w:fill="auto"/>
                  <w:vAlign w:val="center"/>
                </w:tcPr>
                <w:p>
                  <w:pPr>
                    <w:pStyle w:val="30"/>
                    <w:spacing w:line="360" w:lineRule="exact"/>
                    <w:rPr>
                      <w:color w:val="auto"/>
                      <w:szCs w:val="21"/>
                    </w:rPr>
                  </w:pPr>
                  <w:r>
                    <w:rPr>
                      <w:color w:val="auto"/>
                      <w:szCs w:val="21"/>
                    </w:rPr>
                    <w:t>2号废旧电视机（CRT）处理线</w:t>
                  </w:r>
                </w:p>
              </w:tc>
              <w:tc>
                <w:tcPr>
                  <w:tcW w:w="1353" w:type="dxa"/>
                  <w:vMerge w:val="restart"/>
                  <w:tcBorders>
                    <w:top w:val="nil"/>
                    <w:left w:val="single" w:color="000000" w:sz="8" w:space="0"/>
                    <w:right w:val="single" w:color="000000" w:sz="8" w:space="0"/>
                  </w:tcBorders>
                  <w:shd w:val="clear" w:color="auto" w:fill="auto"/>
                  <w:vAlign w:val="center"/>
                </w:tcPr>
                <w:p>
                  <w:pPr>
                    <w:pStyle w:val="30"/>
                    <w:spacing w:line="360" w:lineRule="exact"/>
                    <w:rPr>
                      <w:color w:val="auto"/>
                      <w:szCs w:val="21"/>
                    </w:rPr>
                  </w:pPr>
                  <w:r>
                    <w:rPr>
                      <w:color w:val="auto"/>
                      <w:szCs w:val="21"/>
                    </w:rPr>
                    <w:t>拆解</w:t>
                  </w:r>
                </w:p>
              </w:tc>
              <w:tc>
                <w:tcPr>
                  <w:tcW w:w="1502" w:type="dxa"/>
                  <w:tcBorders>
                    <w:top w:val="nil"/>
                    <w:left w:val="nil"/>
                    <w:bottom w:val="single" w:color="000000" w:sz="8" w:space="0"/>
                    <w:right w:val="single" w:color="000000" w:sz="8" w:space="0"/>
                  </w:tcBorders>
                  <w:shd w:val="clear" w:color="auto" w:fill="auto"/>
                  <w:vAlign w:val="center"/>
                </w:tcPr>
                <w:p>
                  <w:pPr>
                    <w:pStyle w:val="30"/>
                    <w:spacing w:line="360" w:lineRule="exact"/>
                    <w:rPr>
                      <w:color w:val="auto"/>
                      <w:szCs w:val="21"/>
                    </w:rPr>
                  </w:pPr>
                  <w:r>
                    <w:rPr>
                      <w:color w:val="auto"/>
                      <w:szCs w:val="21"/>
                    </w:rPr>
                    <w:t>粉尘</w:t>
                  </w:r>
                </w:p>
              </w:tc>
              <w:tc>
                <w:tcPr>
                  <w:tcW w:w="1202" w:type="dxa"/>
                  <w:tcBorders>
                    <w:top w:val="single" w:color="000000" w:sz="8" w:space="0"/>
                    <w:left w:val="nil"/>
                    <w:bottom w:val="single" w:color="000000" w:sz="8" w:space="0"/>
                    <w:right w:val="single" w:color="000000" w:sz="8" w:space="0"/>
                  </w:tcBorders>
                  <w:shd w:val="clear" w:color="auto" w:fill="auto"/>
                  <w:vAlign w:val="center"/>
                </w:tcPr>
                <w:p>
                  <w:pPr>
                    <w:pStyle w:val="30"/>
                    <w:spacing w:line="360" w:lineRule="exact"/>
                    <w:rPr>
                      <w:color w:val="auto"/>
                      <w:szCs w:val="21"/>
                    </w:rPr>
                  </w:pPr>
                  <w:r>
                    <w:rPr>
                      <w:color w:val="auto"/>
                      <w:szCs w:val="21"/>
                    </w:rPr>
                    <w:t>13.12667</w:t>
                  </w:r>
                </w:p>
              </w:tc>
              <w:tc>
                <w:tcPr>
                  <w:tcW w:w="890" w:type="dxa"/>
                  <w:tcBorders>
                    <w:top w:val="nil"/>
                    <w:left w:val="nil"/>
                    <w:bottom w:val="single" w:color="auto" w:sz="4" w:space="0"/>
                    <w:right w:val="single" w:color="auto" w:sz="4" w:space="0"/>
                  </w:tcBorders>
                  <w:shd w:val="clear" w:color="auto" w:fill="auto"/>
                  <w:vAlign w:val="center"/>
                </w:tcPr>
                <w:p>
                  <w:pPr>
                    <w:pStyle w:val="30"/>
                    <w:spacing w:line="360" w:lineRule="exact"/>
                    <w:rPr>
                      <w:color w:val="auto"/>
                      <w:szCs w:val="21"/>
                    </w:rPr>
                  </w:pPr>
                  <w:r>
                    <w:rPr>
                      <w:color w:val="auto"/>
                      <w:szCs w:val="21"/>
                    </w:rPr>
                    <w:t>1次/a</w:t>
                  </w:r>
                </w:p>
              </w:tc>
              <w:tc>
                <w:tcPr>
                  <w:tcW w:w="851" w:type="dxa"/>
                  <w:tcBorders>
                    <w:top w:val="nil"/>
                    <w:left w:val="single" w:color="auto" w:sz="4" w:space="0"/>
                    <w:bottom w:val="single" w:color="auto" w:sz="4" w:space="0"/>
                    <w:right w:val="single" w:color="000000" w:sz="8" w:space="0"/>
                  </w:tcBorders>
                  <w:shd w:val="clear" w:color="auto" w:fill="auto"/>
                  <w:vAlign w:val="center"/>
                </w:tcPr>
                <w:p>
                  <w:pPr>
                    <w:pStyle w:val="30"/>
                    <w:spacing w:line="360" w:lineRule="exact"/>
                    <w:rPr>
                      <w:color w:val="auto"/>
                      <w:szCs w:val="21"/>
                    </w:rPr>
                  </w:pPr>
                  <w:r>
                    <w:rPr>
                      <w:color w:val="auto"/>
                      <w:szCs w:val="21"/>
                    </w:rPr>
                    <w:t>1h/次</w:t>
                  </w:r>
                </w:p>
              </w:tc>
              <w:tc>
                <w:tcPr>
                  <w:tcW w:w="1018" w:type="dxa"/>
                  <w:vMerge w:val="continue"/>
                  <w:tcBorders>
                    <w:left w:val="nil"/>
                    <w:right w:val="single" w:color="000000" w:sz="8" w:space="0"/>
                  </w:tcBorders>
                  <w:shd w:val="clear" w:color="auto" w:fill="auto"/>
                  <w:vAlign w:val="center"/>
                </w:tcPr>
                <w:p>
                  <w:pPr>
                    <w:pStyle w:val="30"/>
                    <w:spacing w:line="360" w:lineRule="exact"/>
                    <w:ind w:firstLine="210" w:firstLineChars="100"/>
                    <w:jc w:val="left"/>
                    <w:rPr>
                      <w:color w:val="auto"/>
                      <w:kern w:val="0"/>
                      <w:szCs w:val="21"/>
                    </w:rPr>
                  </w:pPr>
                </w:p>
              </w:tc>
            </w:tr>
            <w:tr>
              <w:tblPrEx>
                <w:tblLayout w:type="fixed"/>
                <w:tblCellMar>
                  <w:top w:w="0" w:type="dxa"/>
                  <w:left w:w="108" w:type="dxa"/>
                  <w:bottom w:w="0" w:type="dxa"/>
                  <w:right w:w="108" w:type="dxa"/>
                </w:tblCellMar>
              </w:tblPrEx>
              <w:tc>
                <w:tcPr>
                  <w:tcW w:w="2218" w:type="dxa"/>
                  <w:vMerge w:val="continue"/>
                  <w:tcBorders>
                    <w:left w:val="single" w:color="000000" w:sz="8" w:space="0"/>
                    <w:bottom w:val="single" w:color="000000" w:sz="8" w:space="0"/>
                    <w:right w:val="single" w:color="000000" w:sz="8" w:space="0"/>
                  </w:tcBorders>
                  <w:shd w:val="clear" w:color="auto" w:fill="auto"/>
                  <w:vAlign w:val="center"/>
                </w:tcPr>
                <w:p>
                  <w:pPr>
                    <w:pStyle w:val="30"/>
                    <w:spacing w:line="360" w:lineRule="exact"/>
                    <w:rPr>
                      <w:color w:val="auto"/>
                      <w:szCs w:val="21"/>
                    </w:rPr>
                  </w:pPr>
                </w:p>
              </w:tc>
              <w:tc>
                <w:tcPr>
                  <w:tcW w:w="1353" w:type="dxa"/>
                  <w:vMerge w:val="continue"/>
                  <w:tcBorders>
                    <w:left w:val="single" w:color="000000" w:sz="8" w:space="0"/>
                    <w:bottom w:val="single" w:color="000000" w:sz="8" w:space="0"/>
                    <w:right w:val="single" w:color="000000" w:sz="8" w:space="0"/>
                  </w:tcBorders>
                  <w:shd w:val="clear" w:color="auto" w:fill="auto"/>
                  <w:vAlign w:val="center"/>
                </w:tcPr>
                <w:p>
                  <w:pPr>
                    <w:pStyle w:val="30"/>
                    <w:spacing w:line="360" w:lineRule="exact"/>
                    <w:rPr>
                      <w:color w:val="auto"/>
                      <w:szCs w:val="21"/>
                    </w:rPr>
                  </w:pPr>
                </w:p>
              </w:tc>
              <w:tc>
                <w:tcPr>
                  <w:tcW w:w="1502" w:type="dxa"/>
                  <w:tcBorders>
                    <w:top w:val="nil"/>
                    <w:left w:val="nil"/>
                    <w:bottom w:val="single" w:color="000000" w:sz="8" w:space="0"/>
                    <w:right w:val="single" w:color="000000" w:sz="8" w:space="0"/>
                  </w:tcBorders>
                  <w:shd w:val="clear" w:color="auto" w:fill="auto"/>
                  <w:vAlign w:val="center"/>
                </w:tcPr>
                <w:p>
                  <w:pPr>
                    <w:pStyle w:val="30"/>
                    <w:spacing w:line="360" w:lineRule="exact"/>
                    <w:rPr>
                      <w:color w:val="auto"/>
                      <w:szCs w:val="21"/>
                    </w:rPr>
                  </w:pPr>
                  <w:r>
                    <w:rPr>
                      <w:color w:val="auto"/>
                      <w:szCs w:val="21"/>
                    </w:rPr>
                    <w:t>铅及其化合物</w:t>
                  </w:r>
                </w:p>
              </w:tc>
              <w:tc>
                <w:tcPr>
                  <w:tcW w:w="1202" w:type="dxa"/>
                  <w:tcBorders>
                    <w:top w:val="single" w:color="000000" w:sz="8" w:space="0"/>
                    <w:left w:val="nil"/>
                    <w:bottom w:val="single" w:color="000000" w:sz="8" w:space="0"/>
                    <w:right w:val="single" w:color="000000" w:sz="8" w:space="0"/>
                  </w:tcBorders>
                  <w:shd w:val="clear" w:color="auto" w:fill="auto"/>
                  <w:vAlign w:val="center"/>
                </w:tcPr>
                <w:p>
                  <w:pPr>
                    <w:pStyle w:val="30"/>
                    <w:spacing w:line="360" w:lineRule="exact"/>
                    <w:rPr>
                      <w:color w:val="auto"/>
                      <w:szCs w:val="21"/>
                    </w:rPr>
                  </w:pPr>
                  <w:r>
                    <w:rPr>
                      <w:color w:val="auto"/>
                      <w:szCs w:val="21"/>
                    </w:rPr>
                    <w:t>0.006267</w:t>
                  </w:r>
                </w:p>
              </w:tc>
              <w:tc>
                <w:tcPr>
                  <w:tcW w:w="890" w:type="dxa"/>
                  <w:tcBorders>
                    <w:top w:val="single" w:color="auto" w:sz="4" w:space="0"/>
                    <w:left w:val="nil"/>
                    <w:bottom w:val="single" w:color="auto" w:sz="4" w:space="0"/>
                    <w:right w:val="single" w:color="auto" w:sz="4" w:space="0"/>
                  </w:tcBorders>
                  <w:shd w:val="clear" w:color="auto" w:fill="auto"/>
                  <w:vAlign w:val="center"/>
                </w:tcPr>
                <w:p>
                  <w:pPr>
                    <w:pStyle w:val="30"/>
                    <w:spacing w:line="360" w:lineRule="exact"/>
                    <w:rPr>
                      <w:color w:val="auto"/>
                      <w:szCs w:val="21"/>
                    </w:rPr>
                  </w:pPr>
                  <w:r>
                    <w:rPr>
                      <w:color w:val="auto"/>
                      <w:szCs w:val="21"/>
                    </w:rPr>
                    <w:t>1次/a</w:t>
                  </w:r>
                </w:p>
              </w:tc>
              <w:tc>
                <w:tcPr>
                  <w:tcW w:w="851" w:type="dxa"/>
                  <w:tcBorders>
                    <w:top w:val="single" w:color="auto" w:sz="4" w:space="0"/>
                    <w:left w:val="single" w:color="auto" w:sz="4" w:space="0"/>
                    <w:bottom w:val="single" w:color="auto" w:sz="4" w:space="0"/>
                    <w:right w:val="single" w:color="000000" w:sz="8" w:space="0"/>
                  </w:tcBorders>
                  <w:shd w:val="clear" w:color="auto" w:fill="auto"/>
                  <w:vAlign w:val="center"/>
                </w:tcPr>
                <w:p>
                  <w:pPr>
                    <w:pStyle w:val="30"/>
                    <w:spacing w:line="360" w:lineRule="exact"/>
                    <w:rPr>
                      <w:color w:val="auto"/>
                      <w:szCs w:val="21"/>
                    </w:rPr>
                  </w:pPr>
                  <w:r>
                    <w:rPr>
                      <w:color w:val="auto"/>
                      <w:szCs w:val="21"/>
                    </w:rPr>
                    <w:t>1h/次</w:t>
                  </w:r>
                </w:p>
              </w:tc>
              <w:tc>
                <w:tcPr>
                  <w:tcW w:w="1018" w:type="dxa"/>
                  <w:vMerge w:val="continue"/>
                  <w:tcBorders>
                    <w:left w:val="nil"/>
                    <w:bottom w:val="single" w:color="auto" w:sz="4" w:space="0"/>
                    <w:right w:val="single" w:color="000000" w:sz="8" w:space="0"/>
                  </w:tcBorders>
                  <w:shd w:val="clear" w:color="auto" w:fill="auto"/>
                  <w:vAlign w:val="center"/>
                </w:tcPr>
                <w:p>
                  <w:pPr>
                    <w:pStyle w:val="30"/>
                    <w:spacing w:line="360" w:lineRule="exact"/>
                    <w:ind w:firstLine="210" w:firstLineChars="100"/>
                    <w:jc w:val="left"/>
                    <w:rPr>
                      <w:color w:val="auto"/>
                      <w:kern w:val="0"/>
                      <w:szCs w:val="21"/>
                    </w:rPr>
                  </w:pPr>
                </w:p>
              </w:tc>
            </w:tr>
          </w:tbl>
          <w:p>
            <w:pPr>
              <w:spacing w:beforeLines="50"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（6）大气环境影响分析结论</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上述分析可知，项目废气各生产线产生的废气经各自配套的环保设施处理后，有组织排放污染物均可达到《大气污染物综合排放标准》（GB16297-1996）表2中的二级排放标准；无组织排放可达到《大气污染物综合排放标准》（GB16297-1996）表2中无组织排放监控浓度限值要求。项目区厨房油烟可达到《昆明市地方标准 餐饮业油烟污染物排放要求》（DB5301/T50-2021），通过高于房顶1.5m的烟道外排。</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根据预测结果，项目废气的最大落地浓度及环境保护目标处浓度中基本污染因子可达到《环境空气质量标准》（GB3095-2012）二级标准。因此项目废气对环境保护目标影响较小。</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4.2.</w:t>
            </w:r>
            <w:r>
              <w:rPr>
                <w:rFonts w:ascii="Times New Roman" w:hAnsi="Times New Roman" w:cs="Times New Roman"/>
                <w:b/>
                <w:color w:val="auto"/>
                <w:sz w:val="24"/>
              </w:rPr>
              <w:t>2</w:t>
            </w:r>
            <w:r>
              <w:rPr>
                <w:rFonts w:ascii="Times New Roman" w:hAnsi="Times New Roman" w:cs="Times New Roman"/>
                <w:b/>
                <w:color w:val="auto"/>
                <w:sz w:val="24"/>
                <w:szCs w:val="24"/>
              </w:rPr>
              <w:t xml:space="preserve"> 运营期</w:t>
            </w:r>
            <w:r>
              <w:rPr>
                <w:rFonts w:ascii="Times New Roman" w:hAnsi="Times New Roman" w:cs="Times New Roman"/>
                <w:b/>
                <w:color w:val="auto"/>
                <w:sz w:val="24"/>
              </w:rPr>
              <w:t>废水</w:t>
            </w:r>
            <w:r>
              <w:rPr>
                <w:rFonts w:ascii="Times New Roman" w:hAnsi="Times New Roman" w:cs="Times New Roman"/>
                <w:b/>
                <w:color w:val="auto"/>
                <w:sz w:val="24"/>
                <w:szCs w:val="24"/>
              </w:rPr>
              <w:t>环境影响和保护措施</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（1）废水污染源分析</w:t>
            </w:r>
          </w:p>
          <w:p>
            <w:pPr>
              <w:pStyle w:val="38"/>
              <w:ind w:firstLine="480"/>
              <w:rPr>
                <w:rFonts w:eastAsiaTheme="minorEastAsia"/>
                <w:color w:val="auto"/>
                <w:szCs w:val="24"/>
              </w:rPr>
            </w:pPr>
            <w:r>
              <w:rPr>
                <w:rFonts w:hint="eastAsia" w:eastAsiaTheme="minorEastAsia"/>
                <w:color w:val="auto"/>
                <w:szCs w:val="24"/>
              </w:rPr>
              <w:t>根据水平衡计算可知</w:t>
            </w:r>
            <w:r>
              <w:rPr>
                <w:rFonts w:eastAsiaTheme="minorEastAsia"/>
                <w:color w:val="auto"/>
                <w:szCs w:val="24"/>
              </w:rPr>
              <w:t>，本项目用排水情况详见下表。</w:t>
            </w:r>
          </w:p>
          <w:p>
            <w:pPr>
              <w:jc w:val="center"/>
              <w:rPr>
                <w:rFonts w:ascii="Times New Roman" w:hAnsi="Times New Roman" w:cs="Times New Roman"/>
                <w:b/>
                <w:bCs/>
                <w:color w:val="auto"/>
                <w:kern w:val="0"/>
              </w:rPr>
            </w:pPr>
            <w:r>
              <w:rPr>
                <w:rFonts w:ascii="Times New Roman" w:hAnsi="Times New Roman" w:cs="Times New Roman"/>
                <w:b/>
                <w:bCs/>
                <w:color w:val="auto"/>
                <w:kern w:val="0"/>
              </w:rPr>
              <w:t>表4.2.2-</w:t>
            </w:r>
            <w:r>
              <w:rPr>
                <w:rFonts w:hint="eastAsia" w:ascii="Times New Roman" w:hAnsi="Times New Roman" w:cs="Times New Roman"/>
                <w:b/>
                <w:bCs/>
                <w:color w:val="auto"/>
                <w:kern w:val="0"/>
              </w:rPr>
              <w:t>1</w:t>
            </w:r>
            <w:r>
              <w:rPr>
                <w:rFonts w:ascii="Times New Roman" w:hAnsi="Times New Roman" w:cs="Times New Roman"/>
                <w:b/>
                <w:bCs/>
                <w:color w:val="auto"/>
                <w:kern w:val="0"/>
              </w:rPr>
              <w:t xml:space="preserve">  项目供排水情况一览表</w:t>
            </w:r>
          </w:p>
          <w:tbl>
            <w:tblPr>
              <w:tblStyle w:val="19"/>
              <w:tblW w:w="9034" w:type="dxa"/>
              <w:jc w:val="center"/>
              <w:tblInd w:w="0" w:type="dxa"/>
              <w:tblLayout w:type="fixed"/>
              <w:tblCellMar>
                <w:top w:w="0" w:type="dxa"/>
                <w:left w:w="108" w:type="dxa"/>
                <w:bottom w:w="0" w:type="dxa"/>
                <w:right w:w="108" w:type="dxa"/>
              </w:tblCellMar>
            </w:tblPr>
            <w:tblGrid>
              <w:gridCol w:w="1599"/>
              <w:gridCol w:w="1554"/>
              <w:gridCol w:w="1407"/>
              <w:gridCol w:w="1118"/>
              <w:gridCol w:w="1062"/>
              <w:gridCol w:w="1276"/>
              <w:gridCol w:w="1018"/>
            </w:tblGrid>
            <w:tr>
              <w:tblPrEx>
                <w:tblLayout w:type="fixed"/>
                <w:tblCellMar>
                  <w:top w:w="0" w:type="dxa"/>
                  <w:left w:w="108" w:type="dxa"/>
                  <w:bottom w:w="0" w:type="dxa"/>
                  <w:right w:w="108" w:type="dxa"/>
                </w:tblCellMar>
              </w:tblPrEx>
              <w:trPr>
                <w:trHeight w:val="67" w:hRule="atLeast"/>
                <w:jc w:val="center"/>
              </w:trPr>
              <w:tc>
                <w:tcPr>
                  <w:tcW w:w="1599" w:type="dxa"/>
                  <w:vMerge w:val="restart"/>
                  <w:tcBorders>
                    <w:top w:val="single" w:color="auto" w:sz="8" w:space="0"/>
                    <w:left w:val="single" w:color="auto" w:sz="8" w:space="0"/>
                    <w:bottom w:val="single" w:color="000000" w:sz="8" w:space="0"/>
                    <w:right w:val="single" w:color="000000" w:sz="8" w:space="0"/>
                  </w:tcBorders>
                  <w:shd w:val="clear" w:color="auto" w:fill="auto"/>
                  <w:vAlign w:val="center"/>
                </w:tcPr>
                <w:p>
                  <w:pPr>
                    <w:pStyle w:val="30"/>
                    <w:spacing w:line="360" w:lineRule="exact"/>
                    <w:rPr>
                      <w:rFonts w:eastAsiaTheme="minorEastAsia"/>
                      <w:color w:val="auto"/>
                    </w:rPr>
                  </w:pPr>
                  <w:r>
                    <w:rPr>
                      <w:rFonts w:eastAsiaTheme="minorEastAsia"/>
                      <w:color w:val="auto"/>
                    </w:rPr>
                    <w:t>用水单元</w:t>
                  </w:r>
                </w:p>
              </w:tc>
              <w:tc>
                <w:tcPr>
                  <w:tcW w:w="1554"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规模</w:t>
                  </w:r>
                </w:p>
              </w:tc>
              <w:tc>
                <w:tcPr>
                  <w:tcW w:w="1407"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用水定额</w:t>
                  </w:r>
                </w:p>
              </w:tc>
              <w:tc>
                <w:tcPr>
                  <w:tcW w:w="218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rFonts w:eastAsiaTheme="minorEastAsia"/>
                      <w:color w:val="auto"/>
                    </w:rPr>
                  </w:pPr>
                  <w:r>
                    <w:rPr>
                      <w:rFonts w:eastAsiaTheme="minorEastAsia"/>
                      <w:color w:val="auto"/>
                    </w:rPr>
                    <w:t>用水量</w:t>
                  </w:r>
                </w:p>
              </w:tc>
              <w:tc>
                <w:tcPr>
                  <w:tcW w:w="2294"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rFonts w:eastAsiaTheme="minorEastAsia"/>
                      <w:color w:val="auto"/>
                    </w:rPr>
                  </w:pPr>
                  <w:r>
                    <w:rPr>
                      <w:rFonts w:eastAsiaTheme="minorEastAsia"/>
                      <w:color w:val="auto"/>
                    </w:rPr>
                    <w:t>废水量</w:t>
                  </w:r>
                </w:p>
              </w:tc>
            </w:tr>
            <w:tr>
              <w:tblPrEx>
                <w:tblLayout w:type="fixed"/>
                <w:tblCellMar>
                  <w:top w:w="0" w:type="dxa"/>
                  <w:left w:w="108" w:type="dxa"/>
                  <w:bottom w:w="0" w:type="dxa"/>
                  <w:right w:w="108" w:type="dxa"/>
                </w:tblCellMar>
              </w:tblPrEx>
              <w:trPr>
                <w:trHeight w:val="285" w:hRule="atLeast"/>
                <w:jc w:val="center"/>
              </w:trPr>
              <w:tc>
                <w:tcPr>
                  <w:tcW w:w="1599" w:type="dxa"/>
                  <w:vMerge w:val="continue"/>
                  <w:tcBorders>
                    <w:top w:val="single" w:color="auto" w:sz="8" w:space="0"/>
                    <w:left w:val="single" w:color="auto" w:sz="8" w:space="0"/>
                    <w:bottom w:val="single" w:color="000000" w:sz="8" w:space="0"/>
                    <w:right w:val="single" w:color="000000" w:sz="8" w:space="0"/>
                  </w:tcBorders>
                  <w:vAlign w:val="center"/>
                </w:tcPr>
                <w:p>
                  <w:pPr>
                    <w:pStyle w:val="30"/>
                    <w:spacing w:line="360" w:lineRule="exact"/>
                    <w:rPr>
                      <w:rFonts w:eastAsiaTheme="minorEastAsia"/>
                      <w:color w:val="auto"/>
                    </w:rPr>
                  </w:pPr>
                </w:p>
              </w:tc>
              <w:tc>
                <w:tcPr>
                  <w:tcW w:w="1554"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rFonts w:eastAsiaTheme="minorEastAsia"/>
                      <w:color w:val="auto"/>
                    </w:rPr>
                  </w:pPr>
                </w:p>
              </w:tc>
              <w:tc>
                <w:tcPr>
                  <w:tcW w:w="1407"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rFonts w:eastAsiaTheme="minorEastAsia"/>
                      <w:color w:val="auto"/>
                    </w:rPr>
                  </w:pPr>
                </w:p>
              </w:tc>
              <w:tc>
                <w:tcPr>
                  <w:tcW w:w="1118"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m³/d</w:t>
                  </w:r>
                </w:p>
              </w:tc>
              <w:tc>
                <w:tcPr>
                  <w:tcW w:w="106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m³/a</w:t>
                  </w:r>
                </w:p>
              </w:tc>
              <w:tc>
                <w:tcPr>
                  <w:tcW w:w="1276"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m³/d</w:t>
                  </w:r>
                </w:p>
              </w:tc>
              <w:tc>
                <w:tcPr>
                  <w:tcW w:w="1018"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m³/a</w:t>
                  </w:r>
                </w:p>
              </w:tc>
            </w:tr>
            <w:tr>
              <w:tblPrEx>
                <w:tblLayout w:type="fixed"/>
                <w:tblCellMar>
                  <w:top w:w="0" w:type="dxa"/>
                  <w:left w:w="108" w:type="dxa"/>
                  <w:bottom w:w="0" w:type="dxa"/>
                  <w:right w:w="108" w:type="dxa"/>
                </w:tblCellMar>
              </w:tblPrEx>
              <w:trPr>
                <w:trHeight w:val="285" w:hRule="atLeast"/>
                <w:jc w:val="center"/>
              </w:trPr>
              <w:tc>
                <w:tcPr>
                  <w:tcW w:w="1599" w:type="dxa"/>
                  <w:tcBorders>
                    <w:top w:val="single" w:color="auto" w:sz="8" w:space="0"/>
                    <w:left w:val="single" w:color="auto" w:sz="8" w:space="0"/>
                    <w:bottom w:val="single" w:color="000000" w:sz="8" w:space="0"/>
                    <w:right w:val="single" w:color="000000" w:sz="8" w:space="0"/>
                  </w:tcBorders>
                  <w:vAlign w:val="center"/>
                </w:tcPr>
                <w:p>
                  <w:pPr>
                    <w:pStyle w:val="30"/>
                    <w:spacing w:line="360" w:lineRule="exact"/>
                    <w:rPr>
                      <w:rFonts w:eastAsiaTheme="minorEastAsia"/>
                      <w:color w:val="auto"/>
                    </w:rPr>
                  </w:pPr>
                  <w:r>
                    <w:rPr>
                      <w:rFonts w:eastAsiaTheme="minorEastAsia"/>
                      <w:color w:val="auto"/>
                    </w:rPr>
                    <w:t>平衡盐水</w:t>
                  </w:r>
                </w:p>
              </w:tc>
              <w:tc>
                <w:tcPr>
                  <w:tcW w:w="1554" w:type="dxa"/>
                  <w:tcBorders>
                    <w:top w:val="single" w:color="auto" w:sz="8" w:space="0"/>
                    <w:left w:val="single" w:color="auto" w:sz="8" w:space="0"/>
                    <w:bottom w:val="single" w:color="000000" w:sz="8" w:space="0"/>
                    <w:right w:val="single" w:color="auto" w:sz="8" w:space="0"/>
                  </w:tcBorders>
                  <w:vAlign w:val="center"/>
                </w:tcPr>
                <w:p>
                  <w:pPr>
                    <w:pStyle w:val="30"/>
                    <w:spacing w:line="360" w:lineRule="exact"/>
                    <w:rPr>
                      <w:rFonts w:eastAsiaTheme="minorEastAsia"/>
                      <w:color w:val="auto"/>
                    </w:rPr>
                  </w:pPr>
                  <w:r>
                    <w:rPr>
                      <w:rFonts w:eastAsiaTheme="minorEastAsia"/>
                      <w:color w:val="auto"/>
                    </w:rPr>
                    <w:t>--</w:t>
                  </w:r>
                </w:p>
              </w:tc>
              <w:tc>
                <w:tcPr>
                  <w:tcW w:w="1407" w:type="dxa"/>
                  <w:tcBorders>
                    <w:top w:val="single" w:color="auto" w:sz="8" w:space="0"/>
                    <w:left w:val="single" w:color="auto" w:sz="8" w:space="0"/>
                    <w:bottom w:val="single" w:color="000000" w:sz="8" w:space="0"/>
                    <w:right w:val="single" w:color="auto" w:sz="8" w:space="0"/>
                  </w:tcBorders>
                  <w:vAlign w:val="center"/>
                </w:tcPr>
                <w:p>
                  <w:pPr>
                    <w:pStyle w:val="30"/>
                    <w:spacing w:line="360" w:lineRule="exact"/>
                    <w:rPr>
                      <w:rFonts w:eastAsiaTheme="minorEastAsia"/>
                      <w:color w:val="auto"/>
                    </w:rPr>
                  </w:pPr>
                  <w:r>
                    <w:rPr>
                      <w:rFonts w:eastAsiaTheme="minorEastAsia"/>
                      <w:color w:val="auto"/>
                    </w:rPr>
                    <w:t>--</w:t>
                  </w:r>
                </w:p>
              </w:tc>
              <w:tc>
                <w:tcPr>
                  <w:tcW w:w="1118"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w:t>
                  </w:r>
                </w:p>
              </w:tc>
              <w:tc>
                <w:tcPr>
                  <w:tcW w:w="106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w:t>
                  </w:r>
                </w:p>
              </w:tc>
              <w:tc>
                <w:tcPr>
                  <w:tcW w:w="1276"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0.008</w:t>
                  </w:r>
                </w:p>
              </w:tc>
              <w:tc>
                <w:tcPr>
                  <w:tcW w:w="1018"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2.4</w:t>
                  </w:r>
                </w:p>
              </w:tc>
            </w:tr>
            <w:tr>
              <w:tblPrEx>
                <w:tblLayout w:type="fixed"/>
                <w:tblCellMar>
                  <w:top w:w="0" w:type="dxa"/>
                  <w:left w:w="108" w:type="dxa"/>
                  <w:bottom w:w="0" w:type="dxa"/>
                  <w:right w:w="108" w:type="dxa"/>
                </w:tblCellMar>
              </w:tblPrEx>
              <w:trPr>
                <w:trHeight w:val="285" w:hRule="atLeast"/>
                <w:jc w:val="center"/>
              </w:trPr>
              <w:tc>
                <w:tcPr>
                  <w:tcW w:w="1599" w:type="dxa"/>
                  <w:tcBorders>
                    <w:top w:val="single" w:color="auto" w:sz="8" w:space="0"/>
                    <w:left w:val="single" w:color="auto" w:sz="8" w:space="0"/>
                    <w:bottom w:val="single" w:color="000000" w:sz="8" w:space="0"/>
                    <w:right w:val="single" w:color="000000" w:sz="8" w:space="0"/>
                  </w:tcBorders>
                  <w:vAlign w:val="center"/>
                </w:tcPr>
                <w:p>
                  <w:pPr>
                    <w:pStyle w:val="30"/>
                    <w:spacing w:line="360" w:lineRule="exact"/>
                    <w:rPr>
                      <w:rFonts w:eastAsiaTheme="minorEastAsia"/>
                      <w:color w:val="auto"/>
                    </w:rPr>
                  </w:pPr>
                  <w:r>
                    <w:rPr>
                      <w:rFonts w:eastAsiaTheme="minorEastAsia"/>
                      <w:color w:val="auto"/>
                    </w:rPr>
                    <w:t>绿化用水</w:t>
                  </w:r>
                </w:p>
              </w:tc>
              <w:tc>
                <w:tcPr>
                  <w:tcW w:w="1554" w:type="dxa"/>
                  <w:tcBorders>
                    <w:top w:val="single" w:color="auto" w:sz="8" w:space="0"/>
                    <w:left w:val="single" w:color="auto" w:sz="8" w:space="0"/>
                    <w:bottom w:val="single" w:color="000000" w:sz="8" w:space="0"/>
                    <w:right w:val="single" w:color="auto" w:sz="8" w:space="0"/>
                  </w:tcBorders>
                  <w:vAlign w:val="center"/>
                </w:tcPr>
                <w:p>
                  <w:pPr>
                    <w:pStyle w:val="30"/>
                    <w:spacing w:line="360" w:lineRule="exact"/>
                    <w:rPr>
                      <w:rFonts w:eastAsiaTheme="minorEastAsia"/>
                      <w:color w:val="auto"/>
                    </w:rPr>
                  </w:pPr>
                  <w:r>
                    <w:rPr>
                      <w:rFonts w:eastAsiaTheme="minorEastAsia"/>
                      <w:color w:val="auto"/>
                    </w:rPr>
                    <w:t>6348m³</w:t>
                  </w:r>
                </w:p>
              </w:tc>
              <w:tc>
                <w:tcPr>
                  <w:tcW w:w="1407" w:type="dxa"/>
                  <w:tcBorders>
                    <w:top w:val="single" w:color="auto" w:sz="8" w:space="0"/>
                    <w:left w:val="single" w:color="auto" w:sz="8" w:space="0"/>
                    <w:bottom w:val="single" w:color="000000" w:sz="8" w:space="0"/>
                    <w:right w:val="single" w:color="auto" w:sz="8" w:space="0"/>
                  </w:tcBorders>
                  <w:vAlign w:val="center"/>
                </w:tcPr>
                <w:p>
                  <w:pPr>
                    <w:pStyle w:val="30"/>
                    <w:spacing w:line="360" w:lineRule="exact"/>
                    <w:rPr>
                      <w:rFonts w:eastAsiaTheme="minorEastAsia"/>
                      <w:color w:val="auto"/>
                    </w:rPr>
                  </w:pPr>
                  <w:r>
                    <w:rPr>
                      <w:rFonts w:eastAsiaTheme="minorEastAsia"/>
                      <w:color w:val="auto"/>
                    </w:rPr>
                    <w:t>3L/（m²·次）</w:t>
                  </w:r>
                </w:p>
              </w:tc>
              <w:tc>
                <w:tcPr>
                  <w:tcW w:w="1118"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19.04</w:t>
                  </w:r>
                </w:p>
              </w:tc>
              <w:tc>
                <w:tcPr>
                  <w:tcW w:w="106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4855.2</w:t>
                  </w:r>
                </w:p>
              </w:tc>
              <w:tc>
                <w:tcPr>
                  <w:tcW w:w="1276"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0</w:t>
                  </w:r>
                </w:p>
              </w:tc>
              <w:tc>
                <w:tcPr>
                  <w:tcW w:w="1018"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0</w:t>
                  </w:r>
                </w:p>
              </w:tc>
            </w:tr>
            <w:tr>
              <w:tblPrEx>
                <w:tblLayout w:type="fixed"/>
                <w:tblCellMar>
                  <w:top w:w="0" w:type="dxa"/>
                  <w:left w:w="108" w:type="dxa"/>
                  <w:bottom w:w="0" w:type="dxa"/>
                  <w:right w:w="108" w:type="dxa"/>
                </w:tblCellMar>
              </w:tblPrEx>
              <w:trPr>
                <w:trHeight w:val="285" w:hRule="atLeast"/>
                <w:jc w:val="center"/>
              </w:trPr>
              <w:tc>
                <w:tcPr>
                  <w:tcW w:w="1599" w:type="dxa"/>
                  <w:vMerge w:val="restart"/>
                  <w:tcBorders>
                    <w:top w:val="single" w:color="auto" w:sz="8" w:space="0"/>
                    <w:left w:val="single" w:color="auto" w:sz="8" w:space="0"/>
                    <w:right w:val="single" w:color="000000" w:sz="8" w:space="0"/>
                  </w:tcBorders>
                  <w:shd w:val="clear" w:color="auto" w:fill="auto"/>
                  <w:vAlign w:val="center"/>
                </w:tcPr>
                <w:p>
                  <w:pPr>
                    <w:pStyle w:val="30"/>
                    <w:spacing w:line="360" w:lineRule="exact"/>
                    <w:rPr>
                      <w:rFonts w:eastAsiaTheme="minorEastAsia"/>
                      <w:color w:val="auto"/>
                    </w:rPr>
                  </w:pPr>
                  <w:r>
                    <w:rPr>
                      <w:rFonts w:eastAsiaTheme="minorEastAsia"/>
                      <w:color w:val="auto"/>
                    </w:rPr>
                    <w:t>生活用水</w:t>
                  </w:r>
                </w:p>
              </w:tc>
              <w:tc>
                <w:tcPr>
                  <w:tcW w:w="155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32人</w:t>
                  </w:r>
                </w:p>
              </w:tc>
              <w:tc>
                <w:tcPr>
                  <w:tcW w:w="1407"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100L/d·人</w:t>
                  </w:r>
                </w:p>
              </w:tc>
              <w:tc>
                <w:tcPr>
                  <w:tcW w:w="1118" w:type="dxa"/>
                  <w:vMerge w:val="restart"/>
                  <w:tcBorders>
                    <w:top w:val="nil"/>
                    <w:left w:val="nil"/>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6.2</w:t>
                  </w:r>
                </w:p>
              </w:tc>
              <w:tc>
                <w:tcPr>
                  <w:tcW w:w="1062" w:type="dxa"/>
                  <w:vMerge w:val="restart"/>
                  <w:tcBorders>
                    <w:top w:val="nil"/>
                    <w:left w:val="nil"/>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1860</w:t>
                  </w:r>
                </w:p>
              </w:tc>
              <w:tc>
                <w:tcPr>
                  <w:tcW w:w="1276" w:type="dxa"/>
                  <w:vMerge w:val="restart"/>
                  <w:tcBorders>
                    <w:top w:val="nil"/>
                    <w:left w:val="nil"/>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4.96</w:t>
                  </w:r>
                </w:p>
              </w:tc>
              <w:tc>
                <w:tcPr>
                  <w:tcW w:w="1018" w:type="dxa"/>
                  <w:vMerge w:val="restart"/>
                  <w:tcBorders>
                    <w:top w:val="nil"/>
                    <w:left w:val="nil"/>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1488</w:t>
                  </w:r>
                </w:p>
              </w:tc>
            </w:tr>
            <w:tr>
              <w:tblPrEx>
                <w:tblLayout w:type="fixed"/>
                <w:tblCellMar>
                  <w:top w:w="0" w:type="dxa"/>
                  <w:left w:w="108" w:type="dxa"/>
                  <w:bottom w:w="0" w:type="dxa"/>
                  <w:right w:w="108" w:type="dxa"/>
                </w:tblCellMar>
              </w:tblPrEx>
              <w:trPr>
                <w:trHeight w:val="285" w:hRule="atLeast"/>
                <w:jc w:val="center"/>
              </w:trPr>
              <w:tc>
                <w:tcPr>
                  <w:tcW w:w="1599" w:type="dxa"/>
                  <w:vMerge w:val="continue"/>
                  <w:tcBorders>
                    <w:left w:val="single" w:color="auto" w:sz="8" w:space="0"/>
                    <w:bottom w:val="single" w:color="auto" w:sz="4" w:space="0"/>
                    <w:right w:val="single" w:color="000000" w:sz="8" w:space="0"/>
                  </w:tcBorders>
                  <w:shd w:val="clear" w:color="auto" w:fill="auto"/>
                  <w:vAlign w:val="center"/>
                </w:tcPr>
                <w:p>
                  <w:pPr>
                    <w:pStyle w:val="30"/>
                    <w:spacing w:line="360" w:lineRule="exact"/>
                    <w:rPr>
                      <w:rFonts w:eastAsiaTheme="minorEastAsia"/>
                      <w:color w:val="auto"/>
                    </w:rPr>
                  </w:pPr>
                </w:p>
              </w:tc>
              <w:tc>
                <w:tcPr>
                  <w:tcW w:w="155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50人</w:t>
                  </w:r>
                </w:p>
              </w:tc>
              <w:tc>
                <w:tcPr>
                  <w:tcW w:w="1407"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60L/d·人</w:t>
                  </w:r>
                </w:p>
              </w:tc>
              <w:tc>
                <w:tcPr>
                  <w:tcW w:w="1118" w:type="dxa"/>
                  <w:vMerge w:val="continue"/>
                  <w:tcBorders>
                    <w:left w:val="nil"/>
                    <w:bottom w:val="single" w:color="auto" w:sz="4" w:space="0"/>
                    <w:right w:val="single" w:color="auto" w:sz="8" w:space="0"/>
                  </w:tcBorders>
                  <w:shd w:val="clear" w:color="auto" w:fill="auto"/>
                  <w:vAlign w:val="center"/>
                </w:tcPr>
                <w:p>
                  <w:pPr>
                    <w:pStyle w:val="30"/>
                    <w:spacing w:line="360" w:lineRule="exact"/>
                    <w:rPr>
                      <w:rFonts w:eastAsiaTheme="minorEastAsia"/>
                      <w:color w:val="auto"/>
                    </w:rPr>
                  </w:pPr>
                </w:p>
              </w:tc>
              <w:tc>
                <w:tcPr>
                  <w:tcW w:w="1062" w:type="dxa"/>
                  <w:vMerge w:val="continue"/>
                  <w:tcBorders>
                    <w:left w:val="nil"/>
                    <w:bottom w:val="single" w:color="auto" w:sz="4" w:space="0"/>
                    <w:right w:val="single" w:color="auto" w:sz="8" w:space="0"/>
                  </w:tcBorders>
                  <w:shd w:val="clear" w:color="auto" w:fill="auto"/>
                  <w:vAlign w:val="center"/>
                </w:tcPr>
                <w:p>
                  <w:pPr>
                    <w:pStyle w:val="30"/>
                    <w:spacing w:line="360" w:lineRule="exact"/>
                    <w:rPr>
                      <w:rFonts w:eastAsiaTheme="minorEastAsia"/>
                      <w:color w:val="auto"/>
                    </w:rPr>
                  </w:pPr>
                </w:p>
              </w:tc>
              <w:tc>
                <w:tcPr>
                  <w:tcW w:w="1276" w:type="dxa"/>
                  <w:vMerge w:val="continue"/>
                  <w:tcBorders>
                    <w:left w:val="nil"/>
                    <w:bottom w:val="single" w:color="auto" w:sz="4" w:space="0"/>
                    <w:right w:val="single" w:color="auto" w:sz="8" w:space="0"/>
                  </w:tcBorders>
                  <w:shd w:val="clear" w:color="auto" w:fill="auto"/>
                  <w:vAlign w:val="center"/>
                </w:tcPr>
                <w:p>
                  <w:pPr>
                    <w:pStyle w:val="30"/>
                    <w:spacing w:line="360" w:lineRule="exact"/>
                    <w:rPr>
                      <w:rFonts w:eastAsiaTheme="minorEastAsia"/>
                      <w:color w:val="auto"/>
                    </w:rPr>
                  </w:pPr>
                </w:p>
              </w:tc>
              <w:tc>
                <w:tcPr>
                  <w:tcW w:w="1018" w:type="dxa"/>
                  <w:vMerge w:val="continue"/>
                  <w:tcBorders>
                    <w:left w:val="nil"/>
                    <w:bottom w:val="single" w:color="auto" w:sz="4" w:space="0"/>
                    <w:right w:val="single" w:color="auto" w:sz="8" w:space="0"/>
                  </w:tcBorders>
                  <w:shd w:val="clear" w:color="auto" w:fill="auto"/>
                  <w:vAlign w:val="center"/>
                </w:tcPr>
                <w:p>
                  <w:pPr>
                    <w:pStyle w:val="30"/>
                    <w:spacing w:line="360" w:lineRule="exact"/>
                    <w:rPr>
                      <w:rFonts w:eastAsiaTheme="minorEastAsia"/>
                      <w:color w:val="auto"/>
                    </w:rPr>
                  </w:pPr>
                </w:p>
              </w:tc>
            </w:tr>
            <w:tr>
              <w:tblPrEx>
                <w:tblLayout w:type="fixed"/>
                <w:tblCellMar>
                  <w:top w:w="0" w:type="dxa"/>
                  <w:left w:w="108" w:type="dxa"/>
                  <w:bottom w:w="0" w:type="dxa"/>
                  <w:right w:w="108" w:type="dxa"/>
                </w:tblCellMar>
              </w:tblPrEx>
              <w:trPr>
                <w:trHeight w:val="285" w:hRule="atLeast"/>
                <w:jc w:val="center"/>
              </w:trPr>
              <w:tc>
                <w:tcPr>
                  <w:tcW w:w="1599" w:type="dxa"/>
                  <w:tcBorders>
                    <w:top w:val="single" w:color="auto" w:sz="4" w:space="0"/>
                    <w:left w:val="single" w:color="auto" w:sz="8" w:space="0"/>
                    <w:bottom w:val="single" w:color="auto" w:sz="8" w:space="0"/>
                    <w:right w:val="single" w:color="000000" w:sz="8" w:space="0"/>
                  </w:tcBorders>
                  <w:shd w:val="clear" w:color="auto" w:fill="auto"/>
                  <w:vAlign w:val="center"/>
                </w:tcPr>
                <w:p>
                  <w:pPr>
                    <w:pStyle w:val="30"/>
                    <w:spacing w:line="360" w:lineRule="exact"/>
                    <w:rPr>
                      <w:rFonts w:eastAsiaTheme="minorEastAsia"/>
                      <w:color w:val="auto"/>
                    </w:rPr>
                  </w:pPr>
                  <w:r>
                    <w:rPr>
                      <w:rFonts w:eastAsiaTheme="minorEastAsia"/>
                      <w:color w:val="auto"/>
                    </w:rPr>
                    <w:t>初期雨水</w:t>
                  </w:r>
                </w:p>
              </w:tc>
              <w:tc>
                <w:tcPr>
                  <w:tcW w:w="2961" w:type="dxa"/>
                  <w:gridSpan w:val="2"/>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可能受污染区6000m²</w:t>
                  </w:r>
                </w:p>
              </w:tc>
              <w:tc>
                <w:tcPr>
                  <w:tcW w:w="1118"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0</w:t>
                  </w:r>
                </w:p>
              </w:tc>
              <w:tc>
                <w:tcPr>
                  <w:tcW w:w="1062"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0</w:t>
                  </w:r>
                </w:p>
              </w:tc>
              <w:tc>
                <w:tcPr>
                  <w:tcW w:w="1276"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11.50m³/次</w:t>
                  </w:r>
                </w:p>
              </w:tc>
              <w:tc>
                <w:tcPr>
                  <w:tcW w:w="1018"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w:t>
                  </w:r>
                </w:p>
              </w:tc>
            </w:tr>
            <w:tr>
              <w:tblPrEx>
                <w:tblLayout w:type="fixed"/>
                <w:tblCellMar>
                  <w:top w:w="0" w:type="dxa"/>
                  <w:left w:w="108" w:type="dxa"/>
                  <w:bottom w:w="0" w:type="dxa"/>
                  <w:right w:w="108" w:type="dxa"/>
                </w:tblCellMar>
              </w:tblPrEx>
              <w:trPr>
                <w:trHeight w:val="330" w:hRule="atLeast"/>
                <w:jc w:val="center"/>
              </w:trPr>
              <w:tc>
                <w:tcPr>
                  <w:tcW w:w="1599" w:type="dxa"/>
                  <w:tcBorders>
                    <w:top w:val="single" w:color="auto" w:sz="8" w:space="0"/>
                    <w:left w:val="single" w:color="auto" w:sz="8" w:space="0"/>
                    <w:bottom w:val="single" w:color="auto" w:sz="8" w:space="0"/>
                    <w:right w:val="single" w:color="000000" w:sz="8" w:space="0"/>
                  </w:tcBorders>
                  <w:shd w:val="clear" w:color="auto" w:fill="auto"/>
                  <w:vAlign w:val="center"/>
                </w:tcPr>
                <w:p>
                  <w:pPr>
                    <w:pStyle w:val="30"/>
                    <w:spacing w:line="360" w:lineRule="exact"/>
                    <w:rPr>
                      <w:rFonts w:eastAsiaTheme="minorEastAsia"/>
                      <w:color w:val="auto"/>
                    </w:rPr>
                  </w:pPr>
                  <w:r>
                    <w:rPr>
                      <w:rFonts w:eastAsiaTheme="minorEastAsia"/>
                      <w:color w:val="auto"/>
                    </w:rPr>
                    <w:t>合计</w:t>
                  </w:r>
                </w:p>
              </w:tc>
              <w:tc>
                <w:tcPr>
                  <w:tcW w:w="1554"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w:t>
                  </w:r>
                </w:p>
              </w:tc>
              <w:tc>
                <w:tcPr>
                  <w:tcW w:w="1407"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w:t>
                  </w:r>
                </w:p>
              </w:tc>
              <w:tc>
                <w:tcPr>
                  <w:tcW w:w="1118"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25.24</w:t>
                  </w:r>
                </w:p>
              </w:tc>
              <w:tc>
                <w:tcPr>
                  <w:tcW w:w="1062"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rPr>
                  </w:pPr>
                  <w:r>
                    <w:rPr>
                      <w:rFonts w:eastAsiaTheme="minorEastAsia"/>
                      <w:color w:val="auto"/>
                    </w:rPr>
                    <w:t>6715.2</w:t>
                  </w:r>
                </w:p>
              </w:tc>
              <w:tc>
                <w:tcPr>
                  <w:tcW w:w="1276" w:type="dxa"/>
                  <w:tcBorders>
                    <w:top w:val="single" w:color="auto" w:sz="8" w:space="0"/>
                    <w:left w:val="nil"/>
                    <w:bottom w:val="single" w:color="auto" w:sz="8" w:space="0"/>
                    <w:right w:val="single" w:color="auto" w:sz="4" w:space="0"/>
                  </w:tcBorders>
                  <w:shd w:val="clear" w:color="auto" w:fill="auto"/>
                  <w:vAlign w:val="center"/>
                </w:tcPr>
                <w:p>
                  <w:pPr>
                    <w:pStyle w:val="30"/>
                    <w:spacing w:line="360" w:lineRule="exact"/>
                    <w:rPr>
                      <w:rFonts w:eastAsiaTheme="minorEastAsia"/>
                      <w:color w:val="auto"/>
                    </w:rPr>
                  </w:pPr>
                  <w:r>
                    <w:rPr>
                      <w:rFonts w:eastAsiaTheme="minorEastAsia"/>
                      <w:color w:val="auto"/>
                    </w:rPr>
                    <w:t>4.968</w:t>
                  </w:r>
                </w:p>
              </w:tc>
              <w:tc>
                <w:tcPr>
                  <w:tcW w:w="1018" w:type="dxa"/>
                  <w:tcBorders>
                    <w:top w:val="single" w:color="auto" w:sz="8" w:space="0"/>
                    <w:left w:val="single" w:color="auto" w:sz="4" w:space="0"/>
                    <w:bottom w:val="single" w:color="auto" w:sz="8" w:space="0"/>
                    <w:right w:val="single" w:color="000000" w:sz="8" w:space="0"/>
                  </w:tcBorders>
                  <w:shd w:val="clear" w:color="auto" w:fill="auto"/>
                  <w:vAlign w:val="center"/>
                </w:tcPr>
                <w:p>
                  <w:pPr>
                    <w:pStyle w:val="30"/>
                    <w:spacing w:line="360" w:lineRule="exact"/>
                    <w:rPr>
                      <w:rFonts w:eastAsiaTheme="minorEastAsia"/>
                      <w:color w:val="auto"/>
                    </w:rPr>
                  </w:pPr>
                  <w:r>
                    <w:rPr>
                      <w:rFonts w:eastAsiaTheme="minorEastAsia"/>
                      <w:color w:val="auto"/>
                    </w:rPr>
                    <w:t>1490.4</w:t>
                  </w:r>
                </w:p>
              </w:tc>
            </w:tr>
          </w:tbl>
          <w:p>
            <w:pPr>
              <w:spacing w:beforeLines="50"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（2）</w:t>
            </w:r>
            <w:r>
              <w:rPr>
                <w:rFonts w:ascii="Times New Roman" w:hAnsi="Times New Roman" w:cs="Times New Roman"/>
                <w:b/>
                <w:color w:val="auto"/>
                <w:sz w:val="24"/>
              </w:rPr>
              <w:t>废水</w:t>
            </w:r>
            <w:r>
              <w:rPr>
                <w:rFonts w:ascii="Times New Roman" w:hAnsi="Times New Roman" w:cs="Times New Roman"/>
                <w:b/>
                <w:color w:val="auto"/>
                <w:sz w:val="24"/>
                <w:szCs w:val="24"/>
              </w:rPr>
              <w:t>污染物排放源及达标性分析</w:t>
            </w:r>
          </w:p>
          <w:p>
            <w:pPr>
              <w:spacing w:line="360" w:lineRule="auto"/>
              <w:ind w:firstLine="482" w:firstLineChars="200"/>
              <w:rPr>
                <w:rFonts w:ascii="Times New Roman" w:hAnsi="Times New Roman" w:cs="Times New Roman"/>
                <w:b/>
                <w:color w:val="auto"/>
                <w:sz w:val="24"/>
              </w:rPr>
            </w:pPr>
            <w:r>
              <w:rPr>
                <w:rFonts w:ascii="Times New Roman" w:hAnsi="Times New Roman" w:eastAsia="宋体" w:cs="Times New Roman"/>
                <w:b/>
                <w:color w:val="auto"/>
                <w:sz w:val="24"/>
              </w:rPr>
              <w:t>①</w:t>
            </w:r>
            <w:r>
              <w:rPr>
                <w:rFonts w:ascii="Times New Roman" w:hAnsi="Times New Roman" w:cs="Times New Roman"/>
                <w:b/>
                <w:color w:val="auto"/>
                <w:sz w:val="24"/>
              </w:rPr>
              <w:t>废水污染物治理措施及排放方式</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项目废水污染物排放源的治理措施及排放方式如下表所示。</w:t>
            </w:r>
          </w:p>
          <w:p>
            <w:pPr>
              <w:spacing w:line="360" w:lineRule="auto"/>
              <w:ind w:firstLine="480" w:firstLineChars="200"/>
              <w:rPr>
                <w:rFonts w:ascii="Times New Roman" w:hAnsi="Times New Roman" w:cs="Times New Roman"/>
                <w:color w:val="auto"/>
                <w:sz w:val="24"/>
              </w:rPr>
            </w:pPr>
          </w:p>
          <w:p>
            <w:pPr>
              <w:spacing w:line="360" w:lineRule="auto"/>
              <w:ind w:firstLine="480" w:firstLineChars="200"/>
              <w:rPr>
                <w:rFonts w:ascii="Times New Roman" w:hAnsi="Times New Roman" w:cs="Times New Roman"/>
                <w:color w:val="auto"/>
                <w:sz w:val="24"/>
              </w:rPr>
            </w:pPr>
          </w:p>
          <w:p>
            <w:pPr>
              <w:spacing w:line="360" w:lineRule="auto"/>
              <w:ind w:firstLine="480" w:firstLineChars="200"/>
              <w:rPr>
                <w:rFonts w:ascii="Times New Roman" w:hAnsi="Times New Roman" w:cs="Times New Roman"/>
                <w:color w:val="auto"/>
                <w:sz w:val="24"/>
              </w:rPr>
            </w:pPr>
          </w:p>
          <w:p>
            <w:pPr>
              <w:spacing w:line="360" w:lineRule="auto"/>
              <w:ind w:firstLine="480" w:firstLineChars="200"/>
              <w:rPr>
                <w:rFonts w:ascii="Times New Roman" w:hAnsi="Times New Roman" w:cs="Times New Roman"/>
                <w:color w:val="auto"/>
                <w:sz w:val="24"/>
              </w:rPr>
            </w:pPr>
          </w:p>
          <w:p>
            <w:pPr>
              <w:jc w:val="center"/>
              <w:rPr>
                <w:rFonts w:ascii="Times New Roman" w:hAnsi="Times New Roman" w:cs="Times New Roman"/>
                <w:b/>
                <w:color w:val="auto"/>
                <w:szCs w:val="24"/>
              </w:rPr>
            </w:pPr>
            <w:r>
              <w:rPr>
                <w:rFonts w:ascii="Times New Roman" w:hAnsi="Times New Roman" w:cs="Times New Roman"/>
                <w:b/>
                <w:color w:val="auto"/>
                <w:szCs w:val="24"/>
              </w:rPr>
              <w:t xml:space="preserve">4.2.2-2 </w:t>
            </w:r>
            <w:r>
              <w:rPr>
                <w:rFonts w:ascii="Times New Roman" w:hAnsi="Times New Roman" w:cs="Times New Roman"/>
                <w:b/>
                <w:color w:val="auto"/>
              </w:rPr>
              <w:t>废水</w:t>
            </w:r>
            <w:r>
              <w:rPr>
                <w:rFonts w:ascii="Times New Roman" w:hAnsi="Times New Roman" w:cs="Times New Roman"/>
                <w:b/>
                <w:color w:val="auto"/>
                <w:szCs w:val="24"/>
              </w:rPr>
              <w:t>污染物治理措施及排放方式一览表</w:t>
            </w:r>
          </w:p>
          <w:tbl>
            <w:tblPr>
              <w:tblStyle w:val="20"/>
              <w:tblW w:w="904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72"/>
              <w:gridCol w:w="748"/>
              <w:gridCol w:w="1247"/>
              <w:gridCol w:w="3695"/>
              <w:gridCol w:w="850"/>
              <w:gridCol w:w="173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72" w:type="dxa"/>
                  <w:vAlign w:val="center"/>
                </w:tcPr>
                <w:p>
                  <w:pPr>
                    <w:pStyle w:val="30"/>
                    <w:spacing w:line="360" w:lineRule="exact"/>
                    <w:rPr>
                      <w:rFonts w:eastAsiaTheme="minorEastAsia"/>
                      <w:color w:val="auto"/>
                      <w:szCs w:val="21"/>
                    </w:rPr>
                  </w:pPr>
                  <w:r>
                    <w:rPr>
                      <w:rFonts w:eastAsiaTheme="minorEastAsia"/>
                      <w:color w:val="auto"/>
                      <w:szCs w:val="21"/>
                    </w:rPr>
                    <w:t>产排污环节</w:t>
                  </w:r>
                </w:p>
              </w:tc>
              <w:tc>
                <w:tcPr>
                  <w:tcW w:w="748" w:type="dxa"/>
                  <w:vAlign w:val="center"/>
                </w:tcPr>
                <w:p>
                  <w:pPr>
                    <w:pStyle w:val="30"/>
                    <w:spacing w:line="360" w:lineRule="exact"/>
                    <w:rPr>
                      <w:rFonts w:eastAsiaTheme="minorEastAsia"/>
                      <w:color w:val="auto"/>
                      <w:szCs w:val="21"/>
                    </w:rPr>
                  </w:pPr>
                  <w:r>
                    <w:rPr>
                      <w:rFonts w:eastAsiaTheme="minorEastAsia"/>
                      <w:color w:val="auto"/>
                      <w:szCs w:val="21"/>
                    </w:rPr>
                    <w:t>类别</w:t>
                  </w:r>
                </w:p>
              </w:tc>
              <w:tc>
                <w:tcPr>
                  <w:tcW w:w="1247" w:type="dxa"/>
                  <w:vAlign w:val="center"/>
                </w:tcPr>
                <w:p>
                  <w:pPr>
                    <w:pStyle w:val="30"/>
                    <w:spacing w:line="360" w:lineRule="exact"/>
                    <w:rPr>
                      <w:rFonts w:eastAsiaTheme="minorEastAsia"/>
                      <w:color w:val="auto"/>
                      <w:szCs w:val="21"/>
                    </w:rPr>
                  </w:pPr>
                  <w:r>
                    <w:rPr>
                      <w:rFonts w:eastAsiaTheme="minorEastAsia"/>
                      <w:color w:val="auto"/>
                      <w:szCs w:val="21"/>
                    </w:rPr>
                    <w:t>污染物种类</w:t>
                  </w:r>
                </w:p>
              </w:tc>
              <w:tc>
                <w:tcPr>
                  <w:tcW w:w="3695" w:type="dxa"/>
                  <w:vAlign w:val="center"/>
                </w:tcPr>
                <w:p>
                  <w:pPr>
                    <w:pStyle w:val="30"/>
                    <w:spacing w:line="360" w:lineRule="exact"/>
                    <w:rPr>
                      <w:rFonts w:eastAsiaTheme="minorEastAsia"/>
                      <w:color w:val="auto"/>
                      <w:szCs w:val="21"/>
                    </w:rPr>
                  </w:pPr>
                  <w:r>
                    <w:rPr>
                      <w:rFonts w:eastAsiaTheme="minorEastAsia"/>
                      <w:color w:val="auto"/>
                      <w:szCs w:val="21"/>
                    </w:rPr>
                    <w:t>治理设施、效率及去向</w:t>
                  </w:r>
                </w:p>
              </w:tc>
              <w:tc>
                <w:tcPr>
                  <w:tcW w:w="850" w:type="dxa"/>
                  <w:vAlign w:val="center"/>
                </w:tcPr>
                <w:p>
                  <w:pPr>
                    <w:spacing w:line="360" w:lineRule="exact"/>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排放形式及规律</w:t>
                  </w:r>
                </w:p>
              </w:tc>
              <w:tc>
                <w:tcPr>
                  <w:tcW w:w="1732" w:type="dxa"/>
                  <w:vAlign w:val="center"/>
                </w:tcPr>
                <w:p>
                  <w:pPr>
                    <w:spacing w:line="360" w:lineRule="exact"/>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排放口基本情况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47" w:hRule="atLeast"/>
              </w:trPr>
              <w:tc>
                <w:tcPr>
                  <w:tcW w:w="772" w:type="dxa"/>
                  <w:vAlign w:val="center"/>
                </w:tcPr>
                <w:p>
                  <w:pPr>
                    <w:pStyle w:val="30"/>
                    <w:spacing w:line="360" w:lineRule="exact"/>
                    <w:rPr>
                      <w:rFonts w:eastAsiaTheme="minorEastAsia"/>
                      <w:color w:val="auto"/>
                      <w:szCs w:val="21"/>
                    </w:rPr>
                  </w:pPr>
                  <w:r>
                    <w:rPr>
                      <w:rFonts w:eastAsiaTheme="minorEastAsia"/>
                      <w:color w:val="auto"/>
                      <w:szCs w:val="21"/>
                    </w:rPr>
                    <w:t>废旧洗衣机处理线</w:t>
                  </w:r>
                </w:p>
              </w:tc>
              <w:tc>
                <w:tcPr>
                  <w:tcW w:w="748" w:type="dxa"/>
                  <w:vAlign w:val="center"/>
                </w:tcPr>
                <w:p>
                  <w:pPr>
                    <w:pStyle w:val="30"/>
                    <w:spacing w:line="360" w:lineRule="exact"/>
                    <w:rPr>
                      <w:rFonts w:eastAsiaTheme="minorEastAsia"/>
                      <w:color w:val="auto"/>
                      <w:szCs w:val="21"/>
                    </w:rPr>
                  </w:pPr>
                  <w:r>
                    <w:rPr>
                      <w:rFonts w:eastAsiaTheme="minorEastAsia"/>
                      <w:color w:val="auto"/>
                      <w:szCs w:val="21"/>
                    </w:rPr>
                    <w:t>平衡盐水</w:t>
                  </w:r>
                </w:p>
              </w:tc>
              <w:tc>
                <w:tcPr>
                  <w:tcW w:w="1247" w:type="dxa"/>
                  <w:vAlign w:val="center"/>
                </w:tcPr>
                <w:p>
                  <w:pPr>
                    <w:pStyle w:val="30"/>
                    <w:spacing w:line="360" w:lineRule="exact"/>
                    <w:rPr>
                      <w:rFonts w:eastAsiaTheme="minorEastAsia"/>
                      <w:color w:val="auto"/>
                      <w:szCs w:val="21"/>
                    </w:rPr>
                  </w:pPr>
                  <w:r>
                    <w:rPr>
                      <w:rFonts w:eastAsiaTheme="minorEastAsia"/>
                      <w:color w:val="auto"/>
                      <w:szCs w:val="21"/>
                    </w:rPr>
                    <w:t>含盐（NaCl）</w:t>
                  </w:r>
                </w:p>
              </w:tc>
              <w:tc>
                <w:tcPr>
                  <w:tcW w:w="3695" w:type="dxa"/>
                  <w:vAlign w:val="center"/>
                </w:tcPr>
                <w:p>
                  <w:pPr>
                    <w:pStyle w:val="30"/>
                    <w:spacing w:line="360" w:lineRule="exact"/>
                    <w:ind w:firstLine="210" w:firstLineChars="100"/>
                    <w:jc w:val="both"/>
                    <w:rPr>
                      <w:rFonts w:eastAsiaTheme="minorEastAsia"/>
                      <w:color w:val="auto"/>
                      <w:szCs w:val="21"/>
                    </w:rPr>
                  </w:pPr>
                  <w:r>
                    <w:rPr>
                      <w:color w:val="auto"/>
                      <w:szCs w:val="21"/>
                    </w:rPr>
                    <w:t>根据调查，针对平衡盐水，已设置了1个2m³的盐水缸对其进行收集，按1：8的比例稀释后回用于绿化，不外排。</w:t>
                  </w:r>
                </w:p>
              </w:tc>
              <w:tc>
                <w:tcPr>
                  <w:tcW w:w="850" w:type="dxa"/>
                  <w:vAlign w:val="center"/>
                </w:tcPr>
                <w:p>
                  <w:pPr>
                    <w:spacing w:line="360" w:lineRule="exact"/>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不外排</w:t>
                  </w:r>
                </w:p>
              </w:tc>
              <w:tc>
                <w:tcPr>
                  <w:tcW w:w="1732" w:type="dxa"/>
                  <w:tcBorders>
                    <w:bottom w:val="single" w:color="auto" w:sz="4" w:space="0"/>
                  </w:tcBorders>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不外排</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72" w:type="dxa"/>
                  <w:vMerge w:val="restart"/>
                  <w:vAlign w:val="center"/>
                </w:tcPr>
                <w:p>
                  <w:pPr>
                    <w:pStyle w:val="30"/>
                    <w:spacing w:line="360" w:lineRule="exact"/>
                    <w:rPr>
                      <w:rFonts w:eastAsiaTheme="minorEastAsia"/>
                      <w:color w:val="auto"/>
                      <w:szCs w:val="21"/>
                    </w:rPr>
                  </w:pPr>
                  <w:r>
                    <w:rPr>
                      <w:rFonts w:eastAsiaTheme="minorEastAsia"/>
                      <w:color w:val="auto"/>
                      <w:szCs w:val="21"/>
                    </w:rPr>
                    <w:t>员工生活</w:t>
                  </w:r>
                </w:p>
              </w:tc>
              <w:tc>
                <w:tcPr>
                  <w:tcW w:w="748" w:type="dxa"/>
                  <w:vMerge w:val="restart"/>
                  <w:vAlign w:val="center"/>
                </w:tcPr>
                <w:p>
                  <w:pPr>
                    <w:pStyle w:val="30"/>
                    <w:spacing w:line="360" w:lineRule="exact"/>
                    <w:rPr>
                      <w:rFonts w:eastAsiaTheme="minorEastAsia"/>
                      <w:color w:val="auto"/>
                      <w:szCs w:val="21"/>
                    </w:rPr>
                  </w:pPr>
                  <w:r>
                    <w:rPr>
                      <w:rFonts w:eastAsiaTheme="minorEastAsia"/>
                      <w:color w:val="auto"/>
                      <w:szCs w:val="21"/>
                    </w:rPr>
                    <w:t>生活污水</w:t>
                  </w:r>
                </w:p>
              </w:tc>
              <w:tc>
                <w:tcPr>
                  <w:tcW w:w="1247" w:type="dxa"/>
                  <w:vAlign w:val="center"/>
                </w:tcPr>
                <w:p>
                  <w:pPr>
                    <w:pStyle w:val="30"/>
                    <w:spacing w:line="360" w:lineRule="exact"/>
                    <w:rPr>
                      <w:rFonts w:eastAsiaTheme="minorEastAsia"/>
                      <w:color w:val="auto"/>
                      <w:szCs w:val="21"/>
                    </w:rPr>
                  </w:pPr>
                  <w:r>
                    <w:rPr>
                      <w:rFonts w:eastAsiaTheme="minorEastAsia"/>
                      <w:color w:val="auto"/>
                      <w:szCs w:val="21"/>
                    </w:rPr>
                    <w:t>pH</w:t>
                  </w:r>
                </w:p>
              </w:tc>
              <w:tc>
                <w:tcPr>
                  <w:tcW w:w="3695" w:type="dxa"/>
                  <w:vMerge w:val="restart"/>
                  <w:vAlign w:val="center"/>
                </w:tcPr>
                <w:p>
                  <w:pPr>
                    <w:pStyle w:val="30"/>
                    <w:spacing w:line="360" w:lineRule="exact"/>
                    <w:ind w:firstLine="210" w:firstLineChars="100"/>
                    <w:jc w:val="both"/>
                    <w:rPr>
                      <w:color w:val="auto"/>
                      <w:szCs w:val="21"/>
                    </w:rPr>
                  </w:pPr>
                  <w:r>
                    <w:rPr>
                      <w:color w:val="auto"/>
                      <w:szCs w:val="21"/>
                    </w:rPr>
                    <w:t>根据调查，厂区内针对厨房废水，已配套设置了1个2m³的隔油池对厨房废水进行预处理；针对办公生活区，已配套设置了3个5m³的化粪池对生活污水进行处理；整改后拟建设1套处理能力为30m³/d的一体化污水处理设施对生活污水进行处理；并拟设置1个有效容积为30m³的清水池对处理后的生活污水进行暂存。</w:t>
                  </w:r>
                </w:p>
                <w:p>
                  <w:pPr>
                    <w:pStyle w:val="30"/>
                    <w:spacing w:line="360" w:lineRule="exact"/>
                    <w:ind w:firstLine="210" w:firstLineChars="100"/>
                    <w:jc w:val="both"/>
                    <w:rPr>
                      <w:color w:val="auto"/>
                      <w:szCs w:val="21"/>
                    </w:rPr>
                  </w:pPr>
                  <w:r>
                    <w:rPr>
                      <w:color w:val="auto"/>
                      <w:szCs w:val="21"/>
                    </w:rPr>
                    <w:t>近期（园区污水处理厂建成前），项目产生的生活污水通过隔油池、化粪池和一体化污水处理设施处理后，可达到《城市污水再生利用 城市杂用水水质》（GB/T18920 -2020）城市绿化标准，回用于绿化不外排；远期（园区污水处理厂建成后），项目产生的生活污水通过隔油池、化粪池预处理后，可达到《污水排入城镇下水道水质标准》（GB/T31962-2015）中B级标准，进入东川再就业特区天生桥特色产业园污水处理厂集中处理。</w:t>
                  </w:r>
                </w:p>
              </w:tc>
              <w:tc>
                <w:tcPr>
                  <w:tcW w:w="850" w:type="dxa"/>
                  <w:vMerge w:val="restart"/>
                  <w:vAlign w:val="center"/>
                </w:tcPr>
                <w:p>
                  <w:pPr>
                    <w:pStyle w:val="30"/>
                    <w:spacing w:line="360" w:lineRule="exact"/>
                    <w:rPr>
                      <w:rFonts w:eastAsiaTheme="minorEastAsia"/>
                      <w:color w:val="auto"/>
                      <w:szCs w:val="21"/>
                    </w:rPr>
                  </w:pPr>
                  <w:r>
                    <w:rPr>
                      <w:rFonts w:eastAsiaTheme="minorEastAsia"/>
                      <w:color w:val="auto"/>
                      <w:szCs w:val="21"/>
                    </w:rPr>
                    <w:t>间接排放、间断排放</w:t>
                  </w:r>
                </w:p>
              </w:tc>
              <w:tc>
                <w:tcPr>
                  <w:tcW w:w="1732" w:type="dxa"/>
                  <w:vMerge w:val="restart"/>
                  <w:tcBorders>
                    <w:top w:val="single" w:color="auto" w:sz="4" w:space="0"/>
                  </w:tcBorders>
                  <w:vAlign w:val="center"/>
                </w:tcPr>
                <w:p>
                  <w:pPr>
                    <w:pStyle w:val="30"/>
                    <w:spacing w:line="360" w:lineRule="exact"/>
                    <w:ind w:firstLine="210" w:firstLineChars="100"/>
                    <w:jc w:val="both"/>
                    <w:rPr>
                      <w:rFonts w:eastAsiaTheme="minorEastAsia"/>
                      <w:color w:val="auto"/>
                      <w:szCs w:val="21"/>
                    </w:rPr>
                  </w:pPr>
                  <w:r>
                    <w:rPr>
                      <w:color w:val="auto"/>
                      <w:szCs w:val="21"/>
                    </w:rPr>
                    <w:t>①</w:t>
                  </w:r>
                  <w:r>
                    <w:rPr>
                      <w:rFonts w:eastAsiaTheme="minorEastAsia"/>
                      <w:color w:val="auto"/>
                      <w:szCs w:val="21"/>
                    </w:rPr>
                    <w:t>近期（园区污水处理厂建成前）不设排放口；</w:t>
                  </w:r>
                </w:p>
                <w:p>
                  <w:pPr>
                    <w:pStyle w:val="30"/>
                    <w:spacing w:line="360" w:lineRule="exact"/>
                    <w:ind w:firstLine="210" w:firstLineChars="100"/>
                    <w:jc w:val="both"/>
                    <w:rPr>
                      <w:rFonts w:eastAsiaTheme="minorEastAsia"/>
                      <w:color w:val="auto"/>
                      <w:szCs w:val="21"/>
                    </w:rPr>
                  </w:pPr>
                  <w:r>
                    <w:rPr>
                      <w:color w:val="auto"/>
                      <w:szCs w:val="21"/>
                    </w:rPr>
                    <w:t>②</w:t>
                  </w:r>
                  <w:r>
                    <w:rPr>
                      <w:rFonts w:eastAsiaTheme="minorEastAsia"/>
                      <w:color w:val="auto"/>
                      <w:szCs w:val="21"/>
                    </w:rPr>
                    <w:t>远期（园区污水处理厂建成后）排放口信息如下：</w:t>
                  </w:r>
                </w:p>
                <w:p>
                  <w:pPr>
                    <w:pStyle w:val="30"/>
                    <w:spacing w:line="360" w:lineRule="exact"/>
                    <w:ind w:firstLine="210" w:firstLineChars="100"/>
                    <w:jc w:val="left"/>
                    <w:rPr>
                      <w:rFonts w:eastAsiaTheme="minorEastAsia"/>
                      <w:color w:val="auto"/>
                      <w:szCs w:val="21"/>
                    </w:rPr>
                  </w:pPr>
                  <w:r>
                    <w:rPr>
                      <w:rFonts w:eastAsiaTheme="minorEastAsia"/>
                      <w:color w:val="auto"/>
                      <w:szCs w:val="21"/>
                    </w:rPr>
                    <w:t>名称：化粪池</w:t>
                  </w:r>
                </w:p>
                <w:p>
                  <w:pPr>
                    <w:pStyle w:val="30"/>
                    <w:spacing w:line="360" w:lineRule="exact"/>
                    <w:ind w:firstLine="210" w:firstLineChars="100"/>
                    <w:jc w:val="left"/>
                    <w:rPr>
                      <w:rFonts w:eastAsiaTheme="minorEastAsia"/>
                      <w:color w:val="auto"/>
                      <w:szCs w:val="21"/>
                    </w:rPr>
                  </w:pPr>
                  <w:r>
                    <w:rPr>
                      <w:rFonts w:eastAsiaTheme="minorEastAsia"/>
                      <w:color w:val="auto"/>
                      <w:szCs w:val="21"/>
                    </w:rPr>
                    <w:t>坐标：E103°15'5.26"，N26°38'28.63"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72" w:type="dxa"/>
                  <w:vMerge w:val="continue"/>
                  <w:vAlign w:val="center"/>
                </w:tcPr>
                <w:p>
                  <w:pPr>
                    <w:pStyle w:val="30"/>
                    <w:spacing w:line="360" w:lineRule="exact"/>
                    <w:rPr>
                      <w:rFonts w:eastAsiaTheme="minorEastAsia"/>
                      <w:color w:val="auto"/>
                      <w:szCs w:val="21"/>
                    </w:rPr>
                  </w:pPr>
                </w:p>
              </w:tc>
              <w:tc>
                <w:tcPr>
                  <w:tcW w:w="748" w:type="dxa"/>
                  <w:vMerge w:val="continue"/>
                  <w:vAlign w:val="center"/>
                </w:tcPr>
                <w:p>
                  <w:pPr>
                    <w:pStyle w:val="30"/>
                    <w:spacing w:line="360" w:lineRule="exact"/>
                    <w:rPr>
                      <w:rFonts w:eastAsiaTheme="minorEastAsia"/>
                      <w:color w:val="auto"/>
                      <w:szCs w:val="21"/>
                    </w:rPr>
                  </w:pPr>
                </w:p>
              </w:tc>
              <w:tc>
                <w:tcPr>
                  <w:tcW w:w="1247" w:type="dxa"/>
                  <w:vAlign w:val="center"/>
                </w:tcPr>
                <w:p>
                  <w:pPr>
                    <w:pStyle w:val="30"/>
                    <w:spacing w:line="360" w:lineRule="exact"/>
                    <w:rPr>
                      <w:rFonts w:eastAsiaTheme="minorEastAsia"/>
                      <w:color w:val="auto"/>
                      <w:szCs w:val="21"/>
                    </w:rPr>
                  </w:pPr>
                  <w:r>
                    <w:rPr>
                      <w:rFonts w:eastAsiaTheme="minorEastAsia"/>
                      <w:color w:val="auto"/>
                      <w:szCs w:val="21"/>
                    </w:rPr>
                    <w:t>CODcr</w:t>
                  </w:r>
                </w:p>
              </w:tc>
              <w:tc>
                <w:tcPr>
                  <w:tcW w:w="3695" w:type="dxa"/>
                  <w:vMerge w:val="continue"/>
                  <w:vAlign w:val="center"/>
                </w:tcPr>
                <w:p>
                  <w:pPr>
                    <w:pStyle w:val="30"/>
                    <w:spacing w:line="360" w:lineRule="exact"/>
                    <w:ind w:firstLine="210" w:firstLineChars="100"/>
                    <w:jc w:val="both"/>
                    <w:rPr>
                      <w:color w:val="auto"/>
                      <w:szCs w:val="21"/>
                    </w:rPr>
                  </w:pPr>
                </w:p>
              </w:tc>
              <w:tc>
                <w:tcPr>
                  <w:tcW w:w="850" w:type="dxa"/>
                  <w:vMerge w:val="continue"/>
                  <w:vAlign w:val="center"/>
                </w:tcPr>
                <w:p>
                  <w:pPr>
                    <w:pStyle w:val="30"/>
                    <w:spacing w:line="360" w:lineRule="exact"/>
                    <w:rPr>
                      <w:rFonts w:eastAsiaTheme="minorEastAsia"/>
                      <w:color w:val="auto"/>
                      <w:szCs w:val="21"/>
                    </w:rPr>
                  </w:pPr>
                </w:p>
              </w:tc>
              <w:tc>
                <w:tcPr>
                  <w:tcW w:w="1732" w:type="dxa"/>
                  <w:vMerge w:val="continue"/>
                  <w:vAlign w:val="center"/>
                </w:tcPr>
                <w:p>
                  <w:pPr>
                    <w:spacing w:line="360" w:lineRule="exact"/>
                    <w:jc w:val="center"/>
                    <w:rPr>
                      <w:rFonts w:ascii="Times New Roman" w:hAnsi="Times New Roman" w:cs="Times New Roman"/>
                      <w:color w:va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72" w:type="dxa"/>
                  <w:vMerge w:val="continue"/>
                  <w:vAlign w:val="center"/>
                </w:tcPr>
                <w:p>
                  <w:pPr>
                    <w:pStyle w:val="30"/>
                    <w:spacing w:line="360" w:lineRule="exact"/>
                    <w:rPr>
                      <w:rFonts w:eastAsiaTheme="minorEastAsia"/>
                      <w:color w:val="auto"/>
                      <w:szCs w:val="21"/>
                    </w:rPr>
                  </w:pPr>
                </w:p>
              </w:tc>
              <w:tc>
                <w:tcPr>
                  <w:tcW w:w="748" w:type="dxa"/>
                  <w:vMerge w:val="continue"/>
                  <w:vAlign w:val="center"/>
                </w:tcPr>
                <w:p>
                  <w:pPr>
                    <w:pStyle w:val="30"/>
                    <w:spacing w:line="360" w:lineRule="exact"/>
                    <w:rPr>
                      <w:rFonts w:eastAsiaTheme="minorEastAsia"/>
                      <w:color w:val="auto"/>
                      <w:szCs w:val="21"/>
                    </w:rPr>
                  </w:pPr>
                </w:p>
              </w:tc>
              <w:tc>
                <w:tcPr>
                  <w:tcW w:w="1247" w:type="dxa"/>
                  <w:vAlign w:val="center"/>
                </w:tcPr>
                <w:p>
                  <w:pPr>
                    <w:pStyle w:val="30"/>
                    <w:spacing w:line="360" w:lineRule="exact"/>
                    <w:rPr>
                      <w:rFonts w:eastAsiaTheme="minorEastAsia"/>
                      <w:color w:val="auto"/>
                      <w:szCs w:val="21"/>
                    </w:rPr>
                  </w:pPr>
                  <w:r>
                    <w:rPr>
                      <w:rFonts w:eastAsiaTheme="minorEastAsia"/>
                      <w:color w:val="auto"/>
                      <w:szCs w:val="21"/>
                    </w:rPr>
                    <w:t>BOD</w:t>
                  </w:r>
                  <w:r>
                    <w:rPr>
                      <w:rFonts w:eastAsiaTheme="minorEastAsia"/>
                      <w:color w:val="auto"/>
                      <w:szCs w:val="21"/>
                      <w:vertAlign w:val="subscript"/>
                    </w:rPr>
                    <w:t>5</w:t>
                  </w:r>
                </w:p>
              </w:tc>
              <w:tc>
                <w:tcPr>
                  <w:tcW w:w="3695" w:type="dxa"/>
                  <w:vMerge w:val="continue"/>
                  <w:vAlign w:val="center"/>
                </w:tcPr>
                <w:p>
                  <w:pPr>
                    <w:pStyle w:val="30"/>
                    <w:spacing w:line="360" w:lineRule="exact"/>
                    <w:ind w:firstLine="210" w:firstLineChars="100"/>
                    <w:jc w:val="both"/>
                    <w:rPr>
                      <w:color w:val="auto"/>
                      <w:szCs w:val="21"/>
                    </w:rPr>
                  </w:pPr>
                </w:p>
              </w:tc>
              <w:tc>
                <w:tcPr>
                  <w:tcW w:w="850" w:type="dxa"/>
                  <w:vMerge w:val="continue"/>
                  <w:vAlign w:val="center"/>
                </w:tcPr>
                <w:p>
                  <w:pPr>
                    <w:pStyle w:val="30"/>
                    <w:spacing w:line="360" w:lineRule="exact"/>
                    <w:rPr>
                      <w:rFonts w:eastAsiaTheme="minorEastAsia"/>
                      <w:color w:val="auto"/>
                      <w:szCs w:val="21"/>
                    </w:rPr>
                  </w:pPr>
                </w:p>
              </w:tc>
              <w:tc>
                <w:tcPr>
                  <w:tcW w:w="1732" w:type="dxa"/>
                  <w:vMerge w:val="continue"/>
                  <w:vAlign w:val="center"/>
                </w:tcPr>
                <w:p>
                  <w:pPr>
                    <w:spacing w:line="360" w:lineRule="exact"/>
                    <w:jc w:val="center"/>
                    <w:rPr>
                      <w:rFonts w:ascii="Times New Roman" w:hAnsi="Times New Roman" w:cs="Times New Roman"/>
                      <w:color w:va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72" w:type="dxa"/>
                  <w:vMerge w:val="continue"/>
                  <w:vAlign w:val="center"/>
                </w:tcPr>
                <w:p>
                  <w:pPr>
                    <w:pStyle w:val="30"/>
                    <w:spacing w:line="360" w:lineRule="exact"/>
                    <w:rPr>
                      <w:rFonts w:eastAsiaTheme="minorEastAsia"/>
                      <w:color w:val="auto"/>
                      <w:szCs w:val="21"/>
                    </w:rPr>
                  </w:pPr>
                </w:p>
              </w:tc>
              <w:tc>
                <w:tcPr>
                  <w:tcW w:w="748" w:type="dxa"/>
                  <w:vMerge w:val="continue"/>
                  <w:vAlign w:val="center"/>
                </w:tcPr>
                <w:p>
                  <w:pPr>
                    <w:pStyle w:val="30"/>
                    <w:spacing w:line="360" w:lineRule="exact"/>
                    <w:rPr>
                      <w:rFonts w:eastAsiaTheme="minorEastAsia"/>
                      <w:color w:val="auto"/>
                      <w:szCs w:val="21"/>
                    </w:rPr>
                  </w:pPr>
                </w:p>
              </w:tc>
              <w:tc>
                <w:tcPr>
                  <w:tcW w:w="1247" w:type="dxa"/>
                  <w:vAlign w:val="center"/>
                </w:tcPr>
                <w:p>
                  <w:pPr>
                    <w:pStyle w:val="30"/>
                    <w:spacing w:line="360" w:lineRule="exact"/>
                    <w:rPr>
                      <w:rFonts w:eastAsiaTheme="minorEastAsia"/>
                      <w:color w:val="auto"/>
                      <w:szCs w:val="21"/>
                    </w:rPr>
                  </w:pPr>
                  <w:r>
                    <w:rPr>
                      <w:rFonts w:eastAsiaTheme="minorEastAsia"/>
                      <w:color w:val="auto"/>
                      <w:szCs w:val="21"/>
                    </w:rPr>
                    <w:t>NH</w:t>
                  </w:r>
                  <w:r>
                    <w:rPr>
                      <w:rFonts w:eastAsiaTheme="minorEastAsia"/>
                      <w:color w:val="auto"/>
                      <w:szCs w:val="21"/>
                      <w:vertAlign w:val="subscript"/>
                    </w:rPr>
                    <w:t>3</w:t>
                  </w:r>
                  <w:r>
                    <w:rPr>
                      <w:rFonts w:eastAsiaTheme="minorEastAsia"/>
                      <w:color w:val="auto"/>
                      <w:szCs w:val="21"/>
                    </w:rPr>
                    <w:t>-N</w:t>
                  </w:r>
                </w:p>
              </w:tc>
              <w:tc>
                <w:tcPr>
                  <w:tcW w:w="3695" w:type="dxa"/>
                  <w:vMerge w:val="continue"/>
                  <w:vAlign w:val="center"/>
                </w:tcPr>
                <w:p>
                  <w:pPr>
                    <w:pStyle w:val="30"/>
                    <w:spacing w:line="360" w:lineRule="exact"/>
                    <w:ind w:firstLine="210" w:firstLineChars="100"/>
                    <w:jc w:val="both"/>
                    <w:rPr>
                      <w:color w:val="auto"/>
                      <w:szCs w:val="21"/>
                    </w:rPr>
                  </w:pPr>
                </w:p>
              </w:tc>
              <w:tc>
                <w:tcPr>
                  <w:tcW w:w="850" w:type="dxa"/>
                  <w:vMerge w:val="continue"/>
                  <w:vAlign w:val="center"/>
                </w:tcPr>
                <w:p>
                  <w:pPr>
                    <w:pStyle w:val="30"/>
                    <w:spacing w:line="360" w:lineRule="exact"/>
                    <w:rPr>
                      <w:rFonts w:eastAsiaTheme="minorEastAsia"/>
                      <w:color w:val="auto"/>
                      <w:szCs w:val="21"/>
                    </w:rPr>
                  </w:pPr>
                </w:p>
              </w:tc>
              <w:tc>
                <w:tcPr>
                  <w:tcW w:w="1732" w:type="dxa"/>
                  <w:vMerge w:val="continue"/>
                  <w:vAlign w:val="center"/>
                </w:tcPr>
                <w:p>
                  <w:pPr>
                    <w:spacing w:line="360" w:lineRule="exact"/>
                    <w:jc w:val="center"/>
                    <w:rPr>
                      <w:rFonts w:ascii="Times New Roman" w:hAnsi="Times New Roman" w:cs="Times New Roman"/>
                      <w:color w:va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72" w:type="dxa"/>
                  <w:vMerge w:val="continue"/>
                  <w:vAlign w:val="center"/>
                </w:tcPr>
                <w:p>
                  <w:pPr>
                    <w:pStyle w:val="30"/>
                    <w:spacing w:line="360" w:lineRule="exact"/>
                    <w:rPr>
                      <w:rFonts w:eastAsiaTheme="minorEastAsia"/>
                      <w:color w:val="auto"/>
                      <w:szCs w:val="21"/>
                    </w:rPr>
                  </w:pPr>
                </w:p>
              </w:tc>
              <w:tc>
                <w:tcPr>
                  <w:tcW w:w="748" w:type="dxa"/>
                  <w:vMerge w:val="continue"/>
                  <w:vAlign w:val="center"/>
                </w:tcPr>
                <w:p>
                  <w:pPr>
                    <w:pStyle w:val="30"/>
                    <w:spacing w:line="360" w:lineRule="exact"/>
                    <w:rPr>
                      <w:rFonts w:eastAsiaTheme="minorEastAsia"/>
                      <w:color w:val="auto"/>
                      <w:szCs w:val="21"/>
                    </w:rPr>
                  </w:pPr>
                </w:p>
              </w:tc>
              <w:tc>
                <w:tcPr>
                  <w:tcW w:w="1247" w:type="dxa"/>
                  <w:vAlign w:val="center"/>
                </w:tcPr>
                <w:p>
                  <w:pPr>
                    <w:pStyle w:val="30"/>
                    <w:spacing w:line="360" w:lineRule="exact"/>
                    <w:rPr>
                      <w:rFonts w:eastAsiaTheme="minorEastAsia"/>
                      <w:color w:val="auto"/>
                      <w:szCs w:val="21"/>
                    </w:rPr>
                  </w:pPr>
                  <w:r>
                    <w:rPr>
                      <w:rFonts w:eastAsiaTheme="minorEastAsia"/>
                      <w:color w:val="auto"/>
                      <w:szCs w:val="21"/>
                    </w:rPr>
                    <w:t>SS</w:t>
                  </w:r>
                </w:p>
              </w:tc>
              <w:tc>
                <w:tcPr>
                  <w:tcW w:w="3695" w:type="dxa"/>
                  <w:vMerge w:val="continue"/>
                  <w:vAlign w:val="center"/>
                </w:tcPr>
                <w:p>
                  <w:pPr>
                    <w:pStyle w:val="30"/>
                    <w:spacing w:line="360" w:lineRule="exact"/>
                    <w:ind w:firstLine="210" w:firstLineChars="100"/>
                    <w:jc w:val="both"/>
                    <w:rPr>
                      <w:color w:val="auto"/>
                      <w:szCs w:val="21"/>
                    </w:rPr>
                  </w:pPr>
                </w:p>
              </w:tc>
              <w:tc>
                <w:tcPr>
                  <w:tcW w:w="850" w:type="dxa"/>
                  <w:vMerge w:val="continue"/>
                  <w:vAlign w:val="center"/>
                </w:tcPr>
                <w:p>
                  <w:pPr>
                    <w:pStyle w:val="30"/>
                    <w:spacing w:line="360" w:lineRule="exact"/>
                    <w:rPr>
                      <w:rFonts w:eastAsiaTheme="minorEastAsia"/>
                      <w:color w:val="auto"/>
                      <w:szCs w:val="21"/>
                    </w:rPr>
                  </w:pPr>
                </w:p>
              </w:tc>
              <w:tc>
                <w:tcPr>
                  <w:tcW w:w="1732" w:type="dxa"/>
                  <w:vMerge w:val="continue"/>
                  <w:vAlign w:val="center"/>
                </w:tcPr>
                <w:p>
                  <w:pPr>
                    <w:spacing w:line="360" w:lineRule="exact"/>
                    <w:jc w:val="center"/>
                    <w:rPr>
                      <w:rFonts w:ascii="Times New Roman" w:hAnsi="Times New Roman" w:cs="Times New Roman"/>
                      <w:color w:va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72" w:type="dxa"/>
                  <w:vMerge w:val="continue"/>
                  <w:vAlign w:val="center"/>
                </w:tcPr>
                <w:p>
                  <w:pPr>
                    <w:pStyle w:val="30"/>
                    <w:spacing w:line="360" w:lineRule="exact"/>
                    <w:rPr>
                      <w:rFonts w:eastAsiaTheme="minorEastAsia"/>
                      <w:color w:val="auto"/>
                      <w:szCs w:val="21"/>
                    </w:rPr>
                  </w:pPr>
                </w:p>
              </w:tc>
              <w:tc>
                <w:tcPr>
                  <w:tcW w:w="748" w:type="dxa"/>
                  <w:vMerge w:val="continue"/>
                  <w:vAlign w:val="center"/>
                </w:tcPr>
                <w:p>
                  <w:pPr>
                    <w:pStyle w:val="30"/>
                    <w:spacing w:line="360" w:lineRule="exact"/>
                    <w:rPr>
                      <w:rFonts w:eastAsiaTheme="minorEastAsia"/>
                      <w:color w:val="auto"/>
                      <w:szCs w:val="21"/>
                    </w:rPr>
                  </w:pPr>
                </w:p>
              </w:tc>
              <w:tc>
                <w:tcPr>
                  <w:tcW w:w="1247" w:type="dxa"/>
                  <w:vAlign w:val="center"/>
                </w:tcPr>
                <w:p>
                  <w:pPr>
                    <w:pStyle w:val="30"/>
                    <w:spacing w:line="360" w:lineRule="exact"/>
                    <w:rPr>
                      <w:rFonts w:eastAsiaTheme="minorEastAsia"/>
                      <w:color w:val="auto"/>
                      <w:szCs w:val="21"/>
                    </w:rPr>
                  </w:pPr>
                  <w:r>
                    <w:rPr>
                      <w:rFonts w:eastAsiaTheme="minorEastAsia"/>
                      <w:color w:val="auto"/>
                      <w:szCs w:val="21"/>
                    </w:rPr>
                    <w:t>总磷</w:t>
                  </w:r>
                </w:p>
              </w:tc>
              <w:tc>
                <w:tcPr>
                  <w:tcW w:w="3695" w:type="dxa"/>
                  <w:vMerge w:val="continue"/>
                  <w:vAlign w:val="center"/>
                </w:tcPr>
                <w:p>
                  <w:pPr>
                    <w:pStyle w:val="30"/>
                    <w:spacing w:line="360" w:lineRule="exact"/>
                    <w:ind w:firstLine="210" w:firstLineChars="100"/>
                    <w:jc w:val="both"/>
                    <w:rPr>
                      <w:color w:val="auto"/>
                      <w:szCs w:val="21"/>
                    </w:rPr>
                  </w:pPr>
                </w:p>
              </w:tc>
              <w:tc>
                <w:tcPr>
                  <w:tcW w:w="850" w:type="dxa"/>
                  <w:vMerge w:val="continue"/>
                  <w:vAlign w:val="center"/>
                </w:tcPr>
                <w:p>
                  <w:pPr>
                    <w:pStyle w:val="30"/>
                    <w:spacing w:line="360" w:lineRule="exact"/>
                    <w:rPr>
                      <w:rFonts w:eastAsiaTheme="minorEastAsia"/>
                      <w:color w:val="auto"/>
                      <w:szCs w:val="21"/>
                    </w:rPr>
                  </w:pPr>
                </w:p>
              </w:tc>
              <w:tc>
                <w:tcPr>
                  <w:tcW w:w="1732" w:type="dxa"/>
                  <w:vMerge w:val="continue"/>
                  <w:vAlign w:val="center"/>
                </w:tcPr>
                <w:p>
                  <w:pPr>
                    <w:spacing w:line="360" w:lineRule="exact"/>
                    <w:jc w:val="center"/>
                    <w:rPr>
                      <w:rFonts w:ascii="Times New Roman" w:hAnsi="Times New Roman" w:cs="Times New Roman"/>
                      <w:color w:va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72" w:type="dxa"/>
                  <w:vMerge w:val="continue"/>
                  <w:vAlign w:val="center"/>
                </w:tcPr>
                <w:p>
                  <w:pPr>
                    <w:pStyle w:val="30"/>
                    <w:spacing w:line="360" w:lineRule="exact"/>
                    <w:rPr>
                      <w:rFonts w:eastAsiaTheme="minorEastAsia"/>
                      <w:color w:val="auto"/>
                      <w:szCs w:val="21"/>
                    </w:rPr>
                  </w:pPr>
                </w:p>
              </w:tc>
              <w:tc>
                <w:tcPr>
                  <w:tcW w:w="748" w:type="dxa"/>
                  <w:vMerge w:val="continue"/>
                  <w:vAlign w:val="center"/>
                </w:tcPr>
                <w:p>
                  <w:pPr>
                    <w:pStyle w:val="30"/>
                    <w:spacing w:line="360" w:lineRule="exact"/>
                    <w:rPr>
                      <w:rFonts w:eastAsiaTheme="minorEastAsia"/>
                      <w:color w:val="auto"/>
                      <w:szCs w:val="21"/>
                    </w:rPr>
                  </w:pPr>
                </w:p>
              </w:tc>
              <w:tc>
                <w:tcPr>
                  <w:tcW w:w="1247" w:type="dxa"/>
                  <w:vAlign w:val="center"/>
                </w:tcPr>
                <w:p>
                  <w:pPr>
                    <w:pStyle w:val="30"/>
                    <w:spacing w:line="360" w:lineRule="exact"/>
                    <w:rPr>
                      <w:rFonts w:eastAsiaTheme="minorEastAsia"/>
                      <w:color w:val="auto"/>
                      <w:szCs w:val="21"/>
                    </w:rPr>
                  </w:pPr>
                  <w:r>
                    <w:rPr>
                      <w:rFonts w:eastAsiaTheme="minorEastAsia"/>
                      <w:color w:val="auto"/>
                      <w:szCs w:val="21"/>
                    </w:rPr>
                    <w:t>总氮</w:t>
                  </w:r>
                </w:p>
              </w:tc>
              <w:tc>
                <w:tcPr>
                  <w:tcW w:w="3695" w:type="dxa"/>
                  <w:vMerge w:val="continue"/>
                  <w:vAlign w:val="center"/>
                </w:tcPr>
                <w:p>
                  <w:pPr>
                    <w:pStyle w:val="30"/>
                    <w:spacing w:line="360" w:lineRule="exact"/>
                    <w:ind w:firstLine="210" w:firstLineChars="100"/>
                    <w:jc w:val="both"/>
                    <w:rPr>
                      <w:color w:val="auto"/>
                      <w:szCs w:val="21"/>
                    </w:rPr>
                  </w:pPr>
                </w:p>
              </w:tc>
              <w:tc>
                <w:tcPr>
                  <w:tcW w:w="850" w:type="dxa"/>
                  <w:vMerge w:val="continue"/>
                  <w:vAlign w:val="center"/>
                </w:tcPr>
                <w:p>
                  <w:pPr>
                    <w:pStyle w:val="30"/>
                    <w:spacing w:line="360" w:lineRule="exact"/>
                    <w:rPr>
                      <w:rFonts w:eastAsiaTheme="minorEastAsia"/>
                      <w:color w:val="auto"/>
                      <w:szCs w:val="21"/>
                    </w:rPr>
                  </w:pPr>
                </w:p>
              </w:tc>
              <w:tc>
                <w:tcPr>
                  <w:tcW w:w="1732" w:type="dxa"/>
                  <w:vMerge w:val="continue"/>
                  <w:vAlign w:val="center"/>
                </w:tcPr>
                <w:p>
                  <w:pPr>
                    <w:spacing w:line="360" w:lineRule="exact"/>
                    <w:jc w:val="center"/>
                    <w:rPr>
                      <w:rFonts w:ascii="Times New Roman" w:hAnsi="Times New Roman" w:cs="Times New Roman"/>
                      <w:color w:va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72" w:type="dxa"/>
                  <w:vMerge w:val="continue"/>
                  <w:vAlign w:val="center"/>
                </w:tcPr>
                <w:p>
                  <w:pPr>
                    <w:pStyle w:val="30"/>
                    <w:spacing w:line="360" w:lineRule="exact"/>
                    <w:rPr>
                      <w:rFonts w:eastAsiaTheme="minorEastAsia"/>
                      <w:color w:val="auto"/>
                      <w:szCs w:val="21"/>
                    </w:rPr>
                  </w:pPr>
                </w:p>
              </w:tc>
              <w:tc>
                <w:tcPr>
                  <w:tcW w:w="748" w:type="dxa"/>
                  <w:vMerge w:val="continue"/>
                  <w:vAlign w:val="center"/>
                </w:tcPr>
                <w:p>
                  <w:pPr>
                    <w:pStyle w:val="30"/>
                    <w:spacing w:line="360" w:lineRule="exact"/>
                    <w:rPr>
                      <w:rFonts w:eastAsiaTheme="minorEastAsia"/>
                      <w:color w:val="auto"/>
                      <w:szCs w:val="21"/>
                    </w:rPr>
                  </w:pPr>
                </w:p>
              </w:tc>
              <w:tc>
                <w:tcPr>
                  <w:tcW w:w="1247" w:type="dxa"/>
                  <w:vAlign w:val="center"/>
                </w:tcPr>
                <w:p>
                  <w:pPr>
                    <w:pStyle w:val="30"/>
                    <w:spacing w:line="360" w:lineRule="exact"/>
                    <w:rPr>
                      <w:rFonts w:eastAsiaTheme="minorEastAsia"/>
                      <w:color w:val="auto"/>
                      <w:szCs w:val="21"/>
                    </w:rPr>
                  </w:pPr>
                  <w:r>
                    <w:rPr>
                      <w:rFonts w:eastAsiaTheme="minorEastAsia"/>
                      <w:bCs w:val="0"/>
                      <w:snapToGrid/>
                      <w:color w:val="auto"/>
                      <w:kern w:val="0"/>
                      <w:szCs w:val="21"/>
                      <w:lang w:val="en-US"/>
                    </w:rPr>
                    <w:t>阴离子表面活性剂</w:t>
                  </w:r>
                </w:p>
              </w:tc>
              <w:tc>
                <w:tcPr>
                  <w:tcW w:w="3695" w:type="dxa"/>
                  <w:vMerge w:val="continue"/>
                  <w:vAlign w:val="center"/>
                </w:tcPr>
                <w:p>
                  <w:pPr>
                    <w:pStyle w:val="30"/>
                    <w:spacing w:line="360" w:lineRule="exact"/>
                    <w:ind w:firstLine="210" w:firstLineChars="100"/>
                    <w:jc w:val="both"/>
                    <w:rPr>
                      <w:color w:val="auto"/>
                      <w:szCs w:val="21"/>
                    </w:rPr>
                  </w:pPr>
                </w:p>
              </w:tc>
              <w:tc>
                <w:tcPr>
                  <w:tcW w:w="850" w:type="dxa"/>
                  <w:vMerge w:val="continue"/>
                  <w:vAlign w:val="center"/>
                </w:tcPr>
                <w:p>
                  <w:pPr>
                    <w:pStyle w:val="30"/>
                    <w:spacing w:line="360" w:lineRule="exact"/>
                    <w:rPr>
                      <w:rFonts w:eastAsiaTheme="minorEastAsia"/>
                      <w:color w:val="auto"/>
                      <w:szCs w:val="21"/>
                    </w:rPr>
                  </w:pPr>
                </w:p>
              </w:tc>
              <w:tc>
                <w:tcPr>
                  <w:tcW w:w="1732" w:type="dxa"/>
                  <w:vMerge w:val="continue"/>
                  <w:vAlign w:val="center"/>
                </w:tcPr>
                <w:p>
                  <w:pPr>
                    <w:spacing w:line="360" w:lineRule="exact"/>
                    <w:jc w:val="center"/>
                    <w:rPr>
                      <w:rFonts w:ascii="Times New Roman" w:hAnsi="Times New Roman" w:cs="Times New Roman"/>
                      <w:color w:va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72" w:type="dxa"/>
                  <w:vMerge w:val="continue"/>
                  <w:vAlign w:val="center"/>
                </w:tcPr>
                <w:p>
                  <w:pPr>
                    <w:pStyle w:val="30"/>
                    <w:spacing w:line="360" w:lineRule="exact"/>
                    <w:rPr>
                      <w:rFonts w:eastAsiaTheme="minorEastAsia"/>
                      <w:color w:val="auto"/>
                      <w:szCs w:val="21"/>
                    </w:rPr>
                  </w:pPr>
                </w:p>
              </w:tc>
              <w:tc>
                <w:tcPr>
                  <w:tcW w:w="748" w:type="dxa"/>
                  <w:vMerge w:val="continue"/>
                  <w:vAlign w:val="center"/>
                </w:tcPr>
                <w:p>
                  <w:pPr>
                    <w:pStyle w:val="30"/>
                    <w:spacing w:line="360" w:lineRule="exact"/>
                    <w:rPr>
                      <w:rFonts w:eastAsiaTheme="minorEastAsia"/>
                      <w:color w:val="auto"/>
                      <w:szCs w:val="21"/>
                    </w:rPr>
                  </w:pPr>
                </w:p>
              </w:tc>
              <w:tc>
                <w:tcPr>
                  <w:tcW w:w="1247" w:type="dxa"/>
                  <w:vAlign w:val="center"/>
                </w:tcPr>
                <w:p>
                  <w:pPr>
                    <w:pStyle w:val="30"/>
                    <w:spacing w:line="360" w:lineRule="exact"/>
                    <w:rPr>
                      <w:rFonts w:eastAsiaTheme="minorEastAsia"/>
                      <w:color w:val="auto"/>
                      <w:szCs w:val="21"/>
                    </w:rPr>
                  </w:pPr>
                  <w:r>
                    <w:rPr>
                      <w:rFonts w:eastAsiaTheme="minorEastAsia"/>
                      <w:color w:val="auto"/>
                      <w:szCs w:val="21"/>
                    </w:rPr>
                    <w:t>粪大肠菌群数（MPN/L）</w:t>
                  </w:r>
                </w:p>
              </w:tc>
              <w:tc>
                <w:tcPr>
                  <w:tcW w:w="3695" w:type="dxa"/>
                  <w:vMerge w:val="continue"/>
                  <w:vAlign w:val="center"/>
                </w:tcPr>
                <w:p>
                  <w:pPr>
                    <w:pStyle w:val="30"/>
                    <w:spacing w:line="360" w:lineRule="exact"/>
                    <w:ind w:firstLine="210" w:firstLineChars="100"/>
                    <w:jc w:val="both"/>
                    <w:rPr>
                      <w:color w:val="auto"/>
                      <w:szCs w:val="21"/>
                    </w:rPr>
                  </w:pPr>
                </w:p>
              </w:tc>
              <w:tc>
                <w:tcPr>
                  <w:tcW w:w="850" w:type="dxa"/>
                  <w:vMerge w:val="continue"/>
                  <w:vAlign w:val="center"/>
                </w:tcPr>
                <w:p>
                  <w:pPr>
                    <w:pStyle w:val="30"/>
                    <w:spacing w:line="360" w:lineRule="exact"/>
                    <w:rPr>
                      <w:rFonts w:eastAsiaTheme="minorEastAsia"/>
                      <w:color w:val="auto"/>
                      <w:szCs w:val="21"/>
                    </w:rPr>
                  </w:pPr>
                </w:p>
              </w:tc>
              <w:tc>
                <w:tcPr>
                  <w:tcW w:w="1732" w:type="dxa"/>
                  <w:vMerge w:val="continue"/>
                  <w:tcBorders>
                    <w:bottom w:val="single" w:color="auto" w:sz="4" w:space="0"/>
                  </w:tcBorders>
                  <w:vAlign w:val="center"/>
                </w:tcPr>
                <w:p>
                  <w:pPr>
                    <w:spacing w:line="360" w:lineRule="exact"/>
                    <w:jc w:val="center"/>
                    <w:rPr>
                      <w:rFonts w:ascii="Times New Roman" w:hAnsi="Times New Roman" w:cs="Times New Roman"/>
                      <w:color w:va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72" w:type="dxa"/>
                  <w:vAlign w:val="center"/>
                </w:tcPr>
                <w:p>
                  <w:pPr>
                    <w:pStyle w:val="30"/>
                    <w:spacing w:line="360" w:lineRule="exact"/>
                    <w:rPr>
                      <w:rFonts w:eastAsiaTheme="minorEastAsia"/>
                      <w:color w:val="auto"/>
                      <w:szCs w:val="21"/>
                    </w:rPr>
                  </w:pPr>
                  <w:r>
                    <w:rPr>
                      <w:rFonts w:eastAsiaTheme="minorEastAsia"/>
                      <w:color w:val="auto"/>
                      <w:szCs w:val="21"/>
                    </w:rPr>
                    <w:t>厂区范围</w:t>
                  </w:r>
                </w:p>
              </w:tc>
              <w:tc>
                <w:tcPr>
                  <w:tcW w:w="748" w:type="dxa"/>
                  <w:vAlign w:val="center"/>
                </w:tcPr>
                <w:p>
                  <w:pPr>
                    <w:pStyle w:val="30"/>
                    <w:spacing w:line="360" w:lineRule="exact"/>
                    <w:rPr>
                      <w:rFonts w:eastAsiaTheme="minorEastAsia"/>
                      <w:color w:val="auto"/>
                      <w:szCs w:val="21"/>
                    </w:rPr>
                  </w:pPr>
                  <w:r>
                    <w:rPr>
                      <w:rFonts w:eastAsiaTheme="minorEastAsia"/>
                      <w:color w:val="auto"/>
                      <w:szCs w:val="21"/>
                    </w:rPr>
                    <w:t>初期雨水</w:t>
                  </w:r>
                </w:p>
              </w:tc>
              <w:tc>
                <w:tcPr>
                  <w:tcW w:w="1247" w:type="dxa"/>
                  <w:vAlign w:val="center"/>
                </w:tcPr>
                <w:p>
                  <w:pPr>
                    <w:pStyle w:val="30"/>
                    <w:spacing w:line="360" w:lineRule="exact"/>
                    <w:rPr>
                      <w:rFonts w:eastAsiaTheme="minorEastAsia"/>
                      <w:color w:val="auto"/>
                      <w:szCs w:val="21"/>
                      <w:highlight w:val="yellow"/>
                    </w:rPr>
                  </w:pPr>
                  <w:r>
                    <w:rPr>
                      <w:rFonts w:eastAsiaTheme="minorEastAsia"/>
                      <w:color w:val="auto"/>
                      <w:szCs w:val="21"/>
                    </w:rPr>
                    <w:t>CODcr 、SS、石油类</w:t>
                  </w:r>
                </w:p>
              </w:tc>
              <w:tc>
                <w:tcPr>
                  <w:tcW w:w="3695" w:type="dxa"/>
                  <w:vAlign w:val="center"/>
                </w:tcPr>
                <w:p>
                  <w:pPr>
                    <w:pStyle w:val="30"/>
                    <w:spacing w:line="360" w:lineRule="exact"/>
                    <w:ind w:firstLine="210" w:firstLineChars="100"/>
                    <w:jc w:val="both"/>
                    <w:rPr>
                      <w:color w:val="auto"/>
                      <w:szCs w:val="21"/>
                    </w:rPr>
                  </w:pPr>
                  <w:r>
                    <w:rPr>
                      <w:color w:val="auto"/>
                      <w:szCs w:val="21"/>
                    </w:rPr>
                    <w:t>项目拟建设1个30m³的初期雨水收集池，对厂区的初期雨水进行收集；收集沉淀处理后回用于项目区绿化，不外排。</w:t>
                  </w:r>
                </w:p>
              </w:tc>
              <w:tc>
                <w:tcPr>
                  <w:tcW w:w="850" w:type="dxa"/>
                  <w:vAlign w:val="center"/>
                </w:tcPr>
                <w:p>
                  <w:pPr>
                    <w:spacing w:line="360" w:lineRule="exact"/>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不外排</w:t>
                  </w:r>
                </w:p>
              </w:tc>
              <w:tc>
                <w:tcPr>
                  <w:tcW w:w="1732" w:type="dxa"/>
                  <w:tcBorders>
                    <w:top w:val="single" w:color="auto" w:sz="4" w:space="0"/>
                  </w:tcBorders>
                  <w:vAlign w:val="center"/>
                </w:tcPr>
                <w:p>
                  <w:pPr>
                    <w:pStyle w:val="30"/>
                    <w:spacing w:line="360" w:lineRule="exact"/>
                    <w:ind w:firstLine="210" w:firstLineChars="100"/>
                    <w:jc w:val="left"/>
                    <w:rPr>
                      <w:bCs w:val="0"/>
                      <w:color w:val="auto"/>
                    </w:rPr>
                  </w:pPr>
                  <w:r>
                    <w:rPr>
                      <w:bCs w:val="0"/>
                      <w:color w:val="auto"/>
                    </w:rPr>
                    <w:t>--</w:t>
                  </w:r>
                </w:p>
              </w:tc>
            </w:tr>
          </w:tbl>
          <w:p>
            <w:pPr>
              <w:spacing w:beforeLines="50" w:line="360" w:lineRule="auto"/>
              <w:ind w:firstLine="482" w:firstLineChars="200"/>
              <w:rPr>
                <w:rFonts w:ascii="Times New Roman" w:hAnsi="Times New Roman" w:cs="Times New Roman"/>
                <w:b/>
                <w:color w:val="auto"/>
                <w:sz w:val="24"/>
              </w:rPr>
            </w:pPr>
            <w:r>
              <w:rPr>
                <w:rFonts w:ascii="Times New Roman" w:hAnsi="Times New Roman" w:eastAsia="宋体" w:cs="Times New Roman"/>
                <w:b/>
                <w:color w:val="auto"/>
                <w:sz w:val="24"/>
              </w:rPr>
              <w:t>②</w:t>
            </w:r>
            <w:r>
              <w:rPr>
                <w:rFonts w:ascii="Times New Roman" w:hAnsi="Times New Roman" w:cs="Times New Roman"/>
                <w:b/>
                <w:color w:val="auto"/>
                <w:sz w:val="24"/>
              </w:rPr>
              <w:t>废水污染物排放源产排量及达标情况</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fldChar w:fldCharType="begin"/>
            </w:r>
            <w:r>
              <w:rPr>
                <w:rFonts w:ascii="Times New Roman" w:hAnsi="Times New Roman" w:cs="Times New Roman"/>
                <w:b/>
                <w:color w:val="auto"/>
                <w:sz w:val="24"/>
                <w:szCs w:val="24"/>
              </w:rPr>
              <w:instrText xml:space="preserve"> = 1 \* GB2 </w:instrText>
            </w:r>
            <w:r>
              <w:rPr>
                <w:rFonts w:ascii="Times New Roman" w:hAnsi="Times New Roman" w:cs="Times New Roman"/>
                <w:b/>
                <w:color w:val="auto"/>
                <w:sz w:val="24"/>
                <w:szCs w:val="24"/>
              </w:rPr>
              <w:fldChar w:fldCharType="separate"/>
            </w:r>
            <w:r>
              <w:rPr>
                <w:rFonts w:ascii="Times New Roman" w:hAnsi="Times New Roman" w:cs="Times New Roman"/>
                <w:b/>
                <w:color w:val="auto"/>
                <w:sz w:val="24"/>
                <w:szCs w:val="24"/>
              </w:rPr>
              <w:t>⑴</w:t>
            </w:r>
            <w:r>
              <w:rPr>
                <w:rFonts w:ascii="Times New Roman" w:hAnsi="Times New Roman" w:cs="Times New Roman"/>
                <w:b/>
                <w:color w:val="auto"/>
                <w:sz w:val="24"/>
                <w:szCs w:val="24"/>
              </w:rPr>
              <w:fldChar w:fldCharType="end"/>
            </w:r>
            <w:r>
              <w:rPr>
                <w:rFonts w:ascii="Times New Roman" w:hAnsi="Times New Roman" w:cs="Times New Roman"/>
                <w:b/>
                <w:color w:val="auto"/>
                <w:sz w:val="24"/>
                <w:szCs w:val="24"/>
              </w:rPr>
              <w:t>平衡盐水污染源产排量及达标情况</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项目改扩建后平衡盐水产生量为0.008m³/d，其主要废水特性是含有NaCl，按1：8的比例稀释后回用于绿化；《城市污水再生利用 城市杂用水水质》（GB/T18920-2020）中城市绿化标准中无该控制因子，因此回用可行。</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fldChar w:fldCharType="begin"/>
            </w:r>
            <w:r>
              <w:rPr>
                <w:rFonts w:ascii="Times New Roman" w:hAnsi="Times New Roman" w:cs="Times New Roman"/>
                <w:b/>
                <w:color w:val="auto"/>
                <w:sz w:val="24"/>
                <w:szCs w:val="24"/>
              </w:rPr>
              <w:instrText xml:space="preserve"> = 2 \* GB2 </w:instrText>
            </w:r>
            <w:r>
              <w:rPr>
                <w:rFonts w:ascii="Times New Roman" w:hAnsi="Times New Roman" w:cs="Times New Roman"/>
                <w:b/>
                <w:color w:val="auto"/>
                <w:sz w:val="24"/>
                <w:szCs w:val="24"/>
              </w:rPr>
              <w:fldChar w:fldCharType="separate"/>
            </w:r>
            <w:r>
              <w:rPr>
                <w:rFonts w:ascii="Times New Roman" w:hAnsi="Times New Roman" w:cs="Times New Roman"/>
                <w:b/>
                <w:color w:val="auto"/>
                <w:sz w:val="24"/>
                <w:szCs w:val="24"/>
              </w:rPr>
              <w:t>⑵</w:t>
            </w:r>
            <w:r>
              <w:rPr>
                <w:rFonts w:ascii="Times New Roman" w:hAnsi="Times New Roman" w:cs="Times New Roman"/>
                <w:b/>
                <w:color w:val="auto"/>
                <w:sz w:val="24"/>
                <w:szCs w:val="24"/>
              </w:rPr>
              <w:fldChar w:fldCharType="end"/>
            </w:r>
            <w:r>
              <w:rPr>
                <w:rFonts w:ascii="Times New Roman" w:hAnsi="Times New Roman" w:cs="Times New Roman"/>
                <w:b/>
                <w:color w:val="auto"/>
                <w:sz w:val="24"/>
                <w:szCs w:val="24"/>
              </w:rPr>
              <w:t>生活污水产排量及达标情况</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项目产污环节和废水污染物治理措施可知，厂区内针对厨房废水，已配套设置了1个2m³的隔油池对厨房废水进行预处理；针对办公生活区，已配套设置了3个5m³的化粪池对生活污水进行处理；整改后拟建设1套处理能力为30m³/d的一体化污水处理设施对生活污水进行处理。</w:t>
            </w:r>
          </w:p>
          <w:p>
            <w:pPr>
              <w:spacing w:line="360" w:lineRule="auto"/>
              <w:ind w:firstLine="482" w:firstLineChars="200"/>
              <w:rPr>
                <w:rFonts w:ascii="Times New Roman" w:hAnsi="Times New Roman" w:eastAsia="宋体" w:cs="Times New Roman"/>
                <w:b/>
                <w:color w:val="auto"/>
                <w:szCs w:val="24"/>
              </w:rPr>
            </w:pPr>
            <w:r>
              <w:rPr>
                <w:rFonts w:ascii="Times New Roman" w:hAnsi="Times New Roman" w:cs="Times New Roman"/>
                <w:b/>
                <w:color w:val="auto"/>
                <w:sz w:val="24"/>
                <w:szCs w:val="24"/>
              </w:rPr>
              <w:fldChar w:fldCharType="begin"/>
            </w:r>
            <w:r>
              <w:rPr>
                <w:rFonts w:ascii="Times New Roman" w:hAnsi="Times New Roman" w:cs="Times New Roman"/>
                <w:b/>
                <w:color w:val="auto"/>
                <w:sz w:val="24"/>
                <w:szCs w:val="24"/>
              </w:rPr>
              <w:instrText xml:space="preserve"> = 1 \* GB4 </w:instrText>
            </w:r>
            <w:r>
              <w:rPr>
                <w:rFonts w:ascii="Times New Roman" w:hAnsi="Times New Roman" w:cs="Times New Roman"/>
                <w:b/>
                <w:color w:val="auto"/>
                <w:sz w:val="24"/>
                <w:szCs w:val="24"/>
              </w:rPr>
              <w:fldChar w:fldCharType="separate"/>
            </w:r>
            <w:r>
              <w:rPr>
                <w:rFonts w:ascii="Times New Roman" w:hAnsi="Times New Roman" w:cs="Times New Roman"/>
                <w:b/>
                <w:color w:val="auto"/>
                <w:sz w:val="24"/>
                <w:szCs w:val="24"/>
              </w:rPr>
              <w:t>㈠</w:t>
            </w:r>
            <w:r>
              <w:rPr>
                <w:rFonts w:ascii="Times New Roman" w:hAnsi="Times New Roman" w:cs="Times New Roman"/>
                <w:b/>
                <w:color w:val="auto"/>
                <w:sz w:val="24"/>
                <w:szCs w:val="24"/>
              </w:rPr>
              <w:fldChar w:fldCharType="end"/>
            </w:r>
            <w:r>
              <w:rPr>
                <w:rFonts w:ascii="Times New Roman" w:hAnsi="Times New Roman" w:cs="Times New Roman"/>
                <w:b/>
                <w:color w:val="auto"/>
                <w:sz w:val="24"/>
                <w:szCs w:val="24"/>
              </w:rPr>
              <w:t>隔油池、化粪池污染物去除分析</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项目生活污水产生量约为1488m³/a，隔油池主要对厨房废水进行预处理，而化粪池对水污染物有削减作用。</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该项目污水污染物产生源强表见下表。</w:t>
            </w:r>
          </w:p>
          <w:p>
            <w:pPr>
              <w:jc w:val="center"/>
              <w:rPr>
                <w:rFonts w:ascii="Times New Roman" w:hAnsi="Times New Roman" w:cs="Times New Roman"/>
                <w:b/>
                <w:color w:val="auto"/>
                <w:szCs w:val="24"/>
              </w:rPr>
            </w:pPr>
            <w:r>
              <w:rPr>
                <w:rFonts w:ascii="Times New Roman" w:hAnsi="Times New Roman" w:cs="Times New Roman"/>
                <w:b/>
                <w:color w:val="auto"/>
                <w:szCs w:val="24"/>
              </w:rPr>
              <w:t>表4.2.2-3生活污水污染物产生及隔油池、化粪池预处理去除源强表</w:t>
            </w:r>
          </w:p>
          <w:tbl>
            <w:tblPr>
              <w:tblStyle w:val="20"/>
              <w:tblW w:w="904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066"/>
              <w:gridCol w:w="950"/>
              <w:gridCol w:w="1393"/>
              <w:gridCol w:w="1042"/>
              <w:gridCol w:w="25"/>
              <w:gridCol w:w="988"/>
              <w:gridCol w:w="1151"/>
              <w:gridCol w:w="272"/>
              <w:gridCol w:w="1134"/>
              <w:gridCol w:w="102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66" w:type="dxa"/>
                  <w:vMerge w:val="restart"/>
                  <w:vAlign w:val="center"/>
                </w:tcPr>
                <w:p>
                  <w:pPr>
                    <w:pStyle w:val="30"/>
                    <w:spacing w:line="360" w:lineRule="exact"/>
                    <w:rPr>
                      <w:rFonts w:eastAsiaTheme="minorEastAsia"/>
                      <w:color w:val="auto"/>
                      <w:szCs w:val="21"/>
                    </w:rPr>
                  </w:pPr>
                  <w:r>
                    <w:rPr>
                      <w:rFonts w:eastAsiaTheme="minorEastAsia"/>
                      <w:color w:val="auto"/>
                      <w:szCs w:val="21"/>
                    </w:rPr>
                    <w:t>产排污环节</w:t>
                  </w:r>
                </w:p>
              </w:tc>
              <w:tc>
                <w:tcPr>
                  <w:tcW w:w="950" w:type="dxa"/>
                  <w:vMerge w:val="restart"/>
                  <w:vAlign w:val="center"/>
                </w:tcPr>
                <w:p>
                  <w:pPr>
                    <w:pStyle w:val="30"/>
                    <w:spacing w:line="360" w:lineRule="exact"/>
                    <w:rPr>
                      <w:rFonts w:eastAsiaTheme="minorEastAsia"/>
                      <w:color w:val="auto"/>
                      <w:szCs w:val="21"/>
                    </w:rPr>
                  </w:pPr>
                  <w:r>
                    <w:rPr>
                      <w:rFonts w:eastAsiaTheme="minorEastAsia"/>
                      <w:color w:val="auto"/>
                      <w:szCs w:val="21"/>
                    </w:rPr>
                    <w:t>类别</w:t>
                  </w:r>
                </w:p>
              </w:tc>
              <w:tc>
                <w:tcPr>
                  <w:tcW w:w="1393" w:type="dxa"/>
                  <w:vMerge w:val="restart"/>
                  <w:vAlign w:val="center"/>
                </w:tcPr>
                <w:p>
                  <w:pPr>
                    <w:pStyle w:val="30"/>
                    <w:spacing w:line="360" w:lineRule="exact"/>
                    <w:rPr>
                      <w:rFonts w:eastAsiaTheme="minorEastAsia"/>
                      <w:color w:val="auto"/>
                      <w:szCs w:val="21"/>
                    </w:rPr>
                  </w:pPr>
                  <w:r>
                    <w:rPr>
                      <w:rFonts w:eastAsiaTheme="minorEastAsia"/>
                      <w:color w:val="auto"/>
                      <w:szCs w:val="21"/>
                    </w:rPr>
                    <w:t>污染物种类</w:t>
                  </w:r>
                </w:p>
              </w:tc>
              <w:tc>
                <w:tcPr>
                  <w:tcW w:w="2055" w:type="dxa"/>
                  <w:gridSpan w:val="3"/>
                  <w:vAlign w:val="center"/>
                </w:tcPr>
                <w:p>
                  <w:pPr>
                    <w:pStyle w:val="30"/>
                    <w:spacing w:line="360" w:lineRule="exact"/>
                    <w:rPr>
                      <w:rFonts w:eastAsiaTheme="minorEastAsia"/>
                      <w:color w:val="auto"/>
                      <w:szCs w:val="21"/>
                    </w:rPr>
                  </w:pPr>
                  <w:r>
                    <w:rPr>
                      <w:rFonts w:eastAsiaTheme="minorEastAsia"/>
                      <w:color w:val="auto"/>
                      <w:szCs w:val="21"/>
                    </w:rPr>
                    <w:t>污染物产生情况</w:t>
                  </w:r>
                </w:p>
              </w:tc>
              <w:tc>
                <w:tcPr>
                  <w:tcW w:w="2557" w:type="dxa"/>
                  <w:gridSpan w:val="3"/>
                  <w:vAlign w:val="center"/>
                </w:tcPr>
                <w:p>
                  <w:pPr>
                    <w:spacing w:line="360" w:lineRule="exact"/>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隔油池、化粪池处理情况</w:t>
                  </w:r>
                </w:p>
              </w:tc>
              <w:tc>
                <w:tcPr>
                  <w:tcW w:w="1023" w:type="dxa"/>
                  <w:vMerge w:val="restart"/>
                  <w:vAlign w:val="center"/>
                </w:tcPr>
                <w:p>
                  <w:pPr>
                    <w:spacing w:line="360" w:lineRule="exact"/>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排放标准限值（mg/L）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66" w:type="dxa"/>
                  <w:vMerge w:val="continue"/>
                  <w:vAlign w:val="center"/>
                </w:tcPr>
                <w:p>
                  <w:pPr>
                    <w:pStyle w:val="30"/>
                    <w:spacing w:line="360" w:lineRule="exact"/>
                    <w:rPr>
                      <w:rFonts w:eastAsiaTheme="minorEastAsia"/>
                      <w:color w:val="auto"/>
                      <w:szCs w:val="21"/>
                    </w:rPr>
                  </w:pPr>
                </w:p>
              </w:tc>
              <w:tc>
                <w:tcPr>
                  <w:tcW w:w="950" w:type="dxa"/>
                  <w:vMerge w:val="continue"/>
                  <w:vAlign w:val="center"/>
                </w:tcPr>
                <w:p>
                  <w:pPr>
                    <w:pStyle w:val="30"/>
                    <w:spacing w:line="360" w:lineRule="exact"/>
                    <w:rPr>
                      <w:rFonts w:eastAsiaTheme="minorEastAsia"/>
                      <w:color w:val="auto"/>
                      <w:szCs w:val="21"/>
                    </w:rPr>
                  </w:pPr>
                </w:p>
              </w:tc>
              <w:tc>
                <w:tcPr>
                  <w:tcW w:w="1393" w:type="dxa"/>
                  <w:vMerge w:val="continue"/>
                  <w:vAlign w:val="center"/>
                </w:tcPr>
                <w:p>
                  <w:pPr>
                    <w:pStyle w:val="30"/>
                    <w:spacing w:line="360" w:lineRule="exact"/>
                    <w:rPr>
                      <w:rFonts w:eastAsiaTheme="minorEastAsia"/>
                      <w:color w:val="auto"/>
                      <w:szCs w:val="21"/>
                    </w:rPr>
                  </w:pPr>
                </w:p>
              </w:tc>
              <w:tc>
                <w:tcPr>
                  <w:tcW w:w="1042" w:type="dxa"/>
                  <w:vAlign w:val="center"/>
                </w:tcPr>
                <w:p>
                  <w:pPr>
                    <w:pStyle w:val="30"/>
                    <w:spacing w:line="360" w:lineRule="exact"/>
                    <w:rPr>
                      <w:rFonts w:eastAsiaTheme="minorEastAsia"/>
                      <w:color w:val="auto"/>
                      <w:szCs w:val="21"/>
                    </w:rPr>
                  </w:pPr>
                  <w:r>
                    <w:rPr>
                      <w:rFonts w:eastAsiaTheme="minorEastAsia"/>
                      <w:color w:val="auto"/>
                      <w:szCs w:val="21"/>
                    </w:rPr>
                    <w:t>产生浓度mg/m³</w:t>
                  </w:r>
                </w:p>
              </w:tc>
              <w:tc>
                <w:tcPr>
                  <w:tcW w:w="1013" w:type="dxa"/>
                  <w:gridSpan w:val="2"/>
                  <w:vAlign w:val="center"/>
                </w:tcPr>
                <w:p>
                  <w:pPr>
                    <w:pStyle w:val="30"/>
                    <w:spacing w:line="360" w:lineRule="exact"/>
                    <w:rPr>
                      <w:rFonts w:eastAsiaTheme="minorEastAsia"/>
                      <w:color w:val="auto"/>
                      <w:szCs w:val="21"/>
                    </w:rPr>
                  </w:pPr>
                  <w:r>
                    <w:rPr>
                      <w:rFonts w:eastAsiaTheme="minorEastAsia"/>
                      <w:color w:val="auto"/>
                      <w:szCs w:val="21"/>
                    </w:rPr>
                    <w:t>产生量t/a</w:t>
                  </w:r>
                </w:p>
              </w:tc>
              <w:tc>
                <w:tcPr>
                  <w:tcW w:w="1423" w:type="dxa"/>
                  <w:gridSpan w:val="2"/>
                  <w:vAlign w:val="center"/>
                </w:tcPr>
                <w:p>
                  <w:pPr>
                    <w:pStyle w:val="30"/>
                    <w:spacing w:line="360" w:lineRule="exact"/>
                    <w:rPr>
                      <w:rFonts w:eastAsiaTheme="minorEastAsia"/>
                      <w:color w:val="auto"/>
                      <w:szCs w:val="21"/>
                    </w:rPr>
                  </w:pPr>
                  <w:r>
                    <w:rPr>
                      <w:rFonts w:eastAsiaTheme="minorEastAsia"/>
                      <w:color w:val="auto"/>
                      <w:szCs w:val="21"/>
                    </w:rPr>
                    <w:t>化粪池出口浓度（mg/L）</w:t>
                  </w:r>
                </w:p>
              </w:tc>
              <w:tc>
                <w:tcPr>
                  <w:tcW w:w="1134" w:type="dxa"/>
                  <w:tcBorders>
                    <w:top w:val="single" w:color="auto" w:sz="4" w:space="0"/>
                    <w:bottom w:val="single" w:color="auto" w:sz="4" w:space="0"/>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化粪池出口量（t/a）</w:t>
                  </w:r>
                </w:p>
              </w:tc>
              <w:tc>
                <w:tcPr>
                  <w:tcW w:w="1023" w:type="dxa"/>
                  <w:vMerge w:val="continue"/>
                  <w:vAlign w:val="center"/>
                </w:tcPr>
                <w:p>
                  <w:pPr>
                    <w:pStyle w:val="30"/>
                    <w:spacing w:line="360" w:lineRule="exact"/>
                    <w:rPr>
                      <w:rFonts w:eastAsia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66" w:type="dxa"/>
                  <w:vMerge w:val="restart"/>
                  <w:vAlign w:val="center"/>
                </w:tcPr>
                <w:p>
                  <w:pPr>
                    <w:pStyle w:val="30"/>
                    <w:spacing w:line="360" w:lineRule="exact"/>
                    <w:rPr>
                      <w:rFonts w:eastAsiaTheme="minorEastAsia"/>
                      <w:color w:val="auto"/>
                      <w:szCs w:val="21"/>
                    </w:rPr>
                  </w:pPr>
                  <w:r>
                    <w:rPr>
                      <w:rFonts w:eastAsiaTheme="minorEastAsia"/>
                      <w:color w:val="auto"/>
                      <w:szCs w:val="21"/>
                    </w:rPr>
                    <w:t>员工生活</w:t>
                  </w:r>
                </w:p>
              </w:tc>
              <w:tc>
                <w:tcPr>
                  <w:tcW w:w="950" w:type="dxa"/>
                  <w:vMerge w:val="restart"/>
                  <w:vAlign w:val="center"/>
                </w:tcPr>
                <w:p>
                  <w:pPr>
                    <w:pStyle w:val="30"/>
                    <w:spacing w:line="360" w:lineRule="exact"/>
                    <w:rPr>
                      <w:rFonts w:eastAsiaTheme="minorEastAsia"/>
                      <w:color w:val="auto"/>
                      <w:szCs w:val="21"/>
                    </w:rPr>
                  </w:pPr>
                  <w:r>
                    <w:rPr>
                      <w:rFonts w:eastAsiaTheme="minorEastAsia"/>
                      <w:color w:val="auto"/>
                      <w:szCs w:val="21"/>
                    </w:rPr>
                    <w:t>生活污水</w:t>
                  </w:r>
                </w:p>
              </w:tc>
              <w:tc>
                <w:tcPr>
                  <w:tcW w:w="1393" w:type="dxa"/>
                  <w:vAlign w:val="center"/>
                </w:tcPr>
                <w:p>
                  <w:pPr>
                    <w:pStyle w:val="30"/>
                    <w:spacing w:line="360" w:lineRule="exact"/>
                    <w:rPr>
                      <w:rFonts w:eastAsiaTheme="minorEastAsia"/>
                      <w:color w:val="auto"/>
                      <w:szCs w:val="21"/>
                    </w:rPr>
                  </w:pPr>
                  <w:r>
                    <w:rPr>
                      <w:rFonts w:eastAsiaTheme="minorEastAsia"/>
                      <w:color w:val="auto"/>
                      <w:szCs w:val="21"/>
                    </w:rPr>
                    <w:t>废水量</w:t>
                  </w:r>
                </w:p>
              </w:tc>
              <w:tc>
                <w:tcPr>
                  <w:tcW w:w="2055" w:type="dxa"/>
                  <w:gridSpan w:val="3"/>
                  <w:vAlign w:val="center"/>
                </w:tcPr>
                <w:p>
                  <w:pPr>
                    <w:pStyle w:val="30"/>
                    <w:spacing w:line="360" w:lineRule="exact"/>
                    <w:rPr>
                      <w:rFonts w:eastAsiaTheme="minorEastAsia"/>
                      <w:color w:val="auto"/>
                      <w:szCs w:val="21"/>
                    </w:rPr>
                  </w:pPr>
                  <w:r>
                    <w:rPr>
                      <w:rFonts w:eastAsiaTheme="minorEastAsia"/>
                      <w:color w:val="auto"/>
                      <w:szCs w:val="21"/>
                    </w:rPr>
                    <w:t>1488m³/a</w:t>
                  </w:r>
                </w:p>
              </w:tc>
              <w:tc>
                <w:tcPr>
                  <w:tcW w:w="2557" w:type="dxa"/>
                  <w:gridSpan w:val="3"/>
                  <w:tcBorders>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1488m³/a</w:t>
                  </w:r>
                </w:p>
              </w:tc>
              <w:tc>
                <w:tcPr>
                  <w:tcW w:w="1023" w:type="dxa"/>
                  <w:vAlign w:val="center"/>
                </w:tcPr>
                <w:p>
                  <w:pPr>
                    <w:pStyle w:val="30"/>
                    <w:spacing w:line="360" w:lineRule="exact"/>
                    <w:rPr>
                      <w:rFonts w:eastAsiaTheme="minorEastAsia"/>
                      <w:color w:val="auto"/>
                      <w:szCs w:val="21"/>
                    </w:rPr>
                  </w:pPr>
                  <w:r>
                    <w:rPr>
                      <w:rFonts w:eastAsiaTheme="minorEastAsia"/>
                      <w:color w:val="auto"/>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66" w:type="dxa"/>
                  <w:vMerge w:val="continue"/>
                  <w:vAlign w:val="center"/>
                </w:tcPr>
                <w:p>
                  <w:pPr>
                    <w:pStyle w:val="30"/>
                    <w:spacing w:line="360" w:lineRule="exact"/>
                    <w:rPr>
                      <w:rFonts w:eastAsiaTheme="minorEastAsia"/>
                      <w:color w:val="auto"/>
                      <w:szCs w:val="21"/>
                    </w:rPr>
                  </w:pPr>
                </w:p>
              </w:tc>
              <w:tc>
                <w:tcPr>
                  <w:tcW w:w="950" w:type="dxa"/>
                  <w:vMerge w:val="continue"/>
                  <w:vAlign w:val="center"/>
                </w:tcPr>
                <w:p>
                  <w:pPr>
                    <w:pStyle w:val="30"/>
                    <w:spacing w:line="360" w:lineRule="exact"/>
                    <w:rPr>
                      <w:rFonts w:eastAsiaTheme="minorEastAsia"/>
                      <w:color w:val="auto"/>
                      <w:szCs w:val="21"/>
                    </w:rPr>
                  </w:pPr>
                </w:p>
              </w:tc>
              <w:tc>
                <w:tcPr>
                  <w:tcW w:w="1393" w:type="dxa"/>
                  <w:vAlign w:val="center"/>
                </w:tcPr>
                <w:p>
                  <w:pPr>
                    <w:pStyle w:val="30"/>
                    <w:spacing w:line="360" w:lineRule="exact"/>
                    <w:rPr>
                      <w:rFonts w:eastAsiaTheme="minorEastAsia"/>
                      <w:color w:val="auto"/>
                      <w:szCs w:val="21"/>
                    </w:rPr>
                  </w:pPr>
                  <w:r>
                    <w:rPr>
                      <w:rFonts w:eastAsiaTheme="minorEastAsia"/>
                      <w:color w:val="auto"/>
                      <w:szCs w:val="21"/>
                    </w:rPr>
                    <w:t>pH</w:t>
                  </w:r>
                </w:p>
              </w:tc>
              <w:tc>
                <w:tcPr>
                  <w:tcW w:w="1067" w:type="dxa"/>
                  <w:gridSpan w:val="2"/>
                  <w:vAlign w:val="center"/>
                </w:tcPr>
                <w:p>
                  <w:pPr>
                    <w:pStyle w:val="30"/>
                    <w:spacing w:line="360" w:lineRule="exact"/>
                    <w:rPr>
                      <w:rFonts w:eastAsiaTheme="minorEastAsia"/>
                      <w:color w:val="auto"/>
                      <w:szCs w:val="21"/>
                    </w:rPr>
                  </w:pPr>
                  <w:r>
                    <w:rPr>
                      <w:rFonts w:eastAsiaTheme="minorEastAsia"/>
                      <w:color w:val="auto"/>
                      <w:szCs w:val="21"/>
                    </w:rPr>
                    <w:t>6-9</w:t>
                  </w:r>
                </w:p>
              </w:tc>
              <w:tc>
                <w:tcPr>
                  <w:tcW w:w="988" w:type="dxa"/>
                  <w:vAlign w:val="center"/>
                </w:tcPr>
                <w:p>
                  <w:pPr>
                    <w:pStyle w:val="30"/>
                    <w:spacing w:line="360" w:lineRule="exact"/>
                    <w:rPr>
                      <w:rFonts w:eastAsiaTheme="minorEastAsia"/>
                      <w:color w:val="auto"/>
                      <w:szCs w:val="21"/>
                    </w:rPr>
                  </w:pPr>
                  <w:r>
                    <w:rPr>
                      <w:rFonts w:eastAsiaTheme="minorEastAsia"/>
                      <w:color w:val="auto"/>
                      <w:szCs w:val="21"/>
                    </w:rPr>
                    <w:t>--</w:t>
                  </w:r>
                </w:p>
              </w:tc>
              <w:tc>
                <w:tcPr>
                  <w:tcW w:w="1151" w:type="dxa"/>
                  <w:vAlign w:val="center"/>
                </w:tcPr>
                <w:p>
                  <w:pPr>
                    <w:pStyle w:val="30"/>
                    <w:spacing w:line="360" w:lineRule="exact"/>
                    <w:rPr>
                      <w:rFonts w:eastAsiaTheme="minorEastAsia"/>
                      <w:color w:val="auto"/>
                      <w:szCs w:val="21"/>
                    </w:rPr>
                  </w:pPr>
                  <w:r>
                    <w:rPr>
                      <w:rFonts w:eastAsiaTheme="minorEastAsia"/>
                      <w:color w:val="auto"/>
                      <w:szCs w:val="21"/>
                    </w:rPr>
                    <w:t>6-9</w:t>
                  </w:r>
                </w:p>
              </w:tc>
              <w:tc>
                <w:tcPr>
                  <w:tcW w:w="1406" w:type="dxa"/>
                  <w:gridSpan w:val="2"/>
                  <w:tcBorders>
                    <w:top w:val="single" w:color="auto" w:sz="4" w:space="0"/>
                    <w:bottom w:val="single" w:color="auto" w:sz="4" w:space="0"/>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w:t>
                  </w:r>
                </w:p>
              </w:tc>
              <w:tc>
                <w:tcPr>
                  <w:tcW w:w="1023" w:type="dxa"/>
                  <w:vAlign w:val="center"/>
                </w:tcPr>
                <w:p>
                  <w:pPr>
                    <w:pStyle w:val="30"/>
                    <w:spacing w:line="360" w:lineRule="exact"/>
                    <w:rPr>
                      <w:rFonts w:eastAsiaTheme="minorEastAsia"/>
                      <w:color w:val="auto"/>
                      <w:szCs w:val="21"/>
                    </w:rPr>
                  </w:pPr>
                  <w:r>
                    <w:rPr>
                      <w:rFonts w:eastAsiaTheme="minorEastAsia"/>
                      <w:color w:val="auto"/>
                      <w:szCs w:val="21"/>
                    </w:rPr>
                    <w:t>6-9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66" w:type="dxa"/>
                  <w:vMerge w:val="continue"/>
                  <w:vAlign w:val="center"/>
                </w:tcPr>
                <w:p>
                  <w:pPr>
                    <w:pStyle w:val="30"/>
                    <w:spacing w:line="360" w:lineRule="exact"/>
                    <w:rPr>
                      <w:rFonts w:eastAsiaTheme="minorEastAsia"/>
                      <w:color w:val="auto"/>
                      <w:szCs w:val="21"/>
                    </w:rPr>
                  </w:pPr>
                </w:p>
              </w:tc>
              <w:tc>
                <w:tcPr>
                  <w:tcW w:w="950" w:type="dxa"/>
                  <w:vMerge w:val="continue"/>
                  <w:vAlign w:val="center"/>
                </w:tcPr>
                <w:p>
                  <w:pPr>
                    <w:pStyle w:val="30"/>
                    <w:spacing w:line="360" w:lineRule="exact"/>
                    <w:rPr>
                      <w:rFonts w:eastAsiaTheme="minorEastAsia"/>
                      <w:color w:val="auto"/>
                      <w:szCs w:val="21"/>
                    </w:rPr>
                  </w:pPr>
                </w:p>
              </w:tc>
              <w:tc>
                <w:tcPr>
                  <w:tcW w:w="1393" w:type="dxa"/>
                  <w:vAlign w:val="center"/>
                </w:tcPr>
                <w:p>
                  <w:pPr>
                    <w:pStyle w:val="30"/>
                    <w:spacing w:line="360" w:lineRule="exact"/>
                    <w:rPr>
                      <w:rFonts w:eastAsiaTheme="minorEastAsia"/>
                      <w:color w:val="auto"/>
                      <w:szCs w:val="21"/>
                    </w:rPr>
                  </w:pPr>
                  <w:r>
                    <w:rPr>
                      <w:rFonts w:eastAsiaTheme="minorEastAsia"/>
                      <w:color w:val="auto"/>
                      <w:szCs w:val="21"/>
                    </w:rPr>
                    <w:t>CODcr</w:t>
                  </w:r>
                </w:p>
              </w:tc>
              <w:tc>
                <w:tcPr>
                  <w:tcW w:w="1067" w:type="dxa"/>
                  <w:gridSpan w:val="2"/>
                  <w:vAlign w:val="center"/>
                </w:tcPr>
                <w:p>
                  <w:pPr>
                    <w:pStyle w:val="30"/>
                    <w:spacing w:line="360" w:lineRule="exact"/>
                    <w:rPr>
                      <w:rFonts w:eastAsiaTheme="minorEastAsia"/>
                      <w:color w:val="auto"/>
                      <w:szCs w:val="21"/>
                    </w:rPr>
                  </w:pPr>
                  <w:r>
                    <w:rPr>
                      <w:rFonts w:eastAsiaTheme="minorEastAsia"/>
                      <w:color w:val="auto"/>
                      <w:szCs w:val="21"/>
                    </w:rPr>
                    <w:t>350</w:t>
                  </w:r>
                </w:p>
              </w:tc>
              <w:tc>
                <w:tcPr>
                  <w:tcW w:w="988" w:type="dxa"/>
                  <w:vAlign w:val="center"/>
                </w:tcPr>
                <w:p>
                  <w:pPr>
                    <w:pStyle w:val="30"/>
                    <w:spacing w:line="360" w:lineRule="exact"/>
                    <w:rPr>
                      <w:rFonts w:eastAsiaTheme="minorEastAsia"/>
                      <w:color w:val="auto"/>
                      <w:szCs w:val="21"/>
                    </w:rPr>
                  </w:pPr>
                  <w:r>
                    <w:rPr>
                      <w:rFonts w:eastAsiaTheme="minorEastAsia"/>
                      <w:color w:val="auto"/>
                      <w:szCs w:val="21"/>
                    </w:rPr>
                    <w:t>0.52</w:t>
                  </w:r>
                </w:p>
              </w:tc>
              <w:tc>
                <w:tcPr>
                  <w:tcW w:w="1151" w:type="dxa"/>
                  <w:vAlign w:val="center"/>
                </w:tcPr>
                <w:p>
                  <w:pPr>
                    <w:pStyle w:val="30"/>
                    <w:spacing w:line="360" w:lineRule="exact"/>
                    <w:rPr>
                      <w:rFonts w:eastAsiaTheme="minorEastAsia"/>
                      <w:color w:val="auto"/>
                      <w:szCs w:val="21"/>
                    </w:rPr>
                  </w:pPr>
                  <w:r>
                    <w:rPr>
                      <w:rFonts w:eastAsiaTheme="minorEastAsia"/>
                      <w:color w:val="auto"/>
                      <w:szCs w:val="21"/>
                    </w:rPr>
                    <w:t>280</w:t>
                  </w:r>
                </w:p>
              </w:tc>
              <w:tc>
                <w:tcPr>
                  <w:tcW w:w="1406" w:type="dxa"/>
                  <w:gridSpan w:val="2"/>
                  <w:tcBorders>
                    <w:top w:val="single" w:color="auto" w:sz="4" w:space="0"/>
                    <w:bottom w:val="single" w:color="auto" w:sz="4" w:space="0"/>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0.42</w:t>
                  </w:r>
                </w:p>
              </w:tc>
              <w:tc>
                <w:tcPr>
                  <w:tcW w:w="1023" w:type="dxa"/>
                  <w:vAlign w:val="center"/>
                </w:tcPr>
                <w:p>
                  <w:pPr>
                    <w:pStyle w:val="30"/>
                    <w:spacing w:line="360" w:lineRule="exact"/>
                    <w:rPr>
                      <w:rFonts w:eastAsiaTheme="minorEastAsia"/>
                      <w:color w:val="auto"/>
                      <w:szCs w:val="21"/>
                    </w:rPr>
                  </w:pPr>
                  <w:r>
                    <w:rPr>
                      <w:rFonts w:eastAsiaTheme="minorEastAsia"/>
                      <w:color w:val="auto"/>
                      <w:szCs w:val="21"/>
                    </w:rPr>
                    <w:t>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66" w:type="dxa"/>
                  <w:vMerge w:val="continue"/>
                  <w:vAlign w:val="center"/>
                </w:tcPr>
                <w:p>
                  <w:pPr>
                    <w:pStyle w:val="30"/>
                    <w:spacing w:line="360" w:lineRule="exact"/>
                    <w:rPr>
                      <w:rFonts w:eastAsiaTheme="minorEastAsia"/>
                      <w:color w:val="auto"/>
                      <w:szCs w:val="21"/>
                    </w:rPr>
                  </w:pPr>
                </w:p>
              </w:tc>
              <w:tc>
                <w:tcPr>
                  <w:tcW w:w="950" w:type="dxa"/>
                  <w:vMerge w:val="continue"/>
                  <w:vAlign w:val="center"/>
                </w:tcPr>
                <w:p>
                  <w:pPr>
                    <w:pStyle w:val="30"/>
                    <w:spacing w:line="360" w:lineRule="exact"/>
                    <w:rPr>
                      <w:rFonts w:eastAsiaTheme="minorEastAsia"/>
                      <w:color w:val="auto"/>
                      <w:szCs w:val="21"/>
                    </w:rPr>
                  </w:pPr>
                </w:p>
              </w:tc>
              <w:tc>
                <w:tcPr>
                  <w:tcW w:w="1393" w:type="dxa"/>
                  <w:vAlign w:val="center"/>
                </w:tcPr>
                <w:p>
                  <w:pPr>
                    <w:pStyle w:val="30"/>
                    <w:spacing w:line="360" w:lineRule="exact"/>
                    <w:rPr>
                      <w:rFonts w:eastAsiaTheme="minorEastAsia"/>
                      <w:color w:val="auto"/>
                      <w:szCs w:val="21"/>
                    </w:rPr>
                  </w:pPr>
                  <w:r>
                    <w:rPr>
                      <w:rFonts w:eastAsiaTheme="minorEastAsia"/>
                      <w:color w:val="auto"/>
                      <w:szCs w:val="21"/>
                    </w:rPr>
                    <w:t>BOD</w:t>
                  </w:r>
                  <w:r>
                    <w:rPr>
                      <w:rFonts w:eastAsiaTheme="minorEastAsia"/>
                      <w:color w:val="auto"/>
                      <w:szCs w:val="21"/>
                      <w:vertAlign w:val="subscript"/>
                    </w:rPr>
                    <w:t>5</w:t>
                  </w:r>
                </w:p>
              </w:tc>
              <w:tc>
                <w:tcPr>
                  <w:tcW w:w="1067" w:type="dxa"/>
                  <w:gridSpan w:val="2"/>
                  <w:vAlign w:val="center"/>
                </w:tcPr>
                <w:p>
                  <w:pPr>
                    <w:pStyle w:val="30"/>
                    <w:spacing w:line="360" w:lineRule="exact"/>
                    <w:rPr>
                      <w:rFonts w:eastAsiaTheme="minorEastAsia"/>
                      <w:color w:val="auto"/>
                      <w:szCs w:val="21"/>
                    </w:rPr>
                  </w:pPr>
                  <w:r>
                    <w:rPr>
                      <w:rFonts w:eastAsiaTheme="minorEastAsia"/>
                      <w:color w:val="auto"/>
                      <w:szCs w:val="21"/>
                    </w:rPr>
                    <w:t>220</w:t>
                  </w:r>
                </w:p>
              </w:tc>
              <w:tc>
                <w:tcPr>
                  <w:tcW w:w="988" w:type="dxa"/>
                  <w:vAlign w:val="center"/>
                </w:tcPr>
                <w:p>
                  <w:pPr>
                    <w:pStyle w:val="30"/>
                    <w:spacing w:line="360" w:lineRule="exact"/>
                    <w:rPr>
                      <w:rFonts w:eastAsiaTheme="minorEastAsia"/>
                      <w:color w:val="auto"/>
                      <w:szCs w:val="21"/>
                    </w:rPr>
                  </w:pPr>
                  <w:r>
                    <w:rPr>
                      <w:rFonts w:eastAsiaTheme="minorEastAsia"/>
                      <w:color w:val="auto"/>
                      <w:szCs w:val="21"/>
                    </w:rPr>
                    <w:t>0.33</w:t>
                  </w:r>
                </w:p>
              </w:tc>
              <w:tc>
                <w:tcPr>
                  <w:tcW w:w="1151" w:type="dxa"/>
                  <w:vAlign w:val="center"/>
                </w:tcPr>
                <w:p>
                  <w:pPr>
                    <w:pStyle w:val="30"/>
                    <w:spacing w:line="360" w:lineRule="exact"/>
                    <w:rPr>
                      <w:rFonts w:eastAsiaTheme="minorEastAsia"/>
                      <w:color w:val="auto"/>
                      <w:szCs w:val="21"/>
                    </w:rPr>
                  </w:pPr>
                  <w:r>
                    <w:rPr>
                      <w:rFonts w:eastAsiaTheme="minorEastAsia"/>
                      <w:color w:val="auto"/>
                      <w:szCs w:val="21"/>
                    </w:rPr>
                    <w:t>190</w:t>
                  </w:r>
                </w:p>
              </w:tc>
              <w:tc>
                <w:tcPr>
                  <w:tcW w:w="1406" w:type="dxa"/>
                  <w:gridSpan w:val="2"/>
                  <w:tcBorders>
                    <w:top w:val="single" w:color="auto" w:sz="4" w:space="0"/>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0.28</w:t>
                  </w:r>
                </w:p>
              </w:tc>
              <w:tc>
                <w:tcPr>
                  <w:tcW w:w="1023" w:type="dxa"/>
                  <w:vAlign w:val="center"/>
                </w:tcPr>
                <w:p>
                  <w:pPr>
                    <w:pStyle w:val="30"/>
                    <w:spacing w:line="360" w:lineRule="exact"/>
                    <w:rPr>
                      <w:rFonts w:eastAsiaTheme="minorEastAsia"/>
                      <w:color w:val="auto"/>
                      <w:szCs w:val="21"/>
                    </w:rPr>
                  </w:pPr>
                  <w:r>
                    <w:rPr>
                      <w:rFonts w:eastAsiaTheme="minorEastAsia"/>
                      <w:color w:val="auto"/>
                      <w:szCs w:val="21"/>
                    </w:rPr>
                    <w:t>350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66" w:type="dxa"/>
                  <w:vMerge w:val="continue"/>
                  <w:vAlign w:val="center"/>
                </w:tcPr>
                <w:p>
                  <w:pPr>
                    <w:pStyle w:val="30"/>
                    <w:spacing w:line="360" w:lineRule="exact"/>
                    <w:rPr>
                      <w:rFonts w:eastAsiaTheme="minorEastAsia"/>
                      <w:color w:val="auto"/>
                      <w:szCs w:val="21"/>
                    </w:rPr>
                  </w:pPr>
                </w:p>
              </w:tc>
              <w:tc>
                <w:tcPr>
                  <w:tcW w:w="950" w:type="dxa"/>
                  <w:vMerge w:val="continue"/>
                  <w:vAlign w:val="center"/>
                </w:tcPr>
                <w:p>
                  <w:pPr>
                    <w:pStyle w:val="30"/>
                    <w:spacing w:line="360" w:lineRule="exact"/>
                    <w:rPr>
                      <w:rFonts w:eastAsiaTheme="minorEastAsia"/>
                      <w:color w:val="auto"/>
                      <w:szCs w:val="21"/>
                    </w:rPr>
                  </w:pPr>
                </w:p>
              </w:tc>
              <w:tc>
                <w:tcPr>
                  <w:tcW w:w="1393" w:type="dxa"/>
                  <w:vAlign w:val="center"/>
                </w:tcPr>
                <w:p>
                  <w:pPr>
                    <w:pStyle w:val="30"/>
                    <w:spacing w:line="360" w:lineRule="exact"/>
                    <w:rPr>
                      <w:rFonts w:eastAsiaTheme="minorEastAsia"/>
                      <w:color w:val="auto"/>
                      <w:szCs w:val="21"/>
                    </w:rPr>
                  </w:pPr>
                  <w:r>
                    <w:rPr>
                      <w:rFonts w:eastAsiaTheme="minorEastAsia"/>
                      <w:color w:val="auto"/>
                      <w:szCs w:val="21"/>
                    </w:rPr>
                    <w:t>NH</w:t>
                  </w:r>
                  <w:r>
                    <w:rPr>
                      <w:rFonts w:eastAsiaTheme="minorEastAsia"/>
                      <w:color w:val="auto"/>
                      <w:szCs w:val="21"/>
                      <w:vertAlign w:val="subscript"/>
                    </w:rPr>
                    <w:t>3</w:t>
                  </w:r>
                  <w:r>
                    <w:rPr>
                      <w:rFonts w:eastAsiaTheme="minorEastAsia"/>
                      <w:color w:val="auto"/>
                      <w:szCs w:val="21"/>
                    </w:rPr>
                    <w:t>-N</w:t>
                  </w:r>
                </w:p>
              </w:tc>
              <w:tc>
                <w:tcPr>
                  <w:tcW w:w="1067" w:type="dxa"/>
                  <w:gridSpan w:val="2"/>
                  <w:vAlign w:val="center"/>
                </w:tcPr>
                <w:p>
                  <w:pPr>
                    <w:pStyle w:val="30"/>
                    <w:spacing w:line="360" w:lineRule="exact"/>
                    <w:rPr>
                      <w:rFonts w:eastAsiaTheme="minorEastAsia"/>
                      <w:color w:val="auto"/>
                      <w:szCs w:val="21"/>
                    </w:rPr>
                  </w:pPr>
                  <w:r>
                    <w:rPr>
                      <w:rFonts w:eastAsiaTheme="minorEastAsia"/>
                      <w:color w:val="auto"/>
                      <w:szCs w:val="21"/>
                    </w:rPr>
                    <w:t>38</w:t>
                  </w:r>
                </w:p>
              </w:tc>
              <w:tc>
                <w:tcPr>
                  <w:tcW w:w="988" w:type="dxa"/>
                  <w:vAlign w:val="center"/>
                </w:tcPr>
                <w:p>
                  <w:pPr>
                    <w:pStyle w:val="30"/>
                    <w:spacing w:line="360" w:lineRule="exact"/>
                    <w:rPr>
                      <w:rFonts w:eastAsiaTheme="minorEastAsia"/>
                      <w:color w:val="auto"/>
                      <w:szCs w:val="21"/>
                    </w:rPr>
                  </w:pPr>
                  <w:r>
                    <w:rPr>
                      <w:rFonts w:eastAsiaTheme="minorEastAsia"/>
                      <w:color w:val="auto"/>
                      <w:szCs w:val="21"/>
                    </w:rPr>
                    <w:t>0.06</w:t>
                  </w:r>
                </w:p>
              </w:tc>
              <w:tc>
                <w:tcPr>
                  <w:tcW w:w="1151" w:type="dxa"/>
                  <w:vAlign w:val="center"/>
                </w:tcPr>
                <w:p>
                  <w:pPr>
                    <w:pStyle w:val="30"/>
                    <w:spacing w:line="360" w:lineRule="exact"/>
                    <w:rPr>
                      <w:rFonts w:eastAsiaTheme="minorEastAsia"/>
                      <w:color w:val="auto"/>
                      <w:szCs w:val="21"/>
                    </w:rPr>
                  </w:pPr>
                  <w:r>
                    <w:rPr>
                      <w:rFonts w:eastAsiaTheme="minorEastAsia"/>
                      <w:color w:val="auto"/>
                      <w:szCs w:val="21"/>
                    </w:rPr>
                    <w:t>35</w:t>
                  </w:r>
                </w:p>
              </w:tc>
              <w:tc>
                <w:tcPr>
                  <w:tcW w:w="1406" w:type="dxa"/>
                  <w:gridSpan w:val="2"/>
                  <w:tcBorders>
                    <w:top w:val="single" w:color="auto" w:sz="4" w:space="0"/>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0.05</w:t>
                  </w:r>
                </w:p>
              </w:tc>
              <w:tc>
                <w:tcPr>
                  <w:tcW w:w="1023" w:type="dxa"/>
                  <w:vAlign w:val="center"/>
                </w:tcPr>
                <w:p>
                  <w:pPr>
                    <w:pStyle w:val="30"/>
                    <w:spacing w:line="360" w:lineRule="exact"/>
                    <w:rPr>
                      <w:rFonts w:eastAsiaTheme="minorEastAsia"/>
                      <w:color w:val="auto"/>
                      <w:szCs w:val="21"/>
                    </w:rPr>
                  </w:pPr>
                  <w:r>
                    <w:rPr>
                      <w:rFonts w:eastAsiaTheme="minorEastAsia"/>
                      <w:color w:val="auto"/>
                      <w:szCs w:val="21"/>
                    </w:rPr>
                    <w:t>45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66" w:type="dxa"/>
                  <w:vMerge w:val="continue"/>
                  <w:vAlign w:val="center"/>
                </w:tcPr>
                <w:p>
                  <w:pPr>
                    <w:pStyle w:val="30"/>
                    <w:spacing w:line="360" w:lineRule="exact"/>
                    <w:rPr>
                      <w:rFonts w:eastAsiaTheme="minorEastAsia"/>
                      <w:color w:val="auto"/>
                      <w:szCs w:val="21"/>
                    </w:rPr>
                  </w:pPr>
                </w:p>
              </w:tc>
              <w:tc>
                <w:tcPr>
                  <w:tcW w:w="950" w:type="dxa"/>
                  <w:vMerge w:val="continue"/>
                  <w:vAlign w:val="center"/>
                </w:tcPr>
                <w:p>
                  <w:pPr>
                    <w:pStyle w:val="30"/>
                    <w:spacing w:line="360" w:lineRule="exact"/>
                    <w:rPr>
                      <w:rFonts w:eastAsiaTheme="minorEastAsia"/>
                      <w:color w:val="auto"/>
                      <w:szCs w:val="21"/>
                    </w:rPr>
                  </w:pPr>
                </w:p>
              </w:tc>
              <w:tc>
                <w:tcPr>
                  <w:tcW w:w="1393" w:type="dxa"/>
                  <w:vAlign w:val="center"/>
                </w:tcPr>
                <w:p>
                  <w:pPr>
                    <w:pStyle w:val="30"/>
                    <w:spacing w:line="360" w:lineRule="exact"/>
                    <w:rPr>
                      <w:rFonts w:eastAsiaTheme="minorEastAsia"/>
                      <w:color w:val="auto"/>
                      <w:szCs w:val="21"/>
                    </w:rPr>
                  </w:pPr>
                  <w:r>
                    <w:rPr>
                      <w:rFonts w:eastAsiaTheme="minorEastAsia"/>
                      <w:color w:val="auto"/>
                      <w:szCs w:val="21"/>
                    </w:rPr>
                    <w:t>SS</w:t>
                  </w:r>
                </w:p>
              </w:tc>
              <w:tc>
                <w:tcPr>
                  <w:tcW w:w="1067" w:type="dxa"/>
                  <w:gridSpan w:val="2"/>
                  <w:vAlign w:val="center"/>
                </w:tcPr>
                <w:p>
                  <w:pPr>
                    <w:pStyle w:val="30"/>
                    <w:spacing w:line="360" w:lineRule="exact"/>
                    <w:rPr>
                      <w:rFonts w:eastAsiaTheme="minorEastAsia"/>
                      <w:color w:val="auto"/>
                      <w:szCs w:val="21"/>
                    </w:rPr>
                  </w:pPr>
                  <w:r>
                    <w:rPr>
                      <w:rFonts w:eastAsiaTheme="minorEastAsia"/>
                      <w:color w:val="auto"/>
                      <w:szCs w:val="21"/>
                    </w:rPr>
                    <w:t>300</w:t>
                  </w:r>
                </w:p>
              </w:tc>
              <w:tc>
                <w:tcPr>
                  <w:tcW w:w="988" w:type="dxa"/>
                  <w:vAlign w:val="center"/>
                </w:tcPr>
                <w:p>
                  <w:pPr>
                    <w:pStyle w:val="30"/>
                    <w:spacing w:line="360" w:lineRule="exact"/>
                    <w:rPr>
                      <w:rFonts w:eastAsiaTheme="minorEastAsia"/>
                      <w:color w:val="auto"/>
                      <w:szCs w:val="21"/>
                    </w:rPr>
                  </w:pPr>
                  <w:r>
                    <w:rPr>
                      <w:rFonts w:eastAsiaTheme="minorEastAsia"/>
                      <w:color w:val="auto"/>
                      <w:szCs w:val="21"/>
                    </w:rPr>
                    <w:t>0.45</w:t>
                  </w:r>
                </w:p>
              </w:tc>
              <w:tc>
                <w:tcPr>
                  <w:tcW w:w="1151" w:type="dxa"/>
                  <w:vAlign w:val="center"/>
                </w:tcPr>
                <w:p>
                  <w:pPr>
                    <w:pStyle w:val="30"/>
                    <w:spacing w:line="360" w:lineRule="exact"/>
                    <w:rPr>
                      <w:rFonts w:eastAsiaTheme="minorEastAsia"/>
                      <w:color w:val="auto"/>
                      <w:szCs w:val="21"/>
                    </w:rPr>
                  </w:pPr>
                  <w:r>
                    <w:rPr>
                      <w:rFonts w:eastAsiaTheme="minorEastAsia"/>
                      <w:color w:val="auto"/>
                      <w:szCs w:val="21"/>
                    </w:rPr>
                    <w:t>160</w:t>
                  </w:r>
                </w:p>
              </w:tc>
              <w:tc>
                <w:tcPr>
                  <w:tcW w:w="1406" w:type="dxa"/>
                  <w:gridSpan w:val="2"/>
                  <w:tcBorders>
                    <w:top w:val="single" w:color="auto" w:sz="4" w:space="0"/>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0.24</w:t>
                  </w:r>
                </w:p>
              </w:tc>
              <w:tc>
                <w:tcPr>
                  <w:tcW w:w="1023" w:type="dxa"/>
                  <w:vAlign w:val="center"/>
                </w:tcPr>
                <w:p>
                  <w:pPr>
                    <w:pStyle w:val="30"/>
                    <w:spacing w:line="360" w:lineRule="exact"/>
                    <w:rPr>
                      <w:rFonts w:eastAsiaTheme="minorEastAsia"/>
                      <w:color w:val="auto"/>
                      <w:szCs w:val="21"/>
                    </w:rPr>
                  </w:pPr>
                  <w:r>
                    <w:rPr>
                      <w:rFonts w:eastAsiaTheme="minorEastAsia"/>
                      <w:color w:val="auto"/>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66" w:type="dxa"/>
                  <w:vMerge w:val="continue"/>
                  <w:vAlign w:val="center"/>
                </w:tcPr>
                <w:p>
                  <w:pPr>
                    <w:pStyle w:val="30"/>
                    <w:spacing w:line="360" w:lineRule="exact"/>
                    <w:rPr>
                      <w:rFonts w:eastAsiaTheme="minorEastAsia"/>
                      <w:color w:val="auto"/>
                      <w:szCs w:val="21"/>
                    </w:rPr>
                  </w:pPr>
                </w:p>
              </w:tc>
              <w:tc>
                <w:tcPr>
                  <w:tcW w:w="950" w:type="dxa"/>
                  <w:vMerge w:val="continue"/>
                  <w:vAlign w:val="center"/>
                </w:tcPr>
                <w:p>
                  <w:pPr>
                    <w:pStyle w:val="30"/>
                    <w:spacing w:line="360" w:lineRule="exact"/>
                    <w:rPr>
                      <w:rFonts w:eastAsiaTheme="minorEastAsia"/>
                      <w:color w:val="auto"/>
                      <w:szCs w:val="21"/>
                    </w:rPr>
                  </w:pPr>
                </w:p>
              </w:tc>
              <w:tc>
                <w:tcPr>
                  <w:tcW w:w="1393" w:type="dxa"/>
                  <w:vAlign w:val="center"/>
                </w:tcPr>
                <w:p>
                  <w:pPr>
                    <w:pStyle w:val="30"/>
                    <w:spacing w:line="360" w:lineRule="exact"/>
                    <w:rPr>
                      <w:rFonts w:eastAsiaTheme="minorEastAsia"/>
                      <w:color w:val="auto"/>
                      <w:szCs w:val="21"/>
                    </w:rPr>
                  </w:pPr>
                  <w:r>
                    <w:rPr>
                      <w:rFonts w:eastAsiaTheme="minorEastAsia"/>
                      <w:color w:val="auto"/>
                      <w:szCs w:val="21"/>
                    </w:rPr>
                    <w:t>总磷</w:t>
                  </w:r>
                </w:p>
              </w:tc>
              <w:tc>
                <w:tcPr>
                  <w:tcW w:w="1067" w:type="dxa"/>
                  <w:gridSpan w:val="2"/>
                  <w:vAlign w:val="center"/>
                </w:tcPr>
                <w:p>
                  <w:pPr>
                    <w:pStyle w:val="30"/>
                    <w:spacing w:line="360" w:lineRule="exact"/>
                    <w:rPr>
                      <w:rFonts w:eastAsiaTheme="minorEastAsia"/>
                      <w:color w:val="auto"/>
                      <w:szCs w:val="21"/>
                    </w:rPr>
                  </w:pPr>
                  <w:r>
                    <w:rPr>
                      <w:rFonts w:eastAsiaTheme="minorEastAsia"/>
                      <w:color w:val="auto"/>
                      <w:szCs w:val="21"/>
                    </w:rPr>
                    <w:t>8</w:t>
                  </w:r>
                </w:p>
              </w:tc>
              <w:tc>
                <w:tcPr>
                  <w:tcW w:w="988" w:type="dxa"/>
                  <w:vAlign w:val="center"/>
                </w:tcPr>
                <w:p>
                  <w:pPr>
                    <w:pStyle w:val="30"/>
                    <w:spacing w:line="360" w:lineRule="exact"/>
                    <w:rPr>
                      <w:rFonts w:eastAsiaTheme="minorEastAsia"/>
                      <w:color w:val="auto"/>
                      <w:szCs w:val="21"/>
                    </w:rPr>
                  </w:pPr>
                  <w:r>
                    <w:rPr>
                      <w:rFonts w:eastAsiaTheme="minorEastAsia"/>
                      <w:color w:val="auto"/>
                      <w:szCs w:val="21"/>
                    </w:rPr>
                    <w:t>0.01</w:t>
                  </w:r>
                </w:p>
              </w:tc>
              <w:tc>
                <w:tcPr>
                  <w:tcW w:w="1151" w:type="dxa"/>
                  <w:vAlign w:val="center"/>
                </w:tcPr>
                <w:p>
                  <w:pPr>
                    <w:pStyle w:val="30"/>
                    <w:spacing w:line="360" w:lineRule="exact"/>
                    <w:rPr>
                      <w:rFonts w:eastAsiaTheme="minorEastAsia"/>
                      <w:color w:val="auto"/>
                      <w:szCs w:val="21"/>
                    </w:rPr>
                  </w:pPr>
                  <w:r>
                    <w:rPr>
                      <w:rFonts w:eastAsiaTheme="minorEastAsia"/>
                      <w:color w:val="auto"/>
                      <w:szCs w:val="21"/>
                    </w:rPr>
                    <w:t>7</w:t>
                  </w:r>
                </w:p>
              </w:tc>
              <w:tc>
                <w:tcPr>
                  <w:tcW w:w="1406" w:type="dxa"/>
                  <w:gridSpan w:val="2"/>
                  <w:tcBorders>
                    <w:top w:val="single" w:color="auto" w:sz="4" w:space="0"/>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0.01</w:t>
                  </w:r>
                </w:p>
              </w:tc>
              <w:tc>
                <w:tcPr>
                  <w:tcW w:w="1023" w:type="dxa"/>
                  <w:vAlign w:val="center"/>
                </w:tcPr>
                <w:p>
                  <w:pPr>
                    <w:pStyle w:val="30"/>
                    <w:spacing w:line="360" w:lineRule="exact"/>
                    <w:rPr>
                      <w:rFonts w:eastAsiaTheme="minorEastAsia"/>
                      <w:color w:val="auto"/>
                      <w:szCs w:val="21"/>
                    </w:rPr>
                  </w:pPr>
                  <w:r>
                    <w:rPr>
                      <w:rFonts w:eastAsiaTheme="minorEastAsia"/>
                      <w:color w:val="auto"/>
                      <w:szCs w:val="21"/>
                    </w:rPr>
                    <w:t>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66" w:type="dxa"/>
                  <w:vMerge w:val="continue"/>
                  <w:vAlign w:val="center"/>
                </w:tcPr>
                <w:p>
                  <w:pPr>
                    <w:pStyle w:val="30"/>
                    <w:spacing w:line="360" w:lineRule="exact"/>
                    <w:rPr>
                      <w:rFonts w:eastAsiaTheme="minorEastAsia"/>
                      <w:color w:val="auto"/>
                      <w:szCs w:val="21"/>
                    </w:rPr>
                  </w:pPr>
                </w:p>
              </w:tc>
              <w:tc>
                <w:tcPr>
                  <w:tcW w:w="950" w:type="dxa"/>
                  <w:vMerge w:val="continue"/>
                  <w:vAlign w:val="center"/>
                </w:tcPr>
                <w:p>
                  <w:pPr>
                    <w:pStyle w:val="30"/>
                    <w:spacing w:line="360" w:lineRule="exact"/>
                    <w:rPr>
                      <w:rFonts w:eastAsiaTheme="minorEastAsia"/>
                      <w:color w:val="auto"/>
                      <w:szCs w:val="21"/>
                    </w:rPr>
                  </w:pPr>
                </w:p>
              </w:tc>
              <w:tc>
                <w:tcPr>
                  <w:tcW w:w="1393" w:type="dxa"/>
                  <w:vAlign w:val="center"/>
                </w:tcPr>
                <w:p>
                  <w:pPr>
                    <w:pStyle w:val="30"/>
                    <w:spacing w:line="360" w:lineRule="exact"/>
                    <w:rPr>
                      <w:rFonts w:eastAsiaTheme="minorEastAsia"/>
                      <w:color w:val="auto"/>
                      <w:szCs w:val="21"/>
                    </w:rPr>
                  </w:pPr>
                  <w:r>
                    <w:rPr>
                      <w:rFonts w:eastAsiaTheme="minorEastAsia"/>
                      <w:color w:val="auto"/>
                      <w:szCs w:val="21"/>
                    </w:rPr>
                    <w:t>总氮</w:t>
                  </w:r>
                </w:p>
              </w:tc>
              <w:tc>
                <w:tcPr>
                  <w:tcW w:w="1067" w:type="dxa"/>
                  <w:gridSpan w:val="2"/>
                  <w:vAlign w:val="center"/>
                </w:tcPr>
                <w:p>
                  <w:pPr>
                    <w:pStyle w:val="30"/>
                    <w:spacing w:line="360" w:lineRule="exact"/>
                    <w:rPr>
                      <w:rFonts w:eastAsiaTheme="minorEastAsia"/>
                      <w:color w:val="auto"/>
                      <w:szCs w:val="21"/>
                    </w:rPr>
                  </w:pPr>
                  <w:r>
                    <w:rPr>
                      <w:rFonts w:eastAsiaTheme="minorEastAsia"/>
                      <w:color w:val="auto"/>
                      <w:szCs w:val="21"/>
                    </w:rPr>
                    <w:t>45</w:t>
                  </w:r>
                </w:p>
              </w:tc>
              <w:tc>
                <w:tcPr>
                  <w:tcW w:w="988" w:type="dxa"/>
                  <w:vAlign w:val="center"/>
                </w:tcPr>
                <w:p>
                  <w:pPr>
                    <w:pStyle w:val="30"/>
                    <w:spacing w:line="360" w:lineRule="exact"/>
                    <w:rPr>
                      <w:rFonts w:eastAsiaTheme="minorEastAsia"/>
                      <w:color w:val="auto"/>
                      <w:szCs w:val="21"/>
                    </w:rPr>
                  </w:pPr>
                  <w:r>
                    <w:rPr>
                      <w:rFonts w:eastAsiaTheme="minorEastAsia"/>
                      <w:color w:val="auto"/>
                      <w:szCs w:val="21"/>
                    </w:rPr>
                    <w:t>0.07</w:t>
                  </w:r>
                </w:p>
              </w:tc>
              <w:tc>
                <w:tcPr>
                  <w:tcW w:w="1151" w:type="dxa"/>
                  <w:vAlign w:val="center"/>
                </w:tcPr>
                <w:p>
                  <w:pPr>
                    <w:pStyle w:val="30"/>
                    <w:spacing w:line="360" w:lineRule="exact"/>
                    <w:rPr>
                      <w:rFonts w:eastAsiaTheme="minorEastAsia"/>
                      <w:color w:val="auto"/>
                      <w:szCs w:val="21"/>
                    </w:rPr>
                  </w:pPr>
                  <w:r>
                    <w:rPr>
                      <w:rFonts w:eastAsiaTheme="minorEastAsia"/>
                      <w:color w:val="auto"/>
                      <w:szCs w:val="21"/>
                    </w:rPr>
                    <w:t>40</w:t>
                  </w:r>
                </w:p>
              </w:tc>
              <w:tc>
                <w:tcPr>
                  <w:tcW w:w="1406" w:type="dxa"/>
                  <w:gridSpan w:val="2"/>
                  <w:tcBorders>
                    <w:top w:val="single" w:color="auto" w:sz="4" w:space="0"/>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0.06</w:t>
                  </w:r>
                </w:p>
              </w:tc>
              <w:tc>
                <w:tcPr>
                  <w:tcW w:w="1023" w:type="dxa"/>
                  <w:vAlign w:val="center"/>
                </w:tcPr>
                <w:p>
                  <w:pPr>
                    <w:pStyle w:val="30"/>
                    <w:spacing w:line="360" w:lineRule="exact"/>
                    <w:rPr>
                      <w:rFonts w:eastAsiaTheme="minorEastAsia"/>
                      <w:color w:val="auto"/>
                      <w:szCs w:val="21"/>
                    </w:rPr>
                  </w:pPr>
                  <w:r>
                    <w:rPr>
                      <w:rFonts w:eastAsiaTheme="minorEastAsia"/>
                      <w:color w:val="auto"/>
                      <w:szCs w:val="21"/>
                    </w:rPr>
                    <w:t>70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66" w:type="dxa"/>
                  <w:vMerge w:val="continue"/>
                  <w:vAlign w:val="center"/>
                </w:tcPr>
                <w:p>
                  <w:pPr>
                    <w:pStyle w:val="30"/>
                    <w:spacing w:line="360" w:lineRule="exact"/>
                    <w:rPr>
                      <w:rFonts w:eastAsiaTheme="minorEastAsia"/>
                      <w:color w:val="auto"/>
                      <w:szCs w:val="21"/>
                    </w:rPr>
                  </w:pPr>
                </w:p>
              </w:tc>
              <w:tc>
                <w:tcPr>
                  <w:tcW w:w="950" w:type="dxa"/>
                  <w:vMerge w:val="continue"/>
                  <w:vAlign w:val="center"/>
                </w:tcPr>
                <w:p>
                  <w:pPr>
                    <w:pStyle w:val="30"/>
                    <w:spacing w:line="360" w:lineRule="exact"/>
                    <w:rPr>
                      <w:rFonts w:eastAsiaTheme="minorEastAsia"/>
                      <w:color w:val="auto"/>
                      <w:szCs w:val="21"/>
                    </w:rPr>
                  </w:pPr>
                </w:p>
              </w:tc>
              <w:tc>
                <w:tcPr>
                  <w:tcW w:w="1393" w:type="dxa"/>
                  <w:vAlign w:val="center"/>
                </w:tcPr>
                <w:p>
                  <w:pPr>
                    <w:pStyle w:val="30"/>
                    <w:spacing w:line="360" w:lineRule="exact"/>
                    <w:rPr>
                      <w:rFonts w:eastAsiaTheme="minorEastAsia"/>
                      <w:color w:val="auto"/>
                      <w:szCs w:val="21"/>
                    </w:rPr>
                  </w:pPr>
                  <w:r>
                    <w:rPr>
                      <w:rFonts w:eastAsiaTheme="minorEastAsia"/>
                      <w:color w:val="auto"/>
                      <w:szCs w:val="21"/>
                    </w:rPr>
                    <w:t>动植物油</w:t>
                  </w:r>
                </w:p>
              </w:tc>
              <w:tc>
                <w:tcPr>
                  <w:tcW w:w="1067" w:type="dxa"/>
                  <w:gridSpan w:val="2"/>
                  <w:vAlign w:val="center"/>
                </w:tcPr>
                <w:p>
                  <w:pPr>
                    <w:pStyle w:val="30"/>
                    <w:spacing w:line="360" w:lineRule="exact"/>
                    <w:rPr>
                      <w:rFonts w:eastAsiaTheme="minorEastAsia"/>
                      <w:color w:val="auto"/>
                      <w:szCs w:val="21"/>
                    </w:rPr>
                  </w:pPr>
                  <w:r>
                    <w:rPr>
                      <w:rFonts w:eastAsiaTheme="minorEastAsia"/>
                      <w:color w:val="auto"/>
                      <w:szCs w:val="21"/>
                    </w:rPr>
                    <w:t>100</w:t>
                  </w:r>
                </w:p>
              </w:tc>
              <w:tc>
                <w:tcPr>
                  <w:tcW w:w="988" w:type="dxa"/>
                  <w:vAlign w:val="center"/>
                </w:tcPr>
                <w:p>
                  <w:pPr>
                    <w:pStyle w:val="30"/>
                    <w:spacing w:line="360" w:lineRule="exact"/>
                    <w:rPr>
                      <w:rFonts w:eastAsiaTheme="minorEastAsia"/>
                      <w:color w:val="auto"/>
                      <w:szCs w:val="21"/>
                    </w:rPr>
                  </w:pPr>
                  <w:r>
                    <w:rPr>
                      <w:rFonts w:eastAsiaTheme="minorEastAsia"/>
                      <w:color w:val="auto"/>
                      <w:szCs w:val="21"/>
                    </w:rPr>
                    <w:t>0.15</w:t>
                  </w:r>
                </w:p>
              </w:tc>
              <w:tc>
                <w:tcPr>
                  <w:tcW w:w="1151" w:type="dxa"/>
                  <w:vAlign w:val="center"/>
                </w:tcPr>
                <w:p>
                  <w:pPr>
                    <w:pStyle w:val="30"/>
                    <w:spacing w:line="360" w:lineRule="exact"/>
                    <w:rPr>
                      <w:rFonts w:eastAsiaTheme="minorEastAsia"/>
                      <w:color w:val="auto"/>
                      <w:szCs w:val="21"/>
                    </w:rPr>
                  </w:pPr>
                  <w:r>
                    <w:rPr>
                      <w:rFonts w:eastAsiaTheme="minorEastAsia"/>
                      <w:color w:val="auto"/>
                      <w:szCs w:val="21"/>
                    </w:rPr>
                    <w:t>60</w:t>
                  </w:r>
                </w:p>
              </w:tc>
              <w:tc>
                <w:tcPr>
                  <w:tcW w:w="1406" w:type="dxa"/>
                  <w:gridSpan w:val="2"/>
                  <w:tcBorders>
                    <w:top w:val="single" w:color="auto" w:sz="4" w:space="0"/>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0.09</w:t>
                  </w:r>
                </w:p>
              </w:tc>
              <w:tc>
                <w:tcPr>
                  <w:tcW w:w="1023" w:type="dxa"/>
                  <w:vAlign w:val="center"/>
                </w:tcPr>
                <w:p>
                  <w:pPr>
                    <w:pStyle w:val="30"/>
                    <w:spacing w:line="360" w:lineRule="exact"/>
                    <w:rPr>
                      <w:rFonts w:eastAsiaTheme="minorEastAsia"/>
                      <w:color w:val="auto"/>
                      <w:szCs w:val="21"/>
                    </w:rPr>
                  </w:pPr>
                  <w:r>
                    <w:rPr>
                      <w:rFonts w:eastAsiaTheme="minorEastAsia"/>
                      <w:color w:val="auto"/>
                      <w:szCs w:val="21"/>
                    </w:rPr>
                    <w:t>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66" w:type="dxa"/>
                  <w:vMerge w:val="continue"/>
                  <w:vAlign w:val="center"/>
                </w:tcPr>
                <w:p>
                  <w:pPr>
                    <w:pStyle w:val="30"/>
                    <w:spacing w:line="360" w:lineRule="exact"/>
                    <w:rPr>
                      <w:rFonts w:eastAsiaTheme="minorEastAsia"/>
                      <w:color w:val="auto"/>
                      <w:szCs w:val="21"/>
                    </w:rPr>
                  </w:pPr>
                </w:p>
              </w:tc>
              <w:tc>
                <w:tcPr>
                  <w:tcW w:w="950" w:type="dxa"/>
                  <w:vMerge w:val="continue"/>
                  <w:vAlign w:val="center"/>
                </w:tcPr>
                <w:p>
                  <w:pPr>
                    <w:pStyle w:val="30"/>
                    <w:spacing w:line="360" w:lineRule="exact"/>
                    <w:rPr>
                      <w:rFonts w:eastAsiaTheme="minorEastAsia"/>
                      <w:color w:val="auto"/>
                      <w:szCs w:val="21"/>
                    </w:rPr>
                  </w:pPr>
                </w:p>
              </w:tc>
              <w:tc>
                <w:tcPr>
                  <w:tcW w:w="1393" w:type="dxa"/>
                  <w:vAlign w:val="center"/>
                </w:tcPr>
                <w:p>
                  <w:pPr>
                    <w:pStyle w:val="30"/>
                    <w:spacing w:line="360" w:lineRule="exact"/>
                    <w:rPr>
                      <w:rFonts w:eastAsiaTheme="minorEastAsia"/>
                      <w:color w:val="auto"/>
                      <w:szCs w:val="21"/>
                    </w:rPr>
                  </w:pPr>
                  <w:r>
                    <w:rPr>
                      <w:rFonts w:eastAsiaTheme="minorEastAsia"/>
                      <w:color w:val="auto"/>
                      <w:szCs w:val="21"/>
                    </w:rPr>
                    <w:t>阴离子表面活性剂</w:t>
                  </w:r>
                </w:p>
              </w:tc>
              <w:tc>
                <w:tcPr>
                  <w:tcW w:w="1067" w:type="dxa"/>
                  <w:gridSpan w:val="2"/>
                  <w:vAlign w:val="center"/>
                </w:tcPr>
                <w:p>
                  <w:pPr>
                    <w:pStyle w:val="30"/>
                    <w:spacing w:line="360" w:lineRule="exact"/>
                    <w:rPr>
                      <w:rFonts w:eastAsiaTheme="minorEastAsia"/>
                      <w:color w:val="auto"/>
                      <w:szCs w:val="21"/>
                    </w:rPr>
                  </w:pPr>
                  <w:r>
                    <w:rPr>
                      <w:rFonts w:eastAsiaTheme="minorEastAsia"/>
                      <w:color w:val="auto"/>
                      <w:szCs w:val="21"/>
                    </w:rPr>
                    <w:t>16</w:t>
                  </w:r>
                </w:p>
              </w:tc>
              <w:tc>
                <w:tcPr>
                  <w:tcW w:w="988" w:type="dxa"/>
                  <w:vAlign w:val="center"/>
                </w:tcPr>
                <w:p>
                  <w:pPr>
                    <w:pStyle w:val="30"/>
                    <w:spacing w:line="360" w:lineRule="exact"/>
                    <w:rPr>
                      <w:rFonts w:eastAsiaTheme="minorEastAsia"/>
                      <w:color w:val="auto"/>
                      <w:szCs w:val="21"/>
                    </w:rPr>
                  </w:pPr>
                  <w:r>
                    <w:rPr>
                      <w:rFonts w:eastAsiaTheme="minorEastAsia"/>
                      <w:color w:val="auto"/>
                      <w:szCs w:val="21"/>
                    </w:rPr>
                    <w:t>0.02</w:t>
                  </w:r>
                </w:p>
              </w:tc>
              <w:tc>
                <w:tcPr>
                  <w:tcW w:w="1151" w:type="dxa"/>
                  <w:vAlign w:val="center"/>
                </w:tcPr>
                <w:p>
                  <w:pPr>
                    <w:pStyle w:val="30"/>
                    <w:spacing w:line="360" w:lineRule="exact"/>
                    <w:rPr>
                      <w:rFonts w:eastAsiaTheme="minorEastAsia"/>
                      <w:color w:val="auto"/>
                      <w:szCs w:val="21"/>
                    </w:rPr>
                  </w:pPr>
                  <w:r>
                    <w:rPr>
                      <w:rFonts w:eastAsiaTheme="minorEastAsia"/>
                      <w:color w:val="auto"/>
                      <w:szCs w:val="21"/>
                    </w:rPr>
                    <w:t>11</w:t>
                  </w:r>
                </w:p>
              </w:tc>
              <w:tc>
                <w:tcPr>
                  <w:tcW w:w="1406" w:type="dxa"/>
                  <w:gridSpan w:val="2"/>
                  <w:tcBorders>
                    <w:top w:val="single" w:color="auto" w:sz="4" w:space="0"/>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0.02</w:t>
                  </w:r>
                </w:p>
              </w:tc>
              <w:tc>
                <w:tcPr>
                  <w:tcW w:w="1023" w:type="dxa"/>
                  <w:vAlign w:val="center"/>
                </w:tcPr>
                <w:p>
                  <w:pPr>
                    <w:pStyle w:val="30"/>
                    <w:spacing w:line="360" w:lineRule="exact"/>
                    <w:rPr>
                      <w:rFonts w:eastAsiaTheme="minorEastAsia"/>
                      <w:color w:val="auto"/>
                      <w:szCs w:val="21"/>
                    </w:rPr>
                  </w:pPr>
                  <w:r>
                    <w:rPr>
                      <w:rFonts w:eastAsiaTheme="minorEastAsia"/>
                      <w:color w:val="auto"/>
                      <w:szCs w:val="21"/>
                    </w:rPr>
                    <w:t>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66" w:type="dxa"/>
                  <w:vMerge w:val="continue"/>
                  <w:vAlign w:val="center"/>
                </w:tcPr>
                <w:p>
                  <w:pPr>
                    <w:pStyle w:val="30"/>
                    <w:spacing w:line="360" w:lineRule="exact"/>
                    <w:rPr>
                      <w:rFonts w:eastAsiaTheme="minorEastAsia"/>
                      <w:color w:val="auto"/>
                      <w:szCs w:val="21"/>
                    </w:rPr>
                  </w:pPr>
                </w:p>
              </w:tc>
              <w:tc>
                <w:tcPr>
                  <w:tcW w:w="950" w:type="dxa"/>
                  <w:vMerge w:val="continue"/>
                  <w:vAlign w:val="center"/>
                </w:tcPr>
                <w:p>
                  <w:pPr>
                    <w:pStyle w:val="30"/>
                    <w:spacing w:line="360" w:lineRule="exact"/>
                    <w:rPr>
                      <w:rFonts w:eastAsiaTheme="minorEastAsia"/>
                      <w:color w:val="auto"/>
                      <w:szCs w:val="21"/>
                    </w:rPr>
                  </w:pPr>
                </w:p>
              </w:tc>
              <w:tc>
                <w:tcPr>
                  <w:tcW w:w="1393" w:type="dxa"/>
                  <w:vAlign w:val="center"/>
                </w:tcPr>
                <w:p>
                  <w:pPr>
                    <w:pStyle w:val="30"/>
                    <w:spacing w:line="360" w:lineRule="exact"/>
                    <w:rPr>
                      <w:rFonts w:eastAsiaTheme="minorEastAsia"/>
                      <w:color w:val="auto"/>
                      <w:szCs w:val="21"/>
                    </w:rPr>
                  </w:pPr>
                  <w:r>
                    <w:rPr>
                      <w:rFonts w:eastAsiaTheme="minorEastAsia"/>
                      <w:color w:val="auto"/>
                      <w:szCs w:val="21"/>
                    </w:rPr>
                    <w:t>粪大肠菌群数（MPN/L）</w:t>
                  </w:r>
                </w:p>
              </w:tc>
              <w:tc>
                <w:tcPr>
                  <w:tcW w:w="1067" w:type="dxa"/>
                  <w:gridSpan w:val="2"/>
                  <w:vAlign w:val="center"/>
                </w:tcPr>
                <w:p>
                  <w:pPr>
                    <w:pStyle w:val="30"/>
                    <w:spacing w:line="360" w:lineRule="exact"/>
                    <w:rPr>
                      <w:rFonts w:eastAsiaTheme="minorEastAsia"/>
                      <w:color w:val="auto"/>
                      <w:szCs w:val="21"/>
                    </w:rPr>
                  </w:pPr>
                  <w:r>
                    <w:rPr>
                      <w:rFonts w:eastAsiaTheme="minorEastAsia"/>
                      <w:color w:val="auto"/>
                      <w:szCs w:val="21"/>
                    </w:rPr>
                    <w:t>16000</w:t>
                  </w:r>
                </w:p>
              </w:tc>
              <w:tc>
                <w:tcPr>
                  <w:tcW w:w="988" w:type="dxa"/>
                  <w:vAlign w:val="center"/>
                </w:tcPr>
                <w:p>
                  <w:pPr>
                    <w:pStyle w:val="30"/>
                    <w:spacing w:line="360" w:lineRule="exact"/>
                    <w:rPr>
                      <w:rFonts w:eastAsiaTheme="minorEastAsia"/>
                      <w:color w:val="auto"/>
                      <w:szCs w:val="21"/>
                    </w:rPr>
                  </w:pPr>
                  <w:r>
                    <w:rPr>
                      <w:rFonts w:eastAsiaTheme="minorEastAsia"/>
                      <w:color w:val="auto"/>
                      <w:szCs w:val="21"/>
                    </w:rPr>
                    <w:t>--</w:t>
                  </w:r>
                </w:p>
              </w:tc>
              <w:tc>
                <w:tcPr>
                  <w:tcW w:w="1151" w:type="dxa"/>
                  <w:vAlign w:val="center"/>
                </w:tcPr>
                <w:p>
                  <w:pPr>
                    <w:pStyle w:val="30"/>
                    <w:spacing w:line="360" w:lineRule="exact"/>
                    <w:rPr>
                      <w:rFonts w:eastAsiaTheme="minorEastAsia"/>
                      <w:color w:val="auto"/>
                      <w:szCs w:val="21"/>
                    </w:rPr>
                  </w:pPr>
                  <w:r>
                    <w:rPr>
                      <w:rFonts w:eastAsiaTheme="minorEastAsia"/>
                      <w:color w:val="auto"/>
                      <w:szCs w:val="21"/>
                    </w:rPr>
                    <w:t>8000</w:t>
                  </w:r>
                </w:p>
              </w:tc>
              <w:tc>
                <w:tcPr>
                  <w:tcW w:w="1406" w:type="dxa"/>
                  <w:gridSpan w:val="2"/>
                  <w:tcBorders>
                    <w:top w:val="single" w:color="auto" w:sz="4" w:space="0"/>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w:t>
                  </w:r>
                </w:p>
              </w:tc>
              <w:tc>
                <w:tcPr>
                  <w:tcW w:w="1023" w:type="dxa"/>
                  <w:vAlign w:val="center"/>
                </w:tcPr>
                <w:p>
                  <w:pPr>
                    <w:pStyle w:val="30"/>
                    <w:spacing w:line="360" w:lineRule="exact"/>
                    <w:rPr>
                      <w:rFonts w:eastAsiaTheme="minorEastAsia"/>
                      <w:color w:val="auto"/>
                      <w:szCs w:val="21"/>
                    </w:rPr>
                  </w:pPr>
                  <w:r>
                    <w:rPr>
                      <w:rFonts w:eastAsiaTheme="minorEastAsia"/>
                      <w:color w:val="auto"/>
                      <w:szCs w:val="21"/>
                    </w:rPr>
                    <w:t>20</w:t>
                  </w:r>
                </w:p>
              </w:tc>
            </w:tr>
          </w:tbl>
          <w:p>
            <w:pPr>
              <w:pStyle w:val="38"/>
              <w:spacing w:beforeLines="50"/>
              <w:ind w:firstLine="480"/>
              <w:rPr>
                <w:color w:val="auto"/>
              </w:rPr>
            </w:pPr>
            <w:r>
              <w:rPr>
                <w:color w:val="auto"/>
                <w:szCs w:val="24"/>
              </w:rPr>
              <w:t>由上表可知，</w:t>
            </w:r>
            <w:r>
              <w:rPr>
                <w:color w:val="auto"/>
              </w:rPr>
              <w:t>项目生活污水经隔油池、化粪池处理后可达到《污水排入城镇下水道水质标准》（GB/T31962-2015）B等级标准。</w:t>
            </w:r>
          </w:p>
          <w:p>
            <w:pPr>
              <w:pStyle w:val="38"/>
              <w:ind w:firstLine="482"/>
              <w:rPr>
                <w:b/>
                <w:color w:val="auto"/>
              </w:rPr>
            </w:pPr>
            <w:r>
              <w:rPr>
                <w:b/>
                <w:color w:val="auto"/>
              </w:rPr>
              <w:fldChar w:fldCharType="begin"/>
            </w:r>
            <w:r>
              <w:rPr>
                <w:b/>
                <w:color w:val="auto"/>
              </w:rPr>
              <w:instrText xml:space="preserve"> = 2 \* GB4 </w:instrText>
            </w:r>
            <w:r>
              <w:rPr>
                <w:b/>
                <w:color w:val="auto"/>
              </w:rPr>
              <w:fldChar w:fldCharType="separate"/>
            </w:r>
            <w:r>
              <w:rPr>
                <w:b/>
                <w:color w:val="auto"/>
              </w:rPr>
              <w:t>㈡</w:t>
            </w:r>
            <w:r>
              <w:rPr>
                <w:b/>
                <w:color w:val="auto"/>
              </w:rPr>
              <w:fldChar w:fldCharType="end"/>
            </w:r>
            <w:r>
              <w:rPr>
                <w:b/>
                <w:color w:val="auto"/>
              </w:rPr>
              <w:t>一体化污水处理设施污染物去除分析</w:t>
            </w:r>
          </w:p>
          <w:p>
            <w:pPr>
              <w:pStyle w:val="38"/>
              <w:ind w:firstLine="480"/>
              <w:rPr>
                <w:color w:val="auto"/>
              </w:rPr>
            </w:pPr>
            <w:r>
              <w:rPr>
                <w:color w:val="auto"/>
              </w:rPr>
              <w:t>项目一体化污水处理设施对生活污水污染物处理情况见下表。</w:t>
            </w:r>
          </w:p>
          <w:p>
            <w:pPr>
              <w:pStyle w:val="38"/>
              <w:ind w:firstLine="480"/>
              <w:rPr>
                <w:color w:val="auto"/>
              </w:rPr>
            </w:pPr>
          </w:p>
          <w:p>
            <w:pPr>
              <w:pStyle w:val="38"/>
              <w:ind w:firstLine="480"/>
              <w:rPr>
                <w:color w:val="auto"/>
              </w:rPr>
            </w:pPr>
          </w:p>
          <w:p>
            <w:pPr>
              <w:jc w:val="center"/>
              <w:rPr>
                <w:rFonts w:ascii="Times New Roman" w:hAnsi="Times New Roman" w:cs="Times New Roman"/>
                <w:b/>
                <w:color w:val="auto"/>
                <w:szCs w:val="24"/>
              </w:rPr>
            </w:pPr>
            <w:r>
              <w:rPr>
                <w:rFonts w:ascii="Times New Roman" w:hAnsi="Times New Roman" w:cs="Times New Roman"/>
                <w:b/>
                <w:color w:val="auto"/>
                <w:szCs w:val="24"/>
              </w:rPr>
              <w:t>表4.2.2-4 项目一体化污水处理设施污染物核算一览表</w:t>
            </w:r>
          </w:p>
          <w:tbl>
            <w:tblPr>
              <w:tblStyle w:val="19"/>
              <w:tblW w:w="9034" w:type="dxa"/>
              <w:tblInd w:w="0" w:type="dxa"/>
              <w:tblLayout w:type="fixed"/>
              <w:tblCellMar>
                <w:top w:w="0" w:type="dxa"/>
                <w:left w:w="108" w:type="dxa"/>
                <w:bottom w:w="0" w:type="dxa"/>
                <w:right w:w="108" w:type="dxa"/>
              </w:tblCellMar>
            </w:tblPr>
            <w:tblGrid>
              <w:gridCol w:w="1082"/>
              <w:gridCol w:w="1406"/>
              <w:gridCol w:w="1134"/>
              <w:gridCol w:w="970"/>
              <w:gridCol w:w="1124"/>
              <w:gridCol w:w="1112"/>
              <w:gridCol w:w="1124"/>
              <w:gridCol w:w="1082"/>
            </w:tblGrid>
            <w:tr>
              <w:tblPrEx>
                <w:tblLayout w:type="fixed"/>
                <w:tblCellMar>
                  <w:top w:w="0" w:type="dxa"/>
                  <w:left w:w="108" w:type="dxa"/>
                  <w:bottom w:w="0" w:type="dxa"/>
                  <w:right w:w="108" w:type="dxa"/>
                </w:tblCellMar>
              </w:tblPrEx>
              <w:tc>
                <w:tcPr>
                  <w:tcW w:w="1082" w:type="dxa"/>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排放源</w:t>
                  </w:r>
                </w:p>
              </w:tc>
              <w:tc>
                <w:tcPr>
                  <w:tcW w:w="1406" w:type="dxa"/>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污染物</w:t>
                  </w:r>
                </w:p>
              </w:tc>
              <w:tc>
                <w:tcPr>
                  <w:tcW w:w="1134" w:type="dxa"/>
                  <w:tcBorders>
                    <w:top w:val="single" w:color="auto" w:sz="8" w:space="0"/>
                    <w:left w:val="nil"/>
                    <w:bottom w:val="single" w:color="auto" w:sz="4"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进水浓度</w:t>
                  </w:r>
                </w:p>
                <w:p>
                  <w:pPr>
                    <w:pStyle w:val="30"/>
                    <w:spacing w:line="360" w:lineRule="exact"/>
                    <w:rPr>
                      <w:rFonts w:eastAsiaTheme="minorEastAsia"/>
                      <w:color w:val="auto"/>
                      <w:szCs w:val="21"/>
                    </w:rPr>
                  </w:pPr>
                  <w:r>
                    <w:rPr>
                      <w:rFonts w:eastAsiaTheme="minorEastAsia"/>
                      <w:color w:val="auto"/>
                      <w:szCs w:val="21"/>
                    </w:rPr>
                    <w:t>（mg/L）</w:t>
                  </w:r>
                </w:p>
              </w:tc>
              <w:tc>
                <w:tcPr>
                  <w:tcW w:w="970" w:type="dxa"/>
                  <w:tcBorders>
                    <w:top w:val="single" w:color="auto" w:sz="8" w:space="0"/>
                    <w:left w:val="nil"/>
                    <w:bottom w:val="single" w:color="auto" w:sz="4"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产生量（t/a）</w:t>
                  </w:r>
                </w:p>
              </w:tc>
              <w:tc>
                <w:tcPr>
                  <w:tcW w:w="1124" w:type="dxa"/>
                  <w:tcBorders>
                    <w:top w:val="single" w:color="auto" w:sz="8" w:space="0"/>
                    <w:left w:val="nil"/>
                    <w:bottom w:val="single" w:color="auto" w:sz="4"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出水浓度</w:t>
                  </w:r>
                </w:p>
                <w:p>
                  <w:pPr>
                    <w:pStyle w:val="30"/>
                    <w:spacing w:line="360" w:lineRule="exact"/>
                    <w:rPr>
                      <w:rFonts w:eastAsiaTheme="minorEastAsia"/>
                      <w:color w:val="auto"/>
                      <w:szCs w:val="21"/>
                    </w:rPr>
                  </w:pPr>
                  <w:r>
                    <w:rPr>
                      <w:rFonts w:eastAsiaTheme="minorEastAsia"/>
                      <w:color w:val="auto"/>
                      <w:szCs w:val="21"/>
                    </w:rPr>
                    <w:t>（mg/L）</w:t>
                  </w:r>
                </w:p>
              </w:tc>
              <w:tc>
                <w:tcPr>
                  <w:tcW w:w="1112" w:type="dxa"/>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再生水回用量（t/a）</w:t>
                  </w:r>
                </w:p>
              </w:tc>
              <w:tc>
                <w:tcPr>
                  <w:tcW w:w="1124" w:type="dxa"/>
                  <w:tcBorders>
                    <w:top w:val="single" w:color="auto" w:sz="8" w:space="0"/>
                    <w:left w:val="nil"/>
                    <w:bottom w:val="single" w:color="auto" w:sz="4"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标准值</w:t>
                  </w:r>
                </w:p>
                <w:p>
                  <w:pPr>
                    <w:pStyle w:val="30"/>
                    <w:spacing w:line="360" w:lineRule="exact"/>
                    <w:rPr>
                      <w:rFonts w:eastAsiaTheme="minorEastAsia"/>
                      <w:color w:val="auto"/>
                      <w:szCs w:val="21"/>
                    </w:rPr>
                  </w:pPr>
                  <w:r>
                    <w:rPr>
                      <w:rFonts w:eastAsiaTheme="minorEastAsia"/>
                      <w:color w:val="auto"/>
                      <w:szCs w:val="21"/>
                    </w:rPr>
                    <w:t>（mg/L）</w:t>
                  </w:r>
                </w:p>
              </w:tc>
              <w:tc>
                <w:tcPr>
                  <w:tcW w:w="1082" w:type="dxa"/>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达标情况</w:t>
                  </w:r>
                </w:p>
              </w:tc>
            </w:tr>
            <w:tr>
              <w:tblPrEx>
                <w:tblLayout w:type="fixed"/>
                <w:tblCellMar>
                  <w:top w:w="0" w:type="dxa"/>
                  <w:left w:w="108" w:type="dxa"/>
                  <w:bottom w:w="0" w:type="dxa"/>
                  <w:right w:w="108" w:type="dxa"/>
                </w:tblCellMar>
              </w:tblPrEx>
              <w:tc>
                <w:tcPr>
                  <w:tcW w:w="1082" w:type="dxa"/>
                  <w:vMerge w:val="restart"/>
                  <w:tcBorders>
                    <w:top w:val="nil"/>
                    <w:left w:val="single" w:color="auto" w:sz="8" w:space="0"/>
                    <w:bottom w:val="single" w:color="000000"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经化粪池处理后并进入一体化污水处理设施的生活污水</w:t>
                  </w:r>
                </w:p>
              </w:tc>
              <w:tc>
                <w:tcPr>
                  <w:tcW w:w="1406"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废水量</w:t>
                  </w:r>
                </w:p>
              </w:tc>
              <w:tc>
                <w:tcPr>
                  <w:tcW w:w="2104" w:type="dxa"/>
                  <w:gridSpan w:val="2"/>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1488m³/a</w:t>
                  </w:r>
                </w:p>
              </w:tc>
              <w:tc>
                <w:tcPr>
                  <w:tcW w:w="2236" w:type="dxa"/>
                  <w:gridSpan w:val="2"/>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1488m³/a</w:t>
                  </w:r>
                </w:p>
              </w:tc>
              <w:tc>
                <w:tcPr>
                  <w:tcW w:w="1124"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w:t>
                  </w:r>
                </w:p>
              </w:tc>
              <w:tc>
                <w:tcPr>
                  <w:tcW w:w="108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w:t>
                  </w:r>
                </w:p>
              </w:tc>
            </w:tr>
            <w:tr>
              <w:tblPrEx>
                <w:tblLayout w:type="fixed"/>
                <w:tblCellMar>
                  <w:top w:w="0" w:type="dxa"/>
                  <w:left w:w="108" w:type="dxa"/>
                  <w:bottom w:w="0" w:type="dxa"/>
                  <w:right w:w="108" w:type="dxa"/>
                </w:tblCellMar>
              </w:tblPrEx>
              <w:tc>
                <w:tcPr>
                  <w:tcW w:w="1082"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rFonts w:eastAsiaTheme="minorEastAsia"/>
                      <w:color w:val="auto"/>
                      <w:szCs w:val="21"/>
                    </w:rPr>
                  </w:pPr>
                </w:p>
              </w:tc>
              <w:tc>
                <w:tcPr>
                  <w:tcW w:w="1406"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pH</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6-9</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6-9</w:t>
                  </w:r>
                </w:p>
              </w:tc>
              <w:tc>
                <w:tcPr>
                  <w:tcW w:w="1112" w:type="dxa"/>
                  <w:tcBorders>
                    <w:top w:val="nil"/>
                    <w:left w:val="nil"/>
                    <w:bottom w:val="single" w:color="auto" w:sz="8" w:space="0"/>
                    <w:right w:val="single" w:color="auto" w:sz="8" w:space="0"/>
                  </w:tcBorders>
                  <w:shd w:val="clear" w:color="auto" w:fill="auto"/>
                  <w:vAlign w:val="bottom"/>
                </w:tcPr>
                <w:p>
                  <w:pPr>
                    <w:pStyle w:val="30"/>
                    <w:spacing w:line="360" w:lineRule="exact"/>
                    <w:rPr>
                      <w:rFonts w:eastAsiaTheme="minorEastAsia"/>
                      <w:color w:val="auto"/>
                      <w:szCs w:val="21"/>
                    </w:rPr>
                  </w:pPr>
                  <w:r>
                    <w:rPr>
                      <w:rFonts w:eastAsiaTheme="minorEastAsia"/>
                      <w:color w:val="auto"/>
                      <w:szCs w:val="21"/>
                    </w:rPr>
                    <w:t>--</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6.0-9.0</w:t>
                  </w:r>
                </w:p>
              </w:tc>
              <w:tc>
                <w:tcPr>
                  <w:tcW w:w="108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达标</w:t>
                  </w:r>
                </w:p>
              </w:tc>
            </w:tr>
            <w:tr>
              <w:tblPrEx>
                <w:tblLayout w:type="fixed"/>
                <w:tblCellMar>
                  <w:top w:w="0" w:type="dxa"/>
                  <w:left w:w="108" w:type="dxa"/>
                  <w:bottom w:w="0" w:type="dxa"/>
                  <w:right w:w="108" w:type="dxa"/>
                </w:tblCellMar>
              </w:tblPrEx>
              <w:tc>
                <w:tcPr>
                  <w:tcW w:w="1082"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rFonts w:eastAsiaTheme="minorEastAsia"/>
                      <w:color w:val="auto"/>
                      <w:szCs w:val="21"/>
                    </w:rPr>
                  </w:pPr>
                </w:p>
              </w:tc>
              <w:tc>
                <w:tcPr>
                  <w:tcW w:w="1406"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CODcr</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280</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0.42</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30</w:t>
                  </w:r>
                </w:p>
              </w:tc>
              <w:tc>
                <w:tcPr>
                  <w:tcW w:w="111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0.04</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w:t>
                  </w:r>
                </w:p>
              </w:tc>
              <w:tc>
                <w:tcPr>
                  <w:tcW w:w="108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w:t>
                  </w:r>
                </w:p>
              </w:tc>
            </w:tr>
            <w:tr>
              <w:tblPrEx>
                <w:tblLayout w:type="fixed"/>
                <w:tblCellMar>
                  <w:top w:w="0" w:type="dxa"/>
                  <w:left w:w="108" w:type="dxa"/>
                  <w:bottom w:w="0" w:type="dxa"/>
                  <w:right w:w="108" w:type="dxa"/>
                </w:tblCellMar>
              </w:tblPrEx>
              <w:tc>
                <w:tcPr>
                  <w:tcW w:w="1082"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rFonts w:eastAsiaTheme="minorEastAsia"/>
                      <w:color w:val="auto"/>
                      <w:szCs w:val="21"/>
                    </w:rPr>
                  </w:pPr>
                </w:p>
              </w:tc>
              <w:tc>
                <w:tcPr>
                  <w:tcW w:w="1406"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BOD</w:t>
                  </w:r>
                  <w:r>
                    <w:rPr>
                      <w:rFonts w:eastAsiaTheme="minorEastAsia"/>
                      <w:color w:val="auto"/>
                      <w:szCs w:val="21"/>
                      <w:vertAlign w:val="subscript"/>
                    </w:rPr>
                    <w:t>5</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190</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0.28</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8</w:t>
                  </w:r>
                </w:p>
              </w:tc>
              <w:tc>
                <w:tcPr>
                  <w:tcW w:w="111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0.01</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≤10</w:t>
                  </w:r>
                </w:p>
              </w:tc>
              <w:tc>
                <w:tcPr>
                  <w:tcW w:w="108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达标</w:t>
                  </w:r>
                </w:p>
              </w:tc>
            </w:tr>
            <w:tr>
              <w:tblPrEx>
                <w:tblLayout w:type="fixed"/>
                <w:tblCellMar>
                  <w:top w:w="0" w:type="dxa"/>
                  <w:left w:w="108" w:type="dxa"/>
                  <w:bottom w:w="0" w:type="dxa"/>
                  <w:right w:w="108" w:type="dxa"/>
                </w:tblCellMar>
              </w:tblPrEx>
              <w:tc>
                <w:tcPr>
                  <w:tcW w:w="1082"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rFonts w:eastAsiaTheme="minorEastAsia"/>
                      <w:color w:val="auto"/>
                      <w:szCs w:val="21"/>
                    </w:rPr>
                  </w:pPr>
                </w:p>
              </w:tc>
              <w:tc>
                <w:tcPr>
                  <w:tcW w:w="1406"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NH</w:t>
                  </w:r>
                  <w:r>
                    <w:rPr>
                      <w:rFonts w:eastAsiaTheme="minorEastAsia"/>
                      <w:color w:val="auto"/>
                      <w:szCs w:val="21"/>
                      <w:vertAlign w:val="subscript"/>
                    </w:rPr>
                    <w:t>3</w:t>
                  </w:r>
                  <w:r>
                    <w:rPr>
                      <w:rFonts w:eastAsiaTheme="minorEastAsia"/>
                      <w:color w:val="auto"/>
                      <w:szCs w:val="21"/>
                    </w:rPr>
                    <w:t>-N</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35</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0.05</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6</w:t>
                  </w:r>
                </w:p>
              </w:tc>
              <w:tc>
                <w:tcPr>
                  <w:tcW w:w="111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0.01</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≤8</w:t>
                  </w:r>
                </w:p>
              </w:tc>
              <w:tc>
                <w:tcPr>
                  <w:tcW w:w="108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达标</w:t>
                  </w:r>
                </w:p>
              </w:tc>
            </w:tr>
            <w:tr>
              <w:tblPrEx>
                <w:tblLayout w:type="fixed"/>
                <w:tblCellMar>
                  <w:top w:w="0" w:type="dxa"/>
                  <w:left w:w="108" w:type="dxa"/>
                  <w:bottom w:w="0" w:type="dxa"/>
                  <w:right w:w="108" w:type="dxa"/>
                </w:tblCellMar>
              </w:tblPrEx>
              <w:tc>
                <w:tcPr>
                  <w:tcW w:w="1082"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rFonts w:eastAsiaTheme="minorEastAsia"/>
                      <w:color w:val="auto"/>
                      <w:szCs w:val="21"/>
                    </w:rPr>
                  </w:pPr>
                </w:p>
              </w:tc>
              <w:tc>
                <w:tcPr>
                  <w:tcW w:w="1406"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SS</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160</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0.24</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30</w:t>
                  </w:r>
                </w:p>
              </w:tc>
              <w:tc>
                <w:tcPr>
                  <w:tcW w:w="111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0.04</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w:t>
                  </w:r>
                </w:p>
              </w:tc>
              <w:tc>
                <w:tcPr>
                  <w:tcW w:w="108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w:t>
                  </w:r>
                </w:p>
              </w:tc>
            </w:tr>
            <w:tr>
              <w:tblPrEx>
                <w:tblLayout w:type="fixed"/>
                <w:tblCellMar>
                  <w:top w:w="0" w:type="dxa"/>
                  <w:left w:w="108" w:type="dxa"/>
                  <w:bottom w:w="0" w:type="dxa"/>
                  <w:right w:w="108" w:type="dxa"/>
                </w:tblCellMar>
              </w:tblPrEx>
              <w:tc>
                <w:tcPr>
                  <w:tcW w:w="1082"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rFonts w:eastAsiaTheme="minorEastAsia"/>
                      <w:color w:val="auto"/>
                      <w:szCs w:val="21"/>
                    </w:rPr>
                  </w:pPr>
                </w:p>
              </w:tc>
              <w:tc>
                <w:tcPr>
                  <w:tcW w:w="1406"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总磷</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7</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0.01</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2</w:t>
                  </w:r>
                </w:p>
              </w:tc>
              <w:tc>
                <w:tcPr>
                  <w:tcW w:w="111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0.003</w:t>
                  </w:r>
                </w:p>
              </w:tc>
              <w:tc>
                <w:tcPr>
                  <w:tcW w:w="1124" w:type="dxa"/>
                  <w:tcBorders>
                    <w:top w:val="nil"/>
                    <w:left w:val="nil"/>
                    <w:bottom w:val="single" w:color="auto" w:sz="8" w:space="0"/>
                    <w:right w:val="single" w:color="auto" w:sz="8" w:space="0"/>
                  </w:tcBorders>
                  <w:shd w:val="clear" w:color="auto" w:fill="auto"/>
                  <w:noWrap/>
                  <w:vAlign w:val="center"/>
                </w:tcPr>
                <w:p>
                  <w:pPr>
                    <w:pStyle w:val="30"/>
                    <w:spacing w:line="360" w:lineRule="exact"/>
                    <w:rPr>
                      <w:rFonts w:eastAsiaTheme="minorEastAsia"/>
                      <w:color w:val="auto"/>
                      <w:szCs w:val="21"/>
                    </w:rPr>
                  </w:pPr>
                  <w:r>
                    <w:rPr>
                      <w:rFonts w:eastAsiaTheme="minorEastAsia"/>
                      <w:color w:val="auto"/>
                      <w:szCs w:val="21"/>
                    </w:rPr>
                    <w:t>--</w:t>
                  </w:r>
                </w:p>
              </w:tc>
              <w:tc>
                <w:tcPr>
                  <w:tcW w:w="108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w:t>
                  </w:r>
                </w:p>
              </w:tc>
            </w:tr>
            <w:tr>
              <w:tblPrEx>
                <w:tblLayout w:type="fixed"/>
                <w:tblCellMar>
                  <w:top w:w="0" w:type="dxa"/>
                  <w:left w:w="108" w:type="dxa"/>
                  <w:bottom w:w="0" w:type="dxa"/>
                  <w:right w:w="108" w:type="dxa"/>
                </w:tblCellMar>
              </w:tblPrEx>
              <w:tc>
                <w:tcPr>
                  <w:tcW w:w="1082"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rFonts w:eastAsiaTheme="minorEastAsia"/>
                      <w:color w:val="auto"/>
                      <w:szCs w:val="21"/>
                    </w:rPr>
                  </w:pPr>
                </w:p>
              </w:tc>
              <w:tc>
                <w:tcPr>
                  <w:tcW w:w="1406"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总氮</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40</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0.06</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16</w:t>
                  </w:r>
                </w:p>
              </w:tc>
              <w:tc>
                <w:tcPr>
                  <w:tcW w:w="111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0.02</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w:t>
                  </w:r>
                </w:p>
              </w:tc>
              <w:tc>
                <w:tcPr>
                  <w:tcW w:w="108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w:t>
                  </w:r>
                </w:p>
              </w:tc>
            </w:tr>
            <w:tr>
              <w:tblPrEx>
                <w:tblLayout w:type="fixed"/>
                <w:tblCellMar>
                  <w:top w:w="0" w:type="dxa"/>
                  <w:left w:w="108" w:type="dxa"/>
                  <w:bottom w:w="0" w:type="dxa"/>
                  <w:right w:w="108" w:type="dxa"/>
                </w:tblCellMar>
              </w:tblPrEx>
              <w:tc>
                <w:tcPr>
                  <w:tcW w:w="1082"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rFonts w:eastAsiaTheme="minorEastAsia"/>
                      <w:color w:val="auto"/>
                      <w:szCs w:val="21"/>
                    </w:rPr>
                  </w:pPr>
                </w:p>
              </w:tc>
              <w:tc>
                <w:tcPr>
                  <w:tcW w:w="1406"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动植物油</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60</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0.09</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20</w:t>
                  </w:r>
                </w:p>
              </w:tc>
              <w:tc>
                <w:tcPr>
                  <w:tcW w:w="111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0.03</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w:t>
                  </w:r>
                </w:p>
              </w:tc>
              <w:tc>
                <w:tcPr>
                  <w:tcW w:w="108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w:t>
                  </w:r>
                </w:p>
              </w:tc>
            </w:tr>
            <w:tr>
              <w:tblPrEx>
                <w:tblLayout w:type="fixed"/>
                <w:tblCellMar>
                  <w:top w:w="0" w:type="dxa"/>
                  <w:left w:w="108" w:type="dxa"/>
                  <w:bottom w:w="0" w:type="dxa"/>
                  <w:right w:w="108" w:type="dxa"/>
                </w:tblCellMar>
              </w:tblPrEx>
              <w:tc>
                <w:tcPr>
                  <w:tcW w:w="1082"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rFonts w:eastAsiaTheme="minorEastAsia"/>
                      <w:color w:val="auto"/>
                      <w:szCs w:val="21"/>
                    </w:rPr>
                  </w:pPr>
                </w:p>
              </w:tc>
              <w:tc>
                <w:tcPr>
                  <w:tcW w:w="1406"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阴离子表面活性剂</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11</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0.02</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0.2</w:t>
                  </w:r>
                </w:p>
              </w:tc>
              <w:tc>
                <w:tcPr>
                  <w:tcW w:w="111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0.0003</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≤0.5</w:t>
                  </w:r>
                </w:p>
              </w:tc>
              <w:tc>
                <w:tcPr>
                  <w:tcW w:w="108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达标</w:t>
                  </w:r>
                </w:p>
              </w:tc>
            </w:tr>
            <w:tr>
              <w:tblPrEx>
                <w:tblLayout w:type="fixed"/>
                <w:tblCellMar>
                  <w:top w:w="0" w:type="dxa"/>
                  <w:left w:w="108" w:type="dxa"/>
                  <w:bottom w:w="0" w:type="dxa"/>
                  <w:right w:w="108" w:type="dxa"/>
                </w:tblCellMar>
              </w:tblPrEx>
              <w:tc>
                <w:tcPr>
                  <w:tcW w:w="1082"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rFonts w:eastAsiaTheme="minorEastAsia"/>
                      <w:color w:val="auto"/>
                      <w:szCs w:val="21"/>
                    </w:rPr>
                  </w:pPr>
                </w:p>
              </w:tc>
              <w:tc>
                <w:tcPr>
                  <w:tcW w:w="1406"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粪大肠菌群数（MPN/L）</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8000</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　</w:t>
                  </w:r>
                </w:p>
              </w:tc>
              <w:tc>
                <w:tcPr>
                  <w:tcW w:w="111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w:t>
                  </w:r>
                </w:p>
              </w:tc>
              <w:tc>
                <w:tcPr>
                  <w:tcW w:w="108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auto"/>
                      <w:szCs w:val="21"/>
                    </w:rPr>
                  </w:pPr>
                  <w:r>
                    <w:rPr>
                      <w:rFonts w:eastAsiaTheme="minorEastAsia"/>
                      <w:color w:val="auto"/>
                      <w:szCs w:val="21"/>
                    </w:rPr>
                    <w:t>--</w:t>
                  </w:r>
                </w:p>
              </w:tc>
            </w:tr>
          </w:tbl>
          <w:p>
            <w:pPr>
              <w:spacing w:beforeLines="50"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由上表可知，经一体化污水处理设施处理后的生活污水可达到《城市污水再生利用 城市杂用水水质》（GB/T18920-2020）中城市绿化标准。</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fldChar w:fldCharType="begin"/>
            </w:r>
            <w:r>
              <w:rPr>
                <w:rFonts w:ascii="Times New Roman" w:hAnsi="Times New Roman" w:cs="Times New Roman"/>
                <w:b/>
                <w:color w:val="auto"/>
                <w:sz w:val="24"/>
                <w:szCs w:val="24"/>
              </w:rPr>
              <w:instrText xml:space="preserve"> = 3 \* GB2 </w:instrText>
            </w:r>
            <w:r>
              <w:rPr>
                <w:rFonts w:ascii="Times New Roman" w:hAnsi="Times New Roman" w:cs="Times New Roman"/>
                <w:b/>
                <w:color w:val="auto"/>
                <w:sz w:val="24"/>
                <w:szCs w:val="24"/>
              </w:rPr>
              <w:fldChar w:fldCharType="separate"/>
            </w:r>
            <w:r>
              <w:rPr>
                <w:rFonts w:ascii="Times New Roman" w:hAnsi="Times New Roman" w:cs="Times New Roman"/>
                <w:b/>
                <w:color w:val="auto"/>
                <w:sz w:val="24"/>
                <w:szCs w:val="24"/>
              </w:rPr>
              <w:t>⑶</w:t>
            </w:r>
            <w:r>
              <w:rPr>
                <w:rFonts w:ascii="Times New Roman" w:hAnsi="Times New Roman" w:cs="Times New Roman"/>
                <w:b/>
                <w:color w:val="auto"/>
                <w:sz w:val="24"/>
                <w:szCs w:val="24"/>
              </w:rPr>
              <w:fldChar w:fldCharType="end"/>
            </w:r>
            <w:r>
              <w:rPr>
                <w:rFonts w:ascii="Times New Roman" w:hAnsi="Times New Roman" w:cs="Times New Roman"/>
                <w:b/>
                <w:color w:val="auto"/>
                <w:sz w:val="24"/>
                <w:szCs w:val="24"/>
              </w:rPr>
              <w:t>初期雨水产排量及达标情况</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项目产污环节和废水污染物治理措施可知，初期雨水的主要污染物为CODcr和SS，项目拟配套设置了1个30m³的初期雨水收集池对厂区初期雨水进行收集，收集沉淀处理后回用于绿化，不外排；由于《城市污水再生利用 城市杂用水水质》（GB/T18920-2020）中城市绿化标准，因此回用可行。</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w:t>
            </w:r>
            <w:r>
              <w:rPr>
                <w:rFonts w:hint="eastAsia" w:ascii="Times New Roman" w:hAnsi="Times New Roman" w:cs="Times New Roman"/>
                <w:b/>
                <w:color w:val="auto"/>
                <w:sz w:val="24"/>
                <w:szCs w:val="24"/>
              </w:rPr>
              <w:t>3</w:t>
            </w:r>
            <w:r>
              <w:rPr>
                <w:rFonts w:ascii="Times New Roman" w:hAnsi="Times New Roman" w:cs="Times New Roman"/>
                <w:b/>
                <w:color w:val="auto"/>
                <w:sz w:val="24"/>
                <w:szCs w:val="24"/>
              </w:rPr>
              <w:t>）</w:t>
            </w:r>
            <w:r>
              <w:rPr>
                <w:rFonts w:ascii="Times New Roman" w:hAnsi="Times New Roman" w:cs="Times New Roman"/>
                <w:b/>
                <w:color w:val="auto"/>
                <w:sz w:val="24"/>
              </w:rPr>
              <w:t>废水</w:t>
            </w:r>
            <w:r>
              <w:rPr>
                <w:rFonts w:ascii="Times New Roman" w:hAnsi="Times New Roman" w:cs="Times New Roman"/>
                <w:b/>
                <w:color w:val="auto"/>
                <w:sz w:val="24"/>
                <w:szCs w:val="24"/>
              </w:rPr>
              <w:t>污染治理设施可行性分析</w:t>
            </w:r>
          </w:p>
          <w:p>
            <w:pPr>
              <w:pStyle w:val="38"/>
              <w:ind w:firstLine="480"/>
              <w:rPr>
                <w:rFonts w:eastAsiaTheme="minorEastAsia"/>
                <w:color w:val="auto"/>
                <w:szCs w:val="24"/>
              </w:rPr>
            </w:pPr>
            <w:r>
              <w:rPr>
                <w:rFonts w:eastAsiaTheme="minorEastAsia"/>
                <w:color w:val="auto"/>
                <w:szCs w:val="24"/>
              </w:rPr>
              <w:t>根据项目特点，本项目针对平衡盐水设置的盐水缸兑水稀释措施、隔油池、化粪池等措施均为已建，并投入生产，可实际措施可行，环评重点分析拟建设的一体化污水处理设施、清水池和初期雨水收集池的可行性。</w:t>
            </w:r>
          </w:p>
          <w:p>
            <w:pPr>
              <w:spacing w:line="360" w:lineRule="auto"/>
              <w:ind w:firstLine="482" w:firstLineChars="200"/>
              <w:rPr>
                <w:rFonts w:ascii="Times New Roman" w:hAnsi="Times New Roman" w:cs="Times New Roman"/>
                <w:color w:val="auto"/>
                <w:szCs w:val="24"/>
              </w:rPr>
            </w:pPr>
            <w:r>
              <w:rPr>
                <w:rFonts w:ascii="Times New Roman" w:hAnsi="Times New Roman" w:cs="Times New Roman"/>
                <w:b/>
                <w:color w:val="auto"/>
                <w:sz w:val="24"/>
                <w:szCs w:val="24"/>
              </w:rPr>
              <w:t>①一体化污水处理设施有效性分析</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fldChar w:fldCharType="begin"/>
            </w:r>
            <w:r>
              <w:rPr>
                <w:rFonts w:ascii="Times New Roman" w:hAnsi="Times New Roman" w:cs="Times New Roman"/>
                <w:b/>
                <w:color w:val="auto"/>
                <w:sz w:val="24"/>
                <w:szCs w:val="24"/>
              </w:rPr>
              <w:instrText xml:space="preserve"> = 1 \* GB2 </w:instrText>
            </w:r>
            <w:r>
              <w:rPr>
                <w:rFonts w:ascii="Times New Roman" w:hAnsi="Times New Roman" w:cs="Times New Roman"/>
                <w:b/>
                <w:color w:val="auto"/>
                <w:sz w:val="24"/>
                <w:szCs w:val="24"/>
              </w:rPr>
              <w:fldChar w:fldCharType="separate"/>
            </w:r>
            <w:r>
              <w:rPr>
                <w:rFonts w:ascii="Times New Roman" w:hAnsi="Times New Roman" w:cs="Times New Roman"/>
                <w:b/>
                <w:color w:val="auto"/>
                <w:sz w:val="24"/>
                <w:szCs w:val="24"/>
              </w:rPr>
              <w:t>⑴</w:t>
            </w:r>
            <w:r>
              <w:rPr>
                <w:rFonts w:ascii="Times New Roman" w:hAnsi="Times New Roman" w:cs="Times New Roman"/>
                <w:b/>
                <w:color w:val="auto"/>
                <w:sz w:val="24"/>
                <w:szCs w:val="24"/>
              </w:rPr>
              <w:fldChar w:fldCharType="end"/>
            </w:r>
            <w:r>
              <w:rPr>
                <w:rFonts w:ascii="Times New Roman" w:hAnsi="Times New Roman" w:cs="Times New Roman"/>
                <w:b/>
                <w:color w:val="auto"/>
                <w:sz w:val="24"/>
                <w:szCs w:val="24"/>
              </w:rPr>
              <w:t>一体化污水处理设施规模设置合理性分析</w:t>
            </w:r>
          </w:p>
          <w:p>
            <w:pPr>
              <w:pStyle w:val="38"/>
              <w:ind w:firstLine="480"/>
              <w:rPr>
                <w:rFonts w:eastAsiaTheme="minorEastAsia"/>
                <w:color w:val="auto"/>
                <w:szCs w:val="24"/>
              </w:rPr>
            </w:pPr>
            <w:r>
              <w:rPr>
                <w:rFonts w:eastAsiaTheme="minorEastAsia"/>
                <w:color w:val="auto"/>
                <w:szCs w:val="24"/>
              </w:rPr>
              <w:t>根据工程分析可知，本项目生活污水产生量为4.96m³/d，变化系数按照1.2计，则最大废水量约为5.95m³/d，而项目拟设置1套处理能力为30m³/d的一体化污水处理设施其规模可满足要求。</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fldChar w:fldCharType="begin"/>
            </w:r>
            <w:r>
              <w:rPr>
                <w:rFonts w:ascii="Times New Roman" w:hAnsi="Times New Roman" w:cs="Times New Roman"/>
                <w:b/>
                <w:color w:val="auto"/>
                <w:sz w:val="24"/>
                <w:szCs w:val="24"/>
              </w:rPr>
              <w:instrText xml:space="preserve"> = 2 \* GB2 </w:instrText>
            </w:r>
            <w:r>
              <w:rPr>
                <w:rFonts w:ascii="Times New Roman" w:hAnsi="Times New Roman" w:cs="Times New Roman"/>
                <w:b/>
                <w:color w:val="auto"/>
                <w:sz w:val="24"/>
                <w:szCs w:val="24"/>
              </w:rPr>
              <w:fldChar w:fldCharType="separate"/>
            </w:r>
            <w:r>
              <w:rPr>
                <w:rFonts w:ascii="Times New Roman" w:hAnsi="Times New Roman" w:cs="Times New Roman"/>
                <w:b/>
                <w:color w:val="auto"/>
                <w:sz w:val="24"/>
                <w:szCs w:val="24"/>
              </w:rPr>
              <w:t>⑵</w:t>
            </w:r>
            <w:r>
              <w:rPr>
                <w:rFonts w:ascii="Times New Roman" w:hAnsi="Times New Roman" w:cs="Times New Roman"/>
                <w:b/>
                <w:color w:val="auto"/>
                <w:sz w:val="24"/>
                <w:szCs w:val="24"/>
              </w:rPr>
              <w:fldChar w:fldCharType="end"/>
            </w:r>
            <w:r>
              <w:rPr>
                <w:rFonts w:ascii="Times New Roman" w:hAnsi="Times New Roman" w:cs="Times New Roman"/>
                <w:b/>
                <w:color w:val="auto"/>
                <w:sz w:val="24"/>
                <w:szCs w:val="24"/>
              </w:rPr>
              <w:t>一体化污水处理设施工艺设置合理性分析</w:t>
            </w:r>
          </w:p>
          <w:p>
            <w:pPr>
              <w:pStyle w:val="38"/>
              <w:ind w:firstLine="480"/>
              <w:rPr>
                <w:rFonts w:eastAsiaTheme="minorEastAsia"/>
                <w:color w:val="auto"/>
                <w:szCs w:val="24"/>
              </w:rPr>
            </w:pPr>
            <w:r>
              <w:rPr>
                <w:rFonts w:eastAsiaTheme="minorEastAsia"/>
                <w:color w:val="auto"/>
                <w:szCs w:val="24"/>
              </w:rPr>
              <w:t>本项目设置的一体化污水处理设施购买成品进行安装，根据该一体化设施的设计资料，该设施拟采用生化处理工艺对生活污水进行处理，设计工艺如下图所示。</w:t>
            </w:r>
          </w:p>
          <w:p>
            <w:pPr>
              <w:jc w:val="center"/>
              <w:rPr>
                <w:rFonts w:ascii="Times New Roman" w:hAnsi="Times New Roman" w:cs="Times New Roman"/>
                <w:b/>
                <w:color w:val="auto"/>
                <w:szCs w:val="24"/>
              </w:rPr>
            </w:pPr>
            <w:r>
              <w:rPr>
                <w:rFonts w:ascii="Times New Roman" w:hAnsi="Times New Roman" w:cs="Times New Roman"/>
                <w:b/>
                <w:color w:val="auto"/>
                <w:szCs w:val="24"/>
              </w:rPr>
              <w:object>
                <v:shape id="_x0000_i1032" o:spt="75" type="#_x0000_t75" style="height:118.8pt;width:342pt;" o:ole="t" filled="f" o:preferrelative="t" stroked="f" coordsize="21600,21600">
                  <v:path/>
                  <v:fill on="f" focussize="0,0"/>
                  <v:stroke on="f" joinstyle="miter"/>
                  <v:imagedata r:id="rId38" o:title=""/>
                  <o:lock v:ext="edit" aspectratio="t"/>
                  <w10:wrap type="none"/>
                  <w10:anchorlock/>
                </v:shape>
                <o:OLEObject Type="Embed" ProgID="Visio.Drawing.11" ShapeID="_x0000_i1032" DrawAspect="Content" ObjectID="_1468075732" r:id="rId37">
                  <o:LockedField>false</o:LockedField>
                </o:OLEObject>
              </w:object>
            </w:r>
          </w:p>
          <w:p>
            <w:pPr>
              <w:jc w:val="center"/>
              <w:rPr>
                <w:rFonts w:ascii="Times New Roman" w:hAnsi="Times New Roman" w:cs="Times New Roman"/>
                <w:b/>
                <w:color w:val="auto"/>
                <w:szCs w:val="24"/>
              </w:rPr>
            </w:pPr>
            <w:r>
              <w:rPr>
                <w:rFonts w:ascii="Times New Roman" w:hAnsi="Times New Roman" w:cs="Times New Roman"/>
                <w:b/>
                <w:color w:val="auto"/>
                <w:szCs w:val="24"/>
              </w:rPr>
              <w:t>图4.2.2-1 污水处理工艺流程图</w:t>
            </w:r>
          </w:p>
          <w:p>
            <w:pPr>
              <w:pStyle w:val="38"/>
              <w:ind w:firstLine="480"/>
              <w:rPr>
                <w:rFonts w:eastAsiaTheme="minorEastAsia"/>
                <w:color w:val="auto"/>
                <w:szCs w:val="24"/>
              </w:rPr>
            </w:pPr>
            <w:r>
              <w:rPr>
                <w:rFonts w:eastAsiaTheme="minorEastAsia"/>
                <w:color w:val="auto"/>
                <w:szCs w:val="24"/>
              </w:rPr>
              <w:t>污水处理工艺流程简述：</w:t>
            </w:r>
          </w:p>
          <w:p>
            <w:pPr>
              <w:pStyle w:val="38"/>
              <w:ind w:firstLine="480"/>
              <w:rPr>
                <w:rFonts w:eastAsiaTheme="minorEastAsia"/>
                <w:color w:val="auto"/>
                <w:szCs w:val="24"/>
              </w:rPr>
            </w:pPr>
            <w:r>
              <w:rPr>
                <w:rFonts w:eastAsiaTheme="minorEastAsia"/>
                <w:color w:val="auto"/>
                <w:szCs w:val="24"/>
              </w:rPr>
              <w:fldChar w:fldCharType="begin"/>
            </w:r>
            <w:r>
              <w:rPr>
                <w:rFonts w:eastAsiaTheme="minorEastAsia"/>
                <w:color w:val="auto"/>
                <w:szCs w:val="24"/>
              </w:rPr>
              <w:instrText xml:space="preserve"> = 1 \* GB4 </w:instrText>
            </w:r>
            <w:r>
              <w:rPr>
                <w:rFonts w:eastAsiaTheme="minorEastAsia"/>
                <w:color w:val="auto"/>
                <w:szCs w:val="24"/>
              </w:rPr>
              <w:fldChar w:fldCharType="separate"/>
            </w:r>
            <w:r>
              <w:rPr>
                <w:rFonts w:eastAsiaTheme="minorEastAsia"/>
                <w:color w:val="auto"/>
                <w:szCs w:val="24"/>
              </w:rPr>
              <w:t>㈠</w:t>
            </w:r>
            <w:r>
              <w:rPr>
                <w:rFonts w:eastAsiaTheme="minorEastAsia"/>
                <w:color w:val="auto"/>
                <w:szCs w:val="24"/>
              </w:rPr>
              <w:fldChar w:fldCharType="end"/>
            </w:r>
            <w:r>
              <w:rPr>
                <w:rFonts w:eastAsiaTheme="minorEastAsia"/>
                <w:color w:val="auto"/>
                <w:szCs w:val="24"/>
              </w:rPr>
              <w:t xml:space="preserve"> 调节池</w:t>
            </w:r>
          </w:p>
          <w:p>
            <w:pPr>
              <w:pStyle w:val="38"/>
              <w:ind w:firstLine="480"/>
              <w:rPr>
                <w:rFonts w:eastAsiaTheme="minorEastAsia"/>
                <w:color w:val="auto"/>
                <w:szCs w:val="24"/>
              </w:rPr>
            </w:pPr>
            <w:r>
              <w:rPr>
                <w:rFonts w:eastAsiaTheme="minorEastAsia"/>
                <w:color w:val="auto"/>
                <w:szCs w:val="24"/>
              </w:rPr>
              <w:t>进入调节池进行水量水质的混合。调节池兼酸化水解作用，将大分子有机污染物分解去除，由于调节池集生物降解、物理沉降和吸附为一体，污水中的颗粒和胶体污染物得到截留和吸附，并在产酸细菌等微生物作用下得到分化和降解。</w:t>
            </w:r>
          </w:p>
          <w:p>
            <w:pPr>
              <w:pStyle w:val="38"/>
              <w:ind w:firstLine="480"/>
              <w:rPr>
                <w:rFonts w:eastAsiaTheme="minorEastAsia"/>
                <w:color w:val="auto"/>
                <w:szCs w:val="24"/>
              </w:rPr>
            </w:pPr>
            <w:r>
              <w:rPr>
                <w:rFonts w:eastAsiaTheme="minorEastAsia"/>
                <w:color w:val="auto"/>
                <w:szCs w:val="24"/>
              </w:rPr>
              <w:fldChar w:fldCharType="begin"/>
            </w:r>
            <w:r>
              <w:rPr>
                <w:rFonts w:eastAsiaTheme="minorEastAsia"/>
                <w:color w:val="auto"/>
                <w:szCs w:val="24"/>
              </w:rPr>
              <w:instrText xml:space="preserve"> = 2 \* GB4 </w:instrText>
            </w:r>
            <w:r>
              <w:rPr>
                <w:rFonts w:eastAsiaTheme="minorEastAsia"/>
                <w:color w:val="auto"/>
                <w:szCs w:val="24"/>
              </w:rPr>
              <w:fldChar w:fldCharType="separate"/>
            </w:r>
            <w:r>
              <w:rPr>
                <w:rFonts w:eastAsiaTheme="minorEastAsia"/>
                <w:color w:val="auto"/>
                <w:szCs w:val="24"/>
              </w:rPr>
              <w:t>㈡</w:t>
            </w:r>
            <w:r>
              <w:rPr>
                <w:rFonts w:eastAsiaTheme="minorEastAsia"/>
                <w:color w:val="auto"/>
                <w:szCs w:val="24"/>
              </w:rPr>
              <w:fldChar w:fldCharType="end"/>
            </w:r>
            <w:r>
              <w:rPr>
                <w:rFonts w:eastAsiaTheme="minorEastAsia"/>
                <w:color w:val="auto"/>
                <w:szCs w:val="24"/>
              </w:rPr>
              <w:t>接触氧化池</w:t>
            </w:r>
          </w:p>
          <w:p>
            <w:pPr>
              <w:pStyle w:val="38"/>
              <w:ind w:firstLine="480"/>
              <w:rPr>
                <w:rFonts w:eastAsiaTheme="minorEastAsia"/>
                <w:color w:val="auto"/>
                <w:szCs w:val="24"/>
              </w:rPr>
            </w:pPr>
            <w:r>
              <w:rPr>
                <w:rFonts w:eastAsiaTheme="minorEastAsia"/>
                <w:color w:val="auto"/>
                <w:szCs w:val="24"/>
              </w:rPr>
              <w:t>好氧接触氧化池主要利用好氧菌去除CODcr、BOD</w:t>
            </w:r>
            <w:r>
              <w:rPr>
                <w:rFonts w:eastAsiaTheme="minorEastAsia"/>
                <w:color w:val="auto"/>
                <w:szCs w:val="24"/>
                <w:vertAlign w:val="subscript"/>
              </w:rPr>
              <w:t>5</w:t>
            </w:r>
            <w:r>
              <w:rPr>
                <w:rFonts w:eastAsiaTheme="minorEastAsia"/>
                <w:color w:val="auto"/>
                <w:szCs w:val="24"/>
              </w:rPr>
              <w:t>、SS、NH</w:t>
            </w:r>
            <w:r>
              <w:rPr>
                <w:rFonts w:eastAsiaTheme="minorEastAsia"/>
                <w:color w:val="auto"/>
                <w:szCs w:val="24"/>
                <w:vertAlign w:val="subscript"/>
              </w:rPr>
              <w:t>3</w:t>
            </w:r>
            <w:r>
              <w:rPr>
                <w:rFonts w:eastAsiaTheme="minorEastAsia"/>
                <w:color w:val="auto"/>
                <w:szCs w:val="24"/>
              </w:rPr>
              <w:t>-N和总磷等污染物。污水在调节水解池中调节水解后由泵提升依次进入接触氧化池，对污水中有机物进行充分的生物降解，在充氧的条件下，利用微生物的生物活动，将废水中大部分的有机物分解去除。</w:t>
            </w:r>
          </w:p>
          <w:p>
            <w:pPr>
              <w:pStyle w:val="38"/>
              <w:ind w:firstLine="480"/>
              <w:rPr>
                <w:rFonts w:eastAsiaTheme="minorEastAsia"/>
                <w:color w:val="auto"/>
                <w:szCs w:val="24"/>
              </w:rPr>
            </w:pPr>
            <w:r>
              <w:rPr>
                <w:rFonts w:eastAsiaTheme="minorEastAsia"/>
                <w:color w:val="auto"/>
                <w:szCs w:val="24"/>
              </w:rPr>
              <w:fldChar w:fldCharType="begin"/>
            </w:r>
            <w:r>
              <w:rPr>
                <w:rFonts w:eastAsiaTheme="minorEastAsia"/>
                <w:color w:val="auto"/>
                <w:szCs w:val="24"/>
              </w:rPr>
              <w:instrText xml:space="preserve"> = 3 \* GB4 </w:instrText>
            </w:r>
            <w:r>
              <w:rPr>
                <w:rFonts w:eastAsiaTheme="minorEastAsia"/>
                <w:color w:val="auto"/>
                <w:szCs w:val="24"/>
              </w:rPr>
              <w:fldChar w:fldCharType="separate"/>
            </w:r>
            <w:r>
              <w:rPr>
                <w:rFonts w:eastAsiaTheme="minorEastAsia"/>
                <w:color w:val="auto"/>
                <w:szCs w:val="24"/>
              </w:rPr>
              <w:t>㈢</w:t>
            </w:r>
            <w:r>
              <w:rPr>
                <w:rFonts w:eastAsiaTheme="minorEastAsia"/>
                <w:color w:val="auto"/>
                <w:szCs w:val="24"/>
              </w:rPr>
              <w:fldChar w:fldCharType="end"/>
            </w:r>
            <w:r>
              <w:rPr>
                <w:rFonts w:eastAsiaTheme="minorEastAsia"/>
                <w:color w:val="auto"/>
                <w:szCs w:val="24"/>
              </w:rPr>
              <w:t>二沉池</w:t>
            </w:r>
          </w:p>
          <w:p>
            <w:pPr>
              <w:pStyle w:val="38"/>
              <w:ind w:firstLine="480"/>
              <w:rPr>
                <w:rFonts w:eastAsiaTheme="minorEastAsia"/>
                <w:color w:val="auto"/>
                <w:szCs w:val="24"/>
              </w:rPr>
            </w:pPr>
            <w:r>
              <w:rPr>
                <w:rFonts w:eastAsiaTheme="minorEastAsia"/>
                <w:color w:val="auto"/>
                <w:szCs w:val="24"/>
              </w:rPr>
              <w:t>接触氧化池出水进入二沉池，二沉池前设PAC（絮凝剂）投加系统，投加PAC（絮凝剂），去除SS和部分胶体颗粒，二沉池出水经过石英砂过滤后，进一步降低水中SS和胶体颗粒含量。</w:t>
            </w:r>
          </w:p>
          <w:p>
            <w:pPr>
              <w:pStyle w:val="38"/>
              <w:ind w:firstLine="480"/>
              <w:rPr>
                <w:rFonts w:eastAsiaTheme="minorEastAsia"/>
                <w:color w:val="auto"/>
                <w:szCs w:val="24"/>
              </w:rPr>
            </w:pPr>
            <w:r>
              <w:rPr>
                <w:rFonts w:eastAsiaTheme="minorEastAsia"/>
                <w:color w:val="auto"/>
                <w:szCs w:val="24"/>
              </w:rPr>
              <w:fldChar w:fldCharType="begin"/>
            </w:r>
            <w:r>
              <w:rPr>
                <w:rFonts w:eastAsiaTheme="minorEastAsia"/>
                <w:color w:val="auto"/>
                <w:szCs w:val="24"/>
              </w:rPr>
              <w:instrText xml:space="preserve"> = 4 \* GB4 </w:instrText>
            </w:r>
            <w:r>
              <w:rPr>
                <w:rFonts w:eastAsiaTheme="minorEastAsia"/>
                <w:color w:val="auto"/>
                <w:szCs w:val="24"/>
              </w:rPr>
              <w:fldChar w:fldCharType="separate"/>
            </w:r>
            <w:r>
              <w:rPr>
                <w:rFonts w:eastAsiaTheme="minorEastAsia"/>
                <w:color w:val="auto"/>
                <w:szCs w:val="24"/>
              </w:rPr>
              <w:t>㈣</w:t>
            </w:r>
            <w:r>
              <w:rPr>
                <w:rFonts w:eastAsiaTheme="minorEastAsia"/>
                <w:color w:val="auto"/>
                <w:szCs w:val="24"/>
              </w:rPr>
              <w:fldChar w:fldCharType="end"/>
            </w:r>
            <w:r>
              <w:rPr>
                <w:rFonts w:eastAsiaTheme="minorEastAsia"/>
                <w:color w:val="auto"/>
                <w:szCs w:val="24"/>
              </w:rPr>
              <w:t>过滤</w:t>
            </w:r>
          </w:p>
          <w:p>
            <w:pPr>
              <w:pStyle w:val="38"/>
              <w:ind w:firstLine="480"/>
              <w:rPr>
                <w:rFonts w:eastAsiaTheme="minorEastAsia"/>
                <w:color w:val="auto"/>
                <w:szCs w:val="24"/>
              </w:rPr>
            </w:pPr>
            <w:r>
              <w:rPr>
                <w:rFonts w:eastAsiaTheme="minorEastAsia"/>
                <w:color w:val="auto"/>
                <w:szCs w:val="24"/>
              </w:rPr>
              <w:t>二沉池出水仍含有一定的悬浮物杂质，因此本方案设置深度处理（过滤）处理单元。二沉池出水进入过滤池进行过滤，去除水中残存的有机物、胶体、细菌残留物、微生物等。</w:t>
            </w:r>
          </w:p>
          <w:p>
            <w:pPr>
              <w:pStyle w:val="38"/>
              <w:ind w:firstLine="480"/>
              <w:rPr>
                <w:rFonts w:eastAsiaTheme="minorEastAsia"/>
                <w:color w:val="auto"/>
                <w:szCs w:val="24"/>
              </w:rPr>
            </w:pPr>
            <w:r>
              <w:rPr>
                <w:rFonts w:eastAsiaTheme="minorEastAsia"/>
                <w:color w:val="auto"/>
                <w:szCs w:val="24"/>
              </w:rPr>
              <w:fldChar w:fldCharType="begin"/>
            </w:r>
            <w:r>
              <w:rPr>
                <w:rFonts w:eastAsiaTheme="minorEastAsia"/>
                <w:color w:val="auto"/>
                <w:szCs w:val="24"/>
              </w:rPr>
              <w:instrText xml:space="preserve"> = 5 \* GB4 </w:instrText>
            </w:r>
            <w:r>
              <w:rPr>
                <w:rFonts w:eastAsiaTheme="minorEastAsia"/>
                <w:color w:val="auto"/>
                <w:szCs w:val="24"/>
              </w:rPr>
              <w:fldChar w:fldCharType="separate"/>
            </w:r>
            <w:r>
              <w:rPr>
                <w:rFonts w:eastAsiaTheme="minorEastAsia"/>
                <w:color w:val="auto"/>
                <w:szCs w:val="24"/>
              </w:rPr>
              <w:t>㈤</w:t>
            </w:r>
            <w:r>
              <w:rPr>
                <w:rFonts w:eastAsiaTheme="minorEastAsia"/>
                <w:color w:val="auto"/>
                <w:szCs w:val="24"/>
              </w:rPr>
              <w:fldChar w:fldCharType="end"/>
            </w:r>
            <w:r>
              <w:rPr>
                <w:rFonts w:eastAsiaTheme="minorEastAsia"/>
                <w:color w:val="auto"/>
                <w:szCs w:val="24"/>
              </w:rPr>
              <w:t>消毒</w:t>
            </w:r>
          </w:p>
          <w:p>
            <w:pPr>
              <w:pStyle w:val="38"/>
              <w:ind w:firstLine="480"/>
              <w:rPr>
                <w:rFonts w:eastAsiaTheme="minorEastAsia"/>
                <w:color w:val="auto"/>
                <w:szCs w:val="24"/>
              </w:rPr>
            </w:pPr>
            <w:r>
              <w:rPr>
                <w:rFonts w:eastAsiaTheme="minorEastAsia"/>
                <w:color w:val="auto"/>
                <w:szCs w:val="24"/>
              </w:rPr>
              <w:t>过滤后的污水经过消毒，即可满足排放要求，消毒采用自动投加方式，定量把次氯酸钠药液投加到消毒池中，可以较彻底的消除细菌、臭味、色度等可能对人群造成的危害。</w:t>
            </w:r>
          </w:p>
          <w:p>
            <w:pPr>
              <w:pStyle w:val="38"/>
              <w:ind w:firstLine="480"/>
              <w:rPr>
                <w:rFonts w:eastAsiaTheme="minorEastAsia"/>
                <w:color w:val="auto"/>
                <w:szCs w:val="24"/>
              </w:rPr>
            </w:pPr>
            <w:r>
              <w:rPr>
                <w:rFonts w:eastAsiaTheme="minorEastAsia"/>
                <w:color w:val="auto"/>
                <w:szCs w:val="24"/>
              </w:rPr>
              <w:t>根据工程分析可知，经调节池调节处理后的生活污水BOD/COD约为0.63≥0.3，满足可生化条件，因此项目拟采用废水生化处理工艺技术可行，由根据核算，项目生活污水经一体化污水处理设施处理后可达到《城市污水再生利用 城市杂用水水质》（GB/T18920 -2020）城市绿化标准，因此其技术可行。</w:t>
            </w:r>
          </w:p>
          <w:p>
            <w:pPr>
              <w:pStyle w:val="38"/>
              <w:ind w:firstLine="480"/>
              <w:rPr>
                <w:rFonts w:eastAsiaTheme="minorEastAsia"/>
                <w:color w:val="auto"/>
                <w:szCs w:val="24"/>
              </w:rPr>
            </w:pPr>
            <w:r>
              <w:rPr>
                <w:rFonts w:eastAsiaTheme="minorEastAsia"/>
                <w:color w:val="auto"/>
                <w:szCs w:val="24"/>
              </w:rPr>
              <w:t>综上，项目设置1套处理能力为30m³/d的一体化污水处理设施对项目区废水进行处理，处理后回用于回用于项目区绿化，该措施可行。</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②清水池环境影响减缓措施有效性分析</w:t>
            </w:r>
          </w:p>
          <w:p>
            <w:pPr>
              <w:pStyle w:val="38"/>
              <w:ind w:firstLine="480"/>
              <w:rPr>
                <w:rFonts w:eastAsiaTheme="minorEastAsia"/>
                <w:color w:val="auto"/>
                <w:szCs w:val="24"/>
              </w:rPr>
            </w:pPr>
            <w:r>
              <w:rPr>
                <w:rFonts w:eastAsiaTheme="minorEastAsia"/>
                <w:color w:val="auto"/>
                <w:szCs w:val="24"/>
              </w:rPr>
              <w:t>为了满足雨天等特殊情况，处理后生活污水的暂存要求，项目拟配套设置1个有效容积为30m³的清水池对处理后的生活污水进行暂存；项目生活污水最大产生量为4.96m³/d，清水池可满足生活污水超过6d的储存量，可满足雨天暂存后用于非雨天绿化的暂存要求，因此其设置可行。</w:t>
            </w:r>
          </w:p>
          <w:p>
            <w:pPr>
              <w:spacing w:line="360" w:lineRule="auto"/>
              <w:ind w:firstLine="482" w:firstLineChars="200"/>
              <w:rPr>
                <w:rFonts w:ascii="Times New Roman" w:hAnsi="Times New Roman" w:cs="Times New Roman"/>
                <w:b/>
                <w:color w:val="auto"/>
                <w:sz w:val="24"/>
                <w:szCs w:val="24"/>
              </w:rPr>
            </w:pPr>
            <w:r>
              <w:rPr>
                <w:rFonts w:ascii="Times New Roman" w:hAnsi="Times New Roman" w:eastAsia="宋体" w:cs="Times New Roman"/>
                <w:b/>
                <w:color w:val="auto"/>
                <w:sz w:val="24"/>
                <w:szCs w:val="24"/>
              </w:rPr>
              <w:t>③</w:t>
            </w:r>
            <w:r>
              <w:rPr>
                <w:rFonts w:ascii="Times New Roman" w:hAnsi="Times New Roman" w:cs="Times New Roman"/>
                <w:b/>
                <w:color w:val="auto"/>
                <w:sz w:val="24"/>
                <w:szCs w:val="24"/>
              </w:rPr>
              <w:t>初期雨水污染治理措施可行性分析</w:t>
            </w:r>
          </w:p>
          <w:p>
            <w:pPr>
              <w:pStyle w:val="38"/>
              <w:ind w:firstLine="480"/>
              <w:rPr>
                <w:rFonts w:eastAsiaTheme="minorEastAsia"/>
                <w:color w:val="auto"/>
                <w:szCs w:val="24"/>
              </w:rPr>
            </w:pPr>
            <w:r>
              <w:rPr>
                <w:rFonts w:eastAsiaTheme="minorEastAsia"/>
                <w:color w:val="auto"/>
                <w:szCs w:val="24"/>
              </w:rPr>
              <w:t>根据工程分析可知，本项目厂区的初期雨水产生量约为11.50m³/次，本项目拟配套设置了1个30m³的初期雨水收集池，初期雨水收集池的容积可满足收集要求，同时在初期雨水收集池前端设置阀门，初期雨水收集后，关闭阀门，将中、后期雨水通过雨水管网外排；该措施合理可行。</w:t>
            </w:r>
          </w:p>
          <w:p>
            <w:pPr>
              <w:spacing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（4）自行监测要求</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根据《排污单位自行监测技术指南 总则》（HJ819-2017）和《排污许可证申请与核发技术规范 废弃资源加工工业》（HJ1034-2019）的要求，废水自行监测要求如下表。</w:t>
            </w:r>
          </w:p>
          <w:p>
            <w:pPr>
              <w:jc w:val="center"/>
              <w:rPr>
                <w:rFonts w:ascii="Times New Roman" w:hAnsi="Times New Roman" w:cs="Times New Roman"/>
                <w:b/>
                <w:color w:val="auto"/>
                <w:szCs w:val="24"/>
              </w:rPr>
            </w:pPr>
            <w:r>
              <w:rPr>
                <w:rFonts w:ascii="Times New Roman" w:hAnsi="Times New Roman" w:cs="Times New Roman"/>
                <w:b/>
                <w:color w:val="auto"/>
                <w:szCs w:val="24"/>
              </w:rPr>
              <w:t>表4.2.2-6  项目运营期</w:t>
            </w:r>
            <w:r>
              <w:rPr>
                <w:rFonts w:ascii="Times New Roman" w:hAnsi="Times New Roman" w:cs="Times New Roman"/>
                <w:b/>
                <w:color w:val="auto"/>
              </w:rPr>
              <w:t>废水</w:t>
            </w:r>
            <w:r>
              <w:rPr>
                <w:rFonts w:ascii="Times New Roman" w:hAnsi="Times New Roman" w:cs="Times New Roman"/>
                <w:b/>
                <w:color w:val="auto"/>
                <w:szCs w:val="24"/>
              </w:rPr>
              <w:t>自行监测计划一览表</w:t>
            </w:r>
          </w:p>
          <w:tbl>
            <w:tblPr>
              <w:tblStyle w:val="19"/>
              <w:tblW w:w="90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
              <w:gridCol w:w="1936"/>
              <w:gridCol w:w="2533"/>
              <w:gridCol w:w="1043"/>
              <w:gridCol w:w="2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921" w:type="dxa"/>
                  <w:vAlign w:val="center"/>
                </w:tcPr>
                <w:p>
                  <w:pPr>
                    <w:pStyle w:val="30"/>
                    <w:spacing w:line="360" w:lineRule="exact"/>
                    <w:rPr>
                      <w:rFonts w:eastAsiaTheme="minorEastAsia"/>
                      <w:color w:val="auto"/>
                      <w:szCs w:val="21"/>
                    </w:rPr>
                  </w:pPr>
                  <w:r>
                    <w:rPr>
                      <w:rFonts w:eastAsiaTheme="minorEastAsia"/>
                      <w:color w:val="auto"/>
                      <w:szCs w:val="21"/>
                    </w:rPr>
                    <w:t>对象</w:t>
                  </w:r>
                </w:p>
              </w:tc>
              <w:tc>
                <w:tcPr>
                  <w:tcW w:w="1936" w:type="dxa"/>
                  <w:vAlign w:val="center"/>
                </w:tcPr>
                <w:p>
                  <w:pPr>
                    <w:pStyle w:val="30"/>
                    <w:spacing w:line="360" w:lineRule="exact"/>
                    <w:rPr>
                      <w:rFonts w:eastAsiaTheme="minorEastAsia"/>
                      <w:color w:val="auto"/>
                      <w:szCs w:val="21"/>
                    </w:rPr>
                  </w:pPr>
                  <w:r>
                    <w:rPr>
                      <w:rFonts w:eastAsiaTheme="minorEastAsia"/>
                      <w:color w:val="auto"/>
                      <w:szCs w:val="21"/>
                    </w:rPr>
                    <w:t>监测点位</w:t>
                  </w:r>
                </w:p>
              </w:tc>
              <w:tc>
                <w:tcPr>
                  <w:tcW w:w="2533" w:type="dxa"/>
                  <w:vAlign w:val="center"/>
                </w:tcPr>
                <w:p>
                  <w:pPr>
                    <w:pStyle w:val="30"/>
                    <w:spacing w:line="360" w:lineRule="exact"/>
                    <w:rPr>
                      <w:rFonts w:eastAsiaTheme="minorEastAsia"/>
                      <w:color w:val="auto"/>
                      <w:szCs w:val="21"/>
                    </w:rPr>
                  </w:pPr>
                  <w:r>
                    <w:rPr>
                      <w:rFonts w:eastAsiaTheme="minorEastAsia"/>
                      <w:color w:val="auto"/>
                      <w:szCs w:val="21"/>
                    </w:rPr>
                    <w:t>监测因子</w:t>
                  </w:r>
                </w:p>
              </w:tc>
              <w:tc>
                <w:tcPr>
                  <w:tcW w:w="1043" w:type="dxa"/>
                  <w:vAlign w:val="center"/>
                </w:tcPr>
                <w:p>
                  <w:pPr>
                    <w:pStyle w:val="30"/>
                    <w:spacing w:line="360" w:lineRule="exact"/>
                    <w:rPr>
                      <w:rFonts w:eastAsiaTheme="minorEastAsia"/>
                      <w:color w:val="auto"/>
                      <w:szCs w:val="21"/>
                    </w:rPr>
                  </w:pPr>
                  <w:r>
                    <w:rPr>
                      <w:rFonts w:eastAsiaTheme="minorEastAsia"/>
                      <w:color w:val="auto"/>
                      <w:szCs w:val="21"/>
                    </w:rPr>
                    <w:t>最低监测频率</w:t>
                  </w:r>
                </w:p>
              </w:tc>
              <w:tc>
                <w:tcPr>
                  <w:tcW w:w="2611" w:type="dxa"/>
                  <w:vAlign w:val="center"/>
                </w:tcPr>
                <w:p>
                  <w:pPr>
                    <w:pStyle w:val="30"/>
                    <w:spacing w:line="360" w:lineRule="exact"/>
                    <w:rPr>
                      <w:rFonts w:eastAsiaTheme="minorEastAsia"/>
                      <w:color w:val="auto"/>
                      <w:szCs w:val="21"/>
                    </w:rPr>
                  </w:pPr>
                  <w:r>
                    <w:rPr>
                      <w:rFonts w:eastAsiaTheme="minorEastAsia"/>
                      <w:color w:val="auto"/>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jc w:val="center"/>
              </w:trPr>
              <w:tc>
                <w:tcPr>
                  <w:tcW w:w="921" w:type="dxa"/>
                  <w:vMerge w:val="restart"/>
                  <w:vAlign w:val="center"/>
                </w:tcPr>
                <w:p>
                  <w:pPr>
                    <w:pStyle w:val="30"/>
                    <w:spacing w:line="360" w:lineRule="exact"/>
                    <w:rPr>
                      <w:rFonts w:eastAsiaTheme="minorEastAsia"/>
                      <w:color w:val="auto"/>
                      <w:szCs w:val="21"/>
                    </w:rPr>
                  </w:pPr>
                  <w:r>
                    <w:rPr>
                      <w:rFonts w:eastAsiaTheme="minorEastAsia"/>
                      <w:color w:val="auto"/>
                      <w:szCs w:val="21"/>
                    </w:rPr>
                    <w:t>废水</w:t>
                  </w:r>
                </w:p>
              </w:tc>
              <w:tc>
                <w:tcPr>
                  <w:tcW w:w="1936" w:type="dxa"/>
                  <w:vAlign w:val="center"/>
                </w:tcPr>
                <w:p>
                  <w:pPr>
                    <w:pStyle w:val="30"/>
                    <w:spacing w:line="360" w:lineRule="exact"/>
                    <w:ind w:firstLine="210" w:firstLineChars="100"/>
                    <w:jc w:val="left"/>
                    <w:rPr>
                      <w:rFonts w:eastAsiaTheme="minorEastAsia"/>
                      <w:color w:val="auto"/>
                      <w:szCs w:val="21"/>
                    </w:rPr>
                  </w:pPr>
                  <w:r>
                    <w:rPr>
                      <w:rFonts w:eastAsiaTheme="minorEastAsia"/>
                      <w:color w:val="auto"/>
                      <w:szCs w:val="21"/>
                    </w:rPr>
                    <w:t>近期监测点位位：一体化污水处理设施</w:t>
                  </w:r>
                </w:p>
              </w:tc>
              <w:tc>
                <w:tcPr>
                  <w:tcW w:w="2533" w:type="dxa"/>
                  <w:vAlign w:val="center"/>
                </w:tcPr>
                <w:p>
                  <w:pPr>
                    <w:pStyle w:val="30"/>
                    <w:spacing w:line="360" w:lineRule="exact"/>
                    <w:ind w:firstLine="210" w:firstLineChars="100"/>
                    <w:jc w:val="left"/>
                    <w:rPr>
                      <w:rFonts w:eastAsiaTheme="minorEastAsia"/>
                      <w:color w:val="auto"/>
                    </w:rPr>
                  </w:pPr>
                  <w:r>
                    <w:rPr>
                      <w:color w:val="auto"/>
                    </w:rPr>
                    <w:t>pH、CODcr、BOD</w:t>
                  </w:r>
                  <w:r>
                    <w:rPr>
                      <w:color w:val="auto"/>
                      <w:vertAlign w:val="subscript"/>
                    </w:rPr>
                    <w:t>5</w:t>
                  </w:r>
                  <w:r>
                    <w:rPr>
                      <w:color w:val="auto"/>
                    </w:rPr>
                    <w:t>、NH</w:t>
                  </w:r>
                  <w:r>
                    <w:rPr>
                      <w:color w:val="auto"/>
                      <w:vertAlign w:val="subscript"/>
                    </w:rPr>
                    <w:t>3</w:t>
                  </w:r>
                  <w:r>
                    <w:rPr>
                      <w:color w:val="auto"/>
                    </w:rPr>
                    <w:t>-N、</w:t>
                  </w:r>
                  <w:r>
                    <w:rPr>
                      <w:bCs w:val="0"/>
                      <w:snapToGrid/>
                      <w:color w:val="auto"/>
                      <w:kern w:val="0"/>
                      <w:szCs w:val="21"/>
                      <w:lang w:val="en-US"/>
                    </w:rPr>
                    <w:t>阴离子表面活性剂、</w:t>
                  </w:r>
                  <w:r>
                    <w:rPr>
                      <w:color w:val="auto"/>
                    </w:rPr>
                    <w:t>粪大肠菌群数、总磷、动植物油、总余氯</w:t>
                  </w:r>
                </w:p>
              </w:tc>
              <w:tc>
                <w:tcPr>
                  <w:tcW w:w="1043" w:type="dxa"/>
                  <w:vAlign w:val="center"/>
                </w:tcPr>
                <w:p>
                  <w:pPr>
                    <w:pStyle w:val="30"/>
                    <w:spacing w:line="360" w:lineRule="exact"/>
                    <w:rPr>
                      <w:rFonts w:eastAsiaTheme="minorEastAsia"/>
                      <w:color w:val="auto"/>
                      <w:szCs w:val="21"/>
                    </w:rPr>
                  </w:pPr>
                  <w:r>
                    <w:rPr>
                      <w:rFonts w:eastAsiaTheme="minorEastAsia"/>
                      <w:color w:val="auto"/>
                      <w:szCs w:val="21"/>
                    </w:rPr>
                    <w:t>仅在自行验收时监测</w:t>
                  </w:r>
                </w:p>
              </w:tc>
              <w:tc>
                <w:tcPr>
                  <w:tcW w:w="2611" w:type="dxa"/>
                  <w:vAlign w:val="center"/>
                </w:tcPr>
                <w:p>
                  <w:pPr>
                    <w:pStyle w:val="30"/>
                    <w:spacing w:line="360" w:lineRule="exact"/>
                    <w:ind w:firstLine="210" w:firstLineChars="100"/>
                    <w:jc w:val="both"/>
                    <w:rPr>
                      <w:rFonts w:eastAsiaTheme="minorEastAsia"/>
                      <w:color w:val="auto"/>
                      <w:szCs w:val="21"/>
                    </w:rPr>
                  </w:pPr>
                  <w:r>
                    <w:rPr>
                      <w:color w:val="auto"/>
                    </w:rPr>
                    <w:t>《城市污水再生利用 城市杂用水水质》（GB/T18920-2020）中城市绿化标准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jc w:val="center"/>
              </w:trPr>
              <w:tc>
                <w:tcPr>
                  <w:tcW w:w="921" w:type="dxa"/>
                  <w:vMerge w:val="continue"/>
                  <w:vAlign w:val="center"/>
                </w:tcPr>
                <w:p>
                  <w:pPr>
                    <w:pStyle w:val="30"/>
                    <w:spacing w:line="360" w:lineRule="exact"/>
                    <w:rPr>
                      <w:rFonts w:eastAsiaTheme="minorEastAsia"/>
                      <w:color w:val="auto"/>
                      <w:szCs w:val="21"/>
                    </w:rPr>
                  </w:pPr>
                </w:p>
              </w:tc>
              <w:tc>
                <w:tcPr>
                  <w:tcW w:w="1936" w:type="dxa"/>
                  <w:vAlign w:val="center"/>
                </w:tcPr>
                <w:p>
                  <w:pPr>
                    <w:pStyle w:val="30"/>
                    <w:spacing w:line="360" w:lineRule="exact"/>
                    <w:ind w:firstLine="210" w:firstLineChars="100"/>
                    <w:jc w:val="left"/>
                    <w:rPr>
                      <w:rFonts w:eastAsiaTheme="minorEastAsia"/>
                      <w:color w:val="auto"/>
                      <w:szCs w:val="21"/>
                    </w:rPr>
                  </w:pPr>
                  <w:r>
                    <w:rPr>
                      <w:rFonts w:eastAsiaTheme="minorEastAsia"/>
                      <w:color w:val="auto"/>
                      <w:szCs w:val="21"/>
                    </w:rPr>
                    <w:t>远期监测点位位：化粪池排放口</w:t>
                  </w:r>
                </w:p>
              </w:tc>
              <w:tc>
                <w:tcPr>
                  <w:tcW w:w="2533" w:type="dxa"/>
                  <w:vAlign w:val="center"/>
                </w:tcPr>
                <w:p>
                  <w:pPr>
                    <w:pStyle w:val="30"/>
                    <w:spacing w:line="360" w:lineRule="exact"/>
                    <w:ind w:firstLine="210" w:firstLineChars="100"/>
                    <w:jc w:val="left"/>
                    <w:rPr>
                      <w:rFonts w:eastAsiaTheme="minorEastAsia"/>
                      <w:color w:val="auto"/>
                    </w:rPr>
                  </w:pPr>
                  <w:r>
                    <w:rPr>
                      <w:color w:val="auto"/>
                    </w:rPr>
                    <w:t>pH、CODcr、BOD</w:t>
                  </w:r>
                  <w:r>
                    <w:rPr>
                      <w:color w:val="auto"/>
                      <w:vertAlign w:val="subscript"/>
                    </w:rPr>
                    <w:t>5</w:t>
                  </w:r>
                  <w:r>
                    <w:rPr>
                      <w:color w:val="auto"/>
                    </w:rPr>
                    <w:t>、NH</w:t>
                  </w:r>
                  <w:r>
                    <w:rPr>
                      <w:color w:val="auto"/>
                      <w:vertAlign w:val="subscript"/>
                    </w:rPr>
                    <w:t>3</w:t>
                  </w:r>
                  <w:r>
                    <w:rPr>
                      <w:color w:val="auto"/>
                    </w:rPr>
                    <w:t>-N、SS、总磷、总氮、动植物油、</w:t>
                  </w:r>
                  <w:r>
                    <w:rPr>
                      <w:bCs w:val="0"/>
                      <w:snapToGrid/>
                      <w:color w:val="auto"/>
                      <w:kern w:val="0"/>
                      <w:szCs w:val="21"/>
                      <w:lang w:val="en-US"/>
                    </w:rPr>
                    <w:t>阴离子表面活性剂、</w:t>
                  </w:r>
                  <w:r>
                    <w:rPr>
                      <w:color w:val="auto"/>
                    </w:rPr>
                    <w:t>粪大肠菌群数</w:t>
                  </w:r>
                </w:p>
              </w:tc>
              <w:tc>
                <w:tcPr>
                  <w:tcW w:w="1043" w:type="dxa"/>
                  <w:vAlign w:val="center"/>
                </w:tcPr>
                <w:p>
                  <w:pPr>
                    <w:pStyle w:val="30"/>
                    <w:spacing w:line="360" w:lineRule="exact"/>
                    <w:rPr>
                      <w:rFonts w:eastAsiaTheme="minorEastAsia"/>
                      <w:color w:val="auto"/>
                      <w:szCs w:val="21"/>
                    </w:rPr>
                  </w:pPr>
                  <w:r>
                    <w:rPr>
                      <w:rFonts w:eastAsiaTheme="minorEastAsia"/>
                      <w:color w:val="auto"/>
                      <w:szCs w:val="21"/>
                    </w:rPr>
                    <w:t>1次/年</w:t>
                  </w:r>
                </w:p>
              </w:tc>
              <w:tc>
                <w:tcPr>
                  <w:tcW w:w="2611" w:type="dxa"/>
                  <w:vAlign w:val="center"/>
                </w:tcPr>
                <w:p>
                  <w:pPr>
                    <w:pStyle w:val="30"/>
                    <w:spacing w:line="360" w:lineRule="exact"/>
                    <w:ind w:firstLine="210" w:firstLineChars="100"/>
                    <w:jc w:val="both"/>
                    <w:rPr>
                      <w:rFonts w:eastAsiaTheme="minorEastAsia"/>
                      <w:color w:val="auto"/>
                      <w:szCs w:val="21"/>
                    </w:rPr>
                  </w:pPr>
                  <w:r>
                    <w:rPr>
                      <w:color w:val="auto"/>
                    </w:rPr>
                    <w:t>《污水排入城镇下水道水质标准》（GB/T31962-2015）的B等级标准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 w:hRule="atLeast"/>
                <w:jc w:val="center"/>
              </w:trPr>
              <w:tc>
                <w:tcPr>
                  <w:tcW w:w="921" w:type="dxa"/>
                  <w:vAlign w:val="center"/>
                </w:tcPr>
                <w:p>
                  <w:pPr>
                    <w:pStyle w:val="30"/>
                    <w:spacing w:line="360" w:lineRule="exact"/>
                    <w:rPr>
                      <w:rFonts w:eastAsiaTheme="minorEastAsia"/>
                      <w:color w:val="auto"/>
                      <w:szCs w:val="21"/>
                    </w:rPr>
                  </w:pPr>
                  <w:r>
                    <w:rPr>
                      <w:rFonts w:eastAsiaTheme="minorEastAsia"/>
                      <w:color w:val="auto"/>
                      <w:szCs w:val="21"/>
                    </w:rPr>
                    <w:t>雨水</w:t>
                  </w:r>
                </w:p>
              </w:tc>
              <w:tc>
                <w:tcPr>
                  <w:tcW w:w="1936" w:type="dxa"/>
                  <w:vAlign w:val="center"/>
                </w:tcPr>
                <w:p>
                  <w:pPr>
                    <w:pStyle w:val="30"/>
                    <w:spacing w:line="360" w:lineRule="exact"/>
                    <w:rPr>
                      <w:rFonts w:eastAsiaTheme="minorEastAsia"/>
                      <w:color w:val="auto"/>
                      <w:szCs w:val="21"/>
                    </w:rPr>
                  </w:pPr>
                  <w:r>
                    <w:rPr>
                      <w:rFonts w:eastAsiaTheme="minorEastAsia"/>
                      <w:color w:val="auto"/>
                      <w:szCs w:val="21"/>
                    </w:rPr>
                    <w:t>雨水排放口</w:t>
                  </w:r>
                </w:p>
              </w:tc>
              <w:tc>
                <w:tcPr>
                  <w:tcW w:w="2533" w:type="dxa"/>
                  <w:vAlign w:val="center"/>
                </w:tcPr>
                <w:p>
                  <w:pPr>
                    <w:pStyle w:val="30"/>
                    <w:spacing w:line="360" w:lineRule="exact"/>
                    <w:ind w:firstLine="210" w:firstLineChars="100"/>
                    <w:jc w:val="left"/>
                    <w:rPr>
                      <w:color w:val="auto"/>
                    </w:rPr>
                  </w:pPr>
                  <w:r>
                    <w:rPr>
                      <w:color w:val="auto"/>
                    </w:rPr>
                    <w:t>SS、CODcr、石油类</w:t>
                  </w:r>
                  <w:r>
                    <w:rPr>
                      <w:rFonts w:hint="eastAsia"/>
                      <w:color w:val="auto"/>
                    </w:rPr>
                    <w:t>、</w:t>
                  </w:r>
                  <w:r>
                    <w:rPr>
                      <w:rFonts w:hint="eastAsia"/>
                      <w:color w:val="auto"/>
                    </w:rPr>
                    <w:t>氨氮</w:t>
                  </w:r>
                </w:p>
              </w:tc>
              <w:tc>
                <w:tcPr>
                  <w:tcW w:w="1043" w:type="dxa"/>
                  <w:vAlign w:val="center"/>
                </w:tcPr>
                <w:p>
                  <w:pPr>
                    <w:pStyle w:val="30"/>
                    <w:spacing w:line="360" w:lineRule="exact"/>
                    <w:rPr>
                      <w:rFonts w:eastAsiaTheme="minorEastAsia"/>
                      <w:color w:val="auto"/>
                      <w:szCs w:val="21"/>
                    </w:rPr>
                  </w:pPr>
                  <w:r>
                    <w:rPr>
                      <w:rFonts w:eastAsiaTheme="minorEastAsia"/>
                      <w:color w:val="auto"/>
                      <w:szCs w:val="21"/>
                    </w:rPr>
                    <w:t>1次/日</w:t>
                  </w:r>
                </w:p>
              </w:tc>
              <w:tc>
                <w:tcPr>
                  <w:tcW w:w="2611" w:type="dxa"/>
                  <w:vAlign w:val="center"/>
                </w:tcPr>
                <w:p>
                  <w:pPr>
                    <w:pStyle w:val="30"/>
                    <w:spacing w:line="360" w:lineRule="exact"/>
                    <w:ind w:firstLine="210" w:firstLineChars="100"/>
                    <w:jc w:val="both"/>
                    <w:rPr>
                      <w:color w:val="auto"/>
                    </w:rPr>
                  </w:pPr>
                  <w:r>
                    <w:rPr>
                      <w:color w:val="auto"/>
                    </w:rPr>
                    <w:t>《污水综合排放标准》（GB8978-1996）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44" w:type="dxa"/>
                  <w:gridSpan w:val="5"/>
                  <w:vAlign w:val="center"/>
                </w:tcPr>
                <w:p>
                  <w:pPr>
                    <w:pStyle w:val="30"/>
                    <w:spacing w:line="360" w:lineRule="exact"/>
                    <w:ind w:firstLine="210" w:firstLineChars="100"/>
                    <w:jc w:val="both"/>
                    <w:rPr>
                      <w:color w:val="auto"/>
                    </w:rPr>
                  </w:pPr>
                  <w:r>
                    <w:rPr>
                      <w:color w:val="auto"/>
                    </w:rPr>
                    <w:t>雨水排放口有流动水排放时开展监测，如监测一年无异常，按每季度有流量水时，开展监测。</w:t>
                  </w:r>
                </w:p>
              </w:tc>
            </w:tr>
          </w:tbl>
          <w:p>
            <w:pPr>
              <w:spacing w:beforeLines="50"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（5）</w:t>
            </w:r>
            <w:r>
              <w:rPr>
                <w:rFonts w:ascii="Times New Roman" w:hAnsi="Times New Roman" w:cs="Times New Roman"/>
                <w:b/>
                <w:color w:val="auto"/>
                <w:sz w:val="24"/>
              </w:rPr>
              <w:t>废水</w:t>
            </w:r>
            <w:r>
              <w:rPr>
                <w:rFonts w:ascii="Times New Roman" w:hAnsi="Times New Roman" w:cs="Times New Roman"/>
                <w:b/>
                <w:color w:val="auto"/>
                <w:sz w:val="24"/>
                <w:szCs w:val="24"/>
              </w:rPr>
              <w:t>环境影响分析结论</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项目平衡盐水改扩建后其产生量约为0.008m³/d，已设置了1个2m³的盐水缸对其进行收集，按1：8的比例稀释后回用于绿化，不外排；项目生活污水产生量4.96m³/d，合计为1488m³/a，厂区内针对厨房废水，已配套设置了1个2m³的隔油池对厨房废水进行预处理；针对办公生活区，已配套设置了3个5m³的化粪池对生活污水进行处理；整改后拟建设1套处理能力为30m³/d的一体化污水处理设施对生活污水进行处理，处理后可达到城市污水再生利用城市杂用水水质》（GB/T18920-2020）城市绿化标准，非雨天可直接用于项目区绿化，雨天暂存于清水池后用于非雨天绿化，本项目厂区初期雨水产生量约为11.50m³/次，本项目拟配套设置了1个30m³的初期雨水收集池，对厂区的初期雨水进行收集，初期雨水收集池的容积可满足收集要求，初期雨水经收集沉淀处理后回用于绿化；项目区绿化用量为（19.04m³/d）4855.2m³/a；项目废水可完全回用，不外排；对环境影响较小。</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4.2.</w:t>
            </w:r>
            <w:r>
              <w:rPr>
                <w:rFonts w:ascii="Times New Roman" w:hAnsi="Times New Roman" w:cs="Times New Roman"/>
                <w:b/>
                <w:color w:val="auto"/>
                <w:sz w:val="24"/>
              </w:rPr>
              <w:t>3</w:t>
            </w:r>
            <w:r>
              <w:rPr>
                <w:rFonts w:ascii="Times New Roman" w:hAnsi="Times New Roman" w:cs="Times New Roman"/>
                <w:b/>
                <w:color w:val="auto"/>
                <w:sz w:val="24"/>
                <w:szCs w:val="24"/>
              </w:rPr>
              <w:t xml:space="preserve"> 运营期</w:t>
            </w:r>
            <w:r>
              <w:rPr>
                <w:rFonts w:ascii="Times New Roman" w:hAnsi="Times New Roman" w:cs="Times New Roman"/>
                <w:b/>
                <w:color w:val="auto"/>
                <w:sz w:val="24"/>
              </w:rPr>
              <w:t>噪声</w:t>
            </w:r>
            <w:r>
              <w:rPr>
                <w:rFonts w:ascii="Times New Roman" w:hAnsi="Times New Roman" w:cs="Times New Roman"/>
                <w:b/>
                <w:color w:val="auto"/>
                <w:sz w:val="24"/>
                <w:szCs w:val="24"/>
              </w:rPr>
              <w:t>环境影响和保护措施</w:t>
            </w:r>
          </w:p>
          <w:p>
            <w:pPr>
              <w:spacing w:line="360" w:lineRule="auto"/>
              <w:ind w:firstLine="361" w:firstLineChars="150"/>
              <w:rPr>
                <w:rFonts w:ascii="Times New Roman" w:hAnsi="Times New Roman" w:cs="Times New Roman"/>
                <w:b/>
                <w:color w:val="auto"/>
                <w:sz w:val="24"/>
              </w:rPr>
            </w:pPr>
            <w:r>
              <w:rPr>
                <w:rFonts w:ascii="Times New Roman" w:hAnsi="Times New Roman" w:cs="Times New Roman"/>
                <w:b/>
                <w:color w:val="auto"/>
                <w:sz w:val="24"/>
                <w:szCs w:val="24"/>
              </w:rPr>
              <w:t>（1）</w:t>
            </w:r>
            <w:r>
              <w:rPr>
                <w:rFonts w:ascii="Times New Roman" w:hAnsi="Times New Roman" w:cs="Times New Roman"/>
                <w:b/>
                <w:color w:val="auto"/>
                <w:sz w:val="24"/>
              </w:rPr>
              <w:t>运营期噪声污染源强</w:t>
            </w:r>
          </w:p>
          <w:p>
            <w:pPr>
              <w:pStyle w:val="38"/>
              <w:ind w:firstLine="480"/>
              <w:rPr>
                <w:color w:val="auto"/>
                <w:szCs w:val="24"/>
              </w:rPr>
            </w:pPr>
            <w:r>
              <w:rPr>
                <w:color w:val="auto"/>
                <w:szCs w:val="24"/>
              </w:rPr>
              <w:t>项目噪声污染源主要为设备噪声，其源强如下表所示。</w:t>
            </w:r>
          </w:p>
          <w:p>
            <w:pPr>
              <w:jc w:val="center"/>
              <w:rPr>
                <w:rFonts w:ascii="Times New Roman" w:hAnsi="Times New Roman" w:cs="Times New Roman"/>
                <w:b/>
                <w:color w:val="auto"/>
              </w:rPr>
            </w:pPr>
            <w:r>
              <w:rPr>
                <w:rFonts w:ascii="Times New Roman" w:hAnsi="Times New Roman" w:cs="Times New Roman"/>
                <w:b/>
                <w:color w:val="auto"/>
                <w:szCs w:val="24"/>
              </w:rPr>
              <w:t>表4.2.</w:t>
            </w:r>
            <w:r>
              <w:rPr>
                <w:rFonts w:ascii="Times New Roman" w:hAnsi="Times New Roman" w:cs="Times New Roman"/>
                <w:b/>
                <w:color w:val="auto"/>
              </w:rPr>
              <w:t>3</w:t>
            </w:r>
            <w:r>
              <w:rPr>
                <w:rFonts w:ascii="Times New Roman" w:hAnsi="Times New Roman" w:cs="Times New Roman"/>
                <w:b/>
                <w:color w:val="auto"/>
                <w:szCs w:val="24"/>
              </w:rPr>
              <w:t>-1 项目主要生产设备噪声源强一览表</w:t>
            </w:r>
          </w:p>
          <w:tbl>
            <w:tblPr>
              <w:tblStyle w:val="20"/>
              <w:tblW w:w="9044"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50"/>
              <w:gridCol w:w="709"/>
              <w:gridCol w:w="708"/>
              <w:gridCol w:w="1134"/>
              <w:gridCol w:w="1134"/>
              <w:gridCol w:w="1276"/>
              <w:gridCol w:w="992"/>
              <w:gridCol w:w="1276"/>
              <w:gridCol w:w="116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97" w:hRule="atLeast"/>
                <w:jc w:val="center"/>
              </w:trPr>
              <w:tc>
                <w:tcPr>
                  <w:tcW w:w="650"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主要生产单元</w:t>
                  </w:r>
                </w:p>
              </w:tc>
              <w:tc>
                <w:tcPr>
                  <w:tcW w:w="709"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主要工艺</w:t>
                  </w:r>
                </w:p>
              </w:tc>
              <w:tc>
                <w:tcPr>
                  <w:tcW w:w="1842" w:type="dxa"/>
                  <w:gridSpan w:val="2"/>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生产设施</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设施参数</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产生强度〔dB（A）〕</w:t>
                  </w:r>
                </w:p>
              </w:tc>
              <w:tc>
                <w:tcPr>
                  <w:tcW w:w="992" w:type="dxa"/>
                  <w:tcBorders>
                    <w:bottom w:val="single" w:color="auto" w:sz="4" w:space="0"/>
                    <w:right w:val="single" w:color="auto" w:sz="4" w:space="0"/>
                  </w:tcBorders>
                  <w:vAlign w:val="center"/>
                </w:tcPr>
                <w:p>
                  <w:pPr>
                    <w:pStyle w:val="30"/>
                    <w:spacing w:line="360" w:lineRule="exact"/>
                    <w:rPr>
                      <w:color w:val="auto"/>
                      <w:szCs w:val="21"/>
                    </w:rPr>
                  </w:pPr>
                  <w:r>
                    <w:rPr>
                      <w:color w:val="auto"/>
                      <w:szCs w:val="21"/>
                    </w:rPr>
                    <w:t>降噪措施</w:t>
                  </w:r>
                </w:p>
              </w:tc>
              <w:tc>
                <w:tcPr>
                  <w:tcW w:w="1276" w:type="dxa"/>
                  <w:tcBorders>
                    <w:right w:val="single" w:color="auto" w:sz="4" w:space="0"/>
                  </w:tcBorders>
                  <w:vAlign w:val="center"/>
                </w:tcPr>
                <w:p>
                  <w:pPr>
                    <w:pStyle w:val="30"/>
                    <w:spacing w:line="360" w:lineRule="exact"/>
                    <w:rPr>
                      <w:color w:val="auto"/>
                      <w:szCs w:val="21"/>
                    </w:rPr>
                  </w:pPr>
                  <w:r>
                    <w:rPr>
                      <w:color w:val="auto"/>
                      <w:szCs w:val="21"/>
                    </w:rPr>
                    <w:t>排放强度〔dB（A）〕</w:t>
                  </w:r>
                </w:p>
              </w:tc>
              <w:tc>
                <w:tcPr>
                  <w:tcW w:w="1165" w:type="dxa"/>
                  <w:tcBorders>
                    <w:right w:val="single" w:color="auto" w:sz="4" w:space="0"/>
                  </w:tcBorders>
                  <w:vAlign w:val="center"/>
                </w:tcPr>
                <w:p>
                  <w:pPr>
                    <w:pStyle w:val="30"/>
                    <w:spacing w:line="360" w:lineRule="exact"/>
                    <w:rPr>
                      <w:color w:val="auto"/>
                      <w:szCs w:val="21"/>
                    </w:rPr>
                  </w:pPr>
                  <w:r>
                    <w:rPr>
                      <w:color w:val="auto"/>
                      <w:szCs w:val="21"/>
                    </w:rPr>
                    <w:t>持续时间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restart"/>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主体工程</w:t>
                  </w:r>
                </w:p>
              </w:tc>
              <w:tc>
                <w:tcPr>
                  <w:tcW w:w="709" w:type="dxa"/>
                  <w:vMerge w:val="restart"/>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废旧冰箱处理线</w:t>
                  </w:r>
                </w:p>
              </w:tc>
              <w:tc>
                <w:tcPr>
                  <w:tcW w:w="708" w:type="dxa"/>
                  <w:vMerge w:val="restart"/>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冷媒抽取+拆解</w:t>
                  </w: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手工拆解台</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100台/h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85</w:t>
                  </w:r>
                </w:p>
              </w:tc>
              <w:tc>
                <w:tcPr>
                  <w:tcW w:w="992" w:type="dxa"/>
                  <w:vMerge w:val="restart"/>
                  <w:tcBorders>
                    <w:top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减震垫、消声器、墙体阻隔等</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75</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冷媒回收机</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100台/h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100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90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间歇产生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抽氟机</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100台/h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85</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75</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间歇产生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提升机</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50台/h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破碎机RS150-4-S</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50台/h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出料螺旋输送机</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100台/h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85</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75</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铁/泡棉分选机</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100台/h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85</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75</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泡棉风机</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100台/h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90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泡棉压块机</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100台/h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top w:val="single" w:color="auto" w:sz="4" w:space="0"/>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涡电流分选机</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100台/h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top w:val="single" w:color="auto" w:sz="4" w:space="0"/>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锤磨机</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100台/h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top w:val="single" w:color="auto" w:sz="4" w:space="0"/>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铜铝分选机</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100台/h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top w:val="single" w:color="auto" w:sz="4" w:space="0"/>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出料传输线</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100台/h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85</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75</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top w:val="single" w:color="auto" w:sz="4" w:space="0"/>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三通道塑料分选机</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100台/h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85</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75</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top w:val="single" w:color="auto" w:sz="4" w:space="0"/>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循环及传输系统</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100台/h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90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手工平台</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100台/h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restart"/>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空调/小家电/废手机及其视听设备消费电子产品处理线</w:t>
                  </w:r>
                </w:p>
              </w:tc>
              <w:tc>
                <w:tcPr>
                  <w:tcW w:w="708" w:type="dxa"/>
                  <w:vMerge w:val="restart"/>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冷媒抽取+拆解</w:t>
                  </w: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钢板上料台</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150台/h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喷吹配套除尘系统</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150台/h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动力辊传送线</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150台/h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万向球工作台</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150台/h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85</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75</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冷媒回收机</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50台/h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85</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75</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抽氟机</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50台/h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90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回收钳</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150台/h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皮带输送机</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150台/h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restart"/>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废旧洗衣机处理线</w:t>
                  </w:r>
                </w:p>
              </w:tc>
              <w:tc>
                <w:tcPr>
                  <w:tcW w:w="708" w:type="dxa"/>
                  <w:vMerge w:val="restart"/>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拆解</w:t>
                  </w: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钢板上料台</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150台/h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无动力辊道</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150台/h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单工位工作台</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18台/h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皮带传送机</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75台/h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85</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75</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单柱液压机</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150台/h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85</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75</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间歇产生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盐水缸</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150台/h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90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间歇产生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破碎机</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75台/h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restart"/>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1号废旧电视机（液晶电视）处理线</w:t>
                  </w:r>
                </w:p>
              </w:tc>
              <w:tc>
                <w:tcPr>
                  <w:tcW w:w="708" w:type="dxa"/>
                  <w:vMerge w:val="restart"/>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拆解</w:t>
                  </w: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钢板上料台</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90台/h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85</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75</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无动力辊道</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90台/h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85</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75</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单工位工作台</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15台/h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90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皮带传送机</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90台/h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荧光灯管背光模组负压拆解工作台</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45台/h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 w:hRule="atLeast"/>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restart"/>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2号废旧电视机（CRT）处理线</w:t>
                  </w:r>
                </w:p>
              </w:tc>
              <w:tc>
                <w:tcPr>
                  <w:tcW w:w="708" w:type="dxa"/>
                  <w:vMerge w:val="restart"/>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切割+拆解</w:t>
                  </w: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CRT除胶机</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22.5台/h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 w:hRule="atLeast"/>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后续输送机</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45台/h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 w:hRule="atLeast"/>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喷吹配套除尘系统</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45台/h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85</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75</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 w:hRule="atLeast"/>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万向工作台</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22.5台/h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85</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75</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 w:hRule="atLeast"/>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角磨机</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90台/h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90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 w:hRule="atLeast"/>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切屏机</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13台/h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 w:hRule="atLeast"/>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取消钉包装架</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16台/h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玻璃干洗设备</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90台/h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荧光粉吸收器</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22.5台/h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50"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储运工程</w:t>
                  </w:r>
                </w:p>
              </w:tc>
              <w:tc>
                <w:tcPr>
                  <w:tcW w:w="1417" w:type="dxa"/>
                  <w:gridSpan w:val="2"/>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储运</w:t>
                  </w: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叉车</w:t>
                  </w:r>
                </w:p>
              </w:tc>
              <w:tc>
                <w:tcPr>
                  <w:tcW w:w="113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95</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85</w:t>
                  </w:r>
                </w:p>
              </w:tc>
              <w:tc>
                <w:tcPr>
                  <w:tcW w:w="1165" w:type="dxa"/>
                  <w:tcBorders>
                    <w:right w:val="single" w:color="auto" w:sz="4" w:space="0"/>
                  </w:tcBorders>
                  <w:vAlign w:val="center"/>
                </w:tcPr>
                <w:p>
                  <w:pPr>
                    <w:widowControl/>
                    <w:jc w:val="right"/>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间歇产生</w:t>
                  </w:r>
                </w:p>
              </w:tc>
            </w:tr>
          </w:tbl>
          <w:p>
            <w:pPr>
              <w:spacing w:beforeLines="50" w:line="360" w:lineRule="auto"/>
              <w:ind w:firstLine="361" w:firstLineChars="150"/>
              <w:rPr>
                <w:rFonts w:ascii="Times New Roman" w:hAnsi="Times New Roman" w:cs="Times New Roman"/>
                <w:b/>
                <w:color w:val="auto"/>
                <w:sz w:val="24"/>
                <w:szCs w:val="24"/>
              </w:rPr>
            </w:pPr>
            <w:r>
              <w:rPr>
                <w:rFonts w:ascii="Times New Roman" w:hAnsi="Times New Roman" w:cs="Times New Roman"/>
                <w:b/>
                <w:color w:val="auto"/>
                <w:sz w:val="24"/>
                <w:szCs w:val="24"/>
              </w:rPr>
              <w:t>（2）厂界噪声预测</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本环评采用环安科技有限公司根据《环境影响评价技术导则 声环境》（HJ2.4-2009）开发的“环境噪声影响评价系统Noisesystem1.1”噪声预测软件，对项目设备厂界噪声进行预测。</w:t>
            </w:r>
          </w:p>
          <w:p>
            <w:pPr>
              <w:spacing w:line="360" w:lineRule="auto"/>
              <w:ind w:firstLine="482" w:firstLineChars="200"/>
              <w:rPr>
                <w:rFonts w:ascii="Times New Roman" w:hAnsi="Times New Roman" w:cs="Times New Roman"/>
                <w:b/>
                <w:color w:val="auto"/>
                <w:sz w:val="24"/>
                <w:szCs w:val="24"/>
              </w:rPr>
            </w:pPr>
            <w:bookmarkStart w:id="3" w:name="_Toc13390404"/>
            <w:bookmarkStart w:id="4" w:name="_Toc9337268"/>
            <w:r>
              <w:rPr>
                <w:rFonts w:ascii="Times New Roman" w:hAnsi="Times New Roman" w:cs="Times New Roman"/>
                <w:b/>
                <w:color w:val="auto"/>
                <w:sz w:val="24"/>
                <w:szCs w:val="24"/>
              </w:rPr>
              <w:t>①声级计算</w:t>
            </w:r>
            <w:bookmarkEnd w:id="3"/>
            <w:bookmarkEnd w:id="4"/>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建设项目声源在预测点产生的等效声级贡献值（Leq g）计算公式：</w:t>
            </w:r>
          </w:p>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object>
                <v:shape id="_x0000_i1033" o:spt="75" type="#_x0000_t75" style="height:34.2pt;width:132pt;" o:ole="t" filled="f" o:preferrelative="t" stroked="f" coordsize="21600,21600">
                  <v:path/>
                  <v:fill on="f" focussize="0,0"/>
                  <v:stroke on="f" joinstyle="miter"/>
                  <v:imagedata r:id="rId40" o:title=""/>
                  <o:lock v:ext="edit" aspectratio="t"/>
                  <w10:wrap type="none"/>
                  <w10:anchorlock/>
                </v:shape>
                <o:OLEObject Type="Embed" ProgID="Equation.3" ShapeID="_x0000_i1033" DrawAspect="Content" ObjectID="_1468075733" r:id="rId39">
                  <o:LockedField>false</o:LockedField>
                </o:OLEObject>
              </w:objec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式中：Leqg--建设项目声源在预测点的等效声级贡献值，dB（A）；</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 xml:space="preserve">      LAi-- i声源在预测点产生的A 声级，dB（A）；</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 xml:space="preserve">      T---预测计算的时间段，s；</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 xml:space="preserve">      Ti--i 声源在T 时段内的运行时间，s。</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预测点的预测等效声级(L eq )计算公式</w:t>
            </w:r>
          </w:p>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object>
                <v:shape id="_x0000_i1034" o:spt="75" type="#_x0000_t75" style="height:20.4pt;width:141.6pt;" o:ole="t" filled="f" o:preferrelative="t" stroked="f" coordsize="21600,21600">
                  <v:path/>
                  <v:fill on="f" focussize="0,0"/>
                  <v:stroke on="f" joinstyle="miter"/>
                  <v:imagedata r:id="rId42" o:title=""/>
                  <o:lock v:ext="edit" aspectratio="t"/>
                  <w10:wrap type="none"/>
                  <w10:anchorlock/>
                </v:shape>
                <o:OLEObject Type="Embed" ProgID="Equation.3" ShapeID="_x0000_i1034" DrawAspect="Content" ObjectID="_1468075734" r:id="rId41">
                  <o:LockedField>false</o:LockedField>
                </o:OLEObject>
              </w:objec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式中：L eq g--建设项目声源在预测点的等效声级贡献值，dB（A）；</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 xml:space="preserve">      L eqb--预测点的背景值，dB（A）</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②户外声传播衰减计算</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预测模式如下：</w:t>
            </w:r>
          </w:p>
          <w:p>
            <w:pPr>
              <w:spacing w:line="360" w:lineRule="auto"/>
              <w:jc w:val="center"/>
              <w:rPr>
                <w:rFonts w:ascii="Times New Roman" w:hAnsi="Times New Roman" w:cs="Times New Roman"/>
                <w:color w:val="auto"/>
                <w:sz w:val="24"/>
                <w:szCs w:val="24"/>
              </w:rPr>
            </w:pPr>
            <w:bookmarkStart w:id="5" w:name="_Toc13390405"/>
            <w:bookmarkStart w:id="6" w:name="_Toc9337269"/>
            <w:r>
              <w:rPr>
                <w:rFonts w:ascii="Times New Roman" w:hAnsi="Times New Roman" w:cs="Times New Roman"/>
                <w:color w:val="auto"/>
                <w:sz w:val="24"/>
                <w:szCs w:val="24"/>
              </w:rPr>
              <w:t>LA（r）=Lr</w:t>
            </w:r>
            <w:r>
              <w:rPr>
                <w:rFonts w:ascii="Times New Roman" w:hAnsi="Times New Roman" w:cs="Times New Roman"/>
                <w:color w:val="auto"/>
                <w:sz w:val="24"/>
                <w:szCs w:val="24"/>
                <w:vertAlign w:val="subscript"/>
              </w:rPr>
              <w:t>0</w:t>
            </w:r>
            <w:r>
              <w:rPr>
                <w:rFonts w:ascii="Times New Roman" w:hAnsi="Times New Roman" w:cs="Times New Roman"/>
                <w:color w:val="auto"/>
                <w:sz w:val="24"/>
                <w:szCs w:val="24"/>
              </w:rPr>
              <w:t>-20g（r/r</w:t>
            </w:r>
            <w:r>
              <w:rPr>
                <w:rFonts w:ascii="Times New Roman" w:hAnsi="Times New Roman" w:cs="Times New Roman"/>
                <w:color w:val="auto"/>
                <w:sz w:val="24"/>
                <w:szCs w:val="24"/>
                <w:vertAlign w:val="subscript"/>
              </w:rPr>
              <w:t>0</w:t>
            </w:r>
            <w:r>
              <w:rPr>
                <w:rFonts w:ascii="Times New Roman" w:hAnsi="Times New Roman" w:cs="Times New Roman"/>
                <w:color w:val="auto"/>
                <w:sz w:val="24"/>
                <w:szCs w:val="24"/>
              </w:rPr>
              <w:t>）-△L</w:t>
            </w:r>
            <w:bookmarkEnd w:id="5"/>
            <w:bookmarkEnd w:id="6"/>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式中：LA（r）--距声源r米处受声点的A声级；</w:t>
            </w:r>
          </w:p>
          <w:p>
            <w:pPr>
              <w:spacing w:line="360" w:lineRule="auto"/>
              <w:ind w:firstLine="480" w:firstLineChars="200"/>
              <w:rPr>
                <w:rFonts w:ascii="Times New Roman" w:hAnsi="Times New Roman" w:cs="Times New Roman"/>
                <w:color w:val="auto"/>
                <w:sz w:val="24"/>
                <w:szCs w:val="24"/>
              </w:rPr>
            </w:pPr>
            <w:bookmarkStart w:id="7" w:name="_Toc13390406"/>
            <w:bookmarkStart w:id="8" w:name="_Toc9337270"/>
            <w:r>
              <w:rPr>
                <w:rFonts w:ascii="Times New Roman" w:hAnsi="Times New Roman" w:cs="Times New Roman"/>
                <w:color w:val="auto"/>
                <w:sz w:val="24"/>
                <w:szCs w:val="24"/>
              </w:rPr>
              <w:t xml:space="preserve">      Lr</w:t>
            </w:r>
            <w:r>
              <w:rPr>
                <w:rFonts w:ascii="Times New Roman" w:hAnsi="Times New Roman" w:cs="Times New Roman"/>
                <w:color w:val="auto"/>
                <w:sz w:val="24"/>
                <w:szCs w:val="24"/>
                <w:vertAlign w:val="subscript"/>
              </w:rPr>
              <w:t>0</w:t>
            </w:r>
            <w:r>
              <w:rPr>
                <w:rFonts w:ascii="Times New Roman" w:hAnsi="Times New Roman" w:cs="Times New Roman"/>
                <w:color w:val="auto"/>
                <w:sz w:val="24"/>
                <w:szCs w:val="24"/>
              </w:rPr>
              <w:t>--参考点声源强度；</w:t>
            </w:r>
            <w:bookmarkEnd w:id="7"/>
            <w:bookmarkEnd w:id="8"/>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 xml:space="preserve">      r--预测受声点与源之间的距离（m）；</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 xml:space="preserve">      r</w:t>
            </w:r>
            <w:r>
              <w:rPr>
                <w:rFonts w:ascii="Times New Roman" w:hAnsi="Times New Roman" w:cs="Times New Roman"/>
                <w:color w:val="auto"/>
                <w:sz w:val="24"/>
                <w:szCs w:val="24"/>
                <w:vertAlign w:val="subscript"/>
              </w:rPr>
              <w:t>0</w:t>
            </w:r>
            <w:r>
              <w:rPr>
                <w:rFonts w:ascii="Times New Roman" w:hAnsi="Times New Roman" w:cs="Times New Roman"/>
                <w:color w:val="auto"/>
                <w:sz w:val="24"/>
                <w:szCs w:val="24"/>
              </w:rPr>
              <w:t>--参考点与源之间的距离（m）。</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 xml:space="preserve">      △L--其它衰减因素</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影响△L取值的因素很多，因空气吸收、地面、绿化等引起的衰减值相对较小，本次预测拟忽略它们影响的衰减值，即按ΔL=0计；另外运营期各设备噪声源强考虑按采取措施后厂房外1m噪声级。</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各受声点的声源叠加按下列公式计算：</w:t>
            </w:r>
          </w:p>
          <w:p>
            <w:pPr>
              <w:spacing w:line="360" w:lineRule="auto"/>
              <w:jc w:val="center"/>
              <w:rPr>
                <w:rFonts w:ascii="Times New Roman" w:hAnsi="Times New Roman" w:cs="Times New Roman"/>
                <w:color w:val="auto"/>
                <w:sz w:val="24"/>
                <w:szCs w:val="24"/>
              </w:rPr>
            </w:pPr>
            <w:bookmarkStart w:id="9" w:name="_Toc13390407"/>
            <w:bookmarkStart w:id="10" w:name="_Toc9337271"/>
            <w:r>
              <w:rPr>
                <w:rFonts w:ascii="Times New Roman" w:hAnsi="Times New Roman" w:cs="Times New Roman"/>
                <w:color w:val="auto"/>
                <w:sz w:val="24"/>
                <w:szCs w:val="24"/>
              </w:rPr>
              <w:t>LA=10g［</w:t>
            </w:r>
            <w:r>
              <w:rPr>
                <w:rFonts w:ascii="Times New Roman" w:hAnsi="Times New Roman" w:cs="Times New Roman"/>
                <w:color w:val="auto"/>
                <w:sz w:val="24"/>
                <w:szCs w:val="24"/>
              </w:rPr>
              <w:object>
                <v:shape id="_x0000_i1035" o:spt="75" type="#_x0000_t75" style="height:41.4pt;width:50.4pt;" o:ole="t" filled="f" o:preferrelative="t" stroked="f" coordsize="21600,21600">
                  <v:path/>
                  <v:fill on="f" focussize="0,0"/>
                  <v:stroke on="f" joinstyle="miter"/>
                  <v:imagedata r:id="rId44" o:title=""/>
                  <o:lock v:ext="edit" aspectratio="t"/>
                  <w10:wrap type="none"/>
                  <w10:anchorlock/>
                </v:shape>
                <o:OLEObject Type="Embed" ProgID="Equation.3" ShapeID="_x0000_i1035" DrawAspect="Content" ObjectID="_1468075735" r:id="rId43">
                  <o:LockedField>false</o:LockedField>
                </o:OLEObject>
              </w:object>
            </w:r>
            <w:r>
              <w:rPr>
                <w:rFonts w:ascii="Times New Roman" w:hAnsi="Times New Roman" w:cs="Times New Roman"/>
                <w:color w:val="auto"/>
                <w:sz w:val="24"/>
                <w:szCs w:val="24"/>
              </w:rPr>
              <w:t>］</w:t>
            </w:r>
            <w:bookmarkEnd w:id="9"/>
            <w:bookmarkEnd w:id="10"/>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 xml:space="preserve">  式中：Li--第i个声源声值；</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 xml:space="preserve">        LA--某点噪声总叠加值；</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 xml:space="preserve">        n--声源个数。</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③预测点</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预测点均设置为东、南、西、北四个厂界。</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④预测结果与评价</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经过预测，项目厂界东、南、西、北预测点的噪声预测结果如下表所示。</w:t>
            </w:r>
          </w:p>
          <w:p>
            <w:pPr>
              <w:jc w:val="center"/>
              <w:rPr>
                <w:rFonts w:ascii="Times New Roman" w:hAnsi="Times New Roman" w:cs="Times New Roman"/>
                <w:b/>
                <w:color w:val="auto"/>
                <w:szCs w:val="24"/>
              </w:rPr>
            </w:pPr>
            <w:r>
              <w:rPr>
                <w:rFonts w:ascii="Times New Roman" w:hAnsi="Times New Roman" w:cs="Times New Roman"/>
                <w:b/>
                <w:color w:val="auto"/>
                <w:szCs w:val="24"/>
              </w:rPr>
              <w:t>表4.2.3-2 项目建成后预测点的噪声贡献值  单位：dB（A）</w:t>
            </w:r>
          </w:p>
          <w:tbl>
            <w:tblPr>
              <w:tblStyle w:val="19"/>
              <w:tblW w:w="90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2001"/>
              <w:gridCol w:w="1899"/>
              <w:gridCol w:w="1920"/>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 w:hRule="atLeast"/>
                <w:jc w:val="center"/>
              </w:trPr>
              <w:tc>
                <w:tcPr>
                  <w:tcW w:w="1366" w:type="dxa"/>
                  <w:vAlign w:val="center"/>
                </w:tcPr>
                <w:p>
                  <w:pPr>
                    <w:pStyle w:val="30"/>
                    <w:spacing w:line="360" w:lineRule="exact"/>
                    <w:rPr>
                      <w:color w:val="auto"/>
                      <w:szCs w:val="21"/>
                    </w:rPr>
                  </w:pPr>
                  <w:r>
                    <w:rPr>
                      <w:color w:val="auto"/>
                      <w:szCs w:val="21"/>
                    </w:rPr>
                    <w:t>贡献值</w:t>
                  </w:r>
                </w:p>
              </w:tc>
              <w:tc>
                <w:tcPr>
                  <w:tcW w:w="2001" w:type="dxa"/>
                  <w:vAlign w:val="center"/>
                </w:tcPr>
                <w:p>
                  <w:pPr>
                    <w:pStyle w:val="30"/>
                    <w:spacing w:line="360" w:lineRule="exact"/>
                    <w:rPr>
                      <w:color w:val="auto"/>
                      <w:szCs w:val="21"/>
                    </w:rPr>
                  </w:pPr>
                  <w:r>
                    <w:rPr>
                      <w:color w:val="auto"/>
                      <w:szCs w:val="21"/>
                    </w:rPr>
                    <w:t>厂界东</w:t>
                  </w:r>
                </w:p>
              </w:tc>
              <w:tc>
                <w:tcPr>
                  <w:tcW w:w="1899" w:type="dxa"/>
                  <w:vAlign w:val="center"/>
                </w:tcPr>
                <w:p>
                  <w:pPr>
                    <w:pStyle w:val="30"/>
                    <w:spacing w:line="360" w:lineRule="exact"/>
                    <w:rPr>
                      <w:color w:val="auto"/>
                      <w:szCs w:val="21"/>
                    </w:rPr>
                  </w:pPr>
                  <w:r>
                    <w:rPr>
                      <w:color w:val="auto"/>
                      <w:szCs w:val="21"/>
                    </w:rPr>
                    <w:t>厂界南</w:t>
                  </w:r>
                </w:p>
              </w:tc>
              <w:tc>
                <w:tcPr>
                  <w:tcW w:w="1920" w:type="dxa"/>
                  <w:vAlign w:val="center"/>
                </w:tcPr>
                <w:p>
                  <w:pPr>
                    <w:pStyle w:val="30"/>
                    <w:spacing w:line="360" w:lineRule="exact"/>
                    <w:rPr>
                      <w:color w:val="auto"/>
                      <w:szCs w:val="21"/>
                    </w:rPr>
                  </w:pPr>
                  <w:r>
                    <w:rPr>
                      <w:color w:val="auto"/>
                      <w:szCs w:val="21"/>
                    </w:rPr>
                    <w:t>厂界西</w:t>
                  </w:r>
                </w:p>
              </w:tc>
              <w:tc>
                <w:tcPr>
                  <w:tcW w:w="1858" w:type="dxa"/>
                  <w:vAlign w:val="center"/>
                </w:tcPr>
                <w:p>
                  <w:pPr>
                    <w:pStyle w:val="30"/>
                    <w:spacing w:line="360" w:lineRule="exact"/>
                    <w:rPr>
                      <w:color w:val="auto"/>
                      <w:szCs w:val="21"/>
                    </w:rPr>
                  </w:pPr>
                  <w:r>
                    <w:rPr>
                      <w:color w:val="auto"/>
                      <w:szCs w:val="21"/>
                    </w:rPr>
                    <w:t>厂界北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6" w:type="dxa"/>
                  <w:vAlign w:val="center"/>
                </w:tcPr>
                <w:p>
                  <w:pPr>
                    <w:pStyle w:val="30"/>
                    <w:spacing w:line="360" w:lineRule="exact"/>
                    <w:rPr>
                      <w:color w:val="auto"/>
                      <w:szCs w:val="21"/>
                    </w:rPr>
                  </w:pPr>
                  <w:r>
                    <w:rPr>
                      <w:color w:val="auto"/>
                      <w:szCs w:val="21"/>
                    </w:rPr>
                    <w:t>昼</w:t>
                  </w:r>
                </w:p>
              </w:tc>
              <w:tc>
                <w:tcPr>
                  <w:tcW w:w="2001" w:type="dxa"/>
                  <w:vAlign w:val="center"/>
                </w:tcPr>
                <w:p>
                  <w:pPr>
                    <w:pStyle w:val="30"/>
                    <w:spacing w:line="360" w:lineRule="exact"/>
                    <w:rPr>
                      <w:color w:val="auto"/>
                      <w:szCs w:val="21"/>
                    </w:rPr>
                  </w:pPr>
                  <w:r>
                    <w:rPr>
                      <w:color w:val="auto"/>
                      <w:szCs w:val="21"/>
                    </w:rPr>
                    <w:t>52.6</w:t>
                  </w:r>
                </w:p>
              </w:tc>
              <w:tc>
                <w:tcPr>
                  <w:tcW w:w="1899" w:type="dxa"/>
                  <w:vAlign w:val="center"/>
                </w:tcPr>
                <w:p>
                  <w:pPr>
                    <w:pStyle w:val="30"/>
                    <w:spacing w:line="360" w:lineRule="exact"/>
                    <w:rPr>
                      <w:color w:val="auto"/>
                      <w:szCs w:val="21"/>
                    </w:rPr>
                  </w:pPr>
                  <w:r>
                    <w:rPr>
                      <w:color w:val="auto"/>
                      <w:szCs w:val="21"/>
                    </w:rPr>
                    <w:t>53.1</w:t>
                  </w:r>
                </w:p>
              </w:tc>
              <w:tc>
                <w:tcPr>
                  <w:tcW w:w="1920" w:type="dxa"/>
                  <w:vAlign w:val="center"/>
                </w:tcPr>
                <w:p>
                  <w:pPr>
                    <w:pStyle w:val="30"/>
                    <w:spacing w:line="360" w:lineRule="exact"/>
                    <w:rPr>
                      <w:color w:val="auto"/>
                      <w:szCs w:val="21"/>
                    </w:rPr>
                  </w:pPr>
                  <w:r>
                    <w:rPr>
                      <w:color w:val="auto"/>
                      <w:szCs w:val="21"/>
                    </w:rPr>
                    <w:t>51.9</w:t>
                  </w:r>
                </w:p>
              </w:tc>
              <w:tc>
                <w:tcPr>
                  <w:tcW w:w="1858" w:type="dxa"/>
                  <w:vAlign w:val="center"/>
                </w:tcPr>
                <w:p>
                  <w:pPr>
                    <w:pStyle w:val="30"/>
                    <w:spacing w:line="360" w:lineRule="exact"/>
                    <w:rPr>
                      <w:color w:val="auto"/>
                      <w:szCs w:val="21"/>
                    </w:rPr>
                  </w:pPr>
                  <w:r>
                    <w:rPr>
                      <w:color w:val="auto"/>
                      <w:szCs w:val="21"/>
                    </w:rPr>
                    <w:t>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6" w:type="dxa"/>
                  <w:vAlign w:val="center"/>
                </w:tcPr>
                <w:p>
                  <w:pPr>
                    <w:pStyle w:val="30"/>
                    <w:spacing w:line="360" w:lineRule="exact"/>
                    <w:rPr>
                      <w:color w:val="auto"/>
                      <w:szCs w:val="21"/>
                    </w:rPr>
                  </w:pPr>
                  <w:r>
                    <w:rPr>
                      <w:color w:val="auto"/>
                      <w:szCs w:val="21"/>
                    </w:rPr>
                    <w:t>夜</w:t>
                  </w:r>
                </w:p>
              </w:tc>
              <w:tc>
                <w:tcPr>
                  <w:tcW w:w="2001" w:type="dxa"/>
                  <w:vAlign w:val="center"/>
                </w:tcPr>
                <w:p>
                  <w:pPr>
                    <w:pStyle w:val="30"/>
                    <w:spacing w:line="360" w:lineRule="exact"/>
                    <w:rPr>
                      <w:color w:val="auto"/>
                      <w:szCs w:val="21"/>
                    </w:rPr>
                  </w:pPr>
                  <w:r>
                    <w:rPr>
                      <w:color w:val="auto"/>
                      <w:szCs w:val="21"/>
                    </w:rPr>
                    <w:t>52.6</w:t>
                  </w:r>
                </w:p>
              </w:tc>
              <w:tc>
                <w:tcPr>
                  <w:tcW w:w="1899" w:type="dxa"/>
                  <w:vAlign w:val="center"/>
                </w:tcPr>
                <w:p>
                  <w:pPr>
                    <w:pStyle w:val="30"/>
                    <w:spacing w:line="360" w:lineRule="exact"/>
                    <w:rPr>
                      <w:color w:val="auto"/>
                      <w:szCs w:val="21"/>
                    </w:rPr>
                  </w:pPr>
                  <w:r>
                    <w:rPr>
                      <w:color w:val="auto"/>
                      <w:szCs w:val="21"/>
                    </w:rPr>
                    <w:t>53.1</w:t>
                  </w:r>
                </w:p>
              </w:tc>
              <w:tc>
                <w:tcPr>
                  <w:tcW w:w="1920" w:type="dxa"/>
                  <w:vAlign w:val="center"/>
                </w:tcPr>
                <w:p>
                  <w:pPr>
                    <w:pStyle w:val="30"/>
                    <w:spacing w:line="360" w:lineRule="exact"/>
                    <w:rPr>
                      <w:color w:val="auto"/>
                      <w:szCs w:val="21"/>
                    </w:rPr>
                  </w:pPr>
                  <w:r>
                    <w:rPr>
                      <w:color w:val="auto"/>
                      <w:szCs w:val="21"/>
                    </w:rPr>
                    <w:t>51.9</w:t>
                  </w:r>
                </w:p>
              </w:tc>
              <w:tc>
                <w:tcPr>
                  <w:tcW w:w="1858" w:type="dxa"/>
                  <w:vAlign w:val="center"/>
                </w:tcPr>
                <w:p>
                  <w:pPr>
                    <w:pStyle w:val="30"/>
                    <w:spacing w:line="360" w:lineRule="exact"/>
                    <w:rPr>
                      <w:color w:val="auto"/>
                      <w:szCs w:val="21"/>
                    </w:rPr>
                  </w:pPr>
                  <w:r>
                    <w:rPr>
                      <w:color w:val="auto"/>
                      <w:szCs w:val="21"/>
                    </w:rPr>
                    <w:t>52.1</w:t>
                  </w:r>
                </w:p>
              </w:tc>
            </w:tr>
          </w:tbl>
          <w:p>
            <w:pPr>
              <w:pStyle w:val="38"/>
              <w:spacing w:beforeLines="50"/>
              <w:ind w:firstLine="480"/>
              <w:rPr>
                <w:color w:val="auto"/>
                <w:szCs w:val="21"/>
              </w:rPr>
            </w:pPr>
            <w:r>
              <w:rPr>
                <w:color w:val="auto"/>
                <w:szCs w:val="21"/>
              </w:rPr>
              <w:t>从上表可知，项目运营期设备加装减振垫、消音器，噪声墙体阻隔、空气吸收和距离等衰减后，厂界噪声可达到《工业企业厂界环境噪声排放标准》（GB12348-2008）3类标准要求。</w:t>
            </w:r>
          </w:p>
          <w:p>
            <w:pPr>
              <w:spacing w:line="360" w:lineRule="auto"/>
              <w:ind w:firstLine="361" w:firstLineChars="150"/>
              <w:rPr>
                <w:rFonts w:ascii="Times New Roman" w:hAnsi="Times New Roman" w:cs="Times New Roman"/>
                <w:b/>
                <w:color w:val="auto"/>
                <w:sz w:val="24"/>
              </w:rPr>
            </w:pPr>
            <w:r>
              <w:rPr>
                <w:rFonts w:ascii="Times New Roman" w:hAnsi="Times New Roman" w:cs="Times New Roman"/>
                <w:b/>
                <w:color w:val="auto"/>
                <w:sz w:val="24"/>
              </w:rPr>
              <w:t>（3）对环境保护目标影响预测</w:t>
            </w:r>
          </w:p>
          <w:p>
            <w:pPr>
              <w:pStyle w:val="38"/>
              <w:ind w:firstLine="480"/>
              <w:rPr>
                <w:rFonts w:eastAsiaTheme="minorEastAsia"/>
                <w:color w:val="auto"/>
                <w:szCs w:val="24"/>
              </w:rPr>
            </w:pPr>
            <w:r>
              <w:rPr>
                <w:rFonts w:eastAsiaTheme="minorEastAsia"/>
                <w:color w:val="auto"/>
                <w:szCs w:val="24"/>
              </w:rPr>
              <w:t>根据项目环境保护目标分布，项目区声环境评价范围内无声环境保护目标，因此项目噪声对环境影响较小。</w:t>
            </w:r>
          </w:p>
          <w:p>
            <w:pPr>
              <w:spacing w:line="360" w:lineRule="auto"/>
              <w:ind w:firstLine="361" w:firstLineChars="150"/>
              <w:rPr>
                <w:rFonts w:ascii="Times New Roman" w:hAnsi="Times New Roman" w:cs="Times New Roman"/>
                <w:b/>
                <w:color w:val="auto"/>
                <w:sz w:val="24"/>
              </w:rPr>
            </w:pPr>
            <w:r>
              <w:rPr>
                <w:rFonts w:ascii="Times New Roman" w:hAnsi="Times New Roman" w:cs="Times New Roman"/>
                <w:b/>
                <w:color w:val="auto"/>
                <w:sz w:val="24"/>
              </w:rPr>
              <w:t>（4）自行监测要求</w:t>
            </w:r>
          </w:p>
          <w:p>
            <w:pPr>
              <w:pStyle w:val="38"/>
              <w:ind w:firstLine="480"/>
              <w:rPr>
                <w:rFonts w:eastAsiaTheme="minorEastAsia"/>
                <w:color w:val="auto"/>
                <w:szCs w:val="24"/>
              </w:rPr>
            </w:pPr>
            <w:r>
              <w:rPr>
                <w:rFonts w:eastAsiaTheme="minorEastAsia"/>
                <w:color w:val="auto"/>
                <w:szCs w:val="24"/>
              </w:rPr>
              <w:t>根据《排污单位自行监测技术指南 总则》（HJ819-2017）的要求，项目噪声自行监测要求如下表所示。</w:t>
            </w:r>
          </w:p>
          <w:p>
            <w:pPr>
              <w:pStyle w:val="32"/>
              <w:spacing w:beforeLines="0"/>
              <w:rPr>
                <w:rFonts w:hAnsi="Times New Roman" w:eastAsiaTheme="minorEastAsia"/>
                <w:color w:val="auto"/>
                <w:sz w:val="21"/>
                <w:szCs w:val="21"/>
              </w:rPr>
            </w:pPr>
            <w:r>
              <w:rPr>
                <w:rFonts w:hAnsi="Times New Roman" w:eastAsiaTheme="minorEastAsia"/>
                <w:color w:val="auto"/>
                <w:sz w:val="21"/>
                <w:szCs w:val="21"/>
              </w:rPr>
              <w:t>表4.2.3-3  厂界噪声自行监测计划一览表</w:t>
            </w:r>
          </w:p>
          <w:tbl>
            <w:tblPr>
              <w:tblStyle w:val="19"/>
              <w:tblW w:w="90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341"/>
              <w:gridCol w:w="1489"/>
              <w:gridCol w:w="1788"/>
              <w:gridCol w:w="3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3" w:type="dxa"/>
                  <w:vAlign w:val="center"/>
                </w:tcPr>
                <w:p>
                  <w:pPr>
                    <w:pStyle w:val="30"/>
                    <w:widowControl w:val="0"/>
                    <w:spacing w:line="360" w:lineRule="exact"/>
                    <w:rPr>
                      <w:rFonts w:eastAsiaTheme="minorEastAsia"/>
                      <w:color w:val="auto"/>
                    </w:rPr>
                  </w:pPr>
                  <w:r>
                    <w:rPr>
                      <w:rFonts w:eastAsiaTheme="minorEastAsia"/>
                      <w:color w:val="auto"/>
                    </w:rPr>
                    <w:t>对象</w:t>
                  </w:r>
                </w:p>
              </w:tc>
              <w:tc>
                <w:tcPr>
                  <w:tcW w:w="1341" w:type="dxa"/>
                  <w:vAlign w:val="center"/>
                </w:tcPr>
                <w:p>
                  <w:pPr>
                    <w:pStyle w:val="30"/>
                    <w:widowControl w:val="0"/>
                    <w:spacing w:line="360" w:lineRule="exact"/>
                    <w:rPr>
                      <w:rFonts w:eastAsiaTheme="minorEastAsia"/>
                      <w:color w:val="auto"/>
                    </w:rPr>
                  </w:pPr>
                  <w:r>
                    <w:rPr>
                      <w:rFonts w:eastAsiaTheme="minorEastAsia"/>
                      <w:color w:val="auto"/>
                    </w:rPr>
                    <w:t>监测点位</w:t>
                  </w:r>
                </w:p>
              </w:tc>
              <w:tc>
                <w:tcPr>
                  <w:tcW w:w="1489" w:type="dxa"/>
                  <w:vAlign w:val="center"/>
                </w:tcPr>
                <w:p>
                  <w:pPr>
                    <w:pStyle w:val="30"/>
                    <w:widowControl w:val="0"/>
                    <w:spacing w:line="360" w:lineRule="exact"/>
                    <w:rPr>
                      <w:rFonts w:eastAsiaTheme="minorEastAsia"/>
                      <w:color w:val="auto"/>
                    </w:rPr>
                  </w:pPr>
                  <w:r>
                    <w:rPr>
                      <w:rFonts w:eastAsiaTheme="minorEastAsia"/>
                      <w:color w:val="auto"/>
                    </w:rPr>
                    <w:t>监测因子</w:t>
                  </w:r>
                </w:p>
              </w:tc>
              <w:tc>
                <w:tcPr>
                  <w:tcW w:w="1788" w:type="dxa"/>
                  <w:vAlign w:val="center"/>
                </w:tcPr>
                <w:p>
                  <w:pPr>
                    <w:pStyle w:val="30"/>
                    <w:widowControl w:val="0"/>
                    <w:spacing w:line="360" w:lineRule="exact"/>
                    <w:rPr>
                      <w:rFonts w:eastAsiaTheme="minorEastAsia"/>
                      <w:color w:val="auto"/>
                    </w:rPr>
                  </w:pPr>
                  <w:r>
                    <w:rPr>
                      <w:rFonts w:eastAsiaTheme="minorEastAsia"/>
                      <w:color w:val="auto"/>
                    </w:rPr>
                    <w:t>最低监测频率</w:t>
                  </w:r>
                </w:p>
              </w:tc>
              <w:tc>
                <w:tcPr>
                  <w:tcW w:w="3653" w:type="dxa"/>
                  <w:vAlign w:val="center"/>
                </w:tcPr>
                <w:p>
                  <w:pPr>
                    <w:pStyle w:val="30"/>
                    <w:widowControl w:val="0"/>
                    <w:spacing w:line="360" w:lineRule="exact"/>
                    <w:rPr>
                      <w:rFonts w:eastAsiaTheme="minorEastAsia"/>
                      <w:color w:val="auto"/>
                    </w:rPr>
                  </w:pPr>
                  <w:r>
                    <w:rPr>
                      <w:rFonts w:eastAsiaTheme="minorEastAsia"/>
                      <w:color w:val="auto"/>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 w:hRule="atLeast"/>
                <w:jc w:val="center"/>
              </w:trPr>
              <w:tc>
                <w:tcPr>
                  <w:tcW w:w="773" w:type="dxa"/>
                  <w:vAlign w:val="center"/>
                </w:tcPr>
                <w:p>
                  <w:pPr>
                    <w:pStyle w:val="30"/>
                    <w:widowControl w:val="0"/>
                    <w:spacing w:line="360" w:lineRule="exact"/>
                    <w:rPr>
                      <w:rFonts w:eastAsiaTheme="minorEastAsia"/>
                      <w:color w:val="auto"/>
                    </w:rPr>
                  </w:pPr>
                  <w:r>
                    <w:rPr>
                      <w:rFonts w:eastAsiaTheme="minorEastAsia"/>
                      <w:color w:val="auto"/>
                    </w:rPr>
                    <w:t>噪声</w:t>
                  </w:r>
                </w:p>
              </w:tc>
              <w:tc>
                <w:tcPr>
                  <w:tcW w:w="1341" w:type="dxa"/>
                  <w:vAlign w:val="center"/>
                </w:tcPr>
                <w:p>
                  <w:pPr>
                    <w:pStyle w:val="30"/>
                    <w:widowControl w:val="0"/>
                    <w:spacing w:line="360" w:lineRule="exact"/>
                    <w:rPr>
                      <w:rFonts w:eastAsiaTheme="minorEastAsia"/>
                      <w:color w:val="auto"/>
                    </w:rPr>
                  </w:pPr>
                  <w:r>
                    <w:rPr>
                      <w:rFonts w:eastAsiaTheme="minorEastAsia"/>
                      <w:color w:val="auto"/>
                    </w:rPr>
                    <w:t>厂界四周</w:t>
                  </w:r>
                </w:p>
              </w:tc>
              <w:tc>
                <w:tcPr>
                  <w:tcW w:w="1489" w:type="dxa"/>
                  <w:vAlign w:val="center"/>
                </w:tcPr>
                <w:p>
                  <w:pPr>
                    <w:pStyle w:val="30"/>
                    <w:widowControl w:val="0"/>
                    <w:spacing w:line="360" w:lineRule="exact"/>
                    <w:rPr>
                      <w:rFonts w:eastAsiaTheme="minorEastAsia"/>
                      <w:color w:val="auto"/>
                    </w:rPr>
                  </w:pPr>
                  <w:r>
                    <w:rPr>
                      <w:rFonts w:eastAsiaTheme="minorEastAsia"/>
                      <w:color w:val="auto"/>
                    </w:rPr>
                    <w:t>等效连续A声级</w:t>
                  </w:r>
                </w:p>
              </w:tc>
              <w:tc>
                <w:tcPr>
                  <w:tcW w:w="1788" w:type="dxa"/>
                  <w:vAlign w:val="center"/>
                </w:tcPr>
                <w:p>
                  <w:pPr>
                    <w:pStyle w:val="30"/>
                    <w:widowControl w:val="0"/>
                    <w:spacing w:line="360" w:lineRule="exact"/>
                    <w:rPr>
                      <w:rFonts w:eastAsiaTheme="minorEastAsia"/>
                      <w:color w:val="auto"/>
                    </w:rPr>
                  </w:pPr>
                  <w:r>
                    <w:rPr>
                      <w:rFonts w:eastAsiaTheme="minorEastAsia"/>
                      <w:color w:val="auto"/>
                    </w:rPr>
                    <w:t>1次/季</w:t>
                  </w:r>
                </w:p>
              </w:tc>
              <w:tc>
                <w:tcPr>
                  <w:tcW w:w="3653" w:type="dxa"/>
                  <w:vAlign w:val="center"/>
                </w:tcPr>
                <w:p>
                  <w:pPr>
                    <w:pStyle w:val="30"/>
                    <w:widowControl w:val="0"/>
                    <w:spacing w:line="360" w:lineRule="exact"/>
                    <w:ind w:firstLine="210" w:firstLineChars="100"/>
                    <w:jc w:val="both"/>
                    <w:rPr>
                      <w:rFonts w:eastAsiaTheme="minorEastAsia"/>
                      <w:color w:val="auto"/>
                    </w:rPr>
                  </w:pPr>
                  <w:r>
                    <w:rPr>
                      <w:color w:val="auto"/>
                      <w:szCs w:val="21"/>
                    </w:rPr>
                    <w:t>《工业企业厂界环境噪声排放标准》（GB12348-2008）中3类标准</w:t>
                  </w:r>
                </w:p>
              </w:tc>
            </w:tr>
          </w:tbl>
          <w:p>
            <w:pPr>
              <w:spacing w:beforeLines="50"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4.2.4 运营期固体废物环境影响和保护措施</w:t>
            </w:r>
          </w:p>
          <w:p>
            <w:pPr>
              <w:spacing w:line="360" w:lineRule="auto"/>
              <w:ind w:firstLine="361" w:firstLineChars="150"/>
              <w:rPr>
                <w:rFonts w:ascii="Times New Roman" w:hAnsi="Times New Roman" w:cs="Times New Roman"/>
                <w:b/>
                <w:color w:val="auto"/>
                <w:sz w:val="24"/>
              </w:rPr>
            </w:pPr>
            <w:r>
              <w:rPr>
                <w:rFonts w:ascii="Times New Roman" w:hAnsi="Times New Roman" w:cs="Times New Roman"/>
                <w:b/>
                <w:color w:val="auto"/>
                <w:sz w:val="24"/>
              </w:rPr>
              <w:t>（1）固体废物污染源强分析</w:t>
            </w:r>
          </w:p>
          <w:p>
            <w:pPr>
              <w:pStyle w:val="38"/>
              <w:ind w:firstLine="480"/>
              <w:rPr>
                <w:rFonts w:eastAsiaTheme="minorEastAsia"/>
                <w:color w:val="auto"/>
                <w:szCs w:val="24"/>
              </w:rPr>
            </w:pPr>
            <w:r>
              <w:rPr>
                <w:rFonts w:eastAsiaTheme="minorEastAsia"/>
                <w:color w:val="auto"/>
                <w:szCs w:val="24"/>
              </w:rPr>
              <w:t>根据项目技改内容可知，本次项目技改后，废旧冰箱处理线不变，其固体废物污染源不发生变化，空调/小家电/废手机及其视听设备消费电子产品处理线仅为恢复，其固体废物污染源较环评不发生变化，2号废旧电视机（CRT）处理线不变，其固体废物污染源不发生变化；主要变化的是废旧洗衣机处理线和1号废旧电视机（液晶电视）处理线，废旧洗衣机处理线生产线新增6个拆解工位和两台破碎设施，其拆解固体废物产生量发生变化，1号废旧电视机（液晶电视）处理线新增荧光灯管背光模组负压拆解工作台，则增加汞及其化合物处理产生的固体废物废活性炭（吸附汞及其化合物）。其他3条拆解线（废旧冰箱处理线、空调/小家电/废手机及其视听设备消费电子产品处理线、2号废旧电视机（CRT）处理线）固体废物产排情况，详见现有工程核算章节。另外新建设的一体化污水处理设施将新增污泥。具体改变后的废物污染源核算如下：</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①技改后废旧洗衣机处理线固体废物产排情况</w:t>
            </w:r>
          </w:p>
          <w:p>
            <w:pPr>
              <w:pStyle w:val="38"/>
              <w:ind w:firstLine="480"/>
              <w:rPr>
                <w:rFonts w:eastAsiaTheme="minorEastAsia"/>
                <w:color w:val="auto"/>
                <w:szCs w:val="24"/>
              </w:rPr>
            </w:pPr>
            <w:r>
              <w:rPr>
                <w:rFonts w:eastAsiaTheme="minorEastAsia"/>
                <w:color w:val="auto"/>
                <w:szCs w:val="24"/>
              </w:rPr>
              <w:t>根据废旧洗衣机处理线的处理工艺可知，废旧洗衣机处理线废旧洗衣机的处理能力由18万台/a提高至30万台/a，该处理线产生的固体废物为等比例增加，则废旧洗衣机处理线固体废物产生情况具体如下表所示：</w:t>
            </w:r>
          </w:p>
          <w:p>
            <w:pPr>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4.2.4-1 改扩建项目废旧洗衣机处理线固体废物产生及处置情况一览表</w:t>
            </w:r>
          </w:p>
          <w:tbl>
            <w:tblPr>
              <w:tblStyle w:val="20"/>
              <w:tblW w:w="904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82"/>
              <w:gridCol w:w="3187"/>
              <w:gridCol w:w="1882"/>
              <w:gridCol w:w="269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13" w:hRule="atLeast"/>
              </w:trPr>
              <w:tc>
                <w:tcPr>
                  <w:tcW w:w="1282" w:type="dxa"/>
                  <w:vAlign w:val="center"/>
                </w:tcPr>
                <w:p>
                  <w:pPr>
                    <w:pStyle w:val="30"/>
                    <w:spacing w:line="360" w:lineRule="exact"/>
                    <w:rPr>
                      <w:rFonts w:eastAsiaTheme="minorEastAsia"/>
                      <w:color w:val="auto"/>
                      <w:szCs w:val="21"/>
                    </w:rPr>
                  </w:pPr>
                  <w:r>
                    <w:rPr>
                      <w:rFonts w:eastAsiaTheme="minorEastAsia"/>
                      <w:color w:val="auto"/>
                      <w:szCs w:val="21"/>
                    </w:rPr>
                    <w:t>产生环节</w:t>
                  </w:r>
                </w:p>
              </w:tc>
              <w:tc>
                <w:tcPr>
                  <w:tcW w:w="3187" w:type="dxa"/>
                  <w:vAlign w:val="center"/>
                </w:tcPr>
                <w:p>
                  <w:pPr>
                    <w:pStyle w:val="30"/>
                    <w:spacing w:line="360" w:lineRule="exact"/>
                    <w:rPr>
                      <w:rFonts w:eastAsiaTheme="minorEastAsia"/>
                      <w:color w:val="auto"/>
                      <w:szCs w:val="21"/>
                    </w:rPr>
                  </w:pPr>
                  <w:r>
                    <w:rPr>
                      <w:rFonts w:eastAsiaTheme="minorEastAsia"/>
                      <w:color w:val="auto"/>
                      <w:szCs w:val="21"/>
                    </w:rPr>
                    <w:t>固废名称</w:t>
                  </w:r>
                </w:p>
              </w:tc>
              <w:tc>
                <w:tcPr>
                  <w:tcW w:w="1882" w:type="dxa"/>
                  <w:tcBorders>
                    <w:lef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固体废物产生量</w:t>
                  </w:r>
                </w:p>
                <w:p>
                  <w:pPr>
                    <w:pStyle w:val="30"/>
                    <w:spacing w:line="360" w:lineRule="exact"/>
                    <w:rPr>
                      <w:rFonts w:eastAsiaTheme="minorEastAsia"/>
                      <w:color w:val="auto"/>
                      <w:szCs w:val="21"/>
                    </w:rPr>
                  </w:pPr>
                  <w:r>
                    <w:rPr>
                      <w:rFonts w:eastAsiaTheme="minorEastAsia"/>
                      <w:color w:val="auto"/>
                      <w:szCs w:val="21"/>
                    </w:rPr>
                    <w:t>（t/a）</w:t>
                  </w:r>
                </w:p>
              </w:tc>
              <w:tc>
                <w:tcPr>
                  <w:tcW w:w="2693" w:type="dxa"/>
                  <w:vAlign w:val="center"/>
                </w:tcPr>
                <w:p>
                  <w:pPr>
                    <w:pStyle w:val="30"/>
                    <w:spacing w:line="360" w:lineRule="exact"/>
                    <w:rPr>
                      <w:rFonts w:eastAsiaTheme="minorEastAsia"/>
                      <w:color w:val="auto"/>
                      <w:szCs w:val="21"/>
                    </w:rPr>
                  </w:pPr>
                  <w:r>
                    <w:rPr>
                      <w:rFonts w:eastAsiaTheme="minorEastAsia"/>
                      <w:color w:val="auto"/>
                      <w:szCs w:val="21"/>
                    </w:rPr>
                    <w:t>固废属性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82" w:type="dxa"/>
                  <w:vMerge w:val="restart"/>
                  <w:vAlign w:val="center"/>
                </w:tcPr>
                <w:p>
                  <w:pPr>
                    <w:pStyle w:val="30"/>
                    <w:spacing w:line="360" w:lineRule="exact"/>
                    <w:rPr>
                      <w:rFonts w:eastAsiaTheme="minorEastAsia"/>
                      <w:color w:val="auto"/>
                      <w:szCs w:val="21"/>
                    </w:rPr>
                  </w:pPr>
                  <w:r>
                    <w:rPr>
                      <w:rFonts w:eastAsiaTheme="minorEastAsia"/>
                      <w:color w:val="auto"/>
                      <w:szCs w:val="21"/>
                    </w:rPr>
                    <w:t>废旧洗衣机处理线</w:t>
                  </w:r>
                </w:p>
              </w:tc>
              <w:tc>
                <w:tcPr>
                  <w:tcW w:w="3187" w:type="dxa"/>
                  <w:vAlign w:val="center"/>
                </w:tcPr>
                <w:p>
                  <w:pPr>
                    <w:pStyle w:val="30"/>
                    <w:spacing w:line="360" w:lineRule="exact"/>
                    <w:rPr>
                      <w:rFonts w:eastAsiaTheme="minorEastAsia"/>
                      <w:color w:val="auto"/>
                      <w:szCs w:val="21"/>
                    </w:rPr>
                  </w:pPr>
                  <w:r>
                    <w:rPr>
                      <w:rFonts w:eastAsiaTheme="minorEastAsia"/>
                      <w:color w:val="auto"/>
                      <w:szCs w:val="21"/>
                    </w:rPr>
                    <w:t>废塑料</w:t>
                  </w:r>
                </w:p>
              </w:tc>
              <w:tc>
                <w:tcPr>
                  <w:tcW w:w="1882" w:type="dxa"/>
                  <w:vAlign w:val="center"/>
                </w:tcPr>
                <w:p>
                  <w:pPr>
                    <w:pStyle w:val="30"/>
                    <w:spacing w:line="360" w:lineRule="exact"/>
                    <w:rPr>
                      <w:rFonts w:eastAsiaTheme="minorEastAsia"/>
                      <w:color w:val="auto"/>
                      <w:szCs w:val="21"/>
                    </w:rPr>
                  </w:pPr>
                  <w:r>
                    <w:rPr>
                      <w:rFonts w:eastAsiaTheme="minorEastAsia"/>
                      <w:color w:val="auto"/>
                      <w:szCs w:val="21"/>
                    </w:rPr>
                    <w:t>6416.67</w:t>
                  </w:r>
                </w:p>
              </w:tc>
              <w:tc>
                <w:tcPr>
                  <w:tcW w:w="2693"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82" w:type="dxa"/>
                  <w:vMerge w:val="continue"/>
                  <w:vAlign w:val="center"/>
                </w:tcPr>
                <w:p>
                  <w:pPr>
                    <w:pStyle w:val="30"/>
                    <w:spacing w:line="360" w:lineRule="exact"/>
                    <w:rPr>
                      <w:rFonts w:eastAsiaTheme="minorEastAsia"/>
                      <w:color w:val="auto"/>
                      <w:szCs w:val="21"/>
                    </w:rPr>
                  </w:pPr>
                </w:p>
              </w:tc>
              <w:tc>
                <w:tcPr>
                  <w:tcW w:w="3187" w:type="dxa"/>
                  <w:vAlign w:val="center"/>
                </w:tcPr>
                <w:p>
                  <w:pPr>
                    <w:pStyle w:val="30"/>
                    <w:spacing w:line="360" w:lineRule="exact"/>
                    <w:rPr>
                      <w:rFonts w:eastAsiaTheme="minorEastAsia"/>
                      <w:color w:val="auto"/>
                      <w:szCs w:val="21"/>
                    </w:rPr>
                  </w:pPr>
                  <w:r>
                    <w:rPr>
                      <w:rFonts w:eastAsiaTheme="minorEastAsia"/>
                      <w:color w:val="auto"/>
                      <w:szCs w:val="21"/>
                    </w:rPr>
                    <w:t>废旧有色金属（铜/铝等）</w:t>
                  </w:r>
                </w:p>
              </w:tc>
              <w:tc>
                <w:tcPr>
                  <w:tcW w:w="1882" w:type="dxa"/>
                  <w:vAlign w:val="center"/>
                </w:tcPr>
                <w:p>
                  <w:pPr>
                    <w:pStyle w:val="30"/>
                    <w:spacing w:line="360" w:lineRule="exact"/>
                    <w:rPr>
                      <w:rFonts w:eastAsiaTheme="minorEastAsia"/>
                      <w:color w:val="auto"/>
                      <w:szCs w:val="21"/>
                    </w:rPr>
                  </w:pPr>
                  <w:r>
                    <w:rPr>
                      <w:rFonts w:eastAsiaTheme="minorEastAsia"/>
                      <w:color w:val="auto"/>
                      <w:szCs w:val="21"/>
                    </w:rPr>
                    <w:t>873.33</w:t>
                  </w:r>
                </w:p>
              </w:tc>
              <w:tc>
                <w:tcPr>
                  <w:tcW w:w="2693"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82" w:type="dxa"/>
                  <w:vMerge w:val="continue"/>
                  <w:vAlign w:val="center"/>
                </w:tcPr>
                <w:p>
                  <w:pPr>
                    <w:pStyle w:val="30"/>
                    <w:spacing w:line="360" w:lineRule="exact"/>
                    <w:rPr>
                      <w:rFonts w:eastAsiaTheme="minorEastAsia"/>
                      <w:color w:val="auto"/>
                      <w:szCs w:val="21"/>
                    </w:rPr>
                  </w:pPr>
                </w:p>
              </w:tc>
              <w:tc>
                <w:tcPr>
                  <w:tcW w:w="3187" w:type="dxa"/>
                  <w:vAlign w:val="center"/>
                </w:tcPr>
                <w:p>
                  <w:pPr>
                    <w:pStyle w:val="30"/>
                    <w:spacing w:line="360" w:lineRule="exact"/>
                    <w:rPr>
                      <w:rFonts w:eastAsiaTheme="minorEastAsia"/>
                      <w:color w:val="auto"/>
                      <w:szCs w:val="21"/>
                    </w:rPr>
                  </w:pPr>
                  <w:r>
                    <w:rPr>
                      <w:rFonts w:eastAsiaTheme="minorEastAsia"/>
                      <w:color w:val="auto"/>
                      <w:szCs w:val="21"/>
                    </w:rPr>
                    <w:t>废钢/铁</w:t>
                  </w:r>
                </w:p>
              </w:tc>
              <w:tc>
                <w:tcPr>
                  <w:tcW w:w="1882" w:type="dxa"/>
                  <w:vAlign w:val="center"/>
                </w:tcPr>
                <w:p>
                  <w:pPr>
                    <w:pStyle w:val="30"/>
                    <w:spacing w:line="360" w:lineRule="exact"/>
                    <w:rPr>
                      <w:rFonts w:eastAsiaTheme="minorEastAsia"/>
                      <w:color w:val="auto"/>
                      <w:szCs w:val="21"/>
                    </w:rPr>
                  </w:pPr>
                  <w:r>
                    <w:rPr>
                      <w:rFonts w:eastAsiaTheme="minorEastAsia"/>
                      <w:color w:val="auto"/>
                      <w:szCs w:val="21"/>
                    </w:rPr>
                    <w:t>13200</w:t>
                  </w:r>
                </w:p>
              </w:tc>
              <w:tc>
                <w:tcPr>
                  <w:tcW w:w="2693"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82" w:type="dxa"/>
                  <w:vMerge w:val="continue"/>
                  <w:vAlign w:val="center"/>
                </w:tcPr>
                <w:p>
                  <w:pPr>
                    <w:pStyle w:val="30"/>
                    <w:spacing w:line="360" w:lineRule="exact"/>
                    <w:rPr>
                      <w:rFonts w:eastAsiaTheme="minorEastAsia"/>
                      <w:color w:val="auto"/>
                      <w:szCs w:val="21"/>
                    </w:rPr>
                  </w:pPr>
                </w:p>
              </w:tc>
              <w:tc>
                <w:tcPr>
                  <w:tcW w:w="3187" w:type="dxa"/>
                  <w:vAlign w:val="center"/>
                </w:tcPr>
                <w:p>
                  <w:pPr>
                    <w:pStyle w:val="30"/>
                    <w:spacing w:line="360" w:lineRule="exact"/>
                    <w:rPr>
                      <w:rFonts w:eastAsiaTheme="minorEastAsia"/>
                      <w:color w:val="auto"/>
                      <w:szCs w:val="21"/>
                    </w:rPr>
                  </w:pPr>
                  <w:r>
                    <w:rPr>
                      <w:rFonts w:eastAsiaTheme="minorEastAsia"/>
                      <w:color w:val="auto"/>
                      <w:szCs w:val="21"/>
                    </w:rPr>
                    <w:t>废电子配件（开关、电容、电源线等）</w:t>
                  </w:r>
                </w:p>
              </w:tc>
              <w:tc>
                <w:tcPr>
                  <w:tcW w:w="1882" w:type="dxa"/>
                  <w:vAlign w:val="center"/>
                </w:tcPr>
                <w:p>
                  <w:pPr>
                    <w:pStyle w:val="30"/>
                    <w:spacing w:line="360" w:lineRule="exact"/>
                    <w:rPr>
                      <w:rFonts w:eastAsiaTheme="minorEastAsia"/>
                      <w:color w:val="auto"/>
                      <w:szCs w:val="21"/>
                    </w:rPr>
                  </w:pPr>
                  <w:r>
                    <w:rPr>
                      <w:rFonts w:eastAsiaTheme="minorEastAsia"/>
                      <w:color w:val="auto"/>
                      <w:szCs w:val="21"/>
                    </w:rPr>
                    <w:t>55.65</w:t>
                  </w:r>
                </w:p>
              </w:tc>
              <w:tc>
                <w:tcPr>
                  <w:tcW w:w="2693"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82" w:type="dxa"/>
                  <w:vMerge w:val="continue"/>
                  <w:vAlign w:val="center"/>
                </w:tcPr>
                <w:p>
                  <w:pPr>
                    <w:pStyle w:val="30"/>
                    <w:spacing w:line="360" w:lineRule="exact"/>
                    <w:rPr>
                      <w:rFonts w:eastAsiaTheme="minorEastAsia"/>
                      <w:color w:val="auto"/>
                      <w:szCs w:val="21"/>
                    </w:rPr>
                  </w:pPr>
                </w:p>
              </w:tc>
              <w:tc>
                <w:tcPr>
                  <w:tcW w:w="3187" w:type="dxa"/>
                  <w:vAlign w:val="center"/>
                </w:tcPr>
                <w:p>
                  <w:pPr>
                    <w:pStyle w:val="30"/>
                    <w:spacing w:line="360" w:lineRule="exact"/>
                    <w:rPr>
                      <w:rFonts w:eastAsiaTheme="minorEastAsia"/>
                      <w:color w:val="auto"/>
                      <w:szCs w:val="21"/>
                    </w:rPr>
                  </w:pPr>
                  <w:r>
                    <w:rPr>
                      <w:rFonts w:eastAsiaTheme="minorEastAsia"/>
                      <w:color w:val="auto"/>
                      <w:szCs w:val="21"/>
                    </w:rPr>
                    <w:t>废电路板</w:t>
                  </w:r>
                </w:p>
              </w:tc>
              <w:tc>
                <w:tcPr>
                  <w:tcW w:w="1882" w:type="dxa"/>
                  <w:vAlign w:val="center"/>
                </w:tcPr>
                <w:p>
                  <w:pPr>
                    <w:pStyle w:val="30"/>
                    <w:spacing w:line="360" w:lineRule="exact"/>
                    <w:rPr>
                      <w:rFonts w:eastAsiaTheme="minorEastAsia"/>
                      <w:color w:val="auto"/>
                      <w:szCs w:val="21"/>
                    </w:rPr>
                  </w:pPr>
                  <w:r>
                    <w:rPr>
                      <w:rFonts w:eastAsiaTheme="minorEastAsia"/>
                      <w:color w:val="auto"/>
                      <w:szCs w:val="21"/>
                    </w:rPr>
                    <w:t>480</w:t>
                  </w:r>
                </w:p>
              </w:tc>
              <w:tc>
                <w:tcPr>
                  <w:tcW w:w="2693"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危险废物（危废代码：900-045-49）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82" w:type="dxa"/>
                  <w:vMerge w:val="continue"/>
                  <w:tcBorders>
                    <w:bottom w:val="single" w:color="auto" w:sz="4" w:space="0"/>
                  </w:tcBorders>
                  <w:vAlign w:val="center"/>
                </w:tcPr>
                <w:p>
                  <w:pPr>
                    <w:pStyle w:val="30"/>
                    <w:spacing w:line="360" w:lineRule="exact"/>
                    <w:rPr>
                      <w:rFonts w:eastAsiaTheme="minorEastAsia"/>
                      <w:color w:val="auto"/>
                      <w:szCs w:val="21"/>
                    </w:rPr>
                  </w:pPr>
                </w:p>
              </w:tc>
              <w:tc>
                <w:tcPr>
                  <w:tcW w:w="3187" w:type="dxa"/>
                  <w:vAlign w:val="center"/>
                </w:tcPr>
                <w:p>
                  <w:pPr>
                    <w:pStyle w:val="30"/>
                    <w:spacing w:line="360" w:lineRule="exact"/>
                    <w:rPr>
                      <w:rFonts w:eastAsiaTheme="minorEastAsia"/>
                      <w:color w:val="auto"/>
                      <w:szCs w:val="21"/>
                    </w:rPr>
                  </w:pPr>
                  <w:r>
                    <w:rPr>
                      <w:rFonts w:eastAsiaTheme="minorEastAsia"/>
                      <w:color w:val="auto"/>
                      <w:szCs w:val="21"/>
                    </w:rPr>
                    <w:t>细碎料</w:t>
                  </w:r>
                </w:p>
              </w:tc>
              <w:tc>
                <w:tcPr>
                  <w:tcW w:w="1882" w:type="dxa"/>
                  <w:vAlign w:val="center"/>
                </w:tcPr>
                <w:p>
                  <w:pPr>
                    <w:pStyle w:val="30"/>
                    <w:spacing w:line="360" w:lineRule="exact"/>
                    <w:rPr>
                      <w:rFonts w:eastAsiaTheme="minorEastAsia"/>
                      <w:color w:val="auto"/>
                      <w:szCs w:val="21"/>
                    </w:rPr>
                  </w:pPr>
                  <w:r>
                    <w:rPr>
                      <w:rFonts w:eastAsiaTheme="minorEastAsia"/>
                      <w:color w:val="auto"/>
                      <w:szCs w:val="21"/>
                    </w:rPr>
                    <w:t>780</w:t>
                  </w:r>
                </w:p>
              </w:tc>
              <w:tc>
                <w:tcPr>
                  <w:tcW w:w="2693"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一般工业固体废物</w:t>
                  </w:r>
                </w:p>
              </w:tc>
            </w:tr>
          </w:tbl>
          <w:p>
            <w:pPr>
              <w:spacing w:beforeLines="50"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②技改后1号废旧电视机（液晶电视）处理线固体废物产排情况</w:t>
            </w:r>
          </w:p>
          <w:p>
            <w:pPr>
              <w:spacing w:line="360" w:lineRule="auto"/>
              <w:ind w:firstLine="480" w:firstLineChars="200"/>
              <w:rPr>
                <w:rFonts w:hint="eastAsia" w:ascii="Times New Roman" w:hAnsi="Times New Roman" w:cs="Times New Roman"/>
                <w:color w:val="auto"/>
                <w:sz w:val="24"/>
                <w:szCs w:val="24"/>
              </w:rPr>
            </w:pPr>
            <w:r>
              <w:rPr>
                <w:rFonts w:ascii="Times New Roman" w:hAnsi="Times New Roman" w:cs="Times New Roman"/>
                <w:color w:val="auto"/>
                <w:sz w:val="24"/>
                <w:szCs w:val="24"/>
              </w:rPr>
              <w:t>技改项目1号废旧电视机（液晶电视）处理线新增荧光灯管背光模组负压拆解工作台，若含汞灯管破碎汞溢出，汞及其化合物经负压系统全部收集后，通过1套去除效率不低于80%的汞及其化合物处理装置（采用UV光氧裂解+载硫活性炭吸附）对其进行处理，则会产生汞及其化合物处理产生的固体废物废活性炭（吸附汞及其化合物）；根据《国家危险废物名录》（2021版），其属性见下表。</w:t>
            </w:r>
          </w:p>
          <w:p>
            <w:pPr>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表4.2.4-2  国家危险废物名录（2021年）（摘抄）</w:t>
            </w:r>
          </w:p>
          <w:tbl>
            <w:tblPr>
              <w:tblStyle w:val="19"/>
              <w:tblW w:w="90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1351"/>
              <w:gridCol w:w="852"/>
              <w:gridCol w:w="1275"/>
              <w:gridCol w:w="3543"/>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83" w:type="dxa"/>
                  <w:vAlign w:val="center"/>
                </w:tcPr>
                <w:p>
                  <w:pPr>
                    <w:pStyle w:val="30"/>
                    <w:spacing w:line="360" w:lineRule="exact"/>
                    <w:rPr>
                      <w:color w:val="auto"/>
                      <w:szCs w:val="21"/>
                    </w:rPr>
                  </w:pPr>
                  <w:r>
                    <w:rPr>
                      <w:color w:val="auto"/>
                      <w:szCs w:val="21"/>
                    </w:rPr>
                    <w:t>项目危废</w:t>
                  </w:r>
                </w:p>
              </w:tc>
              <w:tc>
                <w:tcPr>
                  <w:tcW w:w="1351" w:type="dxa"/>
                  <w:vAlign w:val="center"/>
                </w:tcPr>
                <w:p>
                  <w:pPr>
                    <w:pStyle w:val="30"/>
                    <w:spacing w:line="360" w:lineRule="exact"/>
                    <w:rPr>
                      <w:color w:val="auto"/>
                      <w:szCs w:val="21"/>
                    </w:rPr>
                  </w:pPr>
                  <w:r>
                    <w:rPr>
                      <w:color w:val="auto"/>
                      <w:szCs w:val="21"/>
                    </w:rPr>
                    <w:t>废物类别</w:t>
                  </w:r>
                </w:p>
              </w:tc>
              <w:tc>
                <w:tcPr>
                  <w:tcW w:w="852" w:type="dxa"/>
                  <w:vAlign w:val="center"/>
                </w:tcPr>
                <w:p>
                  <w:pPr>
                    <w:pStyle w:val="30"/>
                    <w:spacing w:line="360" w:lineRule="exact"/>
                    <w:rPr>
                      <w:color w:val="auto"/>
                      <w:szCs w:val="21"/>
                    </w:rPr>
                  </w:pPr>
                  <w:r>
                    <w:rPr>
                      <w:color w:val="auto"/>
                      <w:szCs w:val="21"/>
                    </w:rPr>
                    <w:t>行业来源</w:t>
                  </w:r>
                </w:p>
              </w:tc>
              <w:tc>
                <w:tcPr>
                  <w:tcW w:w="1275" w:type="dxa"/>
                  <w:vAlign w:val="center"/>
                </w:tcPr>
                <w:p>
                  <w:pPr>
                    <w:pStyle w:val="30"/>
                    <w:spacing w:line="360" w:lineRule="exact"/>
                    <w:rPr>
                      <w:color w:val="auto"/>
                      <w:szCs w:val="21"/>
                    </w:rPr>
                  </w:pPr>
                  <w:r>
                    <w:rPr>
                      <w:color w:val="auto"/>
                      <w:szCs w:val="21"/>
                    </w:rPr>
                    <w:t>废物代码</w:t>
                  </w:r>
                </w:p>
              </w:tc>
              <w:tc>
                <w:tcPr>
                  <w:tcW w:w="3543" w:type="dxa"/>
                  <w:vAlign w:val="center"/>
                </w:tcPr>
                <w:p>
                  <w:pPr>
                    <w:pStyle w:val="30"/>
                    <w:spacing w:line="360" w:lineRule="exact"/>
                    <w:rPr>
                      <w:color w:val="auto"/>
                      <w:szCs w:val="21"/>
                    </w:rPr>
                  </w:pPr>
                  <w:r>
                    <w:rPr>
                      <w:color w:val="auto"/>
                      <w:szCs w:val="21"/>
                    </w:rPr>
                    <w:t>危险废物</w:t>
                  </w:r>
                </w:p>
              </w:tc>
              <w:tc>
                <w:tcPr>
                  <w:tcW w:w="740" w:type="dxa"/>
                  <w:vAlign w:val="center"/>
                </w:tcPr>
                <w:p>
                  <w:pPr>
                    <w:pStyle w:val="30"/>
                    <w:spacing w:line="360" w:lineRule="exact"/>
                    <w:rPr>
                      <w:color w:val="auto"/>
                      <w:szCs w:val="21"/>
                    </w:rPr>
                  </w:pPr>
                  <w:r>
                    <w:rPr>
                      <w:color w:val="auto"/>
                      <w:szCs w:val="21"/>
                    </w:rPr>
                    <w:t>危险特征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83" w:type="dxa"/>
                  <w:vAlign w:val="center"/>
                </w:tcPr>
                <w:p>
                  <w:pPr>
                    <w:pStyle w:val="30"/>
                    <w:spacing w:line="360" w:lineRule="exact"/>
                    <w:rPr>
                      <w:color w:val="auto"/>
                      <w:szCs w:val="21"/>
                    </w:rPr>
                  </w:pPr>
                  <w:r>
                    <w:rPr>
                      <w:rFonts w:eastAsiaTheme="minorEastAsia"/>
                      <w:color w:val="auto"/>
                      <w:szCs w:val="21"/>
                    </w:rPr>
                    <w:t>废活性炭（吸附汞及其化合物）</w:t>
                  </w:r>
                </w:p>
              </w:tc>
              <w:tc>
                <w:tcPr>
                  <w:tcW w:w="1351" w:type="dxa"/>
                  <w:vAlign w:val="center"/>
                </w:tcPr>
                <w:p>
                  <w:pPr>
                    <w:pStyle w:val="30"/>
                    <w:spacing w:line="360" w:lineRule="exact"/>
                    <w:rPr>
                      <w:color w:val="auto"/>
                      <w:szCs w:val="21"/>
                    </w:rPr>
                  </w:pPr>
                  <w:r>
                    <w:rPr>
                      <w:color w:val="auto"/>
                      <w:szCs w:val="21"/>
                    </w:rPr>
                    <w:t>HW29 含汞废物</w:t>
                  </w:r>
                </w:p>
              </w:tc>
              <w:tc>
                <w:tcPr>
                  <w:tcW w:w="852" w:type="dxa"/>
                  <w:vAlign w:val="center"/>
                </w:tcPr>
                <w:p>
                  <w:pPr>
                    <w:pStyle w:val="30"/>
                    <w:spacing w:line="360" w:lineRule="exact"/>
                    <w:rPr>
                      <w:color w:val="auto"/>
                      <w:szCs w:val="21"/>
                    </w:rPr>
                  </w:pPr>
                  <w:r>
                    <w:rPr>
                      <w:color w:val="auto"/>
                      <w:szCs w:val="21"/>
                    </w:rPr>
                    <w:t>非特定行业</w:t>
                  </w:r>
                </w:p>
              </w:tc>
              <w:tc>
                <w:tcPr>
                  <w:tcW w:w="1275" w:type="dxa"/>
                  <w:vAlign w:val="center"/>
                </w:tcPr>
                <w:p>
                  <w:pPr>
                    <w:pStyle w:val="30"/>
                    <w:spacing w:line="360" w:lineRule="exact"/>
                    <w:rPr>
                      <w:color w:val="auto"/>
                      <w:szCs w:val="21"/>
                    </w:rPr>
                  </w:pPr>
                  <w:r>
                    <w:rPr>
                      <w:color w:val="auto"/>
                      <w:szCs w:val="21"/>
                    </w:rPr>
                    <w:t>900-023-29</w:t>
                  </w:r>
                </w:p>
              </w:tc>
              <w:tc>
                <w:tcPr>
                  <w:tcW w:w="3543" w:type="dxa"/>
                  <w:vAlign w:val="center"/>
                </w:tcPr>
                <w:p>
                  <w:pPr>
                    <w:pStyle w:val="30"/>
                    <w:spacing w:line="360" w:lineRule="exact"/>
                    <w:ind w:firstLine="210" w:firstLineChars="100"/>
                    <w:jc w:val="both"/>
                    <w:rPr>
                      <w:color w:val="auto"/>
                      <w:szCs w:val="21"/>
                    </w:rPr>
                  </w:pPr>
                  <w:r>
                    <w:rPr>
                      <w:color w:val="auto"/>
                      <w:szCs w:val="21"/>
                    </w:rPr>
                    <w:t>生产、销售及使用过程中产生的废含汞荧光灯管及其他废含汞电光源，及废弃含汞电光源处理处置过程中产生的废荧光粉、废活性炭和废水处理污泥</w:t>
                  </w:r>
                </w:p>
              </w:tc>
              <w:tc>
                <w:tcPr>
                  <w:tcW w:w="740" w:type="dxa"/>
                  <w:vAlign w:val="center"/>
                </w:tcPr>
                <w:p>
                  <w:pPr>
                    <w:pStyle w:val="30"/>
                    <w:spacing w:line="360" w:lineRule="exact"/>
                    <w:rPr>
                      <w:color w:val="auto"/>
                      <w:kern w:val="0"/>
                      <w:szCs w:val="21"/>
                    </w:rPr>
                  </w:pPr>
                  <w:r>
                    <w:rPr>
                      <w:color w:val="auto"/>
                      <w:kern w:val="0"/>
                      <w:szCs w:val="21"/>
                    </w:rPr>
                    <w:t>T</w:t>
                  </w:r>
                </w:p>
              </w:tc>
            </w:tr>
          </w:tbl>
          <w:p>
            <w:pPr>
              <w:spacing w:beforeLines="50"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根据项目情况，废活性炭（吸附汞及其化合物）产生量主要取决于员工实际操作，根据设计，废活性炭（吸附汞及其化合物）产生量约为0.002t/a，拟暂存于1#危险废物贮存间，并委托</w:t>
            </w:r>
            <w:r>
              <w:rPr>
                <w:rFonts w:hint="eastAsia" w:ascii="Times New Roman" w:hAnsi="Times New Roman" w:cs="Times New Roman"/>
                <w:color w:val="auto"/>
                <w:sz w:val="24"/>
                <w:szCs w:val="24"/>
              </w:rPr>
              <w:t>云南大地丰源环保有限公司</w:t>
            </w:r>
            <w:r>
              <w:rPr>
                <w:rFonts w:ascii="Times New Roman" w:hAnsi="Times New Roman" w:cs="Times New Roman"/>
                <w:color w:val="auto"/>
                <w:sz w:val="24"/>
                <w:szCs w:val="24"/>
              </w:rPr>
              <w:t>处置。</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1号废旧电视机（液晶电视）处理线其他种类固体废物产生量不发生变化，详见现有工程核算章节。</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③污水处理设施污泥</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根据项目特点可知，项目一体化污水处理设施在处理废水的过程中，将产生一定的污泥，污泥主要来源于SS和BOD</w:t>
            </w:r>
            <w:r>
              <w:rPr>
                <w:rFonts w:ascii="Times New Roman" w:hAnsi="Times New Roman" w:cs="Times New Roman"/>
                <w:color w:val="auto"/>
                <w:sz w:val="24"/>
                <w:szCs w:val="24"/>
                <w:vertAlign w:val="subscript"/>
              </w:rPr>
              <w:t>5</w:t>
            </w:r>
            <w:r>
              <w:rPr>
                <w:rFonts w:ascii="Times New Roman" w:hAnsi="Times New Roman" w:cs="Times New Roman"/>
                <w:color w:val="auto"/>
                <w:sz w:val="24"/>
                <w:szCs w:val="24"/>
              </w:rPr>
              <w:t>的去除，SS消减量为0.2t/a，BOD</w:t>
            </w:r>
            <w:r>
              <w:rPr>
                <w:rFonts w:ascii="Times New Roman" w:hAnsi="Times New Roman" w:cs="Times New Roman"/>
                <w:color w:val="auto"/>
                <w:sz w:val="24"/>
                <w:szCs w:val="24"/>
                <w:vertAlign w:val="subscript"/>
              </w:rPr>
              <w:t>5</w:t>
            </w:r>
            <w:r>
              <w:rPr>
                <w:rFonts w:ascii="Times New Roman" w:hAnsi="Times New Roman" w:cs="Times New Roman"/>
                <w:color w:val="auto"/>
                <w:sz w:val="24"/>
                <w:szCs w:val="24"/>
              </w:rPr>
              <w:t>消减量为0.27t/a，以每去除1kgBOD</w:t>
            </w:r>
            <w:r>
              <w:rPr>
                <w:rFonts w:ascii="Times New Roman" w:hAnsi="Times New Roman" w:cs="Times New Roman"/>
                <w:color w:val="auto"/>
                <w:sz w:val="24"/>
                <w:szCs w:val="24"/>
                <w:vertAlign w:val="subscript"/>
              </w:rPr>
              <w:t>5</w:t>
            </w:r>
            <w:r>
              <w:rPr>
                <w:rFonts w:ascii="Times New Roman" w:hAnsi="Times New Roman" w:cs="Times New Roman"/>
                <w:color w:val="auto"/>
                <w:sz w:val="24"/>
                <w:szCs w:val="24"/>
              </w:rPr>
              <w:t>产生污泥0.8kg和去除1kgSS产生污泥1kg计，则预计污泥产生量为0.42t/a。委托环卫部门清运处理，其处置率为100%。</w:t>
            </w:r>
          </w:p>
          <w:p>
            <w:pPr>
              <w:spacing w:line="360" w:lineRule="auto"/>
              <w:ind w:firstLine="361" w:firstLineChars="150"/>
              <w:rPr>
                <w:rFonts w:ascii="Times New Roman" w:hAnsi="Times New Roman" w:cs="Times New Roman"/>
                <w:b/>
                <w:color w:val="auto"/>
                <w:sz w:val="24"/>
              </w:rPr>
            </w:pPr>
            <w:r>
              <w:rPr>
                <w:rFonts w:ascii="Times New Roman" w:hAnsi="Times New Roman" w:cs="Times New Roman"/>
                <w:b/>
                <w:color w:val="auto"/>
                <w:sz w:val="24"/>
              </w:rPr>
              <w:t>（2）固体废物环境影响和保护措施分析</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根据项目现有工程和技改工程产污环节和固体废物污染源强核算可知，项目产生的固体废物，其环境影响和保护措施分析具体如下：</w:t>
            </w:r>
          </w:p>
          <w:p>
            <w:pPr>
              <w:pStyle w:val="32"/>
              <w:spacing w:beforeLines="0"/>
              <w:rPr>
                <w:rFonts w:hAnsi="Times New Roman" w:eastAsiaTheme="minorEastAsia"/>
                <w:color w:val="auto"/>
                <w:sz w:val="21"/>
                <w:szCs w:val="21"/>
              </w:rPr>
            </w:pPr>
            <w:r>
              <w:rPr>
                <w:rFonts w:hAnsi="Times New Roman" w:eastAsiaTheme="minorEastAsia"/>
                <w:color w:val="auto"/>
                <w:sz w:val="21"/>
                <w:szCs w:val="21"/>
              </w:rPr>
              <w:t>表4.2.4-3  技改后固体废物环境影响和保护措施分析一览表</w:t>
            </w:r>
          </w:p>
          <w:tbl>
            <w:tblPr>
              <w:tblStyle w:val="20"/>
              <w:tblW w:w="904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08"/>
              <w:gridCol w:w="992"/>
              <w:gridCol w:w="851"/>
              <w:gridCol w:w="709"/>
              <w:gridCol w:w="1701"/>
              <w:gridCol w:w="3260"/>
              <w:gridCol w:w="102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08" w:type="dxa"/>
                  <w:vAlign w:val="center"/>
                </w:tcPr>
                <w:p>
                  <w:pPr>
                    <w:pStyle w:val="30"/>
                    <w:spacing w:line="360" w:lineRule="exact"/>
                    <w:rPr>
                      <w:color w:val="auto"/>
                      <w:szCs w:val="21"/>
                    </w:rPr>
                  </w:pPr>
                  <w:r>
                    <w:rPr>
                      <w:color w:val="auto"/>
                      <w:szCs w:val="21"/>
                    </w:rPr>
                    <w:t>序号</w:t>
                  </w:r>
                </w:p>
              </w:tc>
              <w:tc>
                <w:tcPr>
                  <w:tcW w:w="992" w:type="dxa"/>
                  <w:vAlign w:val="center"/>
                </w:tcPr>
                <w:p>
                  <w:pPr>
                    <w:pStyle w:val="30"/>
                    <w:spacing w:line="360" w:lineRule="exact"/>
                    <w:rPr>
                      <w:color w:val="auto"/>
                      <w:szCs w:val="21"/>
                    </w:rPr>
                  </w:pPr>
                  <w:r>
                    <w:rPr>
                      <w:color w:val="auto"/>
                      <w:szCs w:val="21"/>
                    </w:rPr>
                    <w:t>名称</w:t>
                  </w:r>
                </w:p>
              </w:tc>
              <w:tc>
                <w:tcPr>
                  <w:tcW w:w="851" w:type="dxa"/>
                  <w:vAlign w:val="center"/>
                </w:tcPr>
                <w:p>
                  <w:pPr>
                    <w:pStyle w:val="30"/>
                    <w:spacing w:line="360" w:lineRule="exact"/>
                    <w:rPr>
                      <w:color w:val="auto"/>
                      <w:szCs w:val="21"/>
                    </w:rPr>
                  </w:pPr>
                  <w:r>
                    <w:rPr>
                      <w:color w:val="auto"/>
                      <w:szCs w:val="21"/>
                    </w:rPr>
                    <w:t>产生量t/a</w:t>
                  </w:r>
                </w:p>
              </w:tc>
              <w:tc>
                <w:tcPr>
                  <w:tcW w:w="709" w:type="dxa"/>
                  <w:vAlign w:val="center"/>
                </w:tcPr>
                <w:p>
                  <w:pPr>
                    <w:pStyle w:val="30"/>
                    <w:spacing w:line="360" w:lineRule="exact"/>
                    <w:rPr>
                      <w:color w:val="auto"/>
                      <w:szCs w:val="21"/>
                    </w:rPr>
                  </w:pPr>
                  <w:r>
                    <w:rPr>
                      <w:color w:val="auto"/>
                      <w:szCs w:val="21"/>
                    </w:rPr>
                    <w:t>属性</w:t>
                  </w:r>
                </w:p>
              </w:tc>
              <w:tc>
                <w:tcPr>
                  <w:tcW w:w="1701" w:type="dxa"/>
                  <w:vAlign w:val="center"/>
                </w:tcPr>
                <w:p>
                  <w:pPr>
                    <w:pStyle w:val="30"/>
                    <w:spacing w:line="360" w:lineRule="exact"/>
                    <w:rPr>
                      <w:color w:val="auto"/>
                      <w:szCs w:val="21"/>
                    </w:rPr>
                  </w:pPr>
                  <w:r>
                    <w:rPr>
                      <w:color w:val="auto"/>
                      <w:szCs w:val="21"/>
                    </w:rPr>
                    <w:t>贮存方式</w:t>
                  </w:r>
                </w:p>
              </w:tc>
              <w:tc>
                <w:tcPr>
                  <w:tcW w:w="3260" w:type="dxa"/>
                  <w:vAlign w:val="center"/>
                </w:tcPr>
                <w:p>
                  <w:pPr>
                    <w:pStyle w:val="30"/>
                    <w:spacing w:line="360" w:lineRule="exact"/>
                    <w:rPr>
                      <w:color w:val="auto"/>
                      <w:szCs w:val="21"/>
                    </w:rPr>
                  </w:pPr>
                  <w:r>
                    <w:rPr>
                      <w:color w:val="auto"/>
                      <w:szCs w:val="21"/>
                    </w:rPr>
                    <w:t>利用处置方式和去向</w:t>
                  </w:r>
                </w:p>
              </w:tc>
              <w:tc>
                <w:tcPr>
                  <w:tcW w:w="1023" w:type="dxa"/>
                  <w:vAlign w:val="center"/>
                </w:tcPr>
                <w:p>
                  <w:pPr>
                    <w:pStyle w:val="30"/>
                    <w:spacing w:line="360" w:lineRule="exact"/>
                    <w:rPr>
                      <w:color w:val="auto"/>
                      <w:szCs w:val="21"/>
                    </w:rPr>
                  </w:pPr>
                  <w:r>
                    <w:rPr>
                      <w:color w:val="auto"/>
                      <w:szCs w:val="21"/>
                    </w:rPr>
                    <w:t>利用或处置量t/a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08" w:type="dxa"/>
                  <w:vAlign w:val="center"/>
                </w:tcPr>
                <w:p>
                  <w:pPr>
                    <w:pStyle w:val="30"/>
                    <w:spacing w:line="360" w:lineRule="exact"/>
                    <w:rPr>
                      <w:color w:val="auto"/>
                      <w:szCs w:val="21"/>
                    </w:rPr>
                  </w:pPr>
                  <w:r>
                    <w:rPr>
                      <w:color w:val="auto"/>
                      <w:szCs w:val="21"/>
                    </w:rPr>
                    <w:t>1</w:t>
                  </w:r>
                </w:p>
              </w:tc>
              <w:tc>
                <w:tcPr>
                  <w:tcW w:w="992" w:type="dxa"/>
                  <w:vAlign w:val="center"/>
                </w:tcPr>
                <w:p>
                  <w:pPr>
                    <w:pStyle w:val="30"/>
                    <w:spacing w:line="360" w:lineRule="exact"/>
                    <w:rPr>
                      <w:color w:val="auto"/>
                      <w:szCs w:val="21"/>
                    </w:rPr>
                  </w:pPr>
                  <w:r>
                    <w:rPr>
                      <w:color w:val="auto"/>
                      <w:szCs w:val="21"/>
                    </w:rPr>
                    <w:t>废塑料</w:t>
                  </w:r>
                </w:p>
              </w:tc>
              <w:tc>
                <w:tcPr>
                  <w:tcW w:w="851"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11580.51</w:t>
                  </w:r>
                </w:p>
              </w:tc>
              <w:tc>
                <w:tcPr>
                  <w:tcW w:w="709" w:type="dxa"/>
                  <w:vAlign w:val="center"/>
                </w:tcPr>
                <w:p>
                  <w:pPr>
                    <w:pStyle w:val="30"/>
                    <w:spacing w:line="360" w:lineRule="exact"/>
                    <w:rPr>
                      <w:color w:val="auto"/>
                      <w:szCs w:val="21"/>
                    </w:rPr>
                  </w:pPr>
                  <w:r>
                    <w:rPr>
                      <w:color w:val="auto"/>
                      <w:szCs w:val="21"/>
                    </w:rPr>
                    <w:t>一般固废</w:t>
                  </w:r>
                </w:p>
              </w:tc>
              <w:tc>
                <w:tcPr>
                  <w:tcW w:w="1701" w:type="dxa"/>
                  <w:vAlign w:val="center"/>
                </w:tcPr>
                <w:p>
                  <w:pPr>
                    <w:pStyle w:val="30"/>
                    <w:spacing w:line="360" w:lineRule="exact"/>
                    <w:ind w:firstLine="210" w:firstLineChars="100"/>
                    <w:jc w:val="left"/>
                    <w:rPr>
                      <w:color w:val="auto"/>
                      <w:szCs w:val="21"/>
                    </w:rPr>
                  </w:pPr>
                  <w:r>
                    <w:rPr>
                      <w:color w:val="auto"/>
                      <w:szCs w:val="21"/>
                    </w:rPr>
                    <w:t>暂存于塑料暂存区</w:t>
                  </w:r>
                </w:p>
              </w:tc>
              <w:tc>
                <w:tcPr>
                  <w:tcW w:w="3260" w:type="dxa"/>
                  <w:vAlign w:val="center"/>
                </w:tcPr>
                <w:p>
                  <w:pPr>
                    <w:pStyle w:val="30"/>
                    <w:spacing w:line="360" w:lineRule="exact"/>
                    <w:ind w:firstLine="210" w:firstLineChars="100"/>
                    <w:jc w:val="left"/>
                    <w:rPr>
                      <w:color w:val="auto"/>
                      <w:szCs w:val="21"/>
                    </w:rPr>
                  </w:pPr>
                  <w:r>
                    <w:rPr>
                      <w:color w:val="auto"/>
                    </w:rPr>
                    <w:t>已和清远市联和再生资源有限公司、云南昆船环保技术有限公司等21家公司签订合同，通过招投标情况决定委托处置单位。</w:t>
                  </w:r>
                </w:p>
              </w:tc>
              <w:tc>
                <w:tcPr>
                  <w:tcW w:w="1023"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11580.51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08" w:type="dxa"/>
                  <w:vAlign w:val="center"/>
                </w:tcPr>
                <w:p>
                  <w:pPr>
                    <w:pStyle w:val="30"/>
                    <w:spacing w:line="360" w:lineRule="exact"/>
                    <w:rPr>
                      <w:color w:val="auto"/>
                      <w:szCs w:val="21"/>
                    </w:rPr>
                  </w:pPr>
                  <w:r>
                    <w:rPr>
                      <w:color w:val="auto"/>
                      <w:szCs w:val="21"/>
                    </w:rPr>
                    <w:t>2</w:t>
                  </w:r>
                </w:p>
              </w:tc>
              <w:tc>
                <w:tcPr>
                  <w:tcW w:w="992" w:type="dxa"/>
                  <w:vAlign w:val="center"/>
                </w:tcPr>
                <w:p>
                  <w:pPr>
                    <w:pStyle w:val="30"/>
                    <w:spacing w:line="360" w:lineRule="exact"/>
                    <w:rPr>
                      <w:color w:val="auto"/>
                      <w:szCs w:val="21"/>
                    </w:rPr>
                  </w:pPr>
                  <w:r>
                    <w:rPr>
                      <w:color w:val="auto"/>
                      <w:szCs w:val="21"/>
                    </w:rPr>
                    <w:t>废旧有色金属（铜/铝等）</w:t>
                  </w:r>
                </w:p>
              </w:tc>
              <w:tc>
                <w:tcPr>
                  <w:tcW w:w="851"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5391.03</w:t>
                  </w:r>
                </w:p>
              </w:tc>
              <w:tc>
                <w:tcPr>
                  <w:tcW w:w="709" w:type="dxa"/>
                  <w:vAlign w:val="center"/>
                </w:tcPr>
                <w:p>
                  <w:pPr>
                    <w:pStyle w:val="30"/>
                    <w:spacing w:line="360" w:lineRule="exact"/>
                    <w:rPr>
                      <w:color w:val="auto"/>
                      <w:szCs w:val="21"/>
                    </w:rPr>
                  </w:pPr>
                  <w:r>
                    <w:rPr>
                      <w:color w:val="auto"/>
                      <w:szCs w:val="21"/>
                    </w:rPr>
                    <w:t>一般固废</w:t>
                  </w:r>
                </w:p>
              </w:tc>
              <w:tc>
                <w:tcPr>
                  <w:tcW w:w="1701" w:type="dxa"/>
                  <w:vAlign w:val="center"/>
                </w:tcPr>
                <w:p>
                  <w:pPr>
                    <w:pStyle w:val="30"/>
                    <w:spacing w:line="360" w:lineRule="exact"/>
                    <w:ind w:firstLine="210" w:firstLineChars="100"/>
                    <w:jc w:val="left"/>
                    <w:rPr>
                      <w:color w:val="auto"/>
                      <w:szCs w:val="21"/>
                    </w:rPr>
                  </w:pPr>
                  <w:r>
                    <w:rPr>
                      <w:color w:val="auto"/>
                      <w:szCs w:val="21"/>
                    </w:rPr>
                    <w:t>暂存于废旧有色金属（铜/铝）暂存区</w:t>
                  </w:r>
                </w:p>
              </w:tc>
              <w:tc>
                <w:tcPr>
                  <w:tcW w:w="3260" w:type="dxa"/>
                  <w:vAlign w:val="center"/>
                </w:tcPr>
                <w:p>
                  <w:pPr>
                    <w:pStyle w:val="30"/>
                    <w:spacing w:line="360" w:lineRule="exact"/>
                    <w:ind w:firstLine="210" w:firstLineChars="100"/>
                    <w:jc w:val="left"/>
                    <w:rPr>
                      <w:color w:val="auto"/>
                      <w:szCs w:val="21"/>
                    </w:rPr>
                  </w:pPr>
                  <w:r>
                    <w:rPr>
                      <w:color w:val="auto"/>
                    </w:rPr>
                    <w:t>已和天津通宜顺金属制品有限公司、曲靖市马龙区巨龙机电制造有限公司等16家公司签订合同，通过招投标情况决定委托处置单位。</w:t>
                  </w:r>
                </w:p>
              </w:tc>
              <w:tc>
                <w:tcPr>
                  <w:tcW w:w="1023"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5391.03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08" w:type="dxa"/>
                  <w:vAlign w:val="center"/>
                </w:tcPr>
                <w:p>
                  <w:pPr>
                    <w:pStyle w:val="30"/>
                    <w:spacing w:line="360" w:lineRule="exact"/>
                    <w:rPr>
                      <w:color w:val="auto"/>
                      <w:szCs w:val="21"/>
                    </w:rPr>
                  </w:pPr>
                  <w:r>
                    <w:rPr>
                      <w:color w:val="auto"/>
                      <w:szCs w:val="21"/>
                    </w:rPr>
                    <w:t>3</w:t>
                  </w:r>
                </w:p>
              </w:tc>
              <w:tc>
                <w:tcPr>
                  <w:tcW w:w="992" w:type="dxa"/>
                  <w:vAlign w:val="center"/>
                </w:tcPr>
                <w:p>
                  <w:pPr>
                    <w:pStyle w:val="30"/>
                    <w:spacing w:line="360" w:lineRule="exact"/>
                    <w:rPr>
                      <w:color w:val="auto"/>
                      <w:szCs w:val="21"/>
                    </w:rPr>
                  </w:pPr>
                  <w:r>
                    <w:rPr>
                      <w:color w:val="auto"/>
                      <w:szCs w:val="21"/>
                    </w:rPr>
                    <w:t>废钢/铁</w:t>
                  </w:r>
                </w:p>
              </w:tc>
              <w:tc>
                <w:tcPr>
                  <w:tcW w:w="851"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30139.77</w:t>
                  </w:r>
                </w:p>
              </w:tc>
              <w:tc>
                <w:tcPr>
                  <w:tcW w:w="709" w:type="dxa"/>
                  <w:vAlign w:val="center"/>
                </w:tcPr>
                <w:p>
                  <w:pPr>
                    <w:pStyle w:val="30"/>
                    <w:spacing w:line="360" w:lineRule="exact"/>
                    <w:rPr>
                      <w:color w:val="auto"/>
                      <w:szCs w:val="21"/>
                    </w:rPr>
                  </w:pPr>
                  <w:r>
                    <w:rPr>
                      <w:color w:val="auto"/>
                      <w:szCs w:val="21"/>
                    </w:rPr>
                    <w:t>一般固废</w:t>
                  </w:r>
                </w:p>
              </w:tc>
              <w:tc>
                <w:tcPr>
                  <w:tcW w:w="1701" w:type="dxa"/>
                  <w:vAlign w:val="center"/>
                </w:tcPr>
                <w:p>
                  <w:pPr>
                    <w:pStyle w:val="30"/>
                    <w:spacing w:line="360" w:lineRule="exact"/>
                    <w:ind w:firstLine="210" w:firstLineChars="100"/>
                    <w:jc w:val="left"/>
                    <w:rPr>
                      <w:color w:val="auto"/>
                      <w:szCs w:val="21"/>
                    </w:rPr>
                  </w:pPr>
                  <w:r>
                    <w:rPr>
                      <w:color w:val="auto"/>
                      <w:szCs w:val="21"/>
                    </w:rPr>
                    <w:t>暂存于钢/铁暂存区</w:t>
                  </w:r>
                </w:p>
              </w:tc>
              <w:tc>
                <w:tcPr>
                  <w:tcW w:w="3260" w:type="dxa"/>
                  <w:vAlign w:val="center"/>
                </w:tcPr>
                <w:p>
                  <w:pPr>
                    <w:pStyle w:val="30"/>
                    <w:spacing w:line="360" w:lineRule="exact"/>
                    <w:ind w:firstLine="210" w:firstLineChars="100"/>
                    <w:jc w:val="left"/>
                    <w:rPr>
                      <w:color w:val="auto"/>
                      <w:szCs w:val="21"/>
                    </w:rPr>
                  </w:pPr>
                  <w:r>
                    <w:rPr>
                      <w:color w:val="auto"/>
                    </w:rPr>
                    <w:t>已和玉溪保家再生资源有限公司、天津凯成发金属制品有限公司、安宁市伟中铸造有限公司签订合同，通过招投标情况决定委托处置单位。</w:t>
                  </w:r>
                </w:p>
              </w:tc>
              <w:tc>
                <w:tcPr>
                  <w:tcW w:w="1023"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30139.77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08" w:type="dxa"/>
                  <w:vAlign w:val="center"/>
                </w:tcPr>
                <w:p>
                  <w:pPr>
                    <w:pStyle w:val="30"/>
                    <w:spacing w:line="360" w:lineRule="exact"/>
                    <w:rPr>
                      <w:color w:val="auto"/>
                      <w:szCs w:val="21"/>
                    </w:rPr>
                  </w:pPr>
                  <w:r>
                    <w:rPr>
                      <w:color w:val="auto"/>
                      <w:szCs w:val="21"/>
                    </w:rPr>
                    <w:t>4</w:t>
                  </w:r>
                </w:p>
              </w:tc>
              <w:tc>
                <w:tcPr>
                  <w:tcW w:w="992" w:type="dxa"/>
                  <w:vAlign w:val="center"/>
                </w:tcPr>
                <w:p>
                  <w:pPr>
                    <w:pStyle w:val="30"/>
                    <w:spacing w:line="360" w:lineRule="exact"/>
                    <w:rPr>
                      <w:color w:val="auto"/>
                      <w:szCs w:val="21"/>
                    </w:rPr>
                  </w:pPr>
                  <w:r>
                    <w:rPr>
                      <w:color w:val="auto"/>
                      <w:szCs w:val="21"/>
                    </w:rPr>
                    <w:t>废玻璃</w:t>
                  </w:r>
                </w:p>
              </w:tc>
              <w:tc>
                <w:tcPr>
                  <w:tcW w:w="851"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4281.98</w:t>
                  </w:r>
                </w:p>
              </w:tc>
              <w:tc>
                <w:tcPr>
                  <w:tcW w:w="709" w:type="dxa"/>
                  <w:vAlign w:val="center"/>
                </w:tcPr>
                <w:p>
                  <w:pPr>
                    <w:pStyle w:val="30"/>
                    <w:spacing w:line="360" w:lineRule="exact"/>
                    <w:rPr>
                      <w:color w:val="auto"/>
                      <w:szCs w:val="21"/>
                    </w:rPr>
                  </w:pPr>
                  <w:r>
                    <w:rPr>
                      <w:color w:val="auto"/>
                      <w:szCs w:val="21"/>
                    </w:rPr>
                    <w:t>一般固废</w:t>
                  </w:r>
                </w:p>
              </w:tc>
              <w:tc>
                <w:tcPr>
                  <w:tcW w:w="1701" w:type="dxa"/>
                  <w:vAlign w:val="center"/>
                </w:tcPr>
                <w:p>
                  <w:pPr>
                    <w:pStyle w:val="30"/>
                    <w:spacing w:line="360" w:lineRule="exact"/>
                    <w:ind w:firstLine="210" w:firstLineChars="100"/>
                    <w:jc w:val="left"/>
                    <w:rPr>
                      <w:color w:val="auto"/>
                      <w:szCs w:val="21"/>
                    </w:rPr>
                  </w:pPr>
                  <w:r>
                    <w:rPr>
                      <w:color w:val="auto"/>
                      <w:szCs w:val="21"/>
                    </w:rPr>
                    <w:t>暂存于废玻璃暂存区</w:t>
                  </w:r>
                </w:p>
              </w:tc>
              <w:tc>
                <w:tcPr>
                  <w:tcW w:w="3260" w:type="dxa"/>
                  <w:vAlign w:val="center"/>
                </w:tcPr>
                <w:p>
                  <w:pPr>
                    <w:pStyle w:val="30"/>
                    <w:spacing w:line="360" w:lineRule="exact"/>
                    <w:ind w:firstLine="210" w:firstLineChars="100"/>
                    <w:jc w:val="left"/>
                    <w:rPr>
                      <w:color w:val="auto"/>
                      <w:szCs w:val="21"/>
                    </w:rPr>
                  </w:pPr>
                  <w:r>
                    <w:rPr>
                      <w:color w:val="auto"/>
                    </w:rPr>
                    <w:t>已和泸州永恒玻璃有限公司、四川省泸州市海纳环保科技有限公司、四川吉晶安新材料科技有限公司签订合同，通过招投标情况决定委托处置单位。</w:t>
                  </w:r>
                </w:p>
              </w:tc>
              <w:tc>
                <w:tcPr>
                  <w:tcW w:w="1023"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4281.98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08" w:type="dxa"/>
                  <w:vAlign w:val="center"/>
                </w:tcPr>
                <w:p>
                  <w:pPr>
                    <w:pStyle w:val="30"/>
                    <w:spacing w:line="360" w:lineRule="exact"/>
                    <w:rPr>
                      <w:color w:val="auto"/>
                      <w:szCs w:val="21"/>
                    </w:rPr>
                  </w:pPr>
                  <w:r>
                    <w:rPr>
                      <w:color w:val="auto"/>
                      <w:szCs w:val="21"/>
                    </w:rPr>
                    <w:t>5</w:t>
                  </w:r>
                </w:p>
              </w:tc>
              <w:tc>
                <w:tcPr>
                  <w:tcW w:w="992" w:type="dxa"/>
                  <w:vAlign w:val="center"/>
                </w:tcPr>
                <w:p>
                  <w:pPr>
                    <w:pStyle w:val="30"/>
                    <w:spacing w:line="360" w:lineRule="exact"/>
                    <w:rPr>
                      <w:color w:val="auto"/>
                      <w:szCs w:val="21"/>
                    </w:rPr>
                  </w:pPr>
                  <w:r>
                    <w:rPr>
                      <w:color w:val="auto"/>
                      <w:szCs w:val="21"/>
                    </w:rPr>
                    <w:t>泡棉</w:t>
                  </w:r>
                </w:p>
              </w:tc>
              <w:tc>
                <w:tcPr>
                  <w:tcW w:w="851"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2625.92</w:t>
                  </w:r>
                </w:p>
              </w:tc>
              <w:tc>
                <w:tcPr>
                  <w:tcW w:w="709" w:type="dxa"/>
                  <w:vAlign w:val="center"/>
                </w:tcPr>
                <w:p>
                  <w:pPr>
                    <w:pStyle w:val="30"/>
                    <w:spacing w:line="360" w:lineRule="exact"/>
                    <w:rPr>
                      <w:color w:val="auto"/>
                      <w:szCs w:val="21"/>
                    </w:rPr>
                  </w:pPr>
                  <w:r>
                    <w:rPr>
                      <w:color w:val="auto"/>
                      <w:szCs w:val="21"/>
                    </w:rPr>
                    <w:t>一般固废</w:t>
                  </w:r>
                </w:p>
              </w:tc>
              <w:tc>
                <w:tcPr>
                  <w:tcW w:w="1701" w:type="dxa"/>
                  <w:vAlign w:val="center"/>
                </w:tcPr>
                <w:p>
                  <w:pPr>
                    <w:pStyle w:val="30"/>
                    <w:spacing w:line="360" w:lineRule="exact"/>
                    <w:ind w:firstLine="210" w:firstLineChars="100"/>
                    <w:jc w:val="left"/>
                    <w:rPr>
                      <w:color w:val="auto"/>
                      <w:szCs w:val="21"/>
                    </w:rPr>
                  </w:pPr>
                  <w:r>
                    <w:rPr>
                      <w:color w:val="auto"/>
                      <w:szCs w:val="21"/>
                    </w:rPr>
                    <w:t>暂存于仓储区</w:t>
                  </w:r>
                </w:p>
              </w:tc>
              <w:tc>
                <w:tcPr>
                  <w:tcW w:w="3260" w:type="dxa"/>
                  <w:vAlign w:val="center"/>
                </w:tcPr>
                <w:p>
                  <w:pPr>
                    <w:pStyle w:val="30"/>
                    <w:spacing w:line="360" w:lineRule="exact"/>
                    <w:ind w:firstLine="210" w:firstLineChars="100"/>
                    <w:jc w:val="left"/>
                    <w:rPr>
                      <w:color w:val="auto"/>
                      <w:szCs w:val="21"/>
                    </w:rPr>
                  </w:pPr>
                  <w:r>
                    <w:rPr>
                      <w:color w:val="auto"/>
                      <w:szCs w:val="21"/>
                    </w:rPr>
                    <w:t>委托昆明涌诺保洁服务有限公司处置</w:t>
                  </w:r>
                </w:p>
              </w:tc>
              <w:tc>
                <w:tcPr>
                  <w:tcW w:w="1023"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2625.92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08" w:type="dxa"/>
                  <w:vAlign w:val="center"/>
                </w:tcPr>
                <w:p>
                  <w:pPr>
                    <w:pStyle w:val="30"/>
                    <w:spacing w:line="360" w:lineRule="exact"/>
                    <w:rPr>
                      <w:color w:val="auto"/>
                      <w:szCs w:val="21"/>
                    </w:rPr>
                  </w:pPr>
                  <w:r>
                    <w:rPr>
                      <w:color w:val="auto"/>
                      <w:szCs w:val="21"/>
                    </w:rPr>
                    <w:t>6</w:t>
                  </w:r>
                </w:p>
              </w:tc>
              <w:tc>
                <w:tcPr>
                  <w:tcW w:w="992" w:type="dxa"/>
                  <w:vAlign w:val="center"/>
                </w:tcPr>
                <w:p>
                  <w:pPr>
                    <w:pStyle w:val="30"/>
                    <w:spacing w:line="360" w:lineRule="exact"/>
                    <w:rPr>
                      <w:color w:val="auto"/>
                      <w:szCs w:val="21"/>
                    </w:rPr>
                  </w:pPr>
                  <w:r>
                    <w:rPr>
                      <w:color w:val="auto"/>
                      <w:szCs w:val="21"/>
                    </w:rPr>
                    <w:t>废电子配件（开关、电容、电源线等）</w:t>
                  </w:r>
                </w:p>
              </w:tc>
              <w:tc>
                <w:tcPr>
                  <w:tcW w:w="851"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680.65</w:t>
                  </w:r>
                </w:p>
              </w:tc>
              <w:tc>
                <w:tcPr>
                  <w:tcW w:w="709" w:type="dxa"/>
                  <w:vAlign w:val="center"/>
                </w:tcPr>
                <w:p>
                  <w:pPr>
                    <w:pStyle w:val="30"/>
                    <w:spacing w:line="360" w:lineRule="exact"/>
                    <w:rPr>
                      <w:color w:val="auto"/>
                      <w:szCs w:val="21"/>
                    </w:rPr>
                  </w:pPr>
                  <w:r>
                    <w:rPr>
                      <w:color w:val="auto"/>
                      <w:szCs w:val="21"/>
                    </w:rPr>
                    <w:t>一般固废</w:t>
                  </w:r>
                </w:p>
              </w:tc>
              <w:tc>
                <w:tcPr>
                  <w:tcW w:w="1701" w:type="dxa"/>
                  <w:vAlign w:val="center"/>
                </w:tcPr>
                <w:p>
                  <w:pPr>
                    <w:pStyle w:val="30"/>
                    <w:spacing w:line="360" w:lineRule="exact"/>
                    <w:ind w:firstLine="210" w:firstLineChars="100"/>
                    <w:jc w:val="left"/>
                    <w:rPr>
                      <w:color w:val="auto"/>
                      <w:szCs w:val="21"/>
                    </w:rPr>
                  </w:pPr>
                  <w:r>
                    <w:rPr>
                      <w:color w:val="auto"/>
                      <w:szCs w:val="21"/>
                    </w:rPr>
                    <w:t>暂存于仓储区</w:t>
                  </w:r>
                </w:p>
              </w:tc>
              <w:tc>
                <w:tcPr>
                  <w:tcW w:w="3260" w:type="dxa"/>
                  <w:vAlign w:val="center"/>
                </w:tcPr>
                <w:p>
                  <w:pPr>
                    <w:pStyle w:val="30"/>
                    <w:spacing w:line="360" w:lineRule="exact"/>
                    <w:ind w:firstLine="210" w:firstLineChars="100"/>
                    <w:jc w:val="left"/>
                    <w:rPr>
                      <w:color w:val="auto"/>
                      <w:szCs w:val="21"/>
                    </w:rPr>
                  </w:pPr>
                  <w:r>
                    <w:rPr>
                      <w:color w:val="auto"/>
                    </w:rPr>
                    <w:t>已和北京国浩贸易有限公司、河南京飞再生资源有限公司签订合同，通过招投标情况决定委托处置单位。</w:t>
                  </w:r>
                </w:p>
              </w:tc>
              <w:tc>
                <w:tcPr>
                  <w:tcW w:w="1023"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680.65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08" w:type="dxa"/>
                  <w:vAlign w:val="center"/>
                </w:tcPr>
                <w:p>
                  <w:pPr>
                    <w:pStyle w:val="30"/>
                    <w:spacing w:line="360" w:lineRule="exact"/>
                    <w:rPr>
                      <w:color w:val="auto"/>
                      <w:szCs w:val="21"/>
                    </w:rPr>
                  </w:pPr>
                  <w:r>
                    <w:rPr>
                      <w:color w:val="auto"/>
                      <w:szCs w:val="21"/>
                    </w:rPr>
                    <w:t>7</w:t>
                  </w:r>
                </w:p>
              </w:tc>
              <w:tc>
                <w:tcPr>
                  <w:tcW w:w="992" w:type="dxa"/>
                  <w:vAlign w:val="center"/>
                </w:tcPr>
                <w:p>
                  <w:pPr>
                    <w:pStyle w:val="30"/>
                    <w:spacing w:line="360" w:lineRule="exact"/>
                    <w:rPr>
                      <w:color w:val="auto"/>
                      <w:szCs w:val="21"/>
                    </w:rPr>
                  </w:pPr>
                  <w:r>
                    <w:rPr>
                      <w:color w:val="auto"/>
                      <w:szCs w:val="21"/>
                    </w:rPr>
                    <w:t>废矿物油</w:t>
                  </w:r>
                </w:p>
              </w:tc>
              <w:tc>
                <w:tcPr>
                  <w:tcW w:w="851"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27.41</w:t>
                  </w:r>
                </w:p>
              </w:tc>
              <w:tc>
                <w:tcPr>
                  <w:tcW w:w="709" w:type="dxa"/>
                  <w:vAlign w:val="center"/>
                </w:tcPr>
                <w:p>
                  <w:pPr>
                    <w:pStyle w:val="30"/>
                    <w:spacing w:line="360" w:lineRule="exact"/>
                    <w:rPr>
                      <w:color w:val="auto"/>
                      <w:szCs w:val="21"/>
                    </w:rPr>
                  </w:pPr>
                  <w:r>
                    <w:rPr>
                      <w:color w:val="auto"/>
                      <w:szCs w:val="21"/>
                    </w:rPr>
                    <w:t>危险废物</w:t>
                  </w:r>
                </w:p>
              </w:tc>
              <w:tc>
                <w:tcPr>
                  <w:tcW w:w="1701" w:type="dxa"/>
                  <w:vAlign w:val="center"/>
                </w:tcPr>
                <w:p>
                  <w:pPr>
                    <w:pStyle w:val="30"/>
                    <w:spacing w:line="360" w:lineRule="exact"/>
                    <w:ind w:firstLine="210" w:firstLineChars="100"/>
                    <w:jc w:val="left"/>
                    <w:rPr>
                      <w:color w:val="auto"/>
                      <w:szCs w:val="21"/>
                    </w:rPr>
                  </w:pPr>
                  <w:r>
                    <w:rPr>
                      <w:color w:val="auto"/>
                      <w:szCs w:val="21"/>
                    </w:rPr>
                    <w:t>暂存于2#危险废物贮存间</w:t>
                  </w:r>
                </w:p>
              </w:tc>
              <w:tc>
                <w:tcPr>
                  <w:tcW w:w="3260" w:type="dxa"/>
                  <w:vAlign w:val="center"/>
                </w:tcPr>
                <w:p>
                  <w:pPr>
                    <w:pStyle w:val="30"/>
                    <w:spacing w:line="360" w:lineRule="exact"/>
                    <w:ind w:firstLine="210" w:firstLineChars="100"/>
                    <w:jc w:val="left"/>
                    <w:rPr>
                      <w:color w:val="auto"/>
                      <w:szCs w:val="21"/>
                    </w:rPr>
                  </w:pPr>
                  <w:r>
                    <w:rPr>
                      <w:color w:val="auto"/>
                      <w:szCs w:val="21"/>
                    </w:rPr>
                    <w:t>委托</w:t>
                  </w:r>
                  <w:r>
                    <w:rPr>
                      <w:color w:val="auto"/>
                    </w:rPr>
                    <w:t>云南圣邦科技有限公司</w:t>
                  </w:r>
                  <w:r>
                    <w:rPr>
                      <w:color w:val="auto"/>
                      <w:szCs w:val="21"/>
                    </w:rPr>
                    <w:t>处置。</w:t>
                  </w:r>
                </w:p>
              </w:tc>
              <w:tc>
                <w:tcPr>
                  <w:tcW w:w="1023"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27.41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08" w:type="dxa"/>
                  <w:vAlign w:val="center"/>
                </w:tcPr>
                <w:p>
                  <w:pPr>
                    <w:pStyle w:val="30"/>
                    <w:spacing w:line="360" w:lineRule="exact"/>
                    <w:rPr>
                      <w:color w:val="auto"/>
                      <w:szCs w:val="21"/>
                    </w:rPr>
                  </w:pPr>
                  <w:r>
                    <w:rPr>
                      <w:color w:val="auto"/>
                      <w:szCs w:val="21"/>
                    </w:rPr>
                    <w:t>8</w:t>
                  </w:r>
                </w:p>
              </w:tc>
              <w:tc>
                <w:tcPr>
                  <w:tcW w:w="992" w:type="dxa"/>
                  <w:vAlign w:val="center"/>
                </w:tcPr>
                <w:p>
                  <w:pPr>
                    <w:pStyle w:val="30"/>
                    <w:spacing w:line="360" w:lineRule="exact"/>
                    <w:rPr>
                      <w:color w:val="auto"/>
                      <w:szCs w:val="21"/>
                    </w:rPr>
                  </w:pPr>
                  <w:r>
                    <w:rPr>
                      <w:color w:val="auto"/>
                      <w:szCs w:val="21"/>
                    </w:rPr>
                    <w:t>废电路板</w:t>
                  </w:r>
                </w:p>
              </w:tc>
              <w:tc>
                <w:tcPr>
                  <w:tcW w:w="851"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586.72</w:t>
                  </w:r>
                </w:p>
              </w:tc>
              <w:tc>
                <w:tcPr>
                  <w:tcW w:w="709" w:type="dxa"/>
                  <w:vAlign w:val="center"/>
                </w:tcPr>
                <w:p>
                  <w:pPr>
                    <w:pStyle w:val="30"/>
                    <w:spacing w:line="360" w:lineRule="exact"/>
                    <w:rPr>
                      <w:color w:val="auto"/>
                      <w:szCs w:val="21"/>
                    </w:rPr>
                  </w:pPr>
                  <w:r>
                    <w:rPr>
                      <w:color w:val="auto"/>
                      <w:szCs w:val="21"/>
                    </w:rPr>
                    <w:t>危险废物</w:t>
                  </w:r>
                </w:p>
              </w:tc>
              <w:tc>
                <w:tcPr>
                  <w:tcW w:w="1701" w:type="dxa"/>
                  <w:vAlign w:val="center"/>
                </w:tcPr>
                <w:p>
                  <w:pPr>
                    <w:pStyle w:val="30"/>
                    <w:spacing w:line="360" w:lineRule="exact"/>
                    <w:ind w:firstLine="210" w:firstLineChars="100"/>
                    <w:jc w:val="left"/>
                    <w:rPr>
                      <w:color w:val="auto"/>
                      <w:szCs w:val="21"/>
                    </w:rPr>
                  </w:pPr>
                  <w:r>
                    <w:rPr>
                      <w:color w:val="auto"/>
                      <w:szCs w:val="21"/>
                    </w:rPr>
                    <w:t>暂存于废电路板贮存区</w:t>
                  </w:r>
                </w:p>
              </w:tc>
              <w:tc>
                <w:tcPr>
                  <w:tcW w:w="3260" w:type="dxa"/>
                  <w:vAlign w:val="center"/>
                </w:tcPr>
                <w:p>
                  <w:pPr>
                    <w:pStyle w:val="30"/>
                    <w:spacing w:line="360" w:lineRule="exact"/>
                    <w:ind w:firstLine="210" w:firstLineChars="100"/>
                    <w:jc w:val="left"/>
                    <w:rPr>
                      <w:color w:val="auto"/>
                      <w:szCs w:val="21"/>
                    </w:rPr>
                  </w:pPr>
                  <w:r>
                    <w:rPr>
                      <w:color w:val="auto"/>
                      <w:szCs w:val="21"/>
                    </w:rPr>
                    <w:t>委托</w:t>
                  </w:r>
                  <w:r>
                    <w:rPr>
                      <w:color w:val="auto"/>
                    </w:rPr>
                    <w:t>贵州鸿鹄环保实业有限公司</w:t>
                  </w:r>
                  <w:r>
                    <w:rPr>
                      <w:color w:val="auto"/>
                      <w:szCs w:val="21"/>
                    </w:rPr>
                    <w:t>处置。</w:t>
                  </w:r>
                </w:p>
              </w:tc>
              <w:tc>
                <w:tcPr>
                  <w:tcW w:w="1023"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586.72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08" w:type="dxa"/>
                  <w:vAlign w:val="center"/>
                </w:tcPr>
                <w:p>
                  <w:pPr>
                    <w:pStyle w:val="30"/>
                    <w:spacing w:line="360" w:lineRule="exact"/>
                    <w:rPr>
                      <w:color w:val="auto"/>
                      <w:szCs w:val="21"/>
                    </w:rPr>
                  </w:pPr>
                  <w:r>
                    <w:rPr>
                      <w:color w:val="auto"/>
                      <w:szCs w:val="21"/>
                    </w:rPr>
                    <w:t>9</w:t>
                  </w:r>
                </w:p>
              </w:tc>
              <w:tc>
                <w:tcPr>
                  <w:tcW w:w="992" w:type="dxa"/>
                  <w:vAlign w:val="center"/>
                </w:tcPr>
                <w:p>
                  <w:pPr>
                    <w:pStyle w:val="30"/>
                    <w:spacing w:line="360" w:lineRule="exact"/>
                    <w:rPr>
                      <w:color w:val="auto"/>
                      <w:szCs w:val="21"/>
                    </w:rPr>
                  </w:pPr>
                  <w:r>
                    <w:rPr>
                      <w:color w:val="auto"/>
                      <w:szCs w:val="21"/>
                    </w:rPr>
                    <w:t>含汞灯管</w:t>
                  </w:r>
                </w:p>
              </w:tc>
              <w:tc>
                <w:tcPr>
                  <w:tcW w:w="851"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11.77</w:t>
                  </w:r>
                </w:p>
              </w:tc>
              <w:tc>
                <w:tcPr>
                  <w:tcW w:w="709" w:type="dxa"/>
                  <w:vAlign w:val="center"/>
                </w:tcPr>
                <w:p>
                  <w:pPr>
                    <w:pStyle w:val="30"/>
                    <w:spacing w:line="360" w:lineRule="exact"/>
                    <w:rPr>
                      <w:color w:val="auto"/>
                      <w:szCs w:val="21"/>
                    </w:rPr>
                  </w:pPr>
                  <w:r>
                    <w:rPr>
                      <w:color w:val="auto"/>
                      <w:szCs w:val="21"/>
                    </w:rPr>
                    <w:t>危险废物</w:t>
                  </w:r>
                </w:p>
              </w:tc>
              <w:tc>
                <w:tcPr>
                  <w:tcW w:w="1701" w:type="dxa"/>
                  <w:vAlign w:val="center"/>
                </w:tcPr>
                <w:p>
                  <w:pPr>
                    <w:pStyle w:val="30"/>
                    <w:spacing w:line="360" w:lineRule="exact"/>
                    <w:ind w:firstLine="210" w:firstLineChars="100"/>
                    <w:jc w:val="left"/>
                    <w:rPr>
                      <w:color w:val="auto"/>
                      <w:szCs w:val="21"/>
                    </w:rPr>
                  </w:pPr>
                  <w:r>
                    <w:rPr>
                      <w:color w:val="auto"/>
                      <w:szCs w:val="21"/>
                    </w:rPr>
                    <w:t>暂存于1#危险废物贮存间</w:t>
                  </w:r>
                </w:p>
              </w:tc>
              <w:tc>
                <w:tcPr>
                  <w:tcW w:w="3260" w:type="dxa"/>
                  <w:vAlign w:val="center"/>
                </w:tcPr>
                <w:p>
                  <w:pPr>
                    <w:pStyle w:val="30"/>
                    <w:spacing w:line="360" w:lineRule="exact"/>
                    <w:ind w:firstLine="210" w:firstLineChars="100"/>
                    <w:jc w:val="left"/>
                    <w:rPr>
                      <w:color w:val="auto"/>
                      <w:szCs w:val="21"/>
                    </w:rPr>
                  </w:pPr>
                  <w:r>
                    <w:rPr>
                      <w:color w:val="auto"/>
                      <w:szCs w:val="21"/>
                    </w:rPr>
                    <w:t>委托</w:t>
                  </w:r>
                  <w:r>
                    <w:rPr>
                      <w:color w:val="auto"/>
                      <w:szCs w:val="21"/>
                    </w:rPr>
                    <w:t>陕西安信显像管循环处理应用有限公司处置</w:t>
                  </w:r>
                  <w:r>
                    <w:rPr>
                      <w:color w:val="auto"/>
                      <w:szCs w:val="21"/>
                    </w:rPr>
                    <w:t>。</w:t>
                  </w:r>
                </w:p>
              </w:tc>
              <w:tc>
                <w:tcPr>
                  <w:tcW w:w="1023"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11.77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08" w:type="dxa"/>
                  <w:vAlign w:val="center"/>
                </w:tcPr>
                <w:p>
                  <w:pPr>
                    <w:pStyle w:val="30"/>
                    <w:spacing w:line="360" w:lineRule="exact"/>
                    <w:rPr>
                      <w:color w:val="auto"/>
                      <w:szCs w:val="21"/>
                    </w:rPr>
                  </w:pPr>
                  <w:r>
                    <w:rPr>
                      <w:color w:val="auto"/>
                      <w:szCs w:val="21"/>
                    </w:rPr>
                    <w:t>10</w:t>
                  </w:r>
                </w:p>
              </w:tc>
              <w:tc>
                <w:tcPr>
                  <w:tcW w:w="992" w:type="dxa"/>
                  <w:vAlign w:val="center"/>
                </w:tcPr>
                <w:p>
                  <w:pPr>
                    <w:pStyle w:val="30"/>
                    <w:spacing w:line="360" w:lineRule="exact"/>
                    <w:rPr>
                      <w:color w:val="auto"/>
                      <w:szCs w:val="21"/>
                    </w:rPr>
                  </w:pPr>
                  <w:r>
                    <w:rPr>
                      <w:color w:val="auto"/>
                      <w:szCs w:val="21"/>
                    </w:rPr>
                    <w:t>制冷剂</w:t>
                  </w:r>
                </w:p>
              </w:tc>
              <w:tc>
                <w:tcPr>
                  <w:tcW w:w="851"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2.49</w:t>
                  </w:r>
                </w:p>
              </w:tc>
              <w:tc>
                <w:tcPr>
                  <w:tcW w:w="709" w:type="dxa"/>
                  <w:vAlign w:val="center"/>
                </w:tcPr>
                <w:p>
                  <w:pPr>
                    <w:pStyle w:val="30"/>
                    <w:spacing w:line="360" w:lineRule="exact"/>
                    <w:rPr>
                      <w:color w:val="auto"/>
                      <w:szCs w:val="21"/>
                    </w:rPr>
                  </w:pPr>
                  <w:r>
                    <w:rPr>
                      <w:color w:val="auto"/>
                      <w:szCs w:val="21"/>
                    </w:rPr>
                    <w:t>一般固废</w:t>
                  </w:r>
                </w:p>
              </w:tc>
              <w:tc>
                <w:tcPr>
                  <w:tcW w:w="1701" w:type="dxa"/>
                  <w:vAlign w:val="center"/>
                </w:tcPr>
                <w:p>
                  <w:pPr>
                    <w:pStyle w:val="30"/>
                    <w:spacing w:line="360" w:lineRule="exact"/>
                    <w:ind w:firstLine="210" w:firstLineChars="100"/>
                    <w:jc w:val="left"/>
                    <w:rPr>
                      <w:color w:val="auto"/>
                      <w:szCs w:val="21"/>
                    </w:rPr>
                  </w:pPr>
                  <w:r>
                    <w:rPr>
                      <w:color w:val="auto"/>
                      <w:szCs w:val="21"/>
                    </w:rPr>
                    <w:t>暂存于4危险废物贮存间</w:t>
                  </w:r>
                </w:p>
              </w:tc>
              <w:tc>
                <w:tcPr>
                  <w:tcW w:w="3260" w:type="dxa"/>
                  <w:vAlign w:val="center"/>
                </w:tcPr>
                <w:p>
                  <w:pPr>
                    <w:pStyle w:val="30"/>
                    <w:spacing w:line="360" w:lineRule="exact"/>
                    <w:ind w:firstLine="210" w:firstLineChars="100"/>
                    <w:jc w:val="left"/>
                    <w:rPr>
                      <w:color w:val="auto"/>
                      <w:szCs w:val="21"/>
                    </w:rPr>
                  </w:pPr>
                  <w:r>
                    <w:rPr>
                      <w:color w:val="auto"/>
                      <w:szCs w:val="21"/>
                    </w:rPr>
                    <w:t>委托天津澳宏环保材料有限公司处置。</w:t>
                  </w:r>
                </w:p>
              </w:tc>
              <w:tc>
                <w:tcPr>
                  <w:tcW w:w="1023"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2.49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08" w:type="dxa"/>
                  <w:vAlign w:val="center"/>
                </w:tcPr>
                <w:p>
                  <w:pPr>
                    <w:pStyle w:val="30"/>
                    <w:spacing w:line="360" w:lineRule="exact"/>
                    <w:rPr>
                      <w:color w:val="auto"/>
                      <w:szCs w:val="21"/>
                    </w:rPr>
                  </w:pPr>
                  <w:r>
                    <w:rPr>
                      <w:color w:val="auto"/>
                      <w:szCs w:val="21"/>
                    </w:rPr>
                    <w:t>11</w:t>
                  </w:r>
                </w:p>
              </w:tc>
              <w:tc>
                <w:tcPr>
                  <w:tcW w:w="992" w:type="dxa"/>
                  <w:vAlign w:val="center"/>
                </w:tcPr>
                <w:p>
                  <w:pPr>
                    <w:pStyle w:val="30"/>
                    <w:spacing w:line="360" w:lineRule="exact"/>
                    <w:rPr>
                      <w:color w:val="auto"/>
                      <w:szCs w:val="21"/>
                    </w:rPr>
                  </w:pPr>
                  <w:r>
                    <w:rPr>
                      <w:color w:val="auto"/>
                      <w:szCs w:val="21"/>
                    </w:rPr>
                    <w:t>背光模组</w:t>
                  </w:r>
                </w:p>
              </w:tc>
              <w:tc>
                <w:tcPr>
                  <w:tcW w:w="851"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15.52</w:t>
                  </w:r>
                </w:p>
              </w:tc>
              <w:tc>
                <w:tcPr>
                  <w:tcW w:w="709" w:type="dxa"/>
                  <w:vAlign w:val="center"/>
                </w:tcPr>
                <w:p>
                  <w:pPr>
                    <w:pStyle w:val="30"/>
                    <w:spacing w:line="360" w:lineRule="exact"/>
                    <w:rPr>
                      <w:color w:val="auto"/>
                      <w:szCs w:val="21"/>
                    </w:rPr>
                  </w:pPr>
                  <w:r>
                    <w:rPr>
                      <w:color w:val="auto"/>
                      <w:szCs w:val="21"/>
                    </w:rPr>
                    <w:t>危险废物</w:t>
                  </w:r>
                </w:p>
              </w:tc>
              <w:tc>
                <w:tcPr>
                  <w:tcW w:w="1701" w:type="dxa"/>
                  <w:vAlign w:val="center"/>
                </w:tcPr>
                <w:p>
                  <w:pPr>
                    <w:pStyle w:val="30"/>
                    <w:spacing w:line="360" w:lineRule="exact"/>
                    <w:ind w:firstLine="210" w:firstLineChars="100"/>
                    <w:jc w:val="left"/>
                    <w:rPr>
                      <w:color w:val="auto"/>
                      <w:szCs w:val="21"/>
                    </w:rPr>
                  </w:pPr>
                  <w:r>
                    <w:rPr>
                      <w:color w:val="auto"/>
                      <w:szCs w:val="21"/>
                    </w:rPr>
                    <w:t>暂存于1#危险废物贮存间</w:t>
                  </w:r>
                </w:p>
              </w:tc>
              <w:tc>
                <w:tcPr>
                  <w:tcW w:w="3260" w:type="dxa"/>
                  <w:vAlign w:val="center"/>
                </w:tcPr>
                <w:p>
                  <w:pPr>
                    <w:pStyle w:val="30"/>
                    <w:spacing w:line="360" w:lineRule="exact"/>
                    <w:ind w:firstLine="210" w:firstLineChars="100"/>
                    <w:jc w:val="left"/>
                    <w:rPr>
                      <w:color w:val="auto"/>
                      <w:szCs w:val="21"/>
                    </w:rPr>
                  </w:pPr>
                  <w:r>
                    <w:rPr>
                      <w:color w:val="auto"/>
                      <w:szCs w:val="21"/>
                    </w:rPr>
                    <w:t>委托</w:t>
                  </w:r>
                  <w:r>
                    <w:rPr>
                      <w:color w:val="auto"/>
                      <w:szCs w:val="21"/>
                    </w:rPr>
                    <w:t>陕西安信显像管循环处理应用有限公司</w:t>
                  </w:r>
                  <w:r>
                    <w:rPr>
                      <w:color w:val="auto"/>
                      <w:szCs w:val="21"/>
                    </w:rPr>
                    <w:t>处置。</w:t>
                  </w:r>
                </w:p>
              </w:tc>
              <w:tc>
                <w:tcPr>
                  <w:tcW w:w="1023"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15.52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08" w:type="dxa"/>
                  <w:vAlign w:val="center"/>
                </w:tcPr>
                <w:p>
                  <w:pPr>
                    <w:pStyle w:val="30"/>
                    <w:spacing w:line="360" w:lineRule="exact"/>
                    <w:rPr>
                      <w:color w:val="auto"/>
                      <w:szCs w:val="21"/>
                    </w:rPr>
                  </w:pPr>
                  <w:r>
                    <w:rPr>
                      <w:color w:val="auto"/>
                      <w:szCs w:val="21"/>
                    </w:rPr>
                    <w:t>12</w:t>
                  </w:r>
                </w:p>
              </w:tc>
              <w:tc>
                <w:tcPr>
                  <w:tcW w:w="992" w:type="dxa"/>
                  <w:vAlign w:val="center"/>
                </w:tcPr>
                <w:p>
                  <w:pPr>
                    <w:pStyle w:val="30"/>
                    <w:spacing w:line="360" w:lineRule="exact"/>
                    <w:rPr>
                      <w:color w:val="auto"/>
                      <w:szCs w:val="21"/>
                    </w:rPr>
                  </w:pPr>
                  <w:r>
                    <w:rPr>
                      <w:color w:val="auto"/>
                      <w:szCs w:val="21"/>
                    </w:rPr>
                    <w:t>废弃的阴极射线管（锥玻璃）</w:t>
                  </w:r>
                </w:p>
              </w:tc>
              <w:tc>
                <w:tcPr>
                  <w:tcW w:w="851"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2475</w:t>
                  </w:r>
                </w:p>
              </w:tc>
              <w:tc>
                <w:tcPr>
                  <w:tcW w:w="709" w:type="dxa"/>
                  <w:vAlign w:val="center"/>
                </w:tcPr>
                <w:p>
                  <w:pPr>
                    <w:pStyle w:val="30"/>
                    <w:spacing w:line="360" w:lineRule="exact"/>
                    <w:rPr>
                      <w:color w:val="auto"/>
                      <w:szCs w:val="21"/>
                    </w:rPr>
                  </w:pPr>
                  <w:r>
                    <w:rPr>
                      <w:color w:val="auto"/>
                      <w:szCs w:val="21"/>
                    </w:rPr>
                    <w:t>危险废物</w:t>
                  </w:r>
                </w:p>
              </w:tc>
              <w:tc>
                <w:tcPr>
                  <w:tcW w:w="1701" w:type="dxa"/>
                  <w:vAlign w:val="center"/>
                </w:tcPr>
                <w:p>
                  <w:pPr>
                    <w:pStyle w:val="30"/>
                    <w:spacing w:line="360" w:lineRule="exact"/>
                    <w:ind w:firstLine="210" w:firstLineChars="100"/>
                    <w:jc w:val="left"/>
                    <w:rPr>
                      <w:color w:val="auto"/>
                      <w:szCs w:val="21"/>
                    </w:rPr>
                  </w:pPr>
                  <w:r>
                    <w:rPr>
                      <w:color w:val="auto"/>
                      <w:szCs w:val="21"/>
                    </w:rPr>
                    <w:t>暂存于废弃的阴极射线管（锥玻璃）含铅贮存区</w:t>
                  </w:r>
                </w:p>
              </w:tc>
              <w:tc>
                <w:tcPr>
                  <w:tcW w:w="3260" w:type="dxa"/>
                  <w:vAlign w:val="center"/>
                </w:tcPr>
                <w:p>
                  <w:pPr>
                    <w:pStyle w:val="30"/>
                    <w:spacing w:line="360" w:lineRule="exact"/>
                    <w:ind w:firstLine="210" w:firstLineChars="100"/>
                    <w:jc w:val="left"/>
                    <w:rPr>
                      <w:color w:val="auto"/>
                      <w:szCs w:val="21"/>
                    </w:rPr>
                  </w:pPr>
                  <w:r>
                    <w:rPr>
                      <w:color w:val="auto"/>
                      <w:szCs w:val="21"/>
                    </w:rPr>
                    <w:t>委托</w:t>
                  </w:r>
                  <w:r>
                    <w:rPr>
                      <w:color w:val="auto"/>
                    </w:rPr>
                    <w:t>云南沙甸铅业股份有限公司、贵州鸿鹄环保实业有限公司</w:t>
                  </w:r>
                  <w:r>
                    <w:rPr>
                      <w:color w:val="auto"/>
                      <w:szCs w:val="21"/>
                    </w:rPr>
                    <w:t>处置。</w:t>
                  </w:r>
                </w:p>
              </w:tc>
              <w:tc>
                <w:tcPr>
                  <w:tcW w:w="1023"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2475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08" w:type="dxa"/>
                  <w:vAlign w:val="center"/>
                </w:tcPr>
                <w:p>
                  <w:pPr>
                    <w:pStyle w:val="30"/>
                    <w:spacing w:line="360" w:lineRule="exact"/>
                    <w:rPr>
                      <w:color w:val="auto"/>
                      <w:szCs w:val="21"/>
                    </w:rPr>
                  </w:pPr>
                  <w:r>
                    <w:rPr>
                      <w:color w:val="auto"/>
                      <w:szCs w:val="21"/>
                    </w:rPr>
                    <w:t>13</w:t>
                  </w:r>
                </w:p>
              </w:tc>
              <w:tc>
                <w:tcPr>
                  <w:tcW w:w="992" w:type="dxa"/>
                  <w:vAlign w:val="center"/>
                </w:tcPr>
                <w:p>
                  <w:pPr>
                    <w:pStyle w:val="30"/>
                    <w:spacing w:line="360" w:lineRule="exact"/>
                    <w:rPr>
                      <w:color w:val="auto"/>
                      <w:szCs w:val="21"/>
                    </w:rPr>
                  </w:pPr>
                  <w:r>
                    <w:rPr>
                      <w:color w:val="auto"/>
                      <w:szCs w:val="21"/>
                    </w:rPr>
                    <w:t>荧光粉</w:t>
                  </w:r>
                </w:p>
              </w:tc>
              <w:tc>
                <w:tcPr>
                  <w:tcW w:w="851"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225</w:t>
                  </w:r>
                </w:p>
              </w:tc>
              <w:tc>
                <w:tcPr>
                  <w:tcW w:w="709" w:type="dxa"/>
                  <w:vAlign w:val="center"/>
                </w:tcPr>
                <w:p>
                  <w:pPr>
                    <w:pStyle w:val="30"/>
                    <w:spacing w:line="360" w:lineRule="exact"/>
                    <w:rPr>
                      <w:color w:val="auto"/>
                      <w:szCs w:val="21"/>
                    </w:rPr>
                  </w:pPr>
                  <w:r>
                    <w:rPr>
                      <w:color w:val="auto"/>
                      <w:szCs w:val="21"/>
                    </w:rPr>
                    <w:t>危险废物</w:t>
                  </w:r>
                </w:p>
              </w:tc>
              <w:tc>
                <w:tcPr>
                  <w:tcW w:w="1701" w:type="dxa"/>
                  <w:vAlign w:val="center"/>
                </w:tcPr>
                <w:p>
                  <w:pPr>
                    <w:pStyle w:val="30"/>
                    <w:spacing w:line="360" w:lineRule="exact"/>
                    <w:ind w:firstLine="210" w:firstLineChars="100"/>
                    <w:jc w:val="left"/>
                    <w:rPr>
                      <w:color w:val="auto"/>
                      <w:szCs w:val="21"/>
                    </w:rPr>
                  </w:pPr>
                  <w:r>
                    <w:rPr>
                      <w:color w:val="auto"/>
                      <w:szCs w:val="21"/>
                    </w:rPr>
                    <w:t>暂存于1#危险废物贮存间</w:t>
                  </w:r>
                </w:p>
              </w:tc>
              <w:tc>
                <w:tcPr>
                  <w:tcW w:w="3260" w:type="dxa"/>
                  <w:vAlign w:val="center"/>
                </w:tcPr>
                <w:p>
                  <w:pPr>
                    <w:pStyle w:val="30"/>
                    <w:spacing w:line="360" w:lineRule="exact"/>
                    <w:ind w:firstLine="210" w:firstLineChars="100"/>
                    <w:jc w:val="left"/>
                    <w:rPr>
                      <w:color w:val="auto"/>
                      <w:szCs w:val="21"/>
                    </w:rPr>
                  </w:pPr>
                  <w:r>
                    <w:rPr>
                      <w:color w:val="auto"/>
                      <w:szCs w:val="21"/>
                    </w:rPr>
                    <w:t>委托</w:t>
                  </w:r>
                  <w:r>
                    <w:rPr>
                      <w:color w:val="auto"/>
                      <w:szCs w:val="21"/>
                    </w:rPr>
                    <w:t>陕西安信显像管循环处理应用有限公司处置</w:t>
                  </w:r>
                  <w:r>
                    <w:rPr>
                      <w:color w:val="auto"/>
                      <w:szCs w:val="21"/>
                    </w:rPr>
                    <w:t>。</w:t>
                  </w:r>
                </w:p>
              </w:tc>
              <w:tc>
                <w:tcPr>
                  <w:tcW w:w="1023"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225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08" w:type="dxa"/>
                  <w:vAlign w:val="center"/>
                </w:tcPr>
                <w:p>
                  <w:pPr>
                    <w:pStyle w:val="30"/>
                    <w:spacing w:line="360" w:lineRule="exact"/>
                    <w:rPr>
                      <w:color w:val="auto"/>
                      <w:szCs w:val="21"/>
                    </w:rPr>
                  </w:pPr>
                  <w:r>
                    <w:rPr>
                      <w:color w:val="auto"/>
                      <w:szCs w:val="21"/>
                    </w:rPr>
                    <w:t>14</w:t>
                  </w:r>
                </w:p>
              </w:tc>
              <w:tc>
                <w:tcPr>
                  <w:tcW w:w="992" w:type="dxa"/>
                  <w:vAlign w:val="center"/>
                </w:tcPr>
                <w:p>
                  <w:pPr>
                    <w:pStyle w:val="30"/>
                    <w:spacing w:line="360" w:lineRule="exact"/>
                    <w:rPr>
                      <w:color w:val="auto"/>
                      <w:szCs w:val="21"/>
                    </w:rPr>
                  </w:pPr>
                  <w:r>
                    <w:rPr>
                      <w:color w:val="auto"/>
                      <w:szCs w:val="21"/>
                    </w:rPr>
                    <w:t>废弃细碎料</w:t>
                  </w:r>
                </w:p>
              </w:tc>
              <w:tc>
                <w:tcPr>
                  <w:tcW w:w="851"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1369.20</w:t>
                  </w:r>
                </w:p>
              </w:tc>
              <w:tc>
                <w:tcPr>
                  <w:tcW w:w="709" w:type="dxa"/>
                  <w:vAlign w:val="center"/>
                </w:tcPr>
                <w:p>
                  <w:pPr>
                    <w:pStyle w:val="30"/>
                    <w:spacing w:line="360" w:lineRule="exact"/>
                    <w:rPr>
                      <w:color w:val="auto"/>
                      <w:szCs w:val="21"/>
                    </w:rPr>
                  </w:pPr>
                  <w:r>
                    <w:rPr>
                      <w:color w:val="auto"/>
                      <w:szCs w:val="21"/>
                    </w:rPr>
                    <w:t>一般固废</w:t>
                  </w:r>
                </w:p>
              </w:tc>
              <w:tc>
                <w:tcPr>
                  <w:tcW w:w="1701" w:type="dxa"/>
                  <w:vAlign w:val="center"/>
                </w:tcPr>
                <w:p>
                  <w:pPr>
                    <w:pStyle w:val="30"/>
                    <w:spacing w:line="360" w:lineRule="exact"/>
                    <w:ind w:firstLine="210" w:firstLineChars="100"/>
                    <w:jc w:val="left"/>
                    <w:rPr>
                      <w:color w:val="auto"/>
                      <w:szCs w:val="21"/>
                    </w:rPr>
                  </w:pPr>
                  <w:r>
                    <w:rPr>
                      <w:color w:val="auto"/>
                      <w:szCs w:val="21"/>
                    </w:rPr>
                    <w:t>暂存于仓储区</w:t>
                  </w:r>
                </w:p>
              </w:tc>
              <w:tc>
                <w:tcPr>
                  <w:tcW w:w="3260" w:type="dxa"/>
                  <w:vAlign w:val="center"/>
                </w:tcPr>
                <w:p>
                  <w:pPr>
                    <w:pStyle w:val="30"/>
                    <w:spacing w:line="360" w:lineRule="exact"/>
                    <w:ind w:firstLine="210" w:firstLineChars="100"/>
                    <w:jc w:val="left"/>
                    <w:rPr>
                      <w:color w:val="auto"/>
                      <w:szCs w:val="21"/>
                    </w:rPr>
                  </w:pPr>
                  <w:r>
                    <w:rPr>
                      <w:color w:val="auto"/>
                      <w:szCs w:val="21"/>
                    </w:rPr>
                    <w:t>委托昆明涌诺保洁服务有限公司处置。</w:t>
                  </w:r>
                </w:p>
              </w:tc>
              <w:tc>
                <w:tcPr>
                  <w:tcW w:w="1023"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1369.20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08" w:type="dxa"/>
                  <w:vAlign w:val="center"/>
                </w:tcPr>
                <w:p>
                  <w:pPr>
                    <w:pStyle w:val="30"/>
                    <w:spacing w:line="360" w:lineRule="exact"/>
                    <w:rPr>
                      <w:color w:val="auto"/>
                      <w:szCs w:val="21"/>
                    </w:rPr>
                  </w:pPr>
                  <w:r>
                    <w:rPr>
                      <w:color w:val="auto"/>
                      <w:szCs w:val="21"/>
                    </w:rPr>
                    <w:t>15</w:t>
                  </w:r>
                </w:p>
              </w:tc>
              <w:tc>
                <w:tcPr>
                  <w:tcW w:w="992" w:type="dxa"/>
                  <w:vAlign w:val="center"/>
                </w:tcPr>
                <w:p>
                  <w:pPr>
                    <w:pStyle w:val="30"/>
                    <w:spacing w:line="360" w:lineRule="exact"/>
                    <w:rPr>
                      <w:color w:val="auto"/>
                      <w:szCs w:val="21"/>
                    </w:rPr>
                  </w:pPr>
                  <w:r>
                    <w:rPr>
                      <w:color w:val="auto"/>
                      <w:szCs w:val="21"/>
                    </w:rPr>
                    <w:t>废活性炭（吸附有机废气）</w:t>
                  </w:r>
                </w:p>
              </w:tc>
              <w:tc>
                <w:tcPr>
                  <w:tcW w:w="851"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0.06</w:t>
                  </w:r>
                </w:p>
              </w:tc>
              <w:tc>
                <w:tcPr>
                  <w:tcW w:w="709" w:type="dxa"/>
                  <w:vAlign w:val="center"/>
                </w:tcPr>
                <w:p>
                  <w:pPr>
                    <w:pStyle w:val="30"/>
                    <w:spacing w:line="360" w:lineRule="exact"/>
                    <w:rPr>
                      <w:color w:val="auto"/>
                      <w:szCs w:val="21"/>
                    </w:rPr>
                  </w:pPr>
                  <w:r>
                    <w:rPr>
                      <w:color w:val="auto"/>
                      <w:szCs w:val="21"/>
                    </w:rPr>
                    <w:t>危险废物</w:t>
                  </w:r>
                </w:p>
              </w:tc>
              <w:tc>
                <w:tcPr>
                  <w:tcW w:w="1701" w:type="dxa"/>
                  <w:vAlign w:val="center"/>
                </w:tcPr>
                <w:p>
                  <w:pPr>
                    <w:pStyle w:val="30"/>
                    <w:spacing w:line="360" w:lineRule="exact"/>
                    <w:ind w:firstLine="210" w:firstLineChars="100"/>
                    <w:jc w:val="left"/>
                    <w:rPr>
                      <w:color w:val="auto"/>
                      <w:szCs w:val="21"/>
                    </w:rPr>
                  </w:pPr>
                  <w:r>
                    <w:rPr>
                      <w:color w:val="auto"/>
                      <w:szCs w:val="21"/>
                    </w:rPr>
                    <w:t>暂存于3#危险废物贮存间</w:t>
                  </w:r>
                </w:p>
              </w:tc>
              <w:tc>
                <w:tcPr>
                  <w:tcW w:w="3260" w:type="dxa"/>
                  <w:vAlign w:val="center"/>
                </w:tcPr>
                <w:p>
                  <w:pPr>
                    <w:pStyle w:val="30"/>
                    <w:spacing w:line="360" w:lineRule="exact"/>
                    <w:ind w:firstLine="210" w:firstLineChars="100"/>
                    <w:jc w:val="left"/>
                    <w:rPr>
                      <w:color w:val="auto"/>
                      <w:szCs w:val="21"/>
                    </w:rPr>
                  </w:pPr>
                  <w:r>
                    <w:rPr>
                      <w:color w:val="auto"/>
                      <w:szCs w:val="21"/>
                    </w:rPr>
                    <w:t>委托</w:t>
                  </w:r>
                  <w:r>
                    <w:rPr>
                      <w:rFonts w:hint="eastAsia"/>
                      <w:color w:val="auto"/>
                    </w:rPr>
                    <w:t>云南大地丰源环保有限公司</w:t>
                  </w:r>
                  <w:r>
                    <w:rPr>
                      <w:color w:val="auto"/>
                      <w:szCs w:val="21"/>
                    </w:rPr>
                    <w:t>处置。</w:t>
                  </w:r>
                </w:p>
              </w:tc>
              <w:tc>
                <w:tcPr>
                  <w:tcW w:w="1023"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0.06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08" w:type="dxa"/>
                  <w:vAlign w:val="center"/>
                </w:tcPr>
                <w:p>
                  <w:pPr>
                    <w:pStyle w:val="30"/>
                    <w:spacing w:line="360" w:lineRule="exact"/>
                    <w:rPr>
                      <w:color w:val="auto"/>
                      <w:szCs w:val="21"/>
                    </w:rPr>
                  </w:pPr>
                  <w:r>
                    <w:rPr>
                      <w:color w:val="auto"/>
                      <w:szCs w:val="21"/>
                    </w:rPr>
                    <w:t>16</w:t>
                  </w:r>
                </w:p>
              </w:tc>
              <w:tc>
                <w:tcPr>
                  <w:tcW w:w="992" w:type="dxa"/>
                  <w:vAlign w:val="center"/>
                </w:tcPr>
                <w:p>
                  <w:pPr>
                    <w:pStyle w:val="30"/>
                    <w:spacing w:line="360" w:lineRule="exact"/>
                    <w:rPr>
                      <w:color w:val="auto"/>
                      <w:szCs w:val="21"/>
                    </w:rPr>
                  </w:pPr>
                  <w:r>
                    <w:rPr>
                      <w:color w:val="auto"/>
                      <w:szCs w:val="21"/>
                    </w:rPr>
                    <w:t>废活性炭（吸附汞及其化合物）</w:t>
                  </w:r>
                </w:p>
              </w:tc>
              <w:tc>
                <w:tcPr>
                  <w:tcW w:w="851"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0.002</w:t>
                  </w:r>
                </w:p>
              </w:tc>
              <w:tc>
                <w:tcPr>
                  <w:tcW w:w="709" w:type="dxa"/>
                  <w:vAlign w:val="center"/>
                </w:tcPr>
                <w:p>
                  <w:pPr>
                    <w:pStyle w:val="30"/>
                    <w:spacing w:line="360" w:lineRule="exact"/>
                    <w:rPr>
                      <w:color w:val="auto"/>
                      <w:szCs w:val="21"/>
                    </w:rPr>
                  </w:pPr>
                  <w:r>
                    <w:rPr>
                      <w:color w:val="auto"/>
                      <w:szCs w:val="21"/>
                    </w:rPr>
                    <w:t>危险废物</w:t>
                  </w:r>
                </w:p>
              </w:tc>
              <w:tc>
                <w:tcPr>
                  <w:tcW w:w="1701" w:type="dxa"/>
                  <w:vAlign w:val="center"/>
                </w:tcPr>
                <w:p>
                  <w:pPr>
                    <w:pStyle w:val="30"/>
                    <w:spacing w:line="360" w:lineRule="exact"/>
                    <w:ind w:firstLine="210" w:firstLineChars="100"/>
                    <w:jc w:val="left"/>
                    <w:rPr>
                      <w:color w:val="auto"/>
                      <w:szCs w:val="21"/>
                    </w:rPr>
                  </w:pPr>
                  <w:r>
                    <w:rPr>
                      <w:color w:val="auto"/>
                      <w:szCs w:val="21"/>
                    </w:rPr>
                    <w:t>暂存于1#危险废物贮存间</w:t>
                  </w:r>
                </w:p>
              </w:tc>
              <w:tc>
                <w:tcPr>
                  <w:tcW w:w="3260" w:type="dxa"/>
                  <w:vAlign w:val="center"/>
                </w:tcPr>
                <w:p>
                  <w:pPr>
                    <w:pStyle w:val="30"/>
                    <w:spacing w:line="360" w:lineRule="exact"/>
                    <w:ind w:firstLine="210" w:firstLineChars="100"/>
                    <w:jc w:val="left"/>
                    <w:rPr>
                      <w:color w:val="auto"/>
                      <w:szCs w:val="21"/>
                    </w:rPr>
                  </w:pPr>
                  <w:r>
                    <w:rPr>
                      <w:color w:val="auto"/>
                      <w:szCs w:val="21"/>
                    </w:rPr>
                    <w:t>委托</w:t>
                  </w:r>
                  <w:r>
                    <w:rPr>
                      <w:rFonts w:hint="eastAsia"/>
                      <w:color w:val="auto"/>
                    </w:rPr>
                    <w:t>云南大地丰源环保有限公司</w:t>
                  </w:r>
                  <w:r>
                    <w:rPr>
                      <w:color w:val="auto"/>
                      <w:szCs w:val="21"/>
                    </w:rPr>
                    <w:t>处置。</w:t>
                  </w:r>
                </w:p>
              </w:tc>
              <w:tc>
                <w:tcPr>
                  <w:tcW w:w="1023"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0.002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08" w:type="dxa"/>
                  <w:vAlign w:val="center"/>
                </w:tcPr>
                <w:p>
                  <w:pPr>
                    <w:pStyle w:val="30"/>
                    <w:spacing w:line="360" w:lineRule="exact"/>
                    <w:rPr>
                      <w:color w:val="auto"/>
                      <w:szCs w:val="21"/>
                    </w:rPr>
                  </w:pPr>
                  <w:r>
                    <w:rPr>
                      <w:color w:val="auto"/>
                      <w:szCs w:val="21"/>
                    </w:rPr>
                    <w:t>17</w:t>
                  </w:r>
                </w:p>
              </w:tc>
              <w:tc>
                <w:tcPr>
                  <w:tcW w:w="992" w:type="dxa"/>
                  <w:vAlign w:val="center"/>
                </w:tcPr>
                <w:p>
                  <w:pPr>
                    <w:pStyle w:val="30"/>
                    <w:spacing w:line="360" w:lineRule="exact"/>
                    <w:rPr>
                      <w:color w:val="auto"/>
                      <w:szCs w:val="21"/>
                    </w:rPr>
                  </w:pPr>
                  <w:r>
                    <w:rPr>
                      <w:color w:val="auto"/>
                      <w:szCs w:val="21"/>
                    </w:rPr>
                    <w:t>收集粉尘</w:t>
                  </w:r>
                </w:p>
              </w:tc>
              <w:tc>
                <w:tcPr>
                  <w:tcW w:w="851"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25.12</w:t>
                  </w:r>
                </w:p>
              </w:tc>
              <w:tc>
                <w:tcPr>
                  <w:tcW w:w="709" w:type="dxa"/>
                  <w:vAlign w:val="center"/>
                </w:tcPr>
                <w:p>
                  <w:pPr>
                    <w:pStyle w:val="30"/>
                    <w:spacing w:line="360" w:lineRule="exact"/>
                    <w:rPr>
                      <w:color w:val="auto"/>
                      <w:szCs w:val="21"/>
                    </w:rPr>
                  </w:pPr>
                  <w:r>
                    <w:rPr>
                      <w:color w:val="auto"/>
                      <w:szCs w:val="21"/>
                    </w:rPr>
                    <w:t>一般固废</w:t>
                  </w:r>
                </w:p>
              </w:tc>
              <w:tc>
                <w:tcPr>
                  <w:tcW w:w="1701" w:type="dxa"/>
                  <w:vAlign w:val="center"/>
                </w:tcPr>
                <w:p>
                  <w:pPr>
                    <w:pStyle w:val="30"/>
                    <w:spacing w:line="360" w:lineRule="exact"/>
                    <w:ind w:firstLine="210" w:firstLineChars="100"/>
                    <w:jc w:val="left"/>
                    <w:rPr>
                      <w:color w:val="auto"/>
                      <w:szCs w:val="21"/>
                    </w:rPr>
                  </w:pPr>
                  <w:r>
                    <w:rPr>
                      <w:color w:val="auto"/>
                      <w:szCs w:val="21"/>
                    </w:rPr>
                    <w:t>暂存于仓储区</w:t>
                  </w:r>
                </w:p>
              </w:tc>
              <w:tc>
                <w:tcPr>
                  <w:tcW w:w="3260" w:type="dxa"/>
                  <w:vAlign w:val="center"/>
                </w:tcPr>
                <w:p>
                  <w:pPr>
                    <w:pStyle w:val="30"/>
                    <w:spacing w:line="360" w:lineRule="exact"/>
                    <w:ind w:firstLine="210" w:firstLineChars="100"/>
                    <w:jc w:val="left"/>
                    <w:rPr>
                      <w:color w:val="auto"/>
                      <w:szCs w:val="21"/>
                    </w:rPr>
                  </w:pPr>
                  <w:r>
                    <w:rPr>
                      <w:color w:val="auto"/>
                      <w:szCs w:val="21"/>
                    </w:rPr>
                    <w:t>委托昆明涌诺保洁服务有限公司处置。</w:t>
                  </w:r>
                </w:p>
              </w:tc>
              <w:tc>
                <w:tcPr>
                  <w:tcW w:w="1023"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25.12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08" w:type="dxa"/>
                  <w:vAlign w:val="center"/>
                </w:tcPr>
                <w:p>
                  <w:pPr>
                    <w:pStyle w:val="30"/>
                    <w:spacing w:line="360" w:lineRule="exact"/>
                    <w:rPr>
                      <w:color w:val="auto"/>
                      <w:szCs w:val="21"/>
                    </w:rPr>
                  </w:pPr>
                  <w:r>
                    <w:rPr>
                      <w:color w:val="auto"/>
                      <w:szCs w:val="21"/>
                    </w:rPr>
                    <w:t>18</w:t>
                  </w:r>
                </w:p>
              </w:tc>
              <w:tc>
                <w:tcPr>
                  <w:tcW w:w="992" w:type="dxa"/>
                  <w:vAlign w:val="center"/>
                </w:tcPr>
                <w:p>
                  <w:pPr>
                    <w:pStyle w:val="30"/>
                    <w:spacing w:line="360" w:lineRule="exact"/>
                    <w:rPr>
                      <w:color w:val="auto"/>
                      <w:szCs w:val="21"/>
                    </w:rPr>
                  </w:pPr>
                  <w:r>
                    <w:rPr>
                      <w:color w:val="auto"/>
                      <w:szCs w:val="21"/>
                    </w:rPr>
                    <w:t>收集含铅粉尘</w:t>
                  </w:r>
                </w:p>
              </w:tc>
              <w:tc>
                <w:tcPr>
                  <w:tcW w:w="851"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0.65</w:t>
                  </w:r>
                </w:p>
              </w:tc>
              <w:tc>
                <w:tcPr>
                  <w:tcW w:w="709" w:type="dxa"/>
                  <w:vAlign w:val="center"/>
                </w:tcPr>
                <w:p>
                  <w:pPr>
                    <w:pStyle w:val="30"/>
                    <w:spacing w:line="360" w:lineRule="exact"/>
                    <w:rPr>
                      <w:color w:val="auto"/>
                      <w:szCs w:val="21"/>
                    </w:rPr>
                  </w:pPr>
                  <w:r>
                    <w:rPr>
                      <w:color w:val="auto"/>
                      <w:szCs w:val="21"/>
                    </w:rPr>
                    <w:t>危险废物</w:t>
                  </w:r>
                </w:p>
              </w:tc>
              <w:tc>
                <w:tcPr>
                  <w:tcW w:w="1701" w:type="dxa"/>
                  <w:vAlign w:val="center"/>
                </w:tcPr>
                <w:p>
                  <w:pPr>
                    <w:pStyle w:val="30"/>
                    <w:spacing w:line="360" w:lineRule="exact"/>
                    <w:ind w:firstLine="210" w:firstLineChars="100"/>
                    <w:jc w:val="left"/>
                    <w:rPr>
                      <w:color w:val="auto"/>
                      <w:szCs w:val="21"/>
                    </w:rPr>
                  </w:pPr>
                  <w:r>
                    <w:rPr>
                      <w:color w:val="auto"/>
                      <w:szCs w:val="21"/>
                    </w:rPr>
                    <w:t>暂存于1#危险废物贮存间</w:t>
                  </w:r>
                </w:p>
              </w:tc>
              <w:tc>
                <w:tcPr>
                  <w:tcW w:w="3260" w:type="dxa"/>
                  <w:vAlign w:val="center"/>
                </w:tcPr>
                <w:p>
                  <w:pPr>
                    <w:pStyle w:val="30"/>
                    <w:spacing w:line="360" w:lineRule="exact"/>
                    <w:ind w:firstLine="210" w:firstLineChars="100"/>
                    <w:jc w:val="left"/>
                    <w:rPr>
                      <w:color w:val="auto"/>
                      <w:szCs w:val="21"/>
                    </w:rPr>
                  </w:pPr>
                  <w:r>
                    <w:rPr>
                      <w:color w:val="auto"/>
                      <w:szCs w:val="21"/>
                    </w:rPr>
                    <w:t>委托</w:t>
                  </w:r>
                  <w:r>
                    <w:rPr>
                      <w:color w:val="auto"/>
                      <w:szCs w:val="21"/>
                    </w:rPr>
                    <w:t>陕西安信显像管循环处理应用有限公司处置</w:t>
                  </w:r>
                  <w:r>
                    <w:rPr>
                      <w:color w:val="auto"/>
                      <w:szCs w:val="21"/>
                    </w:rPr>
                    <w:t>。</w:t>
                  </w:r>
                </w:p>
              </w:tc>
              <w:tc>
                <w:tcPr>
                  <w:tcW w:w="1023"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0.65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08" w:type="dxa"/>
                  <w:vAlign w:val="center"/>
                </w:tcPr>
                <w:p>
                  <w:pPr>
                    <w:pStyle w:val="30"/>
                    <w:spacing w:line="360" w:lineRule="exact"/>
                    <w:rPr>
                      <w:color w:val="auto"/>
                      <w:szCs w:val="21"/>
                    </w:rPr>
                  </w:pPr>
                  <w:r>
                    <w:rPr>
                      <w:color w:val="auto"/>
                      <w:szCs w:val="21"/>
                    </w:rPr>
                    <w:t>19</w:t>
                  </w:r>
                </w:p>
              </w:tc>
              <w:tc>
                <w:tcPr>
                  <w:tcW w:w="992" w:type="dxa"/>
                  <w:vAlign w:val="center"/>
                </w:tcPr>
                <w:p>
                  <w:pPr>
                    <w:pStyle w:val="30"/>
                    <w:spacing w:line="360" w:lineRule="exact"/>
                    <w:rPr>
                      <w:color w:val="auto"/>
                      <w:szCs w:val="21"/>
                    </w:rPr>
                  </w:pPr>
                  <w:r>
                    <w:rPr>
                      <w:color w:val="auto"/>
                      <w:szCs w:val="21"/>
                    </w:rPr>
                    <w:t>生活垃圾</w:t>
                  </w:r>
                </w:p>
              </w:tc>
              <w:tc>
                <w:tcPr>
                  <w:tcW w:w="851"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24.6</w:t>
                  </w:r>
                </w:p>
              </w:tc>
              <w:tc>
                <w:tcPr>
                  <w:tcW w:w="709" w:type="dxa"/>
                  <w:vMerge w:val="restart"/>
                  <w:vAlign w:val="center"/>
                </w:tcPr>
                <w:p>
                  <w:pPr>
                    <w:pStyle w:val="30"/>
                    <w:spacing w:line="360" w:lineRule="exact"/>
                    <w:rPr>
                      <w:color w:val="auto"/>
                      <w:szCs w:val="21"/>
                    </w:rPr>
                  </w:pPr>
                  <w:r>
                    <w:rPr>
                      <w:color w:val="auto"/>
                      <w:szCs w:val="21"/>
                    </w:rPr>
                    <w:t>生活固废</w:t>
                  </w:r>
                </w:p>
              </w:tc>
              <w:tc>
                <w:tcPr>
                  <w:tcW w:w="1701" w:type="dxa"/>
                  <w:vAlign w:val="center"/>
                </w:tcPr>
                <w:p>
                  <w:pPr>
                    <w:pStyle w:val="30"/>
                    <w:spacing w:line="360" w:lineRule="exact"/>
                    <w:ind w:firstLine="210" w:firstLineChars="100"/>
                    <w:jc w:val="left"/>
                    <w:rPr>
                      <w:color w:val="auto"/>
                      <w:szCs w:val="21"/>
                    </w:rPr>
                  </w:pPr>
                  <w:r>
                    <w:rPr>
                      <w:color w:val="auto"/>
                      <w:szCs w:val="21"/>
                    </w:rPr>
                    <w:t>日产日清</w:t>
                  </w:r>
                </w:p>
              </w:tc>
              <w:tc>
                <w:tcPr>
                  <w:tcW w:w="3260" w:type="dxa"/>
                  <w:vMerge w:val="restart"/>
                  <w:vAlign w:val="center"/>
                </w:tcPr>
                <w:p>
                  <w:pPr>
                    <w:pStyle w:val="30"/>
                    <w:spacing w:line="360" w:lineRule="exact"/>
                    <w:ind w:firstLine="210" w:firstLineChars="100"/>
                    <w:jc w:val="left"/>
                    <w:rPr>
                      <w:color w:val="auto"/>
                      <w:szCs w:val="21"/>
                    </w:rPr>
                  </w:pPr>
                  <w:r>
                    <w:rPr>
                      <w:color w:val="auto"/>
                      <w:szCs w:val="21"/>
                    </w:rPr>
                    <w:t>委托环卫部门处置。</w:t>
                  </w:r>
                </w:p>
              </w:tc>
              <w:tc>
                <w:tcPr>
                  <w:tcW w:w="1023" w:type="dxa"/>
                  <w:vAlign w:val="center"/>
                </w:tcPr>
                <w:p>
                  <w:pPr>
                    <w:widowControl/>
                    <w:jc w:val="center"/>
                    <w:rPr>
                      <w:rFonts w:ascii="Times New Roman" w:hAnsi="Times New Roman" w:eastAsia="宋体" w:cs="Times New Roman"/>
                      <w:color w:val="auto"/>
                      <w:kern w:val="0"/>
                    </w:rPr>
                  </w:pPr>
                  <w:r>
                    <w:rPr>
                      <w:rFonts w:ascii="Times New Roman" w:hAnsi="Times New Roman" w:eastAsia="宋体" w:cs="Times New Roman"/>
                      <w:color w:val="auto"/>
                      <w:kern w:val="0"/>
                    </w:rPr>
                    <w:t>24.6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08" w:type="dxa"/>
                  <w:vAlign w:val="center"/>
                </w:tcPr>
                <w:p>
                  <w:pPr>
                    <w:pStyle w:val="30"/>
                    <w:spacing w:line="360" w:lineRule="exact"/>
                    <w:rPr>
                      <w:color w:val="auto"/>
                      <w:szCs w:val="21"/>
                    </w:rPr>
                  </w:pPr>
                  <w:r>
                    <w:rPr>
                      <w:color w:val="auto"/>
                      <w:szCs w:val="21"/>
                    </w:rPr>
                    <w:t>20</w:t>
                  </w:r>
                </w:p>
              </w:tc>
              <w:tc>
                <w:tcPr>
                  <w:tcW w:w="992" w:type="dxa"/>
                  <w:vAlign w:val="center"/>
                </w:tcPr>
                <w:p>
                  <w:pPr>
                    <w:pStyle w:val="30"/>
                    <w:spacing w:line="360" w:lineRule="exact"/>
                    <w:rPr>
                      <w:color w:val="auto"/>
                      <w:szCs w:val="21"/>
                    </w:rPr>
                  </w:pPr>
                  <w:r>
                    <w:rPr>
                      <w:color w:val="auto"/>
                      <w:szCs w:val="21"/>
                    </w:rPr>
                    <w:t>餐厨废物</w:t>
                  </w:r>
                </w:p>
              </w:tc>
              <w:tc>
                <w:tcPr>
                  <w:tcW w:w="851" w:type="dxa"/>
                  <w:vAlign w:val="center"/>
                </w:tcPr>
                <w:p>
                  <w:pPr>
                    <w:pStyle w:val="30"/>
                    <w:spacing w:line="360" w:lineRule="exact"/>
                    <w:rPr>
                      <w:color w:val="auto"/>
                      <w:szCs w:val="21"/>
                    </w:rPr>
                  </w:pPr>
                  <w:r>
                    <w:rPr>
                      <w:color w:val="auto"/>
                      <w:szCs w:val="21"/>
                    </w:rPr>
                    <w:t>6</w:t>
                  </w:r>
                </w:p>
              </w:tc>
              <w:tc>
                <w:tcPr>
                  <w:tcW w:w="709" w:type="dxa"/>
                  <w:vMerge w:val="continue"/>
                  <w:vAlign w:val="center"/>
                </w:tcPr>
                <w:p>
                  <w:pPr>
                    <w:pStyle w:val="30"/>
                    <w:spacing w:line="360" w:lineRule="exact"/>
                    <w:rPr>
                      <w:color w:val="auto"/>
                      <w:szCs w:val="21"/>
                    </w:rPr>
                  </w:pPr>
                </w:p>
              </w:tc>
              <w:tc>
                <w:tcPr>
                  <w:tcW w:w="1701" w:type="dxa"/>
                  <w:vAlign w:val="center"/>
                </w:tcPr>
                <w:p>
                  <w:pPr>
                    <w:pStyle w:val="30"/>
                    <w:spacing w:line="360" w:lineRule="exact"/>
                    <w:ind w:firstLine="210" w:firstLineChars="100"/>
                    <w:jc w:val="left"/>
                    <w:rPr>
                      <w:color w:val="auto"/>
                      <w:szCs w:val="21"/>
                    </w:rPr>
                  </w:pPr>
                  <w:r>
                    <w:rPr>
                      <w:color w:val="auto"/>
                      <w:szCs w:val="21"/>
                    </w:rPr>
                    <w:t>--</w:t>
                  </w:r>
                </w:p>
              </w:tc>
              <w:tc>
                <w:tcPr>
                  <w:tcW w:w="3260" w:type="dxa"/>
                  <w:vMerge w:val="continue"/>
                  <w:vAlign w:val="center"/>
                </w:tcPr>
                <w:p>
                  <w:pPr>
                    <w:pStyle w:val="30"/>
                    <w:spacing w:line="360" w:lineRule="exact"/>
                    <w:ind w:firstLine="210" w:firstLineChars="100"/>
                    <w:jc w:val="left"/>
                    <w:rPr>
                      <w:color w:val="auto"/>
                      <w:szCs w:val="21"/>
                    </w:rPr>
                  </w:pPr>
                </w:p>
              </w:tc>
              <w:tc>
                <w:tcPr>
                  <w:tcW w:w="1023" w:type="dxa"/>
                  <w:vAlign w:val="center"/>
                </w:tcPr>
                <w:p>
                  <w:pPr>
                    <w:pStyle w:val="30"/>
                    <w:spacing w:line="360" w:lineRule="exact"/>
                    <w:rPr>
                      <w:rFonts w:eastAsiaTheme="minorEastAsia"/>
                      <w:color w:val="auto"/>
                      <w:szCs w:val="21"/>
                    </w:rPr>
                  </w:pPr>
                  <w:r>
                    <w:rPr>
                      <w:rFonts w:eastAsiaTheme="minorEastAsia"/>
                      <w:color w:val="auto"/>
                      <w:szCs w:val="21"/>
                    </w:rPr>
                    <w:t>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08" w:type="dxa"/>
                  <w:vAlign w:val="center"/>
                </w:tcPr>
                <w:p>
                  <w:pPr>
                    <w:pStyle w:val="30"/>
                    <w:spacing w:line="360" w:lineRule="exact"/>
                    <w:rPr>
                      <w:color w:val="auto"/>
                      <w:szCs w:val="21"/>
                    </w:rPr>
                  </w:pPr>
                  <w:r>
                    <w:rPr>
                      <w:color w:val="auto"/>
                      <w:szCs w:val="21"/>
                    </w:rPr>
                    <w:t>21</w:t>
                  </w:r>
                </w:p>
              </w:tc>
              <w:tc>
                <w:tcPr>
                  <w:tcW w:w="992" w:type="dxa"/>
                  <w:vAlign w:val="center"/>
                </w:tcPr>
                <w:p>
                  <w:pPr>
                    <w:pStyle w:val="30"/>
                    <w:spacing w:line="360" w:lineRule="exact"/>
                    <w:rPr>
                      <w:color w:val="auto"/>
                      <w:szCs w:val="21"/>
                    </w:rPr>
                  </w:pPr>
                  <w:r>
                    <w:rPr>
                      <w:color w:val="auto"/>
                      <w:szCs w:val="21"/>
                    </w:rPr>
                    <w:t>隔油池浮油</w:t>
                  </w:r>
                </w:p>
              </w:tc>
              <w:tc>
                <w:tcPr>
                  <w:tcW w:w="851" w:type="dxa"/>
                  <w:vAlign w:val="center"/>
                </w:tcPr>
                <w:p>
                  <w:pPr>
                    <w:pStyle w:val="30"/>
                    <w:spacing w:line="360" w:lineRule="exact"/>
                    <w:rPr>
                      <w:color w:val="auto"/>
                      <w:szCs w:val="21"/>
                    </w:rPr>
                  </w:pPr>
                  <w:r>
                    <w:rPr>
                      <w:color w:val="auto"/>
                      <w:szCs w:val="21"/>
                    </w:rPr>
                    <w:t>0.09</w:t>
                  </w:r>
                </w:p>
              </w:tc>
              <w:tc>
                <w:tcPr>
                  <w:tcW w:w="709" w:type="dxa"/>
                  <w:vMerge w:val="continue"/>
                  <w:vAlign w:val="center"/>
                </w:tcPr>
                <w:p>
                  <w:pPr>
                    <w:pStyle w:val="30"/>
                    <w:spacing w:line="360" w:lineRule="exact"/>
                    <w:rPr>
                      <w:color w:val="auto"/>
                      <w:szCs w:val="21"/>
                    </w:rPr>
                  </w:pPr>
                </w:p>
              </w:tc>
              <w:tc>
                <w:tcPr>
                  <w:tcW w:w="1701" w:type="dxa"/>
                  <w:vAlign w:val="center"/>
                </w:tcPr>
                <w:p>
                  <w:pPr>
                    <w:pStyle w:val="30"/>
                    <w:spacing w:line="360" w:lineRule="exact"/>
                    <w:ind w:firstLine="210" w:firstLineChars="100"/>
                    <w:jc w:val="left"/>
                    <w:rPr>
                      <w:color w:val="auto"/>
                      <w:szCs w:val="21"/>
                    </w:rPr>
                  </w:pPr>
                  <w:r>
                    <w:rPr>
                      <w:color w:val="auto"/>
                      <w:szCs w:val="21"/>
                    </w:rPr>
                    <w:t>--</w:t>
                  </w:r>
                </w:p>
              </w:tc>
              <w:tc>
                <w:tcPr>
                  <w:tcW w:w="3260" w:type="dxa"/>
                  <w:vMerge w:val="continue"/>
                  <w:vAlign w:val="center"/>
                </w:tcPr>
                <w:p>
                  <w:pPr>
                    <w:pStyle w:val="30"/>
                    <w:spacing w:line="360" w:lineRule="exact"/>
                    <w:ind w:firstLine="210" w:firstLineChars="100"/>
                    <w:jc w:val="left"/>
                    <w:rPr>
                      <w:color w:val="auto"/>
                      <w:szCs w:val="21"/>
                    </w:rPr>
                  </w:pPr>
                </w:p>
              </w:tc>
              <w:tc>
                <w:tcPr>
                  <w:tcW w:w="1023" w:type="dxa"/>
                  <w:vAlign w:val="center"/>
                </w:tcPr>
                <w:p>
                  <w:pPr>
                    <w:pStyle w:val="30"/>
                    <w:spacing w:line="360" w:lineRule="exact"/>
                    <w:rPr>
                      <w:rFonts w:eastAsiaTheme="minorEastAsia"/>
                      <w:color w:val="auto"/>
                      <w:szCs w:val="21"/>
                    </w:rPr>
                  </w:pPr>
                  <w:r>
                    <w:rPr>
                      <w:rFonts w:eastAsiaTheme="minorEastAsia"/>
                      <w:color w:val="auto"/>
                      <w:szCs w:val="21"/>
                    </w:rPr>
                    <w:t>0.09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08" w:type="dxa"/>
                  <w:vAlign w:val="center"/>
                </w:tcPr>
                <w:p>
                  <w:pPr>
                    <w:pStyle w:val="30"/>
                    <w:spacing w:line="360" w:lineRule="exact"/>
                    <w:rPr>
                      <w:color w:val="auto"/>
                      <w:szCs w:val="21"/>
                    </w:rPr>
                  </w:pPr>
                  <w:r>
                    <w:rPr>
                      <w:color w:val="auto"/>
                      <w:szCs w:val="21"/>
                    </w:rPr>
                    <w:t>22</w:t>
                  </w:r>
                </w:p>
              </w:tc>
              <w:tc>
                <w:tcPr>
                  <w:tcW w:w="992" w:type="dxa"/>
                  <w:vAlign w:val="center"/>
                </w:tcPr>
                <w:p>
                  <w:pPr>
                    <w:pStyle w:val="30"/>
                    <w:spacing w:line="360" w:lineRule="exact"/>
                    <w:rPr>
                      <w:color w:val="auto"/>
                      <w:szCs w:val="21"/>
                    </w:rPr>
                  </w:pPr>
                  <w:r>
                    <w:rPr>
                      <w:color w:val="auto"/>
                      <w:szCs w:val="21"/>
                    </w:rPr>
                    <w:t>污水处理设施污泥</w:t>
                  </w:r>
                </w:p>
              </w:tc>
              <w:tc>
                <w:tcPr>
                  <w:tcW w:w="851" w:type="dxa"/>
                  <w:vAlign w:val="center"/>
                </w:tcPr>
                <w:p>
                  <w:pPr>
                    <w:pStyle w:val="30"/>
                    <w:spacing w:line="360" w:lineRule="exact"/>
                    <w:rPr>
                      <w:color w:val="auto"/>
                      <w:szCs w:val="21"/>
                    </w:rPr>
                  </w:pPr>
                  <w:r>
                    <w:rPr>
                      <w:color w:val="auto"/>
                      <w:szCs w:val="21"/>
                    </w:rPr>
                    <w:t>0.42</w:t>
                  </w:r>
                </w:p>
              </w:tc>
              <w:tc>
                <w:tcPr>
                  <w:tcW w:w="709" w:type="dxa"/>
                  <w:vMerge w:val="continue"/>
                  <w:vAlign w:val="center"/>
                </w:tcPr>
                <w:p>
                  <w:pPr>
                    <w:pStyle w:val="30"/>
                    <w:spacing w:line="360" w:lineRule="exact"/>
                    <w:rPr>
                      <w:color w:val="auto"/>
                      <w:szCs w:val="21"/>
                    </w:rPr>
                  </w:pPr>
                </w:p>
              </w:tc>
              <w:tc>
                <w:tcPr>
                  <w:tcW w:w="1701" w:type="dxa"/>
                  <w:vAlign w:val="center"/>
                </w:tcPr>
                <w:p>
                  <w:pPr>
                    <w:pStyle w:val="30"/>
                    <w:spacing w:line="360" w:lineRule="exact"/>
                    <w:ind w:firstLine="210" w:firstLineChars="100"/>
                    <w:jc w:val="left"/>
                    <w:rPr>
                      <w:color w:val="auto"/>
                      <w:szCs w:val="21"/>
                    </w:rPr>
                  </w:pPr>
                  <w:r>
                    <w:rPr>
                      <w:color w:val="auto"/>
                      <w:szCs w:val="21"/>
                    </w:rPr>
                    <w:t>--</w:t>
                  </w:r>
                </w:p>
              </w:tc>
              <w:tc>
                <w:tcPr>
                  <w:tcW w:w="3260" w:type="dxa"/>
                  <w:vMerge w:val="continue"/>
                  <w:vAlign w:val="center"/>
                </w:tcPr>
                <w:p>
                  <w:pPr>
                    <w:pStyle w:val="30"/>
                    <w:spacing w:line="360" w:lineRule="exact"/>
                    <w:ind w:firstLine="210" w:firstLineChars="100"/>
                    <w:jc w:val="left"/>
                    <w:rPr>
                      <w:color w:val="auto"/>
                      <w:szCs w:val="21"/>
                    </w:rPr>
                  </w:pPr>
                </w:p>
              </w:tc>
              <w:tc>
                <w:tcPr>
                  <w:tcW w:w="1023" w:type="dxa"/>
                  <w:vAlign w:val="center"/>
                </w:tcPr>
                <w:p>
                  <w:pPr>
                    <w:pStyle w:val="30"/>
                    <w:spacing w:line="360" w:lineRule="exact"/>
                    <w:rPr>
                      <w:rFonts w:eastAsiaTheme="minorEastAsia"/>
                      <w:color w:val="auto"/>
                      <w:szCs w:val="21"/>
                    </w:rPr>
                  </w:pPr>
                  <w:r>
                    <w:rPr>
                      <w:rFonts w:eastAsiaTheme="minorEastAsia"/>
                      <w:color w:val="auto"/>
                      <w:szCs w:val="21"/>
                    </w:rPr>
                    <w:t>0.42</w:t>
                  </w:r>
                </w:p>
              </w:tc>
            </w:tr>
          </w:tbl>
          <w:p>
            <w:pPr>
              <w:pStyle w:val="38"/>
              <w:spacing w:beforeLines="50"/>
              <w:ind w:firstLine="480"/>
              <w:rPr>
                <w:rFonts w:eastAsiaTheme="minorEastAsia"/>
                <w:color w:val="auto"/>
                <w:szCs w:val="21"/>
              </w:rPr>
            </w:pPr>
            <w:r>
              <w:rPr>
                <w:rFonts w:eastAsiaTheme="minorEastAsia"/>
                <w:color w:val="auto"/>
                <w:szCs w:val="21"/>
              </w:rPr>
              <w:t>由上表可知，项目产生的各类危险废物和一般工业固体废物均分类暂存于已设置的分区内，并委托有资质的单位或相关单位处置，</w:t>
            </w:r>
            <w:r>
              <w:rPr>
                <w:color w:val="auto"/>
                <w:szCs w:val="24"/>
              </w:rPr>
              <w:t>项目产生的固体废物均可得到合理处置，处置率为100%；对环境影响较小。</w:t>
            </w:r>
          </w:p>
          <w:p>
            <w:pPr>
              <w:spacing w:line="360" w:lineRule="auto"/>
              <w:ind w:firstLine="361" w:firstLineChars="150"/>
              <w:rPr>
                <w:rFonts w:ascii="Times New Roman" w:hAnsi="Times New Roman" w:cs="Times New Roman"/>
                <w:b/>
                <w:color w:val="auto"/>
                <w:sz w:val="24"/>
              </w:rPr>
            </w:pPr>
            <w:r>
              <w:rPr>
                <w:rFonts w:ascii="Times New Roman" w:hAnsi="Times New Roman" w:cs="Times New Roman"/>
                <w:b/>
                <w:color w:val="auto"/>
                <w:sz w:val="24"/>
              </w:rPr>
              <w:t>（2）环境管理要求</w:t>
            </w:r>
          </w:p>
          <w:p>
            <w:pPr>
              <w:pStyle w:val="38"/>
              <w:ind w:firstLine="482"/>
              <w:rPr>
                <w:rFonts w:eastAsiaTheme="minorEastAsia"/>
                <w:b/>
                <w:color w:val="auto"/>
                <w:szCs w:val="24"/>
              </w:rPr>
            </w:pPr>
            <w:r>
              <w:rPr>
                <w:b/>
                <w:color w:val="auto"/>
                <w:szCs w:val="24"/>
              </w:rPr>
              <w:t>①</w:t>
            </w:r>
            <w:r>
              <w:rPr>
                <w:rFonts w:eastAsiaTheme="minorEastAsia"/>
                <w:b/>
                <w:color w:val="auto"/>
                <w:szCs w:val="24"/>
              </w:rPr>
              <w:t>危险废物管理要求</w:t>
            </w:r>
          </w:p>
          <w:p>
            <w:pPr>
              <w:pStyle w:val="38"/>
              <w:ind w:firstLine="480"/>
              <w:rPr>
                <w:color w:val="auto"/>
                <w:szCs w:val="24"/>
              </w:rPr>
            </w:pPr>
            <w:r>
              <w:rPr>
                <w:color w:val="auto"/>
                <w:szCs w:val="24"/>
              </w:rPr>
              <w:t>针对项目产生的危险废物，项目在日常管理过程中，必须严格按照《危险废物贮存污染控制标准》（GB18597-2001）及修改单的要求，在对危险废物的收集、贮存、利用和委托有资质的单位处理过程中，做到下表提出的要求。</w:t>
            </w:r>
          </w:p>
          <w:p>
            <w:pPr>
              <w:pStyle w:val="32"/>
              <w:spacing w:beforeLines="0"/>
              <w:rPr>
                <w:rFonts w:hAnsi="Times New Roman" w:eastAsiaTheme="minorEastAsia"/>
                <w:color w:val="auto"/>
                <w:sz w:val="21"/>
                <w:szCs w:val="21"/>
              </w:rPr>
            </w:pPr>
            <w:r>
              <w:rPr>
                <w:rFonts w:hAnsi="Times New Roman" w:eastAsiaTheme="minorEastAsia"/>
                <w:color w:val="auto"/>
                <w:sz w:val="21"/>
                <w:szCs w:val="21"/>
              </w:rPr>
              <w:t>表4.2.4-4 项目危险废物管理要求一览表</w:t>
            </w:r>
          </w:p>
          <w:tbl>
            <w:tblPr>
              <w:tblStyle w:val="20"/>
              <w:tblW w:w="9044"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33"/>
              <w:gridCol w:w="848"/>
              <w:gridCol w:w="766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533" w:type="dxa"/>
                  <w:vAlign w:val="center"/>
                </w:tcPr>
                <w:p>
                  <w:pPr>
                    <w:pStyle w:val="30"/>
                    <w:spacing w:before="78"/>
                    <w:ind w:left="11"/>
                    <w:rPr>
                      <w:rFonts w:eastAsiaTheme="minorEastAsia"/>
                      <w:color w:val="auto"/>
                    </w:rPr>
                  </w:pPr>
                  <w:r>
                    <w:rPr>
                      <w:rFonts w:eastAsiaTheme="minorEastAsia"/>
                      <w:color w:val="auto"/>
                    </w:rPr>
                    <w:t>序号</w:t>
                  </w:r>
                </w:p>
              </w:tc>
              <w:tc>
                <w:tcPr>
                  <w:tcW w:w="848" w:type="dxa"/>
                  <w:vAlign w:val="center"/>
                </w:tcPr>
                <w:p>
                  <w:pPr>
                    <w:pStyle w:val="30"/>
                    <w:spacing w:before="78"/>
                    <w:ind w:left="11"/>
                    <w:rPr>
                      <w:rFonts w:eastAsiaTheme="minorEastAsia"/>
                      <w:color w:val="auto"/>
                    </w:rPr>
                  </w:pPr>
                  <w:r>
                    <w:rPr>
                      <w:rFonts w:eastAsiaTheme="minorEastAsia"/>
                      <w:color w:val="auto"/>
                    </w:rPr>
                    <w:t>环节</w:t>
                  </w:r>
                </w:p>
              </w:tc>
              <w:tc>
                <w:tcPr>
                  <w:tcW w:w="7663" w:type="dxa"/>
                  <w:vAlign w:val="center"/>
                </w:tcPr>
                <w:p>
                  <w:pPr>
                    <w:pStyle w:val="30"/>
                    <w:spacing w:before="78"/>
                    <w:ind w:left="11"/>
                    <w:rPr>
                      <w:rFonts w:eastAsiaTheme="minorEastAsia"/>
                      <w:color w:val="auto"/>
                    </w:rPr>
                  </w:pPr>
                  <w:r>
                    <w:rPr>
                      <w:rFonts w:eastAsiaTheme="minorEastAsia"/>
                      <w:color w:val="auto"/>
                    </w:rPr>
                    <w:t>管理要求</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533" w:type="dxa"/>
                  <w:vAlign w:val="center"/>
                </w:tcPr>
                <w:p>
                  <w:pPr>
                    <w:pStyle w:val="30"/>
                    <w:spacing w:before="78"/>
                    <w:ind w:left="11"/>
                    <w:rPr>
                      <w:rFonts w:eastAsiaTheme="minorEastAsia"/>
                      <w:color w:val="auto"/>
                    </w:rPr>
                  </w:pPr>
                  <w:r>
                    <w:rPr>
                      <w:rFonts w:eastAsiaTheme="minorEastAsia"/>
                      <w:color w:val="auto"/>
                    </w:rPr>
                    <w:t>1</w:t>
                  </w:r>
                </w:p>
              </w:tc>
              <w:tc>
                <w:tcPr>
                  <w:tcW w:w="848" w:type="dxa"/>
                  <w:vAlign w:val="center"/>
                </w:tcPr>
                <w:p>
                  <w:pPr>
                    <w:pStyle w:val="30"/>
                    <w:spacing w:before="78"/>
                    <w:ind w:left="11"/>
                    <w:rPr>
                      <w:rFonts w:eastAsiaTheme="minorEastAsia"/>
                      <w:color w:val="auto"/>
                    </w:rPr>
                  </w:pPr>
                  <w:r>
                    <w:rPr>
                      <w:rFonts w:eastAsiaTheme="minorEastAsia"/>
                      <w:color w:val="auto"/>
                    </w:rPr>
                    <w:t>收集过程</w:t>
                  </w:r>
                </w:p>
              </w:tc>
              <w:tc>
                <w:tcPr>
                  <w:tcW w:w="7663" w:type="dxa"/>
                  <w:vAlign w:val="center"/>
                </w:tcPr>
                <w:p>
                  <w:pPr>
                    <w:pStyle w:val="30"/>
                    <w:spacing w:before="78"/>
                    <w:ind w:left="11" w:firstLine="210" w:firstLineChars="100"/>
                    <w:jc w:val="left"/>
                    <w:rPr>
                      <w:rFonts w:eastAsiaTheme="minorEastAsia"/>
                      <w:color w:val="auto"/>
                    </w:rPr>
                  </w:pPr>
                  <w:r>
                    <w:rPr>
                      <w:rFonts w:eastAsiaTheme="minorEastAsia"/>
                      <w:color w:val="auto"/>
                    </w:rPr>
                    <w:t>项目所产生的危险废物必须单独收集，严禁和一般固体废物混装。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533" w:type="dxa"/>
                  <w:vAlign w:val="center"/>
                </w:tcPr>
                <w:p>
                  <w:pPr>
                    <w:pStyle w:val="30"/>
                    <w:spacing w:before="78"/>
                    <w:ind w:left="11"/>
                    <w:rPr>
                      <w:rFonts w:eastAsiaTheme="minorEastAsia"/>
                      <w:color w:val="auto"/>
                    </w:rPr>
                  </w:pPr>
                  <w:r>
                    <w:rPr>
                      <w:rFonts w:eastAsiaTheme="minorEastAsia"/>
                      <w:color w:val="auto"/>
                    </w:rPr>
                    <w:t>2</w:t>
                  </w:r>
                </w:p>
              </w:tc>
              <w:tc>
                <w:tcPr>
                  <w:tcW w:w="848" w:type="dxa"/>
                  <w:vAlign w:val="center"/>
                </w:tcPr>
                <w:p>
                  <w:pPr>
                    <w:pStyle w:val="30"/>
                    <w:spacing w:before="78"/>
                    <w:ind w:left="11"/>
                    <w:rPr>
                      <w:rFonts w:eastAsiaTheme="minorEastAsia"/>
                      <w:color w:val="auto"/>
                    </w:rPr>
                  </w:pPr>
                  <w:r>
                    <w:rPr>
                      <w:rFonts w:eastAsiaTheme="minorEastAsia"/>
                      <w:color w:val="auto"/>
                    </w:rPr>
                    <w:t>贮存过程</w:t>
                  </w:r>
                </w:p>
              </w:tc>
              <w:tc>
                <w:tcPr>
                  <w:tcW w:w="7663" w:type="dxa"/>
                  <w:vAlign w:val="center"/>
                </w:tcPr>
                <w:p>
                  <w:pPr>
                    <w:pStyle w:val="30"/>
                    <w:spacing w:before="78"/>
                    <w:ind w:left="11" w:firstLine="210" w:firstLineChars="100"/>
                    <w:jc w:val="left"/>
                    <w:rPr>
                      <w:rFonts w:eastAsiaTheme="minorEastAsia"/>
                      <w:color w:val="auto"/>
                    </w:rPr>
                  </w:pPr>
                  <w:r>
                    <w:rPr>
                      <w:color w:val="auto"/>
                    </w:rPr>
                    <w:t>①</w:t>
                  </w:r>
                  <w:r>
                    <w:rPr>
                      <w:rFonts w:eastAsiaTheme="minorEastAsia"/>
                      <w:color w:val="auto"/>
                    </w:rPr>
                    <w:t>要做好危险废物贮存间的防渗、防泄漏工作。</w:t>
                  </w:r>
                </w:p>
                <w:p>
                  <w:pPr>
                    <w:pStyle w:val="30"/>
                    <w:spacing w:before="78"/>
                    <w:ind w:left="11" w:firstLine="210" w:firstLineChars="100"/>
                    <w:jc w:val="left"/>
                    <w:rPr>
                      <w:rFonts w:eastAsiaTheme="minorEastAsia"/>
                      <w:color w:val="auto"/>
                    </w:rPr>
                  </w:pPr>
                  <w:r>
                    <w:rPr>
                      <w:color w:val="auto"/>
                    </w:rPr>
                    <w:t>②</w:t>
                  </w:r>
                  <w:r>
                    <w:rPr>
                      <w:rFonts w:eastAsiaTheme="minorEastAsia"/>
                      <w:color w:val="auto"/>
                    </w:rPr>
                    <w:t>危险废物堆场必须封顶，并做好防雨工作，场内须做好防渗措施。</w:t>
                  </w:r>
                </w:p>
                <w:p>
                  <w:pPr>
                    <w:pStyle w:val="30"/>
                    <w:spacing w:before="78"/>
                    <w:ind w:left="11" w:firstLine="210" w:firstLineChars="100"/>
                    <w:jc w:val="left"/>
                    <w:rPr>
                      <w:rFonts w:eastAsiaTheme="minorEastAsia"/>
                      <w:color w:val="auto"/>
                    </w:rPr>
                  </w:pPr>
                  <w:r>
                    <w:rPr>
                      <w:color w:val="auto"/>
                    </w:rPr>
                    <w:t>③</w:t>
                  </w:r>
                  <w:r>
                    <w:rPr>
                      <w:rFonts w:eastAsiaTheme="minorEastAsia"/>
                      <w:color w:val="auto"/>
                    </w:rPr>
                    <w:t>危险废物需用符合标准的容器盛装，容器上需粘贴符合《危险废物贮存污染控制标准》（GB18597-2001）附录A所示的标签。</w:t>
                  </w:r>
                </w:p>
                <w:p>
                  <w:pPr>
                    <w:pStyle w:val="30"/>
                    <w:spacing w:before="78"/>
                    <w:ind w:left="11" w:firstLine="210" w:firstLineChars="100"/>
                    <w:jc w:val="left"/>
                    <w:rPr>
                      <w:rFonts w:eastAsiaTheme="minorEastAsia"/>
                      <w:color w:val="auto"/>
                    </w:rPr>
                  </w:pPr>
                  <w:r>
                    <w:rPr>
                      <w:color w:val="auto"/>
                    </w:rPr>
                    <w:t>④</w:t>
                  </w:r>
                  <w:r>
                    <w:rPr>
                      <w:rFonts w:eastAsiaTheme="minorEastAsia"/>
                      <w:color w:val="auto"/>
                    </w:rPr>
                    <w:t>危险废物贮存间必须按GB15562.2《环境保护图形标志—固体废物贮存（处置）场》的规定设置警示标志。</w:t>
                  </w:r>
                </w:p>
                <w:p>
                  <w:pPr>
                    <w:pStyle w:val="30"/>
                    <w:spacing w:before="78"/>
                    <w:ind w:left="11" w:firstLine="210" w:firstLineChars="100"/>
                    <w:jc w:val="left"/>
                    <w:rPr>
                      <w:rFonts w:eastAsiaTheme="minorEastAsia"/>
                      <w:color w:val="auto"/>
                    </w:rPr>
                  </w:pPr>
                  <w:r>
                    <w:rPr>
                      <w:color w:val="auto"/>
                    </w:rPr>
                    <w:t>⑤</w:t>
                  </w:r>
                  <w:r>
                    <w:rPr>
                      <w:rFonts w:eastAsiaTheme="minorEastAsia"/>
                      <w:color w:val="auto"/>
                    </w:rPr>
                    <w:t>装载危险废物的容器要满足相应的强度要求，必须完好无损。</w:t>
                  </w:r>
                </w:p>
                <w:p>
                  <w:pPr>
                    <w:pStyle w:val="30"/>
                    <w:spacing w:before="78"/>
                    <w:ind w:left="11" w:firstLine="210" w:firstLineChars="100"/>
                    <w:jc w:val="left"/>
                    <w:rPr>
                      <w:rFonts w:eastAsiaTheme="minorEastAsia"/>
                      <w:color w:val="auto"/>
                    </w:rPr>
                  </w:pPr>
                  <w:r>
                    <w:rPr>
                      <w:color w:val="auto"/>
                    </w:rPr>
                    <w:t>⑥</w:t>
                  </w:r>
                  <w:r>
                    <w:rPr>
                      <w:rFonts w:eastAsiaTheme="minorEastAsia"/>
                      <w:color w:val="auto"/>
                    </w:rPr>
                    <w:t>盛装危险废物的容器材质和衬里要与危险废物性质相容（不相互反应）。</w:t>
                  </w:r>
                </w:p>
                <w:p>
                  <w:pPr>
                    <w:pStyle w:val="30"/>
                    <w:spacing w:before="78"/>
                    <w:ind w:left="11" w:firstLine="210" w:firstLineChars="100"/>
                    <w:jc w:val="left"/>
                    <w:rPr>
                      <w:rFonts w:eastAsiaTheme="minorEastAsia"/>
                      <w:color w:val="auto"/>
                    </w:rPr>
                  </w:pPr>
                  <w:r>
                    <w:rPr>
                      <w:color w:val="auto"/>
                    </w:rPr>
                    <w:t>⑦</w:t>
                  </w:r>
                  <w:r>
                    <w:rPr>
                      <w:rFonts w:eastAsiaTheme="minorEastAsia"/>
                      <w:color w:val="auto"/>
                    </w:rPr>
                    <w:t>盛装危险废物容器都应有防漏裙脚或储漏盘，防漏裙脚或储漏盘的材料要与危险废物相容。</w:t>
                  </w:r>
                </w:p>
                <w:p>
                  <w:pPr>
                    <w:pStyle w:val="30"/>
                    <w:spacing w:before="78"/>
                    <w:ind w:left="11" w:firstLine="210" w:firstLineChars="100"/>
                    <w:jc w:val="left"/>
                    <w:rPr>
                      <w:rFonts w:eastAsiaTheme="minorEastAsia"/>
                      <w:color w:val="auto"/>
                    </w:rPr>
                  </w:pPr>
                  <w:r>
                    <w:rPr>
                      <w:color w:val="auto"/>
                    </w:rPr>
                    <w:t>⑧</w:t>
                  </w:r>
                  <w:r>
                    <w:rPr>
                      <w:rFonts w:eastAsiaTheme="minorEastAsia"/>
                      <w:color w:val="auto"/>
                    </w:rPr>
                    <w:t>作好危险废物贮存情况的记录，记录上须注明危险废物的名称、来源、数量、特性和包装容器的类别、入库日期、存放库位、废物出库日期及接收单位名称。记录和货单在危险废物处置后继续保留三年。</w:t>
                  </w:r>
                </w:p>
                <w:p>
                  <w:pPr>
                    <w:pStyle w:val="30"/>
                    <w:spacing w:before="78"/>
                    <w:ind w:left="11" w:firstLine="210" w:firstLineChars="100"/>
                    <w:jc w:val="left"/>
                    <w:rPr>
                      <w:rFonts w:eastAsiaTheme="minorEastAsia"/>
                      <w:color w:val="auto"/>
                    </w:rPr>
                  </w:pPr>
                  <w:r>
                    <w:rPr>
                      <w:color w:val="auto"/>
                    </w:rPr>
                    <w:t>⑨</w:t>
                  </w:r>
                  <w:r>
                    <w:rPr>
                      <w:rFonts w:eastAsiaTheme="minorEastAsia"/>
                      <w:color w:val="auto"/>
                    </w:rPr>
                    <w:t>必须定期对所贮存的危险废物包装容器进行检查，发现破损，应及时采取措施清理更换。</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533" w:type="dxa"/>
                  <w:vAlign w:val="center"/>
                </w:tcPr>
                <w:p>
                  <w:pPr>
                    <w:pStyle w:val="30"/>
                    <w:spacing w:before="78"/>
                    <w:ind w:left="11"/>
                    <w:rPr>
                      <w:rFonts w:eastAsiaTheme="minorEastAsia"/>
                      <w:color w:val="auto"/>
                    </w:rPr>
                  </w:pPr>
                  <w:r>
                    <w:rPr>
                      <w:rFonts w:eastAsiaTheme="minorEastAsia"/>
                      <w:color w:val="auto"/>
                    </w:rPr>
                    <w:t>3</w:t>
                  </w:r>
                </w:p>
              </w:tc>
              <w:tc>
                <w:tcPr>
                  <w:tcW w:w="848" w:type="dxa"/>
                  <w:vAlign w:val="center"/>
                </w:tcPr>
                <w:p>
                  <w:pPr>
                    <w:pStyle w:val="30"/>
                    <w:spacing w:before="78"/>
                    <w:ind w:left="11"/>
                    <w:rPr>
                      <w:rFonts w:eastAsiaTheme="minorEastAsia"/>
                      <w:color w:val="auto"/>
                    </w:rPr>
                  </w:pPr>
                  <w:r>
                    <w:rPr>
                      <w:rFonts w:eastAsiaTheme="minorEastAsia"/>
                      <w:color w:val="auto"/>
                    </w:rPr>
                    <w:t>委托转移</w:t>
                  </w:r>
                </w:p>
              </w:tc>
              <w:tc>
                <w:tcPr>
                  <w:tcW w:w="7663" w:type="dxa"/>
                  <w:vAlign w:val="center"/>
                </w:tcPr>
                <w:p>
                  <w:pPr>
                    <w:pStyle w:val="30"/>
                    <w:spacing w:before="78"/>
                    <w:ind w:left="11" w:firstLine="210" w:firstLineChars="100"/>
                    <w:jc w:val="left"/>
                    <w:rPr>
                      <w:rFonts w:eastAsiaTheme="minorEastAsia"/>
                      <w:color w:val="auto"/>
                    </w:rPr>
                  </w:pPr>
                  <w:r>
                    <w:rPr>
                      <w:rFonts w:eastAsiaTheme="minorEastAsia"/>
                      <w:color w:val="auto"/>
                    </w:rPr>
                    <w:t>利用和委托有资质的单位处理过程中必须严格按照《危险废物转移联单管理办法》相关要求，严格执行危险废物转移联单制度，设置台账。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533" w:type="dxa"/>
                  <w:vAlign w:val="center"/>
                </w:tcPr>
                <w:p>
                  <w:pPr>
                    <w:pStyle w:val="30"/>
                    <w:spacing w:before="78"/>
                    <w:ind w:left="11"/>
                    <w:rPr>
                      <w:rFonts w:eastAsiaTheme="minorEastAsia"/>
                      <w:color w:val="auto"/>
                    </w:rPr>
                  </w:pPr>
                  <w:r>
                    <w:rPr>
                      <w:rFonts w:eastAsiaTheme="minorEastAsia"/>
                      <w:color w:val="auto"/>
                    </w:rPr>
                    <w:t>4</w:t>
                  </w:r>
                </w:p>
              </w:tc>
              <w:tc>
                <w:tcPr>
                  <w:tcW w:w="848" w:type="dxa"/>
                  <w:vAlign w:val="center"/>
                </w:tcPr>
                <w:p>
                  <w:pPr>
                    <w:pStyle w:val="30"/>
                    <w:spacing w:before="78"/>
                    <w:ind w:left="11"/>
                    <w:rPr>
                      <w:rFonts w:eastAsiaTheme="minorEastAsia"/>
                      <w:color w:val="auto"/>
                    </w:rPr>
                  </w:pPr>
                  <w:r>
                    <w:rPr>
                      <w:rFonts w:eastAsiaTheme="minorEastAsia"/>
                      <w:color w:val="auto"/>
                    </w:rPr>
                    <w:t>危险废物贮存间的建设及管理</w:t>
                  </w:r>
                </w:p>
              </w:tc>
              <w:tc>
                <w:tcPr>
                  <w:tcW w:w="7663" w:type="dxa"/>
                  <w:vAlign w:val="center"/>
                </w:tcPr>
                <w:p>
                  <w:pPr>
                    <w:pStyle w:val="30"/>
                    <w:spacing w:before="78"/>
                    <w:ind w:left="11" w:firstLine="210" w:firstLineChars="100"/>
                    <w:jc w:val="left"/>
                    <w:rPr>
                      <w:rFonts w:eastAsiaTheme="minorEastAsia"/>
                      <w:color w:val="auto"/>
                    </w:rPr>
                  </w:pPr>
                  <w:r>
                    <w:rPr>
                      <w:color w:val="auto"/>
                    </w:rPr>
                    <w:t>①</w:t>
                  </w:r>
                  <w:r>
                    <w:rPr>
                      <w:rFonts w:eastAsiaTheme="minorEastAsia"/>
                      <w:color w:val="auto"/>
                    </w:rPr>
                    <w:t>危险废物贮存间必须要密闭建设，门口内侧设立围堰，地面应做好硬化及“三防”措施；</w:t>
                  </w:r>
                </w:p>
                <w:p>
                  <w:pPr>
                    <w:pStyle w:val="30"/>
                    <w:spacing w:before="78"/>
                    <w:ind w:left="11" w:firstLine="210" w:firstLineChars="100"/>
                    <w:jc w:val="left"/>
                    <w:rPr>
                      <w:rFonts w:eastAsiaTheme="minorEastAsia"/>
                      <w:color w:val="auto"/>
                    </w:rPr>
                  </w:pPr>
                  <w:r>
                    <w:rPr>
                      <w:color w:val="auto"/>
                    </w:rPr>
                    <w:t>②</w:t>
                  </w:r>
                  <w:r>
                    <w:rPr>
                      <w:rFonts w:eastAsiaTheme="minorEastAsia"/>
                      <w:color w:val="auto"/>
                    </w:rPr>
                    <w:t>危险废物贮存间门口需张贴标准规范的危险废物标识和危险信息版，屋内张贴企业《危险废物管理制度》；</w:t>
                  </w:r>
                </w:p>
                <w:p>
                  <w:pPr>
                    <w:pStyle w:val="30"/>
                    <w:spacing w:before="78"/>
                    <w:ind w:left="11" w:firstLine="210" w:firstLineChars="100"/>
                    <w:jc w:val="left"/>
                    <w:rPr>
                      <w:rFonts w:eastAsiaTheme="minorEastAsia"/>
                      <w:color w:val="auto"/>
                    </w:rPr>
                  </w:pPr>
                  <w:r>
                    <w:rPr>
                      <w:color w:val="auto"/>
                    </w:rPr>
                    <w:t>③</w:t>
                  </w:r>
                  <w:r>
                    <w:rPr>
                      <w:rFonts w:eastAsiaTheme="minorEastAsia"/>
                      <w:color w:val="auto"/>
                    </w:rPr>
                    <w:t>危险废物贮存间需按照“双人双锁”制度管理；</w:t>
                  </w:r>
                </w:p>
                <w:p>
                  <w:pPr>
                    <w:pStyle w:val="30"/>
                    <w:spacing w:before="78"/>
                    <w:ind w:left="11" w:firstLine="210" w:firstLineChars="100"/>
                    <w:jc w:val="left"/>
                    <w:rPr>
                      <w:rFonts w:eastAsiaTheme="minorEastAsia"/>
                      <w:color w:val="auto"/>
                    </w:rPr>
                  </w:pPr>
                  <w:r>
                    <w:rPr>
                      <w:color w:val="auto"/>
                    </w:rPr>
                    <w:t>④</w:t>
                  </w:r>
                  <w:r>
                    <w:rPr>
                      <w:rFonts w:eastAsiaTheme="minorEastAsia"/>
                      <w:color w:val="auto"/>
                    </w:rPr>
                    <w:t>不同种类危险废物应有明显的过道划分，墙上张贴危废名称，液体危废需将盛装容器放至防渗漏托盘内并在容器粘贴危险废物标签，固态危险废物包装需完好无破损并系挂危险废物标签，并按要求填写；</w:t>
                  </w:r>
                </w:p>
                <w:p>
                  <w:pPr>
                    <w:pStyle w:val="30"/>
                    <w:spacing w:before="78"/>
                    <w:ind w:left="11" w:firstLine="210" w:firstLineChars="100"/>
                    <w:jc w:val="left"/>
                    <w:rPr>
                      <w:rFonts w:eastAsiaTheme="minorEastAsia"/>
                      <w:color w:val="auto"/>
                    </w:rPr>
                  </w:pPr>
                  <w:r>
                    <w:rPr>
                      <w:color w:val="auto"/>
                    </w:rPr>
                    <w:t>⑤</w:t>
                  </w:r>
                  <w:r>
                    <w:rPr>
                      <w:rFonts w:eastAsiaTheme="minorEastAsia"/>
                      <w:color w:val="auto"/>
                    </w:rPr>
                    <w:t>建立台账并悬挂于危险废物贮存间内；</w:t>
                  </w:r>
                </w:p>
                <w:p>
                  <w:pPr>
                    <w:pStyle w:val="30"/>
                    <w:spacing w:before="78"/>
                    <w:ind w:left="11" w:firstLine="210" w:firstLineChars="100"/>
                    <w:jc w:val="left"/>
                    <w:rPr>
                      <w:rFonts w:eastAsiaTheme="minorEastAsia"/>
                      <w:color w:val="auto"/>
                    </w:rPr>
                  </w:pPr>
                  <w:r>
                    <w:rPr>
                      <w:color w:val="auto"/>
                    </w:rPr>
                    <w:t>⑥</w:t>
                  </w:r>
                  <w:r>
                    <w:rPr>
                      <w:rFonts w:eastAsiaTheme="minorEastAsia"/>
                      <w:color w:val="auto"/>
                    </w:rPr>
                    <w:t>危险废物贮存间内禁止存放除危险废物及应急工具及其他物品；</w:t>
                  </w:r>
                </w:p>
              </w:tc>
            </w:tr>
          </w:tbl>
          <w:p>
            <w:pPr>
              <w:pStyle w:val="38"/>
              <w:spacing w:beforeLines="50"/>
              <w:ind w:firstLine="482"/>
              <w:rPr>
                <w:rFonts w:eastAsiaTheme="minorEastAsia"/>
                <w:b/>
                <w:color w:val="auto"/>
                <w:szCs w:val="24"/>
              </w:rPr>
            </w:pPr>
            <w:bookmarkStart w:id="11" w:name="_Toc484976361"/>
            <w:r>
              <w:rPr>
                <w:b/>
                <w:color w:val="auto"/>
                <w:szCs w:val="24"/>
              </w:rPr>
              <w:t>②</w:t>
            </w:r>
            <w:r>
              <w:rPr>
                <w:rFonts w:eastAsiaTheme="minorEastAsia"/>
                <w:b/>
                <w:color w:val="auto"/>
                <w:szCs w:val="24"/>
              </w:rPr>
              <w:t>生活垃圾管理要求</w:t>
            </w:r>
          </w:p>
          <w:p>
            <w:pPr>
              <w:pStyle w:val="38"/>
              <w:ind w:firstLine="480"/>
              <w:rPr>
                <w:color w:val="auto"/>
                <w:szCs w:val="24"/>
              </w:rPr>
            </w:pPr>
            <w:r>
              <w:rPr>
                <w:color w:val="auto"/>
                <w:szCs w:val="24"/>
              </w:rPr>
              <w:t>项目产生的生活垃圾应做到日产日清。</w:t>
            </w:r>
          </w:p>
          <w:bookmarkEnd w:id="11"/>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4.2.5 地下水、土壤环境影响和保护措施</w:t>
            </w:r>
          </w:p>
          <w:p>
            <w:pPr>
              <w:pStyle w:val="38"/>
              <w:ind w:firstLine="361" w:firstLineChars="150"/>
              <w:rPr>
                <w:rFonts w:eastAsiaTheme="minorEastAsia"/>
                <w:b/>
                <w:color w:val="auto"/>
                <w:szCs w:val="24"/>
              </w:rPr>
            </w:pPr>
            <w:r>
              <w:rPr>
                <w:rFonts w:eastAsiaTheme="minorEastAsia"/>
                <w:b/>
                <w:color w:val="auto"/>
                <w:szCs w:val="24"/>
              </w:rPr>
              <w:t>（1）污染源及污染物类型</w:t>
            </w:r>
          </w:p>
          <w:p>
            <w:pPr>
              <w:pStyle w:val="38"/>
              <w:ind w:firstLine="480"/>
              <w:rPr>
                <w:color w:val="auto"/>
                <w:szCs w:val="24"/>
              </w:rPr>
            </w:pPr>
            <w:r>
              <w:rPr>
                <w:color w:val="auto"/>
                <w:szCs w:val="24"/>
              </w:rPr>
              <w:t>污染物从污染源进入地下水所经过的路径称为地下水污染途径，地下水污染途径是多种多样的。根据项目的特点，本项目可能对地下水造成污染的途径主要有：废矿物油等危险废物在地面防渗层发生破损的情况下会发生渗漏，对地下水造成污染，其污染物类型包括石油类。</w:t>
            </w:r>
          </w:p>
          <w:p>
            <w:pPr>
              <w:pStyle w:val="38"/>
              <w:ind w:firstLine="361" w:firstLineChars="150"/>
              <w:rPr>
                <w:rFonts w:eastAsiaTheme="minorEastAsia"/>
                <w:b/>
                <w:color w:val="auto"/>
                <w:szCs w:val="24"/>
              </w:rPr>
            </w:pPr>
            <w:r>
              <w:rPr>
                <w:rFonts w:eastAsiaTheme="minorEastAsia"/>
                <w:b/>
                <w:color w:val="auto"/>
                <w:szCs w:val="24"/>
              </w:rPr>
              <w:t>（2）污染源及污染途径</w:t>
            </w:r>
          </w:p>
          <w:p>
            <w:pPr>
              <w:pStyle w:val="38"/>
              <w:ind w:firstLine="480"/>
              <w:rPr>
                <w:color w:val="auto"/>
                <w:szCs w:val="24"/>
              </w:rPr>
            </w:pPr>
            <w:r>
              <w:rPr>
                <w:color w:val="auto"/>
                <w:szCs w:val="24"/>
              </w:rPr>
              <w:t>污染物从污染源进入地下水所经过的路径称为地下水污染途径，地下水污染途径是多种多样的。根据项目的特点，本项目可能对地下水造成污染的途径主要有：废矿物油等危险废物在地面防渗层发生破损的情况下会发生渗漏，对地下水造成污染。</w:t>
            </w:r>
          </w:p>
          <w:p>
            <w:pPr>
              <w:pStyle w:val="38"/>
              <w:ind w:firstLine="361" w:firstLineChars="150"/>
              <w:rPr>
                <w:rFonts w:eastAsiaTheme="minorEastAsia"/>
                <w:b/>
                <w:color w:val="auto"/>
                <w:szCs w:val="24"/>
              </w:rPr>
            </w:pPr>
            <w:r>
              <w:rPr>
                <w:rFonts w:eastAsiaTheme="minorEastAsia"/>
                <w:b/>
                <w:color w:val="auto"/>
                <w:szCs w:val="24"/>
              </w:rPr>
              <w:t>（2）防控措施</w:t>
            </w:r>
          </w:p>
          <w:p>
            <w:pPr>
              <w:pStyle w:val="38"/>
              <w:ind w:firstLine="480"/>
              <w:rPr>
                <w:color w:val="auto"/>
                <w:szCs w:val="24"/>
              </w:rPr>
            </w:pPr>
            <w:r>
              <w:rPr>
                <w:color w:val="auto"/>
                <w:szCs w:val="24"/>
              </w:rPr>
              <w:t>本项目地下水、土壤污染防治措施按照“源头控制、分区防治、应急响应”相结合的原则，从污染物的产生、入渗、扩散、应急响应进行控制。</w:t>
            </w:r>
          </w:p>
          <w:p>
            <w:pPr>
              <w:pStyle w:val="38"/>
              <w:ind w:firstLine="482"/>
              <w:rPr>
                <w:b/>
                <w:color w:val="auto"/>
                <w:szCs w:val="24"/>
              </w:rPr>
            </w:pPr>
            <w:r>
              <w:rPr>
                <w:b/>
                <w:color w:val="auto"/>
                <w:szCs w:val="24"/>
              </w:rPr>
              <w:t>①源头控制措施</w:t>
            </w:r>
          </w:p>
          <w:p>
            <w:pPr>
              <w:pStyle w:val="38"/>
              <w:ind w:firstLine="480"/>
              <w:rPr>
                <w:color w:val="auto"/>
                <w:szCs w:val="24"/>
              </w:rPr>
            </w:pPr>
            <w:r>
              <w:rPr>
                <w:color w:val="auto"/>
                <w:szCs w:val="24"/>
              </w:rPr>
              <w:t>严格按照公司制定的规范管理要求进行危险废物的管理。</w:t>
            </w:r>
          </w:p>
          <w:p>
            <w:pPr>
              <w:pStyle w:val="38"/>
              <w:ind w:firstLine="482"/>
              <w:rPr>
                <w:b/>
                <w:color w:val="auto"/>
                <w:szCs w:val="24"/>
              </w:rPr>
            </w:pPr>
            <w:r>
              <w:rPr>
                <w:b/>
                <w:color w:val="auto"/>
                <w:szCs w:val="24"/>
              </w:rPr>
              <w:t>②分区控制措施</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根据《环境影响评价技术导则-地下水环境》（HJ610-2016），项目分区防控措施根据建设项目场地天然包气带防污性能、污染控制难易程度和污染物特性提出防渗技术要求。污染控制难易程度分级如下表所示</w:t>
            </w:r>
            <w:r>
              <w:rPr>
                <w:rFonts w:ascii="Times New Roman" w:hAnsi="Times New Roman" w:cs="Times New Roman"/>
                <w:color w:val="auto"/>
                <w:sz w:val="24"/>
              </w:rPr>
              <w:t>。</w:t>
            </w:r>
          </w:p>
          <w:p>
            <w:pPr>
              <w:jc w:val="center"/>
              <w:rPr>
                <w:rFonts w:ascii="Times New Roman" w:hAnsi="Times New Roman" w:cs="Times New Roman"/>
                <w:b/>
                <w:color w:val="auto"/>
              </w:rPr>
            </w:pPr>
            <w:r>
              <w:rPr>
                <w:rFonts w:ascii="Times New Roman" w:hAnsi="Times New Roman" w:cs="Times New Roman"/>
                <w:b/>
                <w:color w:val="auto"/>
              </w:rPr>
              <w:t>表4.2.5-1  污染控制难易程度分级参照表</w:t>
            </w:r>
          </w:p>
          <w:tbl>
            <w:tblPr>
              <w:tblStyle w:val="19"/>
              <w:tblW w:w="90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7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vAlign w:val="center"/>
                </w:tcPr>
                <w:p>
                  <w:pPr>
                    <w:pStyle w:val="30"/>
                    <w:spacing w:line="360" w:lineRule="exact"/>
                    <w:rPr>
                      <w:rFonts w:eastAsiaTheme="minorEastAsia"/>
                      <w:color w:val="auto"/>
                      <w:szCs w:val="21"/>
                    </w:rPr>
                  </w:pPr>
                  <w:r>
                    <w:rPr>
                      <w:rFonts w:eastAsiaTheme="minorEastAsia"/>
                      <w:color w:val="auto"/>
                      <w:szCs w:val="21"/>
                    </w:rPr>
                    <w:t>污染物控制难易程度</w:t>
                  </w:r>
                </w:p>
              </w:tc>
              <w:tc>
                <w:tcPr>
                  <w:tcW w:w="7226" w:type="dxa"/>
                  <w:vAlign w:val="center"/>
                </w:tcPr>
                <w:p>
                  <w:pPr>
                    <w:pStyle w:val="30"/>
                    <w:spacing w:line="360" w:lineRule="exact"/>
                    <w:rPr>
                      <w:rFonts w:eastAsiaTheme="minorEastAsia"/>
                      <w:color w:val="auto"/>
                      <w:szCs w:val="21"/>
                    </w:rPr>
                  </w:pPr>
                  <w:r>
                    <w:rPr>
                      <w:rFonts w:eastAsiaTheme="minorEastAsia"/>
                      <w:color w:val="auto"/>
                      <w:szCs w:val="21"/>
                    </w:rPr>
                    <w:t>主要特征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vAlign w:val="center"/>
                </w:tcPr>
                <w:p>
                  <w:pPr>
                    <w:pStyle w:val="30"/>
                    <w:spacing w:line="360" w:lineRule="exact"/>
                    <w:rPr>
                      <w:rFonts w:eastAsiaTheme="minorEastAsia"/>
                      <w:color w:val="auto"/>
                      <w:szCs w:val="21"/>
                    </w:rPr>
                  </w:pPr>
                  <w:r>
                    <w:rPr>
                      <w:rFonts w:eastAsiaTheme="minorEastAsia"/>
                      <w:color w:val="auto"/>
                      <w:szCs w:val="21"/>
                    </w:rPr>
                    <w:t>难</w:t>
                  </w:r>
                </w:p>
              </w:tc>
              <w:tc>
                <w:tcPr>
                  <w:tcW w:w="7226"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对地下水环境有污染的物料或污染物泄漏后，不能及时发现和处理。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vAlign w:val="center"/>
                </w:tcPr>
                <w:p>
                  <w:pPr>
                    <w:pStyle w:val="30"/>
                    <w:spacing w:line="360" w:lineRule="exact"/>
                    <w:rPr>
                      <w:rFonts w:eastAsiaTheme="minorEastAsia"/>
                      <w:color w:val="auto"/>
                      <w:szCs w:val="21"/>
                    </w:rPr>
                  </w:pPr>
                  <w:r>
                    <w:rPr>
                      <w:rFonts w:eastAsiaTheme="minorEastAsia"/>
                      <w:color w:val="auto"/>
                      <w:szCs w:val="21"/>
                    </w:rPr>
                    <w:t>易</w:t>
                  </w:r>
                </w:p>
              </w:tc>
              <w:tc>
                <w:tcPr>
                  <w:tcW w:w="7226"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对地下水环境有污染的物料或污染物泄漏后，可及时发现和处理。</w:t>
                  </w:r>
                </w:p>
              </w:tc>
            </w:tr>
          </w:tbl>
          <w:p>
            <w:pPr>
              <w:spacing w:beforeLines="50"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天然包气带防污性能分级如下表所示。</w:t>
            </w:r>
          </w:p>
          <w:p>
            <w:pPr>
              <w:jc w:val="center"/>
              <w:rPr>
                <w:rFonts w:ascii="Times New Roman" w:hAnsi="Times New Roman" w:cs="Times New Roman"/>
                <w:b/>
                <w:color w:val="auto"/>
              </w:rPr>
            </w:pPr>
            <w:r>
              <w:rPr>
                <w:rFonts w:ascii="Times New Roman" w:hAnsi="Times New Roman" w:cs="Times New Roman"/>
                <w:b/>
                <w:color w:val="auto"/>
              </w:rPr>
              <w:t>表4.2.5-2  天然包气带防污性能分级</w:t>
            </w:r>
          </w:p>
          <w:tbl>
            <w:tblPr>
              <w:tblStyle w:val="19"/>
              <w:tblW w:w="90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8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6" w:type="dxa"/>
                  <w:vAlign w:val="center"/>
                </w:tcPr>
                <w:p>
                  <w:pPr>
                    <w:pStyle w:val="30"/>
                    <w:spacing w:line="360" w:lineRule="exact"/>
                    <w:rPr>
                      <w:rFonts w:eastAsiaTheme="minorEastAsia"/>
                      <w:color w:val="auto"/>
                      <w:szCs w:val="21"/>
                    </w:rPr>
                  </w:pPr>
                  <w:r>
                    <w:rPr>
                      <w:rFonts w:eastAsiaTheme="minorEastAsia"/>
                      <w:color w:val="auto"/>
                      <w:szCs w:val="21"/>
                    </w:rPr>
                    <w:t>分级</w:t>
                  </w:r>
                </w:p>
              </w:tc>
              <w:tc>
                <w:tcPr>
                  <w:tcW w:w="8268" w:type="dxa"/>
                  <w:vAlign w:val="center"/>
                </w:tcPr>
                <w:p>
                  <w:pPr>
                    <w:pStyle w:val="30"/>
                    <w:spacing w:line="360" w:lineRule="exact"/>
                    <w:rPr>
                      <w:rFonts w:eastAsiaTheme="minorEastAsia"/>
                      <w:color w:val="auto"/>
                      <w:szCs w:val="21"/>
                    </w:rPr>
                  </w:pPr>
                  <w:r>
                    <w:rPr>
                      <w:rFonts w:eastAsiaTheme="minorEastAsia"/>
                      <w:color w:val="auto"/>
                      <w:szCs w:val="21"/>
                    </w:rPr>
                    <w:t>包气带岩土的渗透性能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6" w:type="dxa"/>
                  <w:vAlign w:val="center"/>
                </w:tcPr>
                <w:p>
                  <w:pPr>
                    <w:pStyle w:val="30"/>
                    <w:spacing w:line="360" w:lineRule="exact"/>
                    <w:rPr>
                      <w:rFonts w:eastAsiaTheme="minorEastAsia"/>
                      <w:color w:val="auto"/>
                      <w:szCs w:val="21"/>
                    </w:rPr>
                  </w:pPr>
                  <w:r>
                    <w:rPr>
                      <w:rFonts w:eastAsiaTheme="minorEastAsia"/>
                      <w:color w:val="auto"/>
                      <w:szCs w:val="21"/>
                    </w:rPr>
                    <w:t>强</w:t>
                  </w:r>
                </w:p>
              </w:tc>
              <w:tc>
                <w:tcPr>
                  <w:tcW w:w="8268"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岩（土）单层厚度Mb≥1.0m，渗透系数K≤10</w:t>
                  </w:r>
                  <w:r>
                    <w:rPr>
                      <w:rFonts w:eastAsiaTheme="minorEastAsia"/>
                      <w:color w:val="auto"/>
                      <w:szCs w:val="21"/>
                      <w:vertAlign w:val="superscript"/>
                    </w:rPr>
                    <w:t>-6</w:t>
                  </w:r>
                  <w:r>
                    <w:rPr>
                      <w:rFonts w:eastAsiaTheme="minorEastAsia"/>
                      <w:color w:val="auto"/>
                      <w:szCs w:val="21"/>
                    </w:rPr>
                    <w:t>cm/s，且分布连续、稳定；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6" w:type="dxa"/>
                  <w:vAlign w:val="center"/>
                </w:tcPr>
                <w:p>
                  <w:pPr>
                    <w:pStyle w:val="30"/>
                    <w:spacing w:line="360" w:lineRule="exact"/>
                    <w:rPr>
                      <w:rFonts w:eastAsiaTheme="minorEastAsia"/>
                      <w:color w:val="auto"/>
                      <w:szCs w:val="21"/>
                    </w:rPr>
                  </w:pPr>
                  <w:r>
                    <w:rPr>
                      <w:rFonts w:eastAsiaTheme="minorEastAsia"/>
                      <w:color w:val="auto"/>
                      <w:szCs w:val="21"/>
                    </w:rPr>
                    <w:t>中</w:t>
                  </w:r>
                </w:p>
              </w:tc>
              <w:tc>
                <w:tcPr>
                  <w:tcW w:w="8268"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岩（土）单层厚度0.5m≤Mb＜1.0m，渗透系数K≤10</w:t>
                  </w:r>
                  <w:r>
                    <w:rPr>
                      <w:rFonts w:eastAsiaTheme="minorEastAsia"/>
                      <w:color w:val="auto"/>
                      <w:szCs w:val="21"/>
                      <w:vertAlign w:val="superscript"/>
                    </w:rPr>
                    <w:t>-6</w:t>
                  </w:r>
                  <w:r>
                    <w:rPr>
                      <w:rFonts w:eastAsiaTheme="minorEastAsia"/>
                      <w:color w:val="auto"/>
                      <w:szCs w:val="21"/>
                    </w:rPr>
                    <w:t>cm/s，且分布连续、稳定；</w:t>
                  </w:r>
                </w:p>
                <w:p>
                  <w:pPr>
                    <w:pStyle w:val="30"/>
                    <w:spacing w:line="360" w:lineRule="exact"/>
                    <w:ind w:firstLine="210" w:firstLineChars="100"/>
                    <w:jc w:val="both"/>
                    <w:rPr>
                      <w:rFonts w:eastAsiaTheme="minorEastAsia"/>
                      <w:color w:val="auto"/>
                      <w:szCs w:val="21"/>
                    </w:rPr>
                  </w:pPr>
                  <w:r>
                    <w:rPr>
                      <w:rFonts w:eastAsiaTheme="minorEastAsia"/>
                      <w:color w:val="auto"/>
                      <w:szCs w:val="21"/>
                    </w:rPr>
                    <w:t>岩（土）单层厚度Mb≥1.0m，渗透系数10</w:t>
                  </w:r>
                  <w:r>
                    <w:rPr>
                      <w:rFonts w:eastAsiaTheme="minorEastAsia"/>
                      <w:color w:val="auto"/>
                      <w:szCs w:val="21"/>
                      <w:vertAlign w:val="superscript"/>
                    </w:rPr>
                    <w:t>-6</w:t>
                  </w:r>
                  <w:r>
                    <w:rPr>
                      <w:rFonts w:eastAsiaTheme="minorEastAsia"/>
                      <w:color w:val="auto"/>
                      <w:szCs w:val="21"/>
                    </w:rPr>
                    <w:t>cm/s＜K≤10</w:t>
                  </w:r>
                  <w:r>
                    <w:rPr>
                      <w:rFonts w:eastAsiaTheme="minorEastAsia"/>
                      <w:color w:val="auto"/>
                      <w:szCs w:val="21"/>
                      <w:vertAlign w:val="superscript"/>
                    </w:rPr>
                    <w:t>-4</w:t>
                  </w:r>
                  <w:r>
                    <w:rPr>
                      <w:rFonts w:eastAsiaTheme="minorEastAsia"/>
                      <w:color w:val="auto"/>
                      <w:szCs w:val="21"/>
                    </w:rPr>
                    <w:t>cm/s，且分布连续、稳定。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6" w:type="dxa"/>
                  <w:vAlign w:val="center"/>
                </w:tcPr>
                <w:p>
                  <w:pPr>
                    <w:pStyle w:val="30"/>
                    <w:spacing w:line="360" w:lineRule="exact"/>
                    <w:rPr>
                      <w:rFonts w:eastAsiaTheme="minorEastAsia"/>
                      <w:color w:val="auto"/>
                      <w:szCs w:val="21"/>
                    </w:rPr>
                  </w:pPr>
                  <w:r>
                    <w:rPr>
                      <w:rFonts w:eastAsiaTheme="minorEastAsia"/>
                      <w:color w:val="auto"/>
                      <w:szCs w:val="21"/>
                    </w:rPr>
                    <w:t>弱</w:t>
                  </w:r>
                </w:p>
              </w:tc>
              <w:tc>
                <w:tcPr>
                  <w:tcW w:w="8268"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岩（土）层不满足上述“强”和“中”条件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6" w:type="dxa"/>
                  <w:vAlign w:val="center"/>
                </w:tcPr>
                <w:p>
                  <w:pPr>
                    <w:pStyle w:val="30"/>
                    <w:spacing w:line="360" w:lineRule="exact"/>
                    <w:rPr>
                      <w:rFonts w:eastAsiaTheme="minorEastAsia"/>
                      <w:color w:val="auto"/>
                      <w:szCs w:val="21"/>
                    </w:rPr>
                  </w:pPr>
                  <w:r>
                    <w:rPr>
                      <w:rFonts w:eastAsiaTheme="minorEastAsia"/>
                      <w:color w:val="auto"/>
                      <w:szCs w:val="21"/>
                    </w:rPr>
                    <w:t>备注</w:t>
                  </w:r>
                </w:p>
              </w:tc>
              <w:tc>
                <w:tcPr>
                  <w:tcW w:w="8268"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项目区地下水类型主要为岩溶水，含水层岩性主要为古生界石炭系大塘阶组（C1d）浅海相泥质灰岩或白云岩，综上确定包气带防污性能为“弱”。</w:t>
                  </w:r>
                </w:p>
              </w:tc>
            </w:tr>
          </w:tbl>
          <w:p>
            <w:pPr>
              <w:spacing w:beforeLines="50"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地下水污染防渗分区按下表要求执行。</w:t>
            </w:r>
          </w:p>
          <w:p>
            <w:pPr>
              <w:jc w:val="center"/>
              <w:rPr>
                <w:rFonts w:ascii="Times New Roman" w:hAnsi="Times New Roman" w:cs="Times New Roman"/>
                <w:b/>
                <w:color w:val="auto"/>
              </w:rPr>
            </w:pPr>
            <w:r>
              <w:rPr>
                <w:rFonts w:ascii="Times New Roman" w:hAnsi="Times New Roman" w:cs="Times New Roman"/>
                <w:b/>
                <w:color w:val="auto"/>
              </w:rPr>
              <w:t>表4.2.5-3  地下水污染防渗分区</w:t>
            </w:r>
          </w:p>
          <w:tbl>
            <w:tblPr>
              <w:tblStyle w:val="19"/>
              <w:tblW w:w="90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1490"/>
              <w:gridCol w:w="1490"/>
              <w:gridCol w:w="1787"/>
              <w:gridCol w:w="3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4" w:type="dxa"/>
                  <w:vAlign w:val="center"/>
                </w:tcPr>
                <w:p>
                  <w:pPr>
                    <w:pStyle w:val="30"/>
                    <w:spacing w:line="360" w:lineRule="exact"/>
                    <w:rPr>
                      <w:rFonts w:eastAsiaTheme="minorEastAsia"/>
                      <w:color w:val="auto"/>
                      <w:szCs w:val="21"/>
                    </w:rPr>
                  </w:pPr>
                  <w:r>
                    <w:rPr>
                      <w:rFonts w:eastAsiaTheme="minorEastAsia"/>
                      <w:color w:val="auto"/>
                      <w:szCs w:val="21"/>
                    </w:rPr>
                    <w:t>防渗分区</w:t>
                  </w:r>
                </w:p>
              </w:tc>
              <w:tc>
                <w:tcPr>
                  <w:tcW w:w="1490" w:type="dxa"/>
                  <w:vAlign w:val="center"/>
                </w:tcPr>
                <w:p>
                  <w:pPr>
                    <w:pStyle w:val="30"/>
                    <w:spacing w:line="360" w:lineRule="exact"/>
                    <w:rPr>
                      <w:rFonts w:eastAsiaTheme="minorEastAsia"/>
                      <w:color w:val="auto"/>
                      <w:szCs w:val="21"/>
                    </w:rPr>
                  </w:pPr>
                  <w:r>
                    <w:rPr>
                      <w:rFonts w:eastAsiaTheme="minorEastAsia"/>
                      <w:color w:val="auto"/>
                      <w:szCs w:val="21"/>
                    </w:rPr>
                    <w:t>天然包气带防污性能</w:t>
                  </w:r>
                </w:p>
              </w:tc>
              <w:tc>
                <w:tcPr>
                  <w:tcW w:w="1490" w:type="dxa"/>
                  <w:vAlign w:val="center"/>
                </w:tcPr>
                <w:p>
                  <w:pPr>
                    <w:pStyle w:val="30"/>
                    <w:spacing w:line="360" w:lineRule="exact"/>
                    <w:rPr>
                      <w:rFonts w:eastAsiaTheme="minorEastAsia"/>
                      <w:color w:val="auto"/>
                      <w:szCs w:val="21"/>
                    </w:rPr>
                  </w:pPr>
                  <w:r>
                    <w:rPr>
                      <w:rFonts w:eastAsiaTheme="minorEastAsia"/>
                      <w:color w:val="auto"/>
                      <w:szCs w:val="21"/>
                    </w:rPr>
                    <w:t>污染控制难易程度</w:t>
                  </w:r>
                </w:p>
              </w:tc>
              <w:tc>
                <w:tcPr>
                  <w:tcW w:w="1787" w:type="dxa"/>
                  <w:vAlign w:val="center"/>
                </w:tcPr>
                <w:p>
                  <w:pPr>
                    <w:pStyle w:val="30"/>
                    <w:spacing w:line="360" w:lineRule="exact"/>
                    <w:rPr>
                      <w:rFonts w:eastAsiaTheme="minorEastAsia"/>
                      <w:color w:val="auto"/>
                      <w:szCs w:val="21"/>
                    </w:rPr>
                  </w:pPr>
                  <w:r>
                    <w:rPr>
                      <w:rFonts w:eastAsiaTheme="minorEastAsia"/>
                      <w:color w:val="auto"/>
                      <w:szCs w:val="21"/>
                    </w:rPr>
                    <w:t>污染物类型</w:t>
                  </w:r>
                </w:p>
              </w:tc>
              <w:tc>
                <w:tcPr>
                  <w:tcW w:w="3203" w:type="dxa"/>
                  <w:vAlign w:val="center"/>
                </w:tcPr>
                <w:p>
                  <w:pPr>
                    <w:pStyle w:val="30"/>
                    <w:spacing w:line="360" w:lineRule="exact"/>
                    <w:rPr>
                      <w:rFonts w:eastAsiaTheme="minorEastAsia"/>
                      <w:color w:val="auto"/>
                      <w:szCs w:val="21"/>
                    </w:rPr>
                  </w:pPr>
                  <w:r>
                    <w:rPr>
                      <w:rFonts w:eastAsiaTheme="minorEastAsia"/>
                      <w:color w:val="auto"/>
                      <w:szCs w:val="21"/>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4" w:type="dxa"/>
                  <w:vMerge w:val="restart"/>
                  <w:vAlign w:val="center"/>
                </w:tcPr>
                <w:p>
                  <w:pPr>
                    <w:pStyle w:val="30"/>
                    <w:spacing w:line="360" w:lineRule="exact"/>
                    <w:rPr>
                      <w:rFonts w:eastAsiaTheme="minorEastAsia"/>
                      <w:color w:val="auto"/>
                      <w:szCs w:val="21"/>
                    </w:rPr>
                  </w:pPr>
                  <w:r>
                    <w:rPr>
                      <w:rFonts w:eastAsiaTheme="minorEastAsia"/>
                      <w:color w:val="auto"/>
                      <w:szCs w:val="21"/>
                    </w:rPr>
                    <w:t>重点防渗区</w:t>
                  </w:r>
                </w:p>
              </w:tc>
              <w:tc>
                <w:tcPr>
                  <w:tcW w:w="1490" w:type="dxa"/>
                  <w:vAlign w:val="center"/>
                </w:tcPr>
                <w:p>
                  <w:pPr>
                    <w:pStyle w:val="30"/>
                    <w:spacing w:line="360" w:lineRule="exact"/>
                    <w:rPr>
                      <w:rFonts w:eastAsiaTheme="minorEastAsia"/>
                      <w:color w:val="auto"/>
                      <w:szCs w:val="21"/>
                    </w:rPr>
                  </w:pPr>
                  <w:r>
                    <w:rPr>
                      <w:rFonts w:eastAsiaTheme="minorEastAsia"/>
                      <w:color w:val="auto"/>
                      <w:szCs w:val="21"/>
                    </w:rPr>
                    <w:t>弱</w:t>
                  </w:r>
                </w:p>
              </w:tc>
              <w:tc>
                <w:tcPr>
                  <w:tcW w:w="1490" w:type="dxa"/>
                  <w:vAlign w:val="center"/>
                </w:tcPr>
                <w:p>
                  <w:pPr>
                    <w:pStyle w:val="30"/>
                    <w:spacing w:line="360" w:lineRule="exact"/>
                    <w:rPr>
                      <w:rFonts w:eastAsiaTheme="minorEastAsia"/>
                      <w:color w:val="auto"/>
                      <w:szCs w:val="21"/>
                    </w:rPr>
                  </w:pPr>
                  <w:r>
                    <w:rPr>
                      <w:rFonts w:eastAsiaTheme="minorEastAsia"/>
                      <w:color w:val="auto"/>
                      <w:szCs w:val="21"/>
                    </w:rPr>
                    <w:t>难</w:t>
                  </w:r>
                </w:p>
              </w:tc>
              <w:tc>
                <w:tcPr>
                  <w:tcW w:w="1787" w:type="dxa"/>
                  <w:vMerge w:val="restart"/>
                  <w:vAlign w:val="center"/>
                </w:tcPr>
                <w:p>
                  <w:pPr>
                    <w:pStyle w:val="30"/>
                    <w:spacing w:line="360" w:lineRule="exact"/>
                    <w:rPr>
                      <w:rFonts w:eastAsiaTheme="minorEastAsia"/>
                      <w:color w:val="auto"/>
                      <w:szCs w:val="21"/>
                    </w:rPr>
                  </w:pPr>
                  <w:r>
                    <w:rPr>
                      <w:rFonts w:eastAsiaTheme="minorEastAsia"/>
                      <w:color w:val="auto"/>
                      <w:szCs w:val="21"/>
                    </w:rPr>
                    <w:t>重金属、持久性有机污染物</w:t>
                  </w:r>
                </w:p>
              </w:tc>
              <w:tc>
                <w:tcPr>
                  <w:tcW w:w="3203" w:type="dxa"/>
                  <w:vMerge w:val="restart"/>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等效黏土防渗层Mb≥6.0m，K≤1×10</w:t>
                  </w:r>
                  <w:r>
                    <w:rPr>
                      <w:rFonts w:eastAsiaTheme="minorEastAsia"/>
                      <w:color w:val="auto"/>
                      <w:szCs w:val="21"/>
                      <w:vertAlign w:val="superscript"/>
                    </w:rPr>
                    <w:t>-7</w:t>
                  </w:r>
                  <w:r>
                    <w:rPr>
                      <w:rFonts w:eastAsiaTheme="minorEastAsia"/>
                      <w:color w:val="auto"/>
                      <w:szCs w:val="21"/>
                    </w:rPr>
                    <w:t>cm/s；或参照GB18598执行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4" w:type="dxa"/>
                  <w:vMerge w:val="continue"/>
                  <w:vAlign w:val="center"/>
                </w:tcPr>
                <w:p>
                  <w:pPr>
                    <w:pStyle w:val="30"/>
                    <w:spacing w:line="360" w:lineRule="exact"/>
                    <w:rPr>
                      <w:rFonts w:eastAsiaTheme="minorEastAsia"/>
                      <w:color w:val="auto"/>
                      <w:szCs w:val="21"/>
                    </w:rPr>
                  </w:pPr>
                </w:p>
              </w:tc>
              <w:tc>
                <w:tcPr>
                  <w:tcW w:w="1490" w:type="dxa"/>
                  <w:vAlign w:val="center"/>
                </w:tcPr>
                <w:p>
                  <w:pPr>
                    <w:pStyle w:val="30"/>
                    <w:spacing w:line="360" w:lineRule="exact"/>
                    <w:rPr>
                      <w:rFonts w:eastAsiaTheme="minorEastAsia"/>
                      <w:color w:val="auto"/>
                      <w:szCs w:val="21"/>
                    </w:rPr>
                  </w:pPr>
                  <w:r>
                    <w:rPr>
                      <w:rFonts w:eastAsiaTheme="minorEastAsia"/>
                      <w:color w:val="auto"/>
                      <w:szCs w:val="21"/>
                    </w:rPr>
                    <w:t>中-强</w:t>
                  </w:r>
                </w:p>
              </w:tc>
              <w:tc>
                <w:tcPr>
                  <w:tcW w:w="1490" w:type="dxa"/>
                  <w:vAlign w:val="center"/>
                </w:tcPr>
                <w:p>
                  <w:pPr>
                    <w:pStyle w:val="30"/>
                    <w:spacing w:line="360" w:lineRule="exact"/>
                    <w:rPr>
                      <w:rFonts w:eastAsiaTheme="minorEastAsia"/>
                      <w:color w:val="auto"/>
                      <w:szCs w:val="21"/>
                    </w:rPr>
                  </w:pPr>
                  <w:r>
                    <w:rPr>
                      <w:rFonts w:eastAsiaTheme="minorEastAsia"/>
                      <w:color w:val="auto"/>
                      <w:szCs w:val="21"/>
                    </w:rPr>
                    <w:t>难</w:t>
                  </w:r>
                </w:p>
              </w:tc>
              <w:tc>
                <w:tcPr>
                  <w:tcW w:w="1787" w:type="dxa"/>
                  <w:vMerge w:val="continue"/>
                  <w:vAlign w:val="center"/>
                </w:tcPr>
                <w:p>
                  <w:pPr>
                    <w:pStyle w:val="30"/>
                    <w:spacing w:line="360" w:lineRule="exact"/>
                    <w:rPr>
                      <w:rFonts w:eastAsiaTheme="minorEastAsia"/>
                      <w:color w:val="auto"/>
                      <w:szCs w:val="21"/>
                    </w:rPr>
                  </w:pPr>
                </w:p>
              </w:tc>
              <w:tc>
                <w:tcPr>
                  <w:tcW w:w="3203" w:type="dxa"/>
                  <w:vMerge w:val="continue"/>
                  <w:vAlign w:val="center"/>
                </w:tcPr>
                <w:p>
                  <w:pPr>
                    <w:pStyle w:val="30"/>
                    <w:spacing w:line="360" w:lineRule="exact"/>
                    <w:ind w:firstLine="210" w:firstLineChars="100"/>
                    <w:jc w:val="both"/>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4" w:type="dxa"/>
                  <w:vMerge w:val="continue"/>
                  <w:vAlign w:val="center"/>
                </w:tcPr>
                <w:p>
                  <w:pPr>
                    <w:pStyle w:val="30"/>
                    <w:spacing w:line="360" w:lineRule="exact"/>
                    <w:rPr>
                      <w:rFonts w:eastAsiaTheme="minorEastAsia"/>
                      <w:color w:val="auto"/>
                      <w:szCs w:val="21"/>
                    </w:rPr>
                  </w:pPr>
                </w:p>
              </w:tc>
              <w:tc>
                <w:tcPr>
                  <w:tcW w:w="1490" w:type="dxa"/>
                  <w:vAlign w:val="center"/>
                </w:tcPr>
                <w:p>
                  <w:pPr>
                    <w:pStyle w:val="30"/>
                    <w:spacing w:line="360" w:lineRule="exact"/>
                    <w:rPr>
                      <w:rFonts w:eastAsiaTheme="minorEastAsia"/>
                      <w:color w:val="auto"/>
                      <w:szCs w:val="21"/>
                    </w:rPr>
                  </w:pPr>
                  <w:r>
                    <w:rPr>
                      <w:rFonts w:eastAsiaTheme="minorEastAsia"/>
                      <w:color w:val="auto"/>
                      <w:szCs w:val="21"/>
                    </w:rPr>
                    <w:t>弱</w:t>
                  </w:r>
                </w:p>
              </w:tc>
              <w:tc>
                <w:tcPr>
                  <w:tcW w:w="1490" w:type="dxa"/>
                  <w:vAlign w:val="center"/>
                </w:tcPr>
                <w:p>
                  <w:pPr>
                    <w:pStyle w:val="30"/>
                    <w:spacing w:line="360" w:lineRule="exact"/>
                    <w:rPr>
                      <w:rFonts w:eastAsiaTheme="minorEastAsia"/>
                      <w:color w:val="auto"/>
                      <w:szCs w:val="21"/>
                    </w:rPr>
                  </w:pPr>
                  <w:r>
                    <w:rPr>
                      <w:rFonts w:eastAsiaTheme="minorEastAsia"/>
                      <w:color w:val="auto"/>
                      <w:szCs w:val="21"/>
                    </w:rPr>
                    <w:t>易</w:t>
                  </w:r>
                </w:p>
              </w:tc>
              <w:tc>
                <w:tcPr>
                  <w:tcW w:w="1787" w:type="dxa"/>
                  <w:vMerge w:val="continue"/>
                  <w:vAlign w:val="center"/>
                </w:tcPr>
                <w:p>
                  <w:pPr>
                    <w:pStyle w:val="30"/>
                    <w:spacing w:line="360" w:lineRule="exact"/>
                    <w:rPr>
                      <w:rFonts w:eastAsiaTheme="minorEastAsia"/>
                      <w:color w:val="auto"/>
                      <w:szCs w:val="21"/>
                    </w:rPr>
                  </w:pPr>
                </w:p>
              </w:tc>
              <w:tc>
                <w:tcPr>
                  <w:tcW w:w="3203" w:type="dxa"/>
                  <w:vMerge w:val="continue"/>
                  <w:vAlign w:val="center"/>
                </w:tcPr>
                <w:p>
                  <w:pPr>
                    <w:pStyle w:val="30"/>
                    <w:spacing w:line="360" w:lineRule="exact"/>
                    <w:ind w:firstLine="210" w:firstLineChars="100"/>
                    <w:jc w:val="both"/>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4" w:type="dxa"/>
                  <w:vMerge w:val="restart"/>
                  <w:vAlign w:val="center"/>
                </w:tcPr>
                <w:p>
                  <w:pPr>
                    <w:pStyle w:val="30"/>
                    <w:spacing w:line="360" w:lineRule="exact"/>
                    <w:rPr>
                      <w:rFonts w:eastAsiaTheme="minorEastAsia"/>
                      <w:color w:val="auto"/>
                      <w:szCs w:val="21"/>
                    </w:rPr>
                  </w:pPr>
                  <w:r>
                    <w:rPr>
                      <w:rFonts w:eastAsiaTheme="minorEastAsia"/>
                      <w:color w:val="auto"/>
                      <w:szCs w:val="21"/>
                    </w:rPr>
                    <w:t>一般防渗区</w:t>
                  </w:r>
                </w:p>
              </w:tc>
              <w:tc>
                <w:tcPr>
                  <w:tcW w:w="1490" w:type="dxa"/>
                  <w:vAlign w:val="center"/>
                </w:tcPr>
                <w:p>
                  <w:pPr>
                    <w:pStyle w:val="30"/>
                    <w:spacing w:line="360" w:lineRule="exact"/>
                    <w:rPr>
                      <w:rFonts w:eastAsiaTheme="minorEastAsia"/>
                      <w:color w:val="auto"/>
                      <w:szCs w:val="21"/>
                    </w:rPr>
                  </w:pPr>
                  <w:r>
                    <w:rPr>
                      <w:rFonts w:eastAsiaTheme="minorEastAsia"/>
                      <w:color w:val="auto"/>
                      <w:szCs w:val="21"/>
                    </w:rPr>
                    <w:t>弱</w:t>
                  </w:r>
                </w:p>
              </w:tc>
              <w:tc>
                <w:tcPr>
                  <w:tcW w:w="1490" w:type="dxa"/>
                  <w:vAlign w:val="center"/>
                </w:tcPr>
                <w:p>
                  <w:pPr>
                    <w:pStyle w:val="30"/>
                    <w:spacing w:line="360" w:lineRule="exact"/>
                    <w:rPr>
                      <w:rFonts w:eastAsiaTheme="minorEastAsia"/>
                      <w:color w:val="auto"/>
                      <w:szCs w:val="21"/>
                    </w:rPr>
                  </w:pPr>
                  <w:r>
                    <w:rPr>
                      <w:rFonts w:eastAsiaTheme="minorEastAsia"/>
                      <w:color w:val="auto"/>
                      <w:szCs w:val="21"/>
                    </w:rPr>
                    <w:t>易-难</w:t>
                  </w:r>
                </w:p>
              </w:tc>
              <w:tc>
                <w:tcPr>
                  <w:tcW w:w="1787" w:type="dxa"/>
                  <w:vMerge w:val="restart"/>
                  <w:vAlign w:val="center"/>
                </w:tcPr>
                <w:p>
                  <w:pPr>
                    <w:pStyle w:val="30"/>
                    <w:spacing w:line="360" w:lineRule="exact"/>
                    <w:rPr>
                      <w:rFonts w:eastAsiaTheme="minorEastAsia"/>
                      <w:color w:val="auto"/>
                      <w:szCs w:val="21"/>
                    </w:rPr>
                  </w:pPr>
                  <w:r>
                    <w:rPr>
                      <w:rFonts w:eastAsiaTheme="minorEastAsia"/>
                      <w:color w:val="auto"/>
                      <w:szCs w:val="21"/>
                    </w:rPr>
                    <w:t>其他类型</w:t>
                  </w:r>
                </w:p>
              </w:tc>
              <w:tc>
                <w:tcPr>
                  <w:tcW w:w="3203" w:type="dxa"/>
                  <w:vMerge w:val="restart"/>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等效黏土防渗层Mb≥1.5m，K≤1×10</w:t>
                  </w:r>
                  <w:r>
                    <w:rPr>
                      <w:rFonts w:eastAsiaTheme="minorEastAsia"/>
                      <w:color w:val="auto"/>
                      <w:szCs w:val="21"/>
                      <w:vertAlign w:val="superscript"/>
                    </w:rPr>
                    <w:t>-7</w:t>
                  </w:r>
                  <w:r>
                    <w:rPr>
                      <w:rFonts w:eastAsiaTheme="minorEastAsia"/>
                      <w:color w:val="auto"/>
                      <w:szCs w:val="21"/>
                    </w:rPr>
                    <w:t>cm/s；或参照GB16889执行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4" w:type="dxa"/>
                  <w:vMerge w:val="continue"/>
                  <w:vAlign w:val="center"/>
                </w:tcPr>
                <w:p>
                  <w:pPr>
                    <w:pStyle w:val="30"/>
                    <w:spacing w:line="360" w:lineRule="exact"/>
                    <w:rPr>
                      <w:rFonts w:eastAsiaTheme="minorEastAsia"/>
                      <w:color w:val="auto"/>
                      <w:szCs w:val="21"/>
                    </w:rPr>
                  </w:pPr>
                </w:p>
              </w:tc>
              <w:tc>
                <w:tcPr>
                  <w:tcW w:w="1490" w:type="dxa"/>
                  <w:vAlign w:val="center"/>
                </w:tcPr>
                <w:p>
                  <w:pPr>
                    <w:pStyle w:val="30"/>
                    <w:spacing w:line="360" w:lineRule="exact"/>
                    <w:rPr>
                      <w:rFonts w:eastAsiaTheme="minorEastAsia"/>
                      <w:color w:val="auto"/>
                      <w:szCs w:val="21"/>
                    </w:rPr>
                  </w:pPr>
                  <w:r>
                    <w:rPr>
                      <w:rFonts w:eastAsiaTheme="minorEastAsia"/>
                      <w:color w:val="auto"/>
                      <w:szCs w:val="21"/>
                    </w:rPr>
                    <w:t>中-强</w:t>
                  </w:r>
                </w:p>
              </w:tc>
              <w:tc>
                <w:tcPr>
                  <w:tcW w:w="1490" w:type="dxa"/>
                  <w:vAlign w:val="center"/>
                </w:tcPr>
                <w:p>
                  <w:pPr>
                    <w:pStyle w:val="30"/>
                    <w:spacing w:line="360" w:lineRule="exact"/>
                    <w:rPr>
                      <w:rFonts w:eastAsiaTheme="minorEastAsia"/>
                      <w:color w:val="auto"/>
                      <w:szCs w:val="21"/>
                    </w:rPr>
                  </w:pPr>
                  <w:r>
                    <w:rPr>
                      <w:rFonts w:eastAsiaTheme="minorEastAsia"/>
                      <w:color w:val="auto"/>
                      <w:szCs w:val="21"/>
                    </w:rPr>
                    <w:t>难</w:t>
                  </w:r>
                </w:p>
              </w:tc>
              <w:tc>
                <w:tcPr>
                  <w:tcW w:w="1787" w:type="dxa"/>
                  <w:vMerge w:val="continue"/>
                  <w:vAlign w:val="center"/>
                </w:tcPr>
                <w:p>
                  <w:pPr>
                    <w:pStyle w:val="30"/>
                    <w:spacing w:line="360" w:lineRule="exact"/>
                    <w:rPr>
                      <w:rFonts w:eastAsiaTheme="minorEastAsia"/>
                      <w:color w:val="auto"/>
                      <w:szCs w:val="21"/>
                    </w:rPr>
                  </w:pPr>
                </w:p>
              </w:tc>
              <w:tc>
                <w:tcPr>
                  <w:tcW w:w="3203" w:type="dxa"/>
                  <w:vMerge w:val="continue"/>
                  <w:vAlign w:val="center"/>
                </w:tcPr>
                <w:p>
                  <w:pPr>
                    <w:pStyle w:val="30"/>
                    <w:spacing w:line="360" w:lineRule="exact"/>
                    <w:ind w:firstLine="210" w:firstLineChars="100"/>
                    <w:jc w:val="both"/>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4" w:type="dxa"/>
                  <w:vMerge w:val="continue"/>
                  <w:vAlign w:val="center"/>
                </w:tcPr>
                <w:p>
                  <w:pPr>
                    <w:pStyle w:val="30"/>
                    <w:spacing w:line="360" w:lineRule="exact"/>
                    <w:rPr>
                      <w:rFonts w:eastAsiaTheme="minorEastAsia"/>
                      <w:color w:val="auto"/>
                      <w:szCs w:val="21"/>
                    </w:rPr>
                  </w:pPr>
                </w:p>
              </w:tc>
              <w:tc>
                <w:tcPr>
                  <w:tcW w:w="1490" w:type="dxa"/>
                  <w:vAlign w:val="center"/>
                </w:tcPr>
                <w:p>
                  <w:pPr>
                    <w:pStyle w:val="30"/>
                    <w:spacing w:line="360" w:lineRule="exact"/>
                    <w:rPr>
                      <w:rFonts w:eastAsiaTheme="minorEastAsia"/>
                      <w:color w:val="auto"/>
                      <w:szCs w:val="21"/>
                    </w:rPr>
                  </w:pPr>
                  <w:r>
                    <w:rPr>
                      <w:rFonts w:eastAsiaTheme="minorEastAsia"/>
                      <w:color w:val="auto"/>
                      <w:szCs w:val="21"/>
                    </w:rPr>
                    <w:t>中</w:t>
                  </w:r>
                </w:p>
              </w:tc>
              <w:tc>
                <w:tcPr>
                  <w:tcW w:w="1490" w:type="dxa"/>
                  <w:vAlign w:val="center"/>
                </w:tcPr>
                <w:p>
                  <w:pPr>
                    <w:pStyle w:val="30"/>
                    <w:spacing w:line="360" w:lineRule="exact"/>
                    <w:rPr>
                      <w:rFonts w:eastAsiaTheme="minorEastAsia"/>
                      <w:color w:val="auto"/>
                      <w:szCs w:val="21"/>
                    </w:rPr>
                  </w:pPr>
                  <w:r>
                    <w:rPr>
                      <w:rFonts w:eastAsiaTheme="minorEastAsia"/>
                      <w:color w:val="auto"/>
                      <w:szCs w:val="21"/>
                    </w:rPr>
                    <w:t>易</w:t>
                  </w:r>
                </w:p>
              </w:tc>
              <w:tc>
                <w:tcPr>
                  <w:tcW w:w="1787" w:type="dxa"/>
                  <w:vMerge w:val="restart"/>
                  <w:vAlign w:val="center"/>
                </w:tcPr>
                <w:p>
                  <w:pPr>
                    <w:pStyle w:val="30"/>
                    <w:spacing w:line="360" w:lineRule="exact"/>
                    <w:rPr>
                      <w:rFonts w:eastAsiaTheme="minorEastAsia"/>
                      <w:color w:val="auto"/>
                      <w:szCs w:val="21"/>
                    </w:rPr>
                  </w:pPr>
                  <w:r>
                    <w:rPr>
                      <w:rFonts w:eastAsiaTheme="minorEastAsia"/>
                      <w:color w:val="auto"/>
                      <w:szCs w:val="21"/>
                    </w:rPr>
                    <w:t>重金属、持久性有机污染物</w:t>
                  </w:r>
                </w:p>
              </w:tc>
              <w:tc>
                <w:tcPr>
                  <w:tcW w:w="3203" w:type="dxa"/>
                  <w:vMerge w:val="continue"/>
                  <w:vAlign w:val="center"/>
                </w:tcPr>
                <w:p>
                  <w:pPr>
                    <w:pStyle w:val="30"/>
                    <w:spacing w:line="360" w:lineRule="exact"/>
                    <w:ind w:firstLine="210" w:firstLineChars="100"/>
                    <w:jc w:val="both"/>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4" w:type="dxa"/>
                  <w:vMerge w:val="continue"/>
                  <w:vAlign w:val="center"/>
                </w:tcPr>
                <w:p>
                  <w:pPr>
                    <w:pStyle w:val="30"/>
                    <w:spacing w:line="360" w:lineRule="exact"/>
                    <w:rPr>
                      <w:rFonts w:eastAsiaTheme="minorEastAsia"/>
                      <w:color w:val="auto"/>
                      <w:szCs w:val="21"/>
                    </w:rPr>
                  </w:pPr>
                </w:p>
              </w:tc>
              <w:tc>
                <w:tcPr>
                  <w:tcW w:w="1490" w:type="dxa"/>
                  <w:vAlign w:val="center"/>
                </w:tcPr>
                <w:p>
                  <w:pPr>
                    <w:pStyle w:val="30"/>
                    <w:spacing w:line="360" w:lineRule="exact"/>
                    <w:rPr>
                      <w:rFonts w:eastAsiaTheme="minorEastAsia"/>
                      <w:color w:val="auto"/>
                      <w:szCs w:val="21"/>
                    </w:rPr>
                  </w:pPr>
                  <w:r>
                    <w:rPr>
                      <w:rFonts w:eastAsiaTheme="minorEastAsia"/>
                      <w:color w:val="auto"/>
                      <w:szCs w:val="21"/>
                    </w:rPr>
                    <w:t>强</w:t>
                  </w:r>
                </w:p>
              </w:tc>
              <w:tc>
                <w:tcPr>
                  <w:tcW w:w="1490" w:type="dxa"/>
                  <w:vAlign w:val="center"/>
                </w:tcPr>
                <w:p>
                  <w:pPr>
                    <w:pStyle w:val="30"/>
                    <w:spacing w:line="360" w:lineRule="exact"/>
                    <w:rPr>
                      <w:rFonts w:eastAsiaTheme="minorEastAsia"/>
                      <w:color w:val="auto"/>
                      <w:szCs w:val="21"/>
                    </w:rPr>
                  </w:pPr>
                  <w:r>
                    <w:rPr>
                      <w:rFonts w:eastAsiaTheme="minorEastAsia"/>
                      <w:color w:val="auto"/>
                      <w:szCs w:val="21"/>
                    </w:rPr>
                    <w:t>易</w:t>
                  </w:r>
                </w:p>
              </w:tc>
              <w:tc>
                <w:tcPr>
                  <w:tcW w:w="1787" w:type="dxa"/>
                  <w:vMerge w:val="continue"/>
                  <w:vAlign w:val="center"/>
                </w:tcPr>
                <w:p>
                  <w:pPr>
                    <w:pStyle w:val="30"/>
                    <w:spacing w:line="360" w:lineRule="exact"/>
                    <w:rPr>
                      <w:rFonts w:eastAsiaTheme="minorEastAsia"/>
                      <w:color w:val="auto"/>
                      <w:szCs w:val="21"/>
                    </w:rPr>
                  </w:pPr>
                </w:p>
              </w:tc>
              <w:tc>
                <w:tcPr>
                  <w:tcW w:w="3203" w:type="dxa"/>
                  <w:vMerge w:val="continue"/>
                  <w:vAlign w:val="center"/>
                </w:tcPr>
                <w:p>
                  <w:pPr>
                    <w:pStyle w:val="30"/>
                    <w:spacing w:line="360" w:lineRule="exact"/>
                    <w:ind w:firstLine="210" w:firstLineChars="100"/>
                    <w:jc w:val="both"/>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4" w:type="dxa"/>
                  <w:vAlign w:val="center"/>
                </w:tcPr>
                <w:p>
                  <w:pPr>
                    <w:pStyle w:val="30"/>
                    <w:spacing w:line="360" w:lineRule="exact"/>
                    <w:rPr>
                      <w:rFonts w:eastAsiaTheme="minorEastAsia"/>
                      <w:color w:val="auto"/>
                      <w:szCs w:val="21"/>
                    </w:rPr>
                  </w:pPr>
                  <w:r>
                    <w:rPr>
                      <w:rFonts w:eastAsiaTheme="minorEastAsia"/>
                      <w:color w:val="auto"/>
                      <w:szCs w:val="21"/>
                    </w:rPr>
                    <w:t>简单防渗区</w:t>
                  </w:r>
                </w:p>
              </w:tc>
              <w:tc>
                <w:tcPr>
                  <w:tcW w:w="1490" w:type="dxa"/>
                  <w:vAlign w:val="center"/>
                </w:tcPr>
                <w:p>
                  <w:pPr>
                    <w:pStyle w:val="30"/>
                    <w:spacing w:line="360" w:lineRule="exact"/>
                    <w:rPr>
                      <w:rFonts w:eastAsiaTheme="minorEastAsia"/>
                      <w:color w:val="auto"/>
                      <w:szCs w:val="21"/>
                    </w:rPr>
                  </w:pPr>
                  <w:r>
                    <w:rPr>
                      <w:rFonts w:eastAsiaTheme="minorEastAsia"/>
                      <w:color w:val="auto"/>
                      <w:szCs w:val="21"/>
                    </w:rPr>
                    <w:t>中-强</w:t>
                  </w:r>
                </w:p>
              </w:tc>
              <w:tc>
                <w:tcPr>
                  <w:tcW w:w="1490" w:type="dxa"/>
                  <w:vAlign w:val="center"/>
                </w:tcPr>
                <w:p>
                  <w:pPr>
                    <w:pStyle w:val="30"/>
                    <w:spacing w:line="360" w:lineRule="exact"/>
                    <w:rPr>
                      <w:rFonts w:eastAsiaTheme="minorEastAsia"/>
                      <w:color w:val="auto"/>
                      <w:szCs w:val="21"/>
                    </w:rPr>
                  </w:pPr>
                  <w:r>
                    <w:rPr>
                      <w:rFonts w:eastAsiaTheme="minorEastAsia"/>
                      <w:color w:val="auto"/>
                      <w:szCs w:val="21"/>
                    </w:rPr>
                    <w:t>易</w:t>
                  </w:r>
                </w:p>
              </w:tc>
              <w:tc>
                <w:tcPr>
                  <w:tcW w:w="1787" w:type="dxa"/>
                  <w:vAlign w:val="center"/>
                </w:tcPr>
                <w:p>
                  <w:pPr>
                    <w:pStyle w:val="30"/>
                    <w:spacing w:line="360" w:lineRule="exact"/>
                    <w:rPr>
                      <w:rFonts w:eastAsiaTheme="minorEastAsia"/>
                      <w:color w:val="auto"/>
                      <w:szCs w:val="21"/>
                    </w:rPr>
                  </w:pPr>
                  <w:r>
                    <w:rPr>
                      <w:rFonts w:eastAsiaTheme="minorEastAsia"/>
                      <w:color w:val="auto"/>
                      <w:szCs w:val="21"/>
                    </w:rPr>
                    <w:t>其他类型</w:t>
                  </w:r>
                </w:p>
              </w:tc>
              <w:tc>
                <w:tcPr>
                  <w:tcW w:w="3203" w:type="dxa"/>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一般地面硬化</w:t>
                  </w:r>
                </w:p>
              </w:tc>
            </w:tr>
          </w:tbl>
          <w:p>
            <w:pPr>
              <w:spacing w:beforeLines="50"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根据以上分区原则可知，项目分区防渗具体如下：</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fldChar w:fldCharType="begin"/>
            </w:r>
            <w:r>
              <w:rPr>
                <w:rFonts w:ascii="Times New Roman" w:hAnsi="Times New Roman" w:cs="Times New Roman"/>
                <w:b/>
                <w:color w:val="auto"/>
                <w:sz w:val="24"/>
                <w:szCs w:val="24"/>
              </w:rPr>
              <w:instrText xml:space="preserve"> = 1 \* GB2 </w:instrText>
            </w:r>
            <w:r>
              <w:rPr>
                <w:rFonts w:ascii="Times New Roman" w:hAnsi="Times New Roman" w:cs="Times New Roman"/>
                <w:b/>
                <w:color w:val="auto"/>
                <w:sz w:val="24"/>
                <w:szCs w:val="24"/>
              </w:rPr>
              <w:fldChar w:fldCharType="separate"/>
            </w:r>
            <w:r>
              <w:rPr>
                <w:rFonts w:ascii="Times New Roman" w:hAnsi="Times New Roman" w:eastAsia="宋体" w:cs="Times New Roman"/>
                <w:b/>
                <w:color w:val="auto"/>
                <w:sz w:val="24"/>
                <w:szCs w:val="24"/>
              </w:rPr>
              <w:t>⑴</w:t>
            </w:r>
            <w:r>
              <w:rPr>
                <w:rFonts w:ascii="Times New Roman" w:hAnsi="Times New Roman" w:cs="Times New Roman"/>
                <w:b/>
                <w:color w:val="auto"/>
                <w:sz w:val="24"/>
                <w:szCs w:val="24"/>
              </w:rPr>
              <w:fldChar w:fldCharType="end"/>
            </w:r>
            <w:r>
              <w:rPr>
                <w:rFonts w:ascii="Times New Roman" w:hAnsi="Times New Roman" w:cs="Times New Roman"/>
                <w:b/>
                <w:color w:val="auto"/>
                <w:sz w:val="24"/>
                <w:szCs w:val="24"/>
              </w:rPr>
              <w:t>重点防渗区</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根据调查，项目重点防渗区为废电路板暂存区、4个危险废物贮存间；其地面和裙墙均已采用环氧树脂等防渗漆进行防渗其渗透系数≤10</w:t>
            </w:r>
            <w:r>
              <w:rPr>
                <w:rFonts w:ascii="Times New Roman" w:hAnsi="Times New Roman" w:cs="Times New Roman"/>
                <w:color w:val="auto"/>
                <w:sz w:val="24"/>
                <w:szCs w:val="24"/>
                <w:vertAlign w:val="superscript"/>
              </w:rPr>
              <w:t>-10</w:t>
            </w:r>
            <w:r>
              <w:rPr>
                <w:rFonts w:ascii="Times New Roman" w:hAnsi="Times New Roman" w:cs="Times New Roman"/>
                <w:color w:val="auto"/>
                <w:sz w:val="24"/>
                <w:szCs w:val="24"/>
              </w:rPr>
              <w:t>cm/s；</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fldChar w:fldCharType="begin"/>
            </w:r>
            <w:r>
              <w:rPr>
                <w:rFonts w:ascii="Times New Roman" w:hAnsi="Times New Roman" w:cs="Times New Roman"/>
                <w:b/>
                <w:color w:val="auto"/>
                <w:sz w:val="24"/>
                <w:szCs w:val="24"/>
              </w:rPr>
              <w:instrText xml:space="preserve"> = 2 \* GB2 </w:instrText>
            </w:r>
            <w:r>
              <w:rPr>
                <w:rFonts w:ascii="Times New Roman" w:hAnsi="Times New Roman" w:cs="Times New Roman"/>
                <w:b/>
                <w:color w:val="auto"/>
                <w:sz w:val="24"/>
                <w:szCs w:val="24"/>
              </w:rPr>
              <w:fldChar w:fldCharType="separate"/>
            </w:r>
            <w:r>
              <w:rPr>
                <w:rFonts w:ascii="Times New Roman" w:hAnsi="Times New Roman" w:eastAsia="宋体" w:cs="Times New Roman"/>
                <w:b/>
                <w:color w:val="auto"/>
                <w:sz w:val="24"/>
                <w:szCs w:val="24"/>
              </w:rPr>
              <w:t>⑵</w:t>
            </w:r>
            <w:r>
              <w:rPr>
                <w:rFonts w:ascii="Times New Roman" w:hAnsi="Times New Roman" w:cs="Times New Roman"/>
                <w:b/>
                <w:color w:val="auto"/>
                <w:sz w:val="24"/>
                <w:szCs w:val="24"/>
              </w:rPr>
              <w:fldChar w:fldCharType="end"/>
            </w:r>
            <w:r>
              <w:rPr>
                <w:rFonts w:ascii="Times New Roman" w:hAnsi="Times New Roman" w:cs="Times New Roman"/>
                <w:b/>
                <w:color w:val="auto"/>
                <w:sz w:val="24"/>
                <w:szCs w:val="24"/>
              </w:rPr>
              <w:t>一般防渗区</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根据调查，项目生产车间和仓库均属于一般防渗区，一般防渗区措施地面采取粘土铺底，并在上层铺30cm的混凝土进行硬化。其渗透系数≤1.0×10</w:t>
            </w:r>
            <w:r>
              <w:rPr>
                <w:rFonts w:ascii="Times New Roman" w:hAnsi="Times New Roman" w:cs="Times New Roman"/>
                <w:color w:val="auto"/>
                <w:sz w:val="24"/>
                <w:szCs w:val="24"/>
                <w:vertAlign w:val="superscript"/>
              </w:rPr>
              <w:t>-7</w:t>
            </w:r>
            <w:r>
              <w:rPr>
                <w:rFonts w:ascii="Times New Roman" w:hAnsi="Times New Roman" w:cs="Times New Roman"/>
                <w:color w:val="auto"/>
                <w:sz w:val="24"/>
                <w:szCs w:val="24"/>
              </w:rPr>
              <w:t>cm/s。</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fldChar w:fldCharType="begin"/>
            </w:r>
            <w:r>
              <w:rPr>
                <w:rFonts w:ascii="Times New Roman" w:hAnsi="Times New Roman" w:cs="Times New Roman"/>
                <w:b/>
                <w:color w:val="auto"/>
                <w:sz w:val="24"/>
                <w:szCs w:val="24"/>
              </w:rPr>
              <w:instrText xml:space="preserve"> = 3 \* GB2 </w:instrText>
            </w:r>
            <w:r>
              <w:rPr>
                <w:rFonts w:ascii="Times New Roman" w:hAnsi="Times New Roman" w:cs="Times New Roman"/>
                <w:b/>
                <w:color w:val="auto"/>
                <w:sz w:val="24"/>
                <w:szCs w:val="24"/>
              </w:rPr>
              <w:fldChar w:fldCharType="separate"/>
            </w:r>
            <w:r>
              <w:rPr>
                <w:rFonts w:ascii="Times New Roman" w:hAnsi="Times New Roman" w:eastAsia="宋体" w:cs="Times New Roman"/>
                <w:b/>
                <w:color w:val="auto"/>
                <w:sz w:val="24"/>
                <w:szCs w:val="24"/>
              </w:rPr>
              <w:t>⑶</w:t>
            </w:r>
            <w:r>
              <w:rPr>
                <w:rFonts w:ascii="Times New Roman" w:hAnsi="Times New Roman" w:cs="Times New Roman"/>
                <w:b/>
                <w:color w:val="auto"/>
                <w:sz w:val="24"/>
                <w:szCs w:val="24"/>
              </w:rPr>
              <w:fldChar w:fldCharType="end"/>
            </w:r>
            <w:r>
              <w:rPr>
                <w:rFonts w:ascii="Times New Roman" w:hAnsi="Times New Roman" w:cs="Times New Roman"/>
                <w:b/>
                <w:color w:val="auto"/>
                <w:sz w:val="24"/>
                <w:szCs w:val="24"/>
              </w:rPr>
              <w:t>简单防渗区</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根据项目特点，对于基本上不产生污染物的简单防渗区，不采取专门针对地下水污染的防治措施。</w:t>
            </w:r>
          </w:p>
          <w:p>
            <w:pPr>
              <w:pStyle w:val="38"/>
              <w:ind w:firstLine="361" w:firstLineChars="150"/>
              <w:rPr>
                <w:rFonts w:eastAsiaTheme="minorEastAsia"/>
                <w:b/>
                <w:color w:val="auto"/>
                <w:szCs w:val="24"/>
              </w:rPr>
            </w:pPr>
            <w:r>
              <w:rPr>
                <w:rFonts w:eastAsiaTheme="minorEastAsia"/>
                <w:b/>
                <w:color w:val="auto"/>
                <w:szCs w:val="24"/>
              </w:rPr>
              <w:t>（3）地下水环境影响跟踪监测计划</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由于项目地下水影响较小，因此本项目不设置地下水环境影响跟踪监测计划。</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4.2.6 生态环境影响和保护措施</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本项目位于昆明市东川区再就业特区天生桥特色产业园，项目在现有工程厂区范围内进行改扩建，不新增占地；项目不设置生态环境保护目标，生态环境影响较小。</w:t>
            </w:r>
          </w:p>
          <w:p>
            <w:pPr>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4.2.7 环境风险影响和防治措施</w:t>
            </w:r>
          </w:p>
          <w:p>
            <w:pPr>
              <w:pStyle w:val="38"/>
              <w:ind w:firstLine="361" w:firstLineChars="150"/>
              <w:rPr>
                <w:rFonts w:eastAsiaTheme="minorEastAsia"/>
                <w:b/>
                <w:color w:val="auto"/>
                <w:szCs w:val="24"/>
              </w:rPr>
            </w:pPr>
            <w:r>
              <w:rPr>
                <w:rFonts w:eastAsiaTheme="minorEastAsia"/>
                <w:b/>
                <w:color w:val="auto"/>
                <w:szCs w:val="24"/>
              </w:rPr>
              <w:t>（1）风险物质的分布情况</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按照《建设项目环境风险评价技术导则》（HJ 169-2018）的要求，环境风险主要对对涉及到的有毒有害和易燃易爆危险物质生产、使用、储存（包括使用管线输运）可能发生的突发性事故（不包括人为破坏及自然灾害引发的事故）的环境风险评价。根据项目特点，本项目危险废物，其危险特性如下表所示。</w:t>
            </w:r>
          </w:p>
          <w:p>
            <w:pPr>
              <w:pStyle w:val="32"/>
              <w:spacing w:beforeLines="0"/>
              <w:rPr>
                <w:rFonts w:hAnsi="Times New Roman" w:eastAsiaTheme="minorEastAsia"/>
                <w:color w:val="auto"/>
                <w:sz w:val="21"/>
                <w:szCs w:val="21"/>
              </w:rPr>
            </w:pPr>
            <w:r>
              <w:rPr>
                <w:rFonts w:hAnsi="Times New Roman" w:eastAsiaTheme="minorEastAsia"/>
                <w:color w:val="auto"/>
                <w:sz w:val="21"/>
                <w:szCs w:val="21"/>
              </w:rPr>
              <w:t>表4.2.7-1  项目涉及的危险物质基本情况一览表</w:t>
            </w:r>
          </w:p>
          <w:tbl>
            <w:tblPr>
              <w:tblStyle w:val="20"/>
              <w:tblW w:w="9044"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02"/>
              <w:gridCol w:w="1691"/>
              <w:gridCol w:w="997"/>
              <w:gridCol w:w="856"/>
              <w:gridCol w:w="857"/>
              <w:gridCol w:w="876"/>
              <w:gridCol w:w="296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802" w:type="dxa"/>
                  <w:vAlign w:val="center"/>
                </w:tcPr>
                <w:p>
                  <w:pPr>
                    <w:pStyle w:val="30"/>
                    <w:spacing w:line="360" w:lineRule="exact"/>
                    <w:rPr>
                      <w:color w:val="auto"/>
                      <w:szCs w:val="21"/>
                    </w:rPr>
                  </w:pPr>
                  <w:r>
                    <w:rPr>
                      <w:color w:val="auto"/>
                      <w:szCs w:val="21"/>
                    </w:rPr>
                    <w:t>产生环节</w:t>
                  </w:r>
                </w:p>
              </w:tc>
              <w:tc>
                <w:tcPr>
                  <w:tcW w:w="1691" w:type="dxa"/>
                  <w:vAlign w:val="center"/>
                </w:tcPr>
                <w:p>
                  <w:pPr>
                    <w:pStyle w:val="30"/>
                    <w:spacing w:line="360" w:lineRule="exact"/>
                    <w:rPr>
                      <w:color w:val="auto"/>
                      <w:szCs w:val="21"/>
                    </w:rPr>
                  </w:pPr>
                  <w:r>
                    <w:rPr>
                      <w:color w:val="auto"/>
                      <w:szCs w:val="21"/>
                    </w:rPr>
                    <w:t>危险物质</w:t>
                  </w:r>
                </w:p>
              </w:tc>
              <w:tc>
                <w:tcPr>
                  <w:tcW w:w="997" w:type="dxa"/>
                  <w:vAlign w:val="center"/>
                </w:tcPr>
                <w:p>
                  <w:pPr>
                    <w:pStyle w:val="30"/>
                    <w:spacing w:line="360" w:lineRule="exact"/>
                    <w:rPr>
                      <w:color w:val="auto"/>
                      <w:szCs w:val="21"/>
                    </w:rPr>
                  </w:pPr>
                  <w:r>
                    <w:rPr>
                      <w:color w:val="auto"/>
                      <w:szCs w:val="21"/>
                    </w:rPr>
                    <w:t>年使用/产生量</w:t>
                  </w:r>
                  <w:r>
                    <w:rPr>
                      <w:rFonts w:eastAsiaTheme="minorEastAsia"/>
                      <w:color w:val="auto"/>
                      <w:szCs w:val="21"/>
                    </w:rPr>
                    <w:t>t/a</w:t>
                  </w:r>
                </w:p>
              </w:tc>
              <w:tc>
                <w:tcPr>
                  <w:tcW w:w="856" w:type="dxa"/>
                  <w:tcBorders>
                    <w:right w:val="single" w:color="auto" w:sz="4" w:space="0"/>
                  </w:tcBorders>
                  <w:vAlign w:val="center"/>
                </w:tcPr>
                <w:p>
                  <w:pPr>
                    <w:pStyle w:val="30"/>
                    <w:spacing w:line="360" w:lineRule="exact"/>
                    <w:rPr>
                      <w:color w:val="auto"/>
                      <w:szCs w:val="21"/>
                    </w:rPr>
                  </w:pPr>
                  <w:r>
                    <w:rPr>
                      <w:color w:val="auto"/>
                      <w:szCs w:val="21"/>
                    </w:rPr>
                    <w:t>最大储存量</w:t>
                  </w:r>
                  <w:r>
                    <w:rPr>
                      <w:rFonts w:eastAsiaTheme="minorEastAsia"/>
                      <w:color w:val="auto"/>
                      <w:szCs w:val="21"/>
                    </w:rPr>
                    <w:t>t</w:t>
                  </w:r>
                </w:p>
              </w:tc>
              <w:tc>
                <w:tcPr>
                  <w:tcW w:w="857" w:type="dxa"/>
                  <w:tcBorders>
                    <w:left w:val="single" w:color="auto" w:sz="4" w:space="0"/>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临界量t</w:t>
                  </w:r>
                </w:p>
              </w:tc>
              <w:tc>
                <w:tcPr>
                  <w:tcW w:w="876" w:type="dxa"/>
                  <w:tcBorders>
                    <w:lef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Q值</w:t>
                  </w:r>
                </w:p>
              </w:tc>
              <w:tc>
                <w:tcPr>
                  <w:tcW w:w="2965" w:type="dxa"/>
                  <w:vAlign w:val="center"/>
                </w:tcPr>
                <w:p>
                  <w:pPr>
                    <w:pStyle w:val="30"/>
                    <w:spacing w:line="360" w:lineRule="exact"/>
                    <w:rPr>
                      <w:color w:val="auto"/>
                      <w:szCs w:val="21"/>
                    </w:rPr>
                  </w:pPr>
                  <w:r>
                    <w:rPr>
                      <w:color w:val="auto"/>
                      <w:szCs w:val="21"/>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802" w:type="dxa"/>
                  <w:vAlign w:val="center"/>
                </w:tcPr>
                <w:p>
                  <w:pPr>
                    <w:pStyle w:val="30"/>
                    <w:spacing w:line="360" w:lineRule="exact"/>
                    <w:rPr>
                      <w:rFonts w:eastAsiaTheme="minorEastAsia"/>
                      <w:color w:val="auto"/>
                      <w:szCs w:val="21"/>
                    </w:rPr>
                  </w:pPr>
                  <w:r>
                    <w:rPr>
                      <w:rFonts w:eastAsiaTheme="minorEastAsia"/>
                      <w:color w:val="auto"/>
                      <w:szCs w:val="21"/>
                    </w:rPr>
                    <w:t>使用</w:t>
                  </w:r>
                </w:p>
              </w:tc>
              <w:tc>
                <w:tcPr>
                  <w:tcW w:w="1691" w:type="dxa"/>
                  <w:vAlign w:val="center"/>
                </w:tcPr>
                <w:p>
                  <w:pPr>
                    <w:pStyle w:val="30"/>
                    <w:spacing w:line="360" w:lineRule="exact"/>
                    <w:rPr>
                      <w:rFonts w:eastAsiaTheme="minorEastAsia"/>
                      <w:color w:val="auto"/>
                      <w:szCs w:val="21"/>
                    </w:rPr>
                  </w:pPr>
                  <w:r>
                    <w:rPr>
                      <w:rFonts w:eastAsiaTheme="minorEastAsia"/>
                      <w:color w:val="auto"/>
                      <w:szCs w:val="21"/>
                    </w:rPr>
                    <w:t>次氯酸钠</w:t>
                  </w:r>
                </w:p>
              </w:tc>
              <w:tc>
                <w:tcPr>
                  <w:tcW w:w="997" w:type="dxa"/>
                  <w:vAlign w:val="center"/>
                </w:tcPr>
                <w:p>
                  <w:pPr>
                    <w:pStyle w:val="30"/>
                    <w:spacing w:line="360" w:lineRule="exact"/>
                    <w:rPr>
                      <w:rFonts w:eastAsiaTheme="minorEastAsia"/>
                      <w:color w:val="auto"/>
                      <w:szCs w:val="21"/>
                    </w:rPr>
                  </w:pPr>
                  <w:r>
                    <w:rPr>
                      <w:rFonts w:eastAsiaTheme="minorEastAsia"/>
                      <w:color w:val="auto"/>
                      <w:szCs w:val="21"/>
                    </w:rPr>
                    <w:t>0.05</w:t>
                  </w:r>
                </w:p>
              </w:tc>
              <w:tc>
                <w:tcPr>
                  <w:tcW w:w="856" w:type="dxa"/>
                  <w:tcBorders>
                    <w:right w:val="single" w:color="auto" w:sz="4" w:space="0"/>
                  </w:tcBorders>
                  <w:vAlign w:val="center"/>
                </w:tcPr>
                <w:p>
                  <w:pPr>
                    <w:pStyle w:val="30"/>
                    <w:spacing w:line="360" w:lineRule="exact"/>
                    <w:ind w:left="11"/>
                    <w:rPr>
                      <w:rFonts w:eastAsiaTheme="minorEastAsia"/>
                      <w:color w:val="auto"/>
                      <w:szCs w:val="21"/>
                    </w:rPr>
                  </w:pPr>
                  <w:r>
                    <w:rPr>
                      <w:rFonts w:eastAsiaTheme="minorEastAsia"/>
                      <w:color w:val="auto"/>
                      <w:szCs w:val="21"/>
                    </w:rPr>
                    <w:t>0.05</w:t>
                  </w:r>
                </w:p>
              </w:tc>
              <w:tc>
                <w:tcPr>
                  <w:tcW w:w="857" w:type="dxa"/>
                  <w:tcBorders>
                    <w:left w:val="single" w:color="auto" w:sz="4" w:space="0"/>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5</w:t>
                  </w:r>
                </w:p>
              </w:tc>
              <w:tc>
                <w:tcPr>
                  <w:tcW w:w="876" w:type="dxa"/>
                  <w:tcBorders>
                    <w:lef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0.01</w:t>
                  </w:r>
                </w:p>
              </w:tc>
              <w:tc>
                <w:tcPr>
                  <w:tcW w:w="2965" w:type="dxa"/>
                  <w:vAlign w:val="center"/>
                </w:tcPr>
                <w:p>
                  <w:pPr>
                    <w:pStyle w:val="30"/>
                    <w:spacing w:line="360" w:lineRule="exact"/>
                    <w:ind w:firstLine="210" w:firstLineChars="100"/>
                    <w:jc w:val="left"/>
                    <w:rPr>
                      <w:color w:val="auto"/>
                      <w:szCs w:val="21"/>
                    </w:rPr>
                  </w:pPr>
                  <w:r>
                    <w:rPr>
                      <w:color w:val="auto"/>
                      <w:szCs w:val="21"/>
                    </w:rPr>
                    <w:t>采用袋装贮存于办公区内，保持干燥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802" w:type="dxa"/>
                  <w:vMerge w:val="restart"/>
                  <w:vAlign w:val="center"/>
                </w:tcPr>
                <w:p>
                  <w:pPr>
                    <w:pStyle w:val="30"/>
                    <w:spacing w:line="360" w:lineRule="exact"/>
                    <w:rPr>
                      <w:rFonts w:eastAsiaTheme="minorEastAsia"/>
                      <w:color w:val="auto"/>
                      <w:szCs w:val="21"/>
                    </w:rPr>
                  </w:pPr>
                  <w:r>
                    <w:rPr>
                      <w:rFonts w:eastAsiaTheme="minorEastAsia"/>
                      <w:color w:val="auto"/>
                      <w:szCs w:val="21"/>
                    </w:rPr>
                    <w:t>储存</w:t>
                  </w:r>
                </w:p>
              </w:tc>
              <w:tc>
                <w:tcPr>
                  <w:tcW w:w="1691" w:type="dxa"/>
                  <w:vAlign w:val="center"/>
                </w:tcPr>
                <w:p>
                  <w:pPr>
                    <w:pStyle w:val="30"/>
                    <w:spacing w:line="360" w:lineRule="exact"/>
                    <w:rPr>
                      <w:rFonts w:eastAsiaTheme="minorEastAsia"/>
                      <w:color w:val="auto"/>
                      <w:szCs w:val="21"/>
                    </w:rPr>
                  </w:pPr>
                  <w:r>
                    <w:rPr>
                      <w:rFonts w:eastAsiaTheme="minorEastAsia"/>
                      <w:color w:val="auto"/>
                      <w:szCs w:val="21"/>
                    </w:rPr>
                    <w:t>废矿物油</w:t>
                  </w:r>
                </w:p>
              </w:tc>
              <w:tc>
                <w:tcPr>
                  <w:tcW w:w="997" w:type="dxa"/>
                  <w:vAlign w:val="center"/>
                </w:tcPr>
                <w:p>
                  <w:pPr>
                    <w:pStyle w:val="30"/>
                    <w:spacing w:line="360" w:lineRule="exact"/>
                    <w:rPr>
                      <w:rFonts w:eastAsiaTheme="minorEastAsia"/>
                      <w:color w:val="auto"/>
                      <w:szCs w:val="21"/>
                    </w:rPr>
                  </w:pPr>
                  <w:r>
                    <w:rPr>
                      <w:rFonts w:eastAsiaTheme="minorEastAsia"/>
                      <w:color w:val="auto"/>
                      <w:szCs w:val="21"/>
                    </w:rPr>
                    <w:t>27.41</w:t>
                  </w:r>
                </w:p>
              </w:tc>
              <w:tc>
                <w:tcPr>
                  <w:tcW w:w="856" w:type="dxa"/>
                  <w:tcBorders>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2.28</w:t>
                  </w:r>
                </w:p>
              </w:tc>
              <w:tc>
                <w:tcPr>
                  <w:tcW w:w="857" w:type="dxa"/>
                  <w:tcBorders>
                    <w:left w:val="single" w:color="auto" w:sz="4" w:space="0"/>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2500</w:t>
                  </w:r>
                </w:p>
              </w:tc>
              <w:tc>
                <w:tcPr>
                  <w:tcW w:w="876" w:type="dxa"/>
                  <w:tcBorders>
                    <w:lef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0.0009</w:t>
                  </w:r>
                </w:p>
              </w:tc>
              <w:tc>
                <w:tcPr>
                  <w:tcW w:w="2965" w:type="dxa"/>
                  <w:vAlign w:val="center"/>
                </w:tcPr>
                <w:p>
                  <w:pPr>
                    <w:pStyle w:val="30"/>
                    <w:spacing w:line="360" w:lineRule="exact"/>
                    <w:ind w:firstLine="210" w:firstLineChars="100"/>
                    <w:jc w:val="left"/>
                    <w:rPr>
                      <w:color w:val="auto"/>
                      <w:szCs w:val="21"/>
                    </w:rPr>
                  </w:pPr>
                  <w:r>
                    <w:rPr>
                      <w:color w:val="auto"/>
                      <w:szCs w:val="21"/>
                    </w:rPr>
                    <w:t>暂存于2#危险废物贮存间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802" w:type="dxa"/>
                  <w:vMerge w:val="continue"/>
                  <w:vAlign w:val="center"/>
                </w:tcPr>
                <w:p>
                  <w:pPr>
                    <w:pStyle w:val="30"/>
                    <w:spacing w:line="360" w:lineRule="exact"/>
                    <w:rPr>
                      <w:rFonts w:eastAsiaTheme="minorEastAsia"/>
                      <w:color w:val="auto"/>
                      <w:szCs w:val="21"/>
                    </w:rPr>
                  </w:pPr>
                </w:p>
              </w:tc>
              <w:tc>
                <w:tcPr>
                  <w:tcW w:w="1691" w:type="dxa"/>
                  <w:vAlign w:val="center"/>
                </w:tcPr>
                <w:p>
                  <w:pPr>
                    <w:pStyle w:val="30"/>
                    <w:spacing w:line="360" w:lineRule="exact"/>
                    <w:rPr>
                      <w:rFonts w:eastAsiaTheme="minorEastAsia"/>
                      <w:color w:val="auto"/>
                      <w:szCs w:val="21"/>
                    </w:rPr>
                  </w:pPr>
                  <w:r>
                    <w:rPr>
                      <w:rFonts w:eastAsiaTheme="minorEastAsia"/>
                      <w:color w:val="auto"/>
                      <w:szCs w:val="21"/>
                    </w:rPr>
                    <w:t>废电路板</w:t>
                  </w:r>
                </w:p>
              </w:tc>
              <w:tc>
                <w:tcPr>
                  <w:tcW w:w="997" w:type="dxa"/>
                  <w:vAlign w:val="center"/>
                </w:tcPr>
                <w:p>
                  <w:pPr>
                    <w:pStyle w:val="30"/>
                    <w:spacing w:line="360" w:lineRule="exact"/>
                    <w:rPr>
                      <w:rFonts w:eastAsiaTheme="minorEastAsia"/>
                      <w:color w:val="auto"/>
                      <w:szCs w:val="21"/>
                    </w:rPr>
                  </w:pPr>
                  <w:r>
                    <w:rPr>
                      <w:rFonts w:eastAsiaTheme="minorEastAsia"/>
                      <w:color w:val="auto"/>
                      <w:szCs w:val="21"/>
                    </w:rPr>
                    <w:t>586.72</w:t>
                  </w:r>
                </w:p>
              </w:tc>
              <w:tc>
                <w:tcPr>
                  <w:tcW w:w="856" w:type="dxa"/>
                  <w:tcBorders>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48.89</w:t>
                  </w:r>
                </w:p>
              </w:tc>
              <w:tc>
                <w:tcPr>
                  <w:tcW w:w="857" w:type="dxa"/>
                  <w:tcBorders>
                    <w:left w:val="single" w:color="auto" w:sz="4" w:space="0"/>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w:t>
                  </w:r>
                </w:p>
              </w:tc>
              <w:tc>
                <w:tcPr>
                  <w:tcW w:w="876" w:type="dxa"/>
                  <w:tcBorders>
                    <w:lef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w:t>
                  </w:r>
                </w:p>
              </w:tc>
              <w:tc>
                <w:tcPr>
                  <w:tcW w:w="2965" w:type="dxa"/>
                  <w:vAlign w:val="center"/>
                </w:tcPr>
                <w:p>
                  <w:pPr>
                    <w:pStyle w:val="30"/>
                    <w:spacing w:line="360" w:lineRule="exact"/>
                    <w:ind w:firstLine="210" w:firstLineChars="100"/>
                    <w:jc w:val="left"/>
                    <w:rPr>
                      <w:color w:val="auto"/>
                      <w:szCs w:val="21"/>
                    </w:rPr>
                  </w:pPr>
                  <w:r>
                    <w:rPr>
                      <w:color w:val="auto"/>
                      <w:szCs w:val="21"/>
                    </w:rPr>
                    <w:t>暂存于废电路板贮存区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802" w:type="dxa"/>
                  <w:vMerge w:val="continue"/>
                  <w:vAlign w:val="center"/>
                </w:tcPr>
                <w:p>
                  <w:pPr>
                    <w:pStyle w:val="30"/>
                    <w:spacing w:line="360" w:lineRule="exact"/>
                    <w:rPr>
                      <w:rFonts w:eastAsiaTheme="minorEastAsia"/>
                      <w:color w:val="auto"/>
                      <w:szCs w:val="21"/>
                    </w:rPr>
                  </w:pPr>
                </w:p>
              </w:tc>
              <w:tc>
                <w:tcPr>
                  <w:tcW w:w="1691" w:type="dxa"/>
                  <w:vAlign w:val="center"/>
                </w:tcPr>
                <w:p>
                  <w:pPr>
                    <w:pStyle w:val="30"/>
                    <w:spacing w:line="360" w:lineRule="exact"/>
                    <w:rPr>
                      <w:rFonts w:eastAsiaTheme="minorEastAsia"/>
                      <w:color w:val="auto"/>
                      <w:szCs w:val="21"/>
                    </w:rPr>
                  </w:pPr>
                  <w:r>
                    <w:rPr>
                      <w:rFonts w:eastAsiaTheme="minorEastAsia"/>
                      <w:color w:val="auto"/>
                      <w:szCs w:val="21"/>
                    </w:rPr>
                    <w:t>含汞灯管</w:t>
                  </w:r>
                </w:p>
              </w:tc>
              <w:tc>
                <w:tcPr>
                  <w:tcW w:w="997" w:type="dxa"/>
                  <w:vAlign w:val="center"/>
                </w:tcPr>
                <w:p>
                  <w:pPr>
                    <w:pStyle w:val="30"/>
                    <w:spacing w:line="360" w:lineRule="exact"/>
                    <w:rPr>
                      <w:rFonts w:eastAsiaTheme="minorEastAsia"/>
                      <w:color w:val="auto"/>
                      <w:szCs w:val="21"/>
                    </w:rPr>
                  </w:pPr>
                  <w:r>
                    <w:rPr>
                      <w:rFonts w:eastAsiaTheme="minorEastAsia"/>
                      <w:color w:val="auto"/>
                      <w:szCs w:val="21"/>
                    </w:rPr>
                    <w:t>11.77</w:t>
                  </w:r>
                </w:p>
              </w:tc>
              <w:tc>
                <w:tcPr>
                  <w:tcW w:w="856" w:type="dxa"/>
                  <w:tcBorders>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0.98</w:t>
                  </w:r>
                </w:p>
              </w:tc>
              <w:tc>
                <w:tcPr>
                  <w:tcW w:w="857" w:type="dxa"/>
                  <w:tcBorders>
                    <w:left w:val="single" w:color="auto" w:sz="4" w:space="0"/>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w:t>
                  </w:r>
                </w:p>
              </w:tc>
              <w:tc>
                <w:tcPr>
                  <w:tcW w:w="876" w:type="dxa"/>
                  <w:tcBorders>
                    <w:lef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w:t>
                  </w:r>
                </w:p>
              </w:tc>
              <w:tc>
                <w:tcPr>
                  <w:tcW w:w="2965" w:type="dxa"/>
                  <w:vAlign w:val="center"/>
                </w:tcPr>
                <w:p>
                  <w:pPr>
                    <w:pStyle w:val="30"/>
                    <w:spacing w:line="360" w:lineRule="exact"/>
                    <w:ind w:firstLine="210" w:firstLineChars="100"/>
                    <w:jc w:val="left"/>
                    <w:rPr>
                      <w:color w:val="auto"/>
                      <w:szCs w:val="21"/>
                    </w:rPr>
                  </w:pPr>
                  <w:r>
                    <w:rPr>
                      <w:color w:val="auto"/>
                      <w:szCs w:val="21"/>
                    </w:rPr>
                    <w:t>暂存于1#危险废物贮存间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802" w:type="dxa"/>
                  <w:vMerge w:val="continue"/>
                  <w:vAlign w:val="center"/>
                </w:tcPr>
                <w:p>
                  <w:pPr>
                    <w:pStyle w:val="30"/>
                    <w:spacing w:line="360" w:lineRule="exact"/>
                    <w:rPr>
                      <w:rFonts w:eastAsiaTheme="minorEastAsia"/>
                      <w:color w:val="auto"/>
                      <w:szCs w:val="21"/>
                    </w:rPr>
                  </w:pPr>
                </w:p>
              </w:tc>
              <w:tc>
                <w:tcPr>
                  <w:tcW w:w="1691" w:type="dxa"/>
                  <w:vAlign w:val="center"/>
                </w:tcPr>
                <w:p>
                  <w:pPr>
                    <w:pStyle w:val="30"/>
                    <w:spacing w:line="360" w:lineRule="exact"/>
                    <w:rPr>
                      <w:rFonts w:eastAsiaTheme="minorEastAsia"/>
                      <w:color w:val="auto"/>
                      <w:szCs w:val="21"/>
                    </w:rPr>
                  </w:pPr>
                  <w:r>
                    <w:rPr>
                      <w:rFonts w:eastAsiaTheme="minorEastAsia"/>
                      <w:color w:val="auto"/>
                      <w:szCs w:val="21"/>
                    </w:rPr>
                    <w:t>背光模组</w:t>
                  </w:r>
                </w:p>
              </w:tc>
              <w:tc>
                <w:tcPr>
                  <w:tcW w:w="997" w:type="dxa"/>
                  <w:vAlign w:val="center"/>
                </w:tcPr>
                <w:p>
                  <w:pPr>
                    <w:pStyle w:val="30"/>
                    <w:spacing w:line="360" w:lineRule="exact"/>
                    <w:rPr>
                      <w:rFonts w:eastAsiaTheme="minorEastAsia"/>
                      <w:color w:val="auto"/>
                      <w:szCs w:val="21"/>
                    </w:rPr>
                  </w:pPr>
                  <w:r>
                    <w:rPr>
                      <w:rFonts w:eastAsiaTheme="minorEastAsia"/>
                      <w:color w:val="auto"/>
                      <w:szCs w:val="21"/>
                    </w:rPr>
                    <w:t>15.52</w:t>
                  </w:r>
                </w:p>
              </w:tc>
              <w:tc>
                <w:tcPr>
                  <w:tcW w:w="856" w:type="dxa"/>
                  <w:tcBorders>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1.29</w:t>
                  </w:r>
                </w:p>
              </w:tc>
              <w:tc>
                <w:tcPr>
                  <w:tcW w:w="857" w:type="dxa"/>
                  <w:tcBorders>
                    <w:left w:val="single" w:color="auto" w:sz="4" w:space="0"/>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w:t>
                  </w:r>
                </w:p>
              </w:tc>
              <w:tc>
                <w:tcPr>
                  <w:tcW w:w="876" w:type="dxa"/>
                  <w:tcBorders>
                    <w:lef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w:t>
                  </w:r>
                </w:p>
              </w:tc>
              <w:tc>
                <w:tcPr>
                  <w:tcW w:w="2965" w:type="dxa"/>
                  <w:vAlign w:val="center"/>
                </w:tcPr>
                <w:p>
                  <w:pPr>
                    <w:pStyle w:val="30"/>
                    <w:spacing w:line="360" w:lineRule="exact"/>
                    <w:ind w:firstLine="210" w:firstLineChars="100"/>
                    <w:jc w:val="left"/>
                    <w:rPr>
                      <w:color w:val="auto"/>
                      <w:szCs w:val="21"/>
                    </w:rPr>
                  </w:pPr>
                  <w:r>
                    <w:rPr>
                      <w:color w:val="auto"/>
                      <w:szCs w:val="21"/>
                    </w:rPr>
                    <w:t>暂存于1#危险废物贮存间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802" w:type="dxa"/>
                  <w:vMerge w:val="continue"/>
                  <w:vAlign w:val="center"/>
                </w:tcPr>
                <w:p>
                  <w:pPr>
                    <w:pStyle w:val="30"/>
                    <w:spacing w:line="360" w:lineRule="exact"/>
                    <w:rPr>
                      <w:rFonts w:eastAsiaTheme="minorEastAsia"/>
                      <w:color w:val="auto"/>
                      <w:szCs w:val="21"/>
                    </w:rPr>
                  </w:pPr>
                </w:p>
              </w:tc>
              <w:tc>
                <w:tcPr>
                  <w:tcW w:w="1691" w:type="dxa"/>
                  <w:vAlign w:val="center"/>
                </w:tcPr>
                <w:p>
                  <w:pPr>
                    <w:pStyle w:val="30"/>
                    <w:spacing w:line="360" w:lineRule="exact"/>
                    <w:rPr>
                      <w:rFonts w:eastAsiaTheme="minorEastAsia"/>
                      <w:color w:val="auto"/>
                      <w:szCs w:val="21"/>
                    </w:rPr>
                  </w:pPr>
                  <w:r>
                    <w:rPr>
                      <w:rFonts w:eastAsiaTheme="minorEastAsia"/>
                      <w:color w:val="auto"/>
                      <w:szCs w:val="21"/>
                    </w:rPr>
                    <w:t>废弃的阴极射线管（锥玻璃）</w:t>
                  </w:r>
                </w:p>
              </w:tc>
              <w:tc>
                <w:tcPr>
                  <w:tcW w:w="997" w:type="dxa"/>
                  <w:vAlign w:val="center"/>
                </w:tcPr>
                <w:p>
                  <w:pPr>
                    <w:pStyle w:val="30"/>
                    <w:spacing w:line="360" w:lineRule="exact"/>
                    <w:rPr>
                      <w:rFonts w:eastAsiaTheme="minorEastAsia"/>
                      <w:color w:val="auto"/>
                      <w:szCs w:val="21"/>
                    </w:rPr>
                  </w:pPr>
                  <w:r>
                    <w:rPr>
                      <w:rFonts w:eastAsiaTheme="minorEastAsia"/>
                      <w:color w:val="auto"/>
                      <w:szCs w:val="21"/>
                    </w:rPr>
                    <w:t>2475</w:t>
                  </w:r>
                </w:p>
              </w:tc>
              <w:tc>
                <w:tcPr>
                  <w:tcW w:w="856" w:type="dxa"/>
                  <w:tcBorders>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206.25</w:t>
                  </w:r>
                </w:p>
              </w:tc>
              <w:tc>
                <w:tcPr>
                  <w:tcW w:w="857" w:type="dxa"/>
                  <w:tcBorders>
                    <w:left w:val="single" w:color="auto" w:sz="4" w:space="0"/>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w:t>
                  </w:r>
                </w:p>
              </w:tc>
              <w:tc>
                <w:tcPr>
                  <w:tcW w:w="876" w:type="dxa"/>
                  <w:tcBorders>
                    <w:lef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w:t>
                  </w:r>
                </w:p>
              </w:tc>
              <w:tc>
                <w:tcPr>
                  <w:tcW w:w="2965" w:type="dxa"/>
                  <w:vAlign w:val="center"/>
                </w:tcPr>
                <w:p>
                  <w:pPr>
                    <w:pStyle w:val="30"/>
                    <w:spacing w:line="360" w:lineRule="exact"/>
                    <w:ind w:firstLine="210" w:firstLineChars="100"/>
                    <w:jc w:val="left"/>
                    <w:rPr>
                      <w:color w:val="auto"/>
                      <w:szCs w:val="21"/>
                    </w:rPr>
                  </w:pPr>
                  <w:r>
                    <w:rPr>
                      <w:color w:val="auto"/>
                      <w:szCs w:val="21"/>
                    </w:rPr>
                    <w:t>暂存于废弃的阴极射线管（锥玻璃）含铅贮存区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802" w:type="dxa"/>
                  <w:vMerge w:val="continue"/>
                  <w:vAlign w:val="center"/>
                </w:tcPr>
                <w:p>
                  <w:pPr>
                    <w:pStyle w:val="30"/>
                    <w:spacing w:line="360" w:lineRule="exact"/>
                    <w:rPr>
                      <w:rFonts w:eastAsiaTheme="minorEastAsia"/>
                      <w:color w:val="auto"/>
                      <w:szCs w:val="21"/>
                    </w:rPr>
                  </w:pPr>
                </w:p>
              </w:tc>
              <w:tc>
                <w:tcPr>
                  <w:tcW w:w="1691" w:type="dxa"/>
                  <w:vAlign w:val="center"/>
                </w:tcPr>
                <w:p>
                  <w:pPr>
                    <w:pStyle w:val="30"/>
                    <w:spacing w:line="360" w:lineRule="exact"/>
                    <w:rPr>
                      <w:rFonts w:eastAsiaTheme="minorEastAsia"/>
                      <w:color w:val="auto"/>
                      <w:szCs w:val="21"/>
                    </w:rPr>
                  </w:pPr>
                  <w:r>
                    <w:rPr>
                      <w:rFonts w:eastAsiaTheme="minorEastAsia"/>
                      <w:color w:val="auto"/>
                      <w:szCs w:val="21"/>
                    </w:rPr>
                    <w:t>荧光粉</w:t>
                  </w:r>
                </w:p>
              </w:tc>
              <w:tc>
                <w:tcPr>
                  <w:tcW w:w="997" w:type="dxa"/>
                  <w:vAlign w:val="center"/>
                </w:tcPr>
                <w:p>
                  <w:pPr>
                    <w:pStyle w:val="30"/>
                    <w:spacing w:line="360" w:lineRule="exact"/>
                    <w:rPr>
                      <w:rFonts w:eastAsiaTheme="minorEastAsia"/>
                      <w:color w:val="auto"/>
                      <w:szCs w:val="21"/>
                    </w:rPr>
                  </w:pPr>
                  <w:r>
                    <w:rPr>
                      <w:rFonts w:eastAsiaTheme="minorEastAsia"/>
                      <w:color w:val="auto"/>
                      <w:szCs w:val="21"/>
                    </w:rPr>
                    <w:t>225</w:t>
                  </w:r>
                </w:p>
              </w:tc>
              <w:tc>
                <w:tcPr>
                  <w:tcW w:w="856" w:type="dxa"/>
                  <w:tcBorders>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18.75</w:t>
                  </w:r>
                </w:p>
              </w:tc>
              <w:tc>
                <w:tcPr>
                  <w:tcW w:w="857" w:type="dxa"/>
                  <w:tcBorders>
                    <w:left w:val="single" w:color="auto" w:sz="4" w:space="0"/>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w:t>
                  </w:r>
                </w:p>
              </w:tc>
              <w:tc>
                <w:tcPr>
                  <w:tcW w:w="876" w:type="dxa"/>
                  <w:tcBorders>
                    <w:lef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w:t>
                  </w:r>
                </w:p>
              </w:tc>
              <w:tc>
                <w:tcPr>
                  <w:tcW w:w="2965" w:type="dxa"/>
                  <w:vAlign w:val="center"/>
                </w:tcPr>
                <w:p>
                  <w:pPr>
                    <w:pStyle w:val="30"/>
                    <w:spacing w:line="360" w:lineRule="exact"/>
                    <w:ind w:firstLine="210" w:firstLineChars="100"/>
                    <w:jc w:val="left"/>
                    <w:rPr>
                      <w:color w:val="auto"/>
                      <w:szCs w:val="21"/>
                    </w:rPr>
                  </w:pPr>
                  <w:r>
                    <w:rPr>
                      <w:color w:val="auto"/>
                      <w:szCs w:val="21"/>
                    </w:rPr>
                    <w:t>暂存于1#危险废物贮存间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802" w:type="dxa"/>
                  <w:vMerge w:val="continue"/>
                  <w:vAlign w:val="center"/>
                </w:tcPr>
                <w:p>
                  <w:pPr>
                    <w:pStyle w:val="30"/>
                    <w:spacing w:line="360" w:lineRule="exact"/>
                    <w:rPr>
                      <w:rFonts w:eastAsiaTheme="minorEastAsia"/>
                      <w:color w:val="auto"/>
                      <w:szCs w:val="21"/>
                    </w:rPr>
                  </w:pPr>
                </w:p>
              </w:tc>
              <w:tc>
                <w:tcPr>
                  <w:tcW w:w="1691" w:type="dxa"/>
                  <w:vAlign w:val="center"/>
                </w:tcPr>
                <w:p>
                  <w:pPr>
                    <w:pStyle w:val="30"/>
                    <w:spacing w:line="360" w:lineRule="exact"/>
                    <w:rPr>
                      <w:rFonts w:eastAsiaTheme="minorEastAsia"/>
                      <w:color w:val="auto"/>
                      <w:szCs w:val="21"/>
                    </w:rPr>
                  </w:pPr>
                  <w:r>
                    <w:rPr>
                      <w:rFonts w:eastAsiaTheme="minorEastAsia"/>
                      <w:color w:val="auto"/>
                      <w:szCs w:val="21"/>
                    </w:rPr>
                    <w:t>废活性炭（吸附有机废气）</w:t>
                  </w:r>
                </w:p>
              </w:tc>
              <w:tc>
                <w:tcPr>
                  <w:tcW w:w="997" w:type="dxa"/>
                  <w:vAlign w:val="center"/>
                </w:tcPr>
                <w:p>
                  <w:pPr>
                    <w:pStyle w:val="30"/>
                    <w:spacing w:line="360" w:lineRule="exact"/>
                    <w:rPr>
                      <w:rFonts w:eastAsiaTheme="minorEastAsia"/>
                      <w:color w:val="auto"/>
                      <w:szCs w:val="21"/>
                    </w:rPr>
                  </w:pPr>
                  <w:r>
                    <w:rPr>
                      <w:rFonts w:eastAsiaTheme="minorEastAsia"/>
                      <w:color w:val="auto"/>
                      <w:szCs w:val="21"/>
                    </w:rPr>
                    <w:t>0.06</w:t>
                  </w:r>
                </w:p>
              </w:tc>
              <w:tc>
                <w:tcPr>
                  <w:tcW w:w="856" w:type="dxa"/>
                  <w:tcBorders>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0.01</w:t>
                  </w:r>
                </w:p>
              </w:tc>
              <w:tc>
                <w:tcPr>
                  <w:tcW w:w="857" w:type="dxa"/>
                  <w:tcBorders>
                    <w:left w:val="single" w:color="auto" w:sz="4" w:space="0"/>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w:t>
                  </w:r>
                </w:p>
              </w:tc>
              <w:tc>
                <w:tcPr>
                  <w:tcW w:w="876" w:type="dxa"/>
                  <w:tcBorders>
                    <w:lef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w:t>
                  </w:r>
                </w:p>
              </w:tc>
              <w:tc>
                <w:tcPr>
                  <w:tcW w:w="2965" w:type="dxa"/>
                  <w:vAlign w:val="center"/>
                </w:tcPr>
                <w:p>
                  <w:pPr>
                    <w:pStyle w:val="30"/>
                    <w:spacing w:line="360" w:lineRule="exact"/>
                    <w:ind w:firstLine="210" w:firstLineChars="100"/>
                    <w:jc w:val="left"/>
                    <w:rPr>
                      <w:color w:val="auto"/>
                      <w:szCs w:val="21"/>
                    </w:rPr>
                  </w:pPr>
                  <w:r>
                    <w:rPr>
                      <w:color w:val="auto"/>
                      <w:szCs w:val="21"/>
                    </w:rPr>
                    <w:t>暂存于3#危险废物贮存间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802" w:type="dxa"/>
                  <w:vMerge w:val="continue"/>
                  <w:vAlign w:val="center"/>
                </w:tcPr>
                <w:p>
                  <w:pPr>
                    <w:pStyle w:val="30"/>
                    <w:spacing w:line="360" w:lineRule="exact"/>
                    <w:rPr>
                      <w:rFonts w:eastAsiaTheme="minorEastAsia"/>
                      <w:color w:val="auto"/>
                      <w:szCs w:val="21"/>
                    </w:rPr>
                  </w:pPr>
                </w:p>
              </w:tc>
              <w:tc>
                <w:tcPr>
                  <w:tcW w:w="1691" w:type="dxa"/>
                  <w:vAlign w:val="center"/>
                </w:tcPr>
                <w:p>
                  <w:pPr>
                    <w:pStyle w:val="30"/>
                    <w:spacing w:line="360" w:lineRule="exact"/>
                    <w:rPr>
                      <w:rFonts w:eastAsiaTheme="minorEastAsia"/>
                      <w:color w:val="auto"/>
                      <w:szCs w:val="21"/>
                    </w:rPr>
                  </w:pPr>
                  <w:r>
                    <w:rPr>
                      <w:rFonts w:eastAsiaTheme="minorEastAsia"/>
                      <w:color w:val="auto"/>
                      <w:szCs w:val="21"/>
                    </w:rPr>
                    <w:t>废活性炭（吸附汞及其化合物）</w:t>
                  </w:r>
                </w:p>
              </w:tc>
              <w:tc>
                <w:tcPr>
                  <w:tcW w:w="997" w:type="dxa"/>
                  <w:vAlign w:val="center"/>
                </w:tcPr>
                <w:p>
                  <w:pPr>
                    <w:pStyle w:val="30"/>
                    <w:spacing w:line="360" w:lineRule="exact"/>
                    <w:rPr>
                      <w:rFonts w:eastAsiaTheme="minorEastAsia"/>
                      <w:color w:val="auto"/>
                      <w:szCs w:val="21"/>
                    </w:rPr>
                  </w:pPr>
                  <w:r>
                    <w:rPr>
                      <w:rFonts w:eastAsiaTheme="minorEastAsia"/>
                      <w:color w:val="auto"/>
                      <w:szCs w:val="21"/>
                    </w:rPr>
                    <w:t>0.002</w:t>
                  </w:r>
                </w:p>
              </w:tc>
              <w:tc>
                <w:tcPr>
                  <w:tcW w:w="856" w:type="dxa"/>
                  <w:tcBorders>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0.001</w:t>
                  </w:r>
                </w:p>
              </w:tc>
              <w:tc>
                <w:tcPr>
                  <w:tcW w:w="857" w:type="dxa"/>
                  <w:tcBorders>
                    <w:left w:val="single" w:color="auto" w:sz="4" w:space="0"/>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w:t>
                  </w:r>
                </w:p>
              </w:tc>
              <w:tc>
                <w:tcPr>
                  <w:tcW w:w="876" w:type="dxa"/>
                  <w:tcBorders>
                    <w:lef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w:t>
                  </w:r>
                </w:p>
              </w:tc>
              <w:tc>
                <w:tcPr>
                  <w:tcW w:w="2965" w:type="dxa"/>
                  <w:vAlign w:val="center"/>
                </w:tcPr>
                <w:p>
                  <w:pPr>
                    <w:pStyle w:val="30"/>
                    <w:spacing w:line="360" w:lineRule="exact"/>
                    <w:ind w:firstLine="210" w:firstLineChars="100"/>
                    <w:jc w:val="left"/>
                    <w:rPr>
                      <w:color w:val="auto"/>
                      <w:szCs w:val="21"/>
                    </w:rPr>
                  </w:pPr>
                  <w:r>
                    <w:rPr>
                      <w:color w:val="auto"/>
                      <w:szCs w:val="21"/>
                    </w:rPr>
                    <w:t>暂存于1#危险废物贮存间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802" w:type="dxa"/>
                  <w:vMerge w:val="continue"/>
                  <w:vAlign w:val="center"/>
                </w:tcPr>
                <w:p>
                  <w:pPr>
                    <w:pStyle w:val="30"/>
                    <w:spacing w:line="360" w:lineRule="exact"/>
                    <w:rPr>
                      <w:rFonts w:eastAsiaTheme="minorEastAsia"/>
                      <w:color w:val="auto"/>
                      <w:szCs w:val="21"/>
                    </w:rPr>
                  </w:pPr>
                </w:p>
              </w:tc>
              <w:tc>
                <w:tcPr>
                  <w:tcW w:w="1691" w:type="dxa"/>
                  <w:vAlign w:val="center"/>
                </w:tcPr>
                <w:p>
                  <w:pPr>
                    <w:pStyle w:val="30"/>
                    <w:spacing w:line="360" w:lineRule="exact"/>
                    <w:rPr>
                      <w:rFonts w:eastAsiaTheme="minorEastAsia"/>
                      <w:color w:val="auto"/>
                      <w:szCs w:val="21"/>
                    </w:rPr>
                  </w:pPr>
                  <w:r>
                    <w:rPr>
                      <w:rFonts w:eastAsiaTheme="minorEastAsia"/>
                      <w:color w:val="auto"/>
                      <w:szCs w:val="21"/>
                    </w:rPr>
                    <w:t>收集含铅粉尘</w:t>
                  </w:r>
                </w:p>
              </w:tc>
              <w:tc>
                <w:tcPr>
                  <w:tcW w:w="997" w:type="dxa"/>
                  <w:vAlign w:val="center"/>
                </w:tcPr>
                <w:p>
                  <w:pPr>
                    <w:pStyle w:val="30"/>
                    <w:spacing w:line="360" w:lineRule="exact"/>
                    <w:rPr>
                      <w:rFonts w:eastAsiaTheme="minorEastAsia"/>
                      <w:color w:val="auto"/>
                      <w:szCs w:val="21"/>
                    </w:rPr>
                  </w:pPr>
                  <w:r>
                    <w:rPr>
                      <w:rFonts w:eastAsiaTheme="minorEastAsia"/>
                      <w:color w:val="auto"/>
                      <w:szCs w:val="21"/>
                    </w:rPr>
                    <w:t>0.65</w:t>
                  </w:r>
                </w:p>
              </w:tc>
              <w:tc>
                <w:tcPr>
                  <w:tcW w:w="856" w:type="dxa"/>
                  <w:tcBorders>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0.05</w:t>
                  </w:r>
                </w:p>
              </w:tc>
              <w:tc>
                <w:tcPr>
                  <w:tcW w:w="857" w:type="dxa"/>
                  <w:tcBorders>
                    <w:left w:val="single" w:color="auto" w:sz="4" w:space="0"/>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w:t>
                  </w:r>
                </w:p>
              </w:tc>
              <w:tc>
                <w:tcPr>
                  <w:tcW w:w="876" w:type="dxa"/>
                  <w:tcBorders>
                    <w:lef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w:t>
                  </w:r>
                </w:p>
              </w:tc>
              <w:tc>
                <w:tcPr>
                  <w:tcW w:w="2965" w:type="dxa"/>
                  <w:vAlign w:val="center"/>
                </w:tcPr>
                <w:p>
                  <w:pPr>
                    <w:pStyle w:val="30"/>
                    <w:spacing w:line="360" w:lineRule="exact"/>
                    <w:ind w:firstLine="210" w:firstLineChars="100"/>
                    <w:jc w:val="left"/>
                    <w:rPr>
                      <w:color w:val="auto"/>
                      <w:szCs w:val="21"/>
                    </w:rPr>
                  </w:pPr>
                  <w:r>
                    <w:rPr>
                      <w:color w:val="auto"/>
                      <w:szCs w:val="21"/>
                    </w:rPr>
                    <w:t>暂存于1#危险废物贮存间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802" w:type="dxa"/>
                  <w:vMerge w:val="continue"/>
                  <w:vAlign w:val="center"/>
                </w:tcPr>
                <w:p>
                  <w:pPr>
                    <w:pStyle w:val="30"/>
                    <w:spacing w:line="360" w:lineRule="exact"/>
                    <w:rPr>
                      <w:rFonts w:eastAsiaTheme="minorEastAsia"/>
                      <w:color w:val="auto"/>
                      <w:szCs w:val="21"/>
                    </w:rPr>
                  </w:pPr>
                </w:p>
              </w:tc>
              <w:tc>
                <w:tcPr>
                  <w:tcW w:w="1691" w:type="dxa"/>
                  <w:vAlign w:val="center"/>
                </w:tcPr>
                <w:p>
                  <w:pPr>
                    <w:pStyle w:val="30"/>
                    <w:spacing w:line="360" w:lineRule="exact"/>
                    <w:rPr>
                      <w:rFonts w:eastAsiaTheme="minorEastAsia"/>
                      <w:color w:val="auto"/>
                      <w:szCs w:val="21"/>
                    </w:rPr>
                  </w:pPr>
                  <w:r>
                    <w:rPr>
                      <w:rFonts w:eastAsiaTheme="minorEastAsia"/>
                      <w:color w:val="auto"/>
                      <w:szCs w:val="21"/>
                    </w:rPr>
                    <w:t>制冷剂</w:t>
                  </w:r>
                </w:p>
              </w:tc>
              <w:tc>
                <w:tcPr>
                  <w:tcW w:w="997" w:type="dxa"/>
                  <w:vAlign w:val="center"/>
                </w:tcPr>
                <w:p>
                  <w:pPr>
                    <w:pStyle w:val="30"/>
                    <w:spacing w:line="360" w:lineRule="exact"/>
                    <w:rPr>
                      <w:rFonts w:eastAsiaTheme="minorEastAsia"/>
                      <w:color w:val="auto"/>
                      <w:szCs w:val="21"/>
                    </w:rPr>
                  </w:pPr>
                  <w:r>
                    <w:rPr>
                      <w:rFonts w:eastAsiaTheme="minorEastAsia"/>
                      <w:color w:val="auto"/>
                      <w:szCs w:val="21"/>
                    </w:rPr>
                    <w:t>2.49</w:t>
                  </w:r>
                </w:p>
              </w:tc>
              <w:tc>
                <w:tcPr>
                  <w:tcW w:w="856" w:type="dxa"/>
                  <w:tcBorders>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0.02</w:t>
                  </w:r>
                </w:p>
              </w:tc>
              <w:tc>
                <w:tcPr>
                  <w:tcW w:w="857" w:type="dxa"/>
                  <w:tcBorders>
                    <w:left w:val="single" w:color="auto" w:sz="4" w:space="0"/>
                    <w:right w:val="single" w:color="auto" w:sz="4" w:space="0"/>
                  </w:tcBorders>
                  <w:vAlign w:val="center"/>
                </w:tcPr>
                <w:p>
                  <w:pPr>
                    <w:pStyle w:val="30"/>
                    <w:spacing w:line="360" w:lineRule="exact"/>
                    <w:ind w:firstLine="210" w:firstLineChars="100"/>
                    <w:jc w:val="left"/>
                    <w:rPr>
                      <w:rFonts w:eastAsiaTheme="minorEastAsia"/>
                      <w:color w:val="auto"/>
                      <w:szCs w:val="21"/>
                    </w:rPr>
                  </w:pPr>
                  <w:r>
                    <w:rPr>
                      <w:rFonts w:eastAsiaTheme="minorEastAsia"/>
                      <w:color w:val="auto"/>
                      <w:szCs w:val="21"/>
                    </w:rPr>
                    <w:t>--</w:t>
                  </w:r>
                </w:p>
              </w:tc>
              <w:tc>
                <w:tcPr>
                  <w:tcW w:w="876" w:type="dxa"/>
                  <w:tcBorders>
                    <w:lef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w:t>
                  </w:r>
                </w:p>
              </w:tc>
              <w:tc>
                <w:tcPr>
                  <w:tcW w:w="2965" w:type="dxa"/>
                  <w:vAlign w:val="center"/>
                </w:tcPr>
                <w:p>
                  <w:pPr>
                    <w:pStyle w:val="30"/>
                    <w:spacing w:line="360" w:lineRule="exact"/>
                    <w:ind w:firstLine="210" w:firstLineChars="100"/>
                    <w:jc w:val="left"/>
                    <w:rPr>
                      <w:color w:val="auto"/>
                      <w:szCs w:val="21"/>
                    </w:rPr>
                  </w:pPr>
                  <w:r>
                    <w:rPr>
                      <w:color w:val="auto"/>
                      <w:szCs w:val="21"/>
                    </w:rPr>
                    <w:t>采用专用钢瓶密封储存于4#危险废物贮存间</w:t>
                  </w:r>
                </w:p>
              </w:tc>
            </w:tr>
          </w:tbl>
          <w:p>
            <w:pPr>
              <w:spacing w:beforeLines="50"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项目涉及危险物质的理化性质如下表所示。</w:t>
            </w:r>
          </w:p>
          <w:p>
            <w:pPr>
              <w:pStyle w:val="32"/>
              <w:spacing w:beforeLines="0"/>
              <w:rPr>
                <w:rFonts w:hAnsi="Times New Roman" w:eastAsiaTheme="minorEastAsia"/>
                <w:color w:val="auto"/>
                <w:sz w:val="21"/>
                <w:szCs w:val="21"/>
              </w:rPr>
            </w:pPr>
            <w:r>
              <w:rPr>
                <w:rFonts w:hAnsi="Times New Roman" w:eastAsiaTheme="minorEastAsia"/>
                <w:color w:val="auto"/>
                <w:sz w:val="21"/>
                <w:szCs w:val="21"/>
              </w:rPr>
              <w:t>表4.2.7-2 危险物质主要成分基本性质一览表</w:t>
            </w:r>
          </w:p>
          <w:tbl>
            <w:tblPr>
              <w:tblStyle w:val="20"/>
              <w:tblW w:w="904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58"/>
              <w:gridCol w:w="8"/>
              <w:gridCol w:w="1414"/>
              <w:gridCol w:w="1106"/>
              <w:gridCol w:w="1243"/>
              <w:gridCol w:w="391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66" w:type="dxa"/>
                  <w:gridSpan w:val="2"/>
                  <w:vMerge w:val="restart"/>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次氯酸钠</w:t>
                  </w:r>
                </w:p>
              </w:tc>
              <w:tc>
                <w:tcPr>
                  <w:tcW w:w="141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文别名：</w:t>
                  </w:r>
                </w:p>
              </w:tc>
              <w:tc>
                <w:tcPr>
                  <w:tcW w:w="1106"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次氯酸钠</w:t>
                  </w:r>
                </w:p>
              </w:tc>
              <w:tc>
                <w:tcPr>
                  <w:tcW w:w="1243"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英文名称：</w:t>
                  </w:r>
                </w:p>
              </w:tc>
              <w:tc>
                <w:tcPr>
                  <w:tcW w:w="3915"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66" w:type="dxa"/>
                  <w:gridSpan w:val="2"/>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41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CAS号：</w:t>
                  </w:r>
                </w:p>
              </w:tc>
              <w:tc>
                <w:tcPr>
                  <w:tcW w:w="1106"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7681-52-9</w:t>
                  </w:r>
                </w:p>
              </w:tc>
              <w:tc>
                <w:tcPr>
                  <w:tcW w:w="1243" w:type="dxa"/>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UN号：</w:t>
                  </w:r>
                </w:p>
              </w:tc>
              <w:tc>
                <w:tcPr>
                  <w:tcW w:w="3915"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1791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66" w:type="dxa"/>
                  <w:gridSpan w:val="2"/>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41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危险性类别：</w:t>
                  </w:r>
                </w:p>
              </w:tc>
              <w:tc>
                <w:tcPr>
                  <w:tcW w:w="6264" w:type="dxa"/>
                  <w:gridSpan w:val="3"/>
                  <w:vAlign w:val="center"/>
                </w:tcPr>
                <w:p>
                  <w:pPr>
                    <w:spacing w:line="360" w:lineRule="exact"/>
                    <w:ind w:firstLine="210" w:firstLineChars="100"/>
                    <w:jc w:val="left"/>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皮肤腐蚀/刺激-类别1B，严重眼损伤/眼刺激-类别1，危害水生环境-急性危害-类别1，危害水生环境-长期危害-类别1，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66" w:type="dxa"/>
                  <w:gridSpan w:val="2"/>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41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GHS警示词：</w:t>
                  </w:r>
                </w:p>
              </w:tc>
              <w:tc>
                <w:tcPr>
                  <w:tcW w:w="6264" w:type="dxa"/>
                  <w:gridSpan w:val="3"/>
                  <w:vAlign w:val="center"/>
                </w:tcPr>
                <w:p>
                  <w:pPr>
                    <w:spacing w:line="360" w:lineRule="exact"/>
                    <w:ind w:firstLine="210" w:firstLineChars="100"/>
                    <w:jc w:val="left"/>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危险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66" w:type="dxa"/>
                  <w:gridSpan w:val="2"/>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41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危险性说明：</w:t>
                  </w:r>
                </w:p>
              </w:tc>
              <w:tc>
                <w:tcPr>
                  <w:tcW w:w="6264" w:type="dxa"/>
                  <w:gridSpan w:val="3"/>
                  <w:vAlign w:val="center"/>
                </w:tcPr>
                <w:p>
                  <w:pPr>
                    <w:spacing w:line="360" w:lineRule="exact"/>
                    <w:ind w:firstLine="210" w:firstLineChars="100"/>
                    <w:jc w:val="left"/>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H314:造成严重的皮肤灼伤和眼损伤H410；对水生生物毒性极大并具有长期持续影响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66" w:type="dxa"/>
                  <w:gridSpan w:val="2"/>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41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理化特性：</w:t>
                  </w:r>
                </w:p>
              </w:tc>
              <w:tc>
                <w:tcPr>
                  <w:tcW w:w="6264" w:type="dxa"/>
                  <w:gridSpan w:val="3"/>
                  <w:vAlign w:val="center"/>
                </w:tcPr>
                <w:p>
                  <w:pPr>
                    <w:spacing w:line="360" w:lineRule="exact"/>
                    <w:ind w:firstLine="210" w:firstLineChars="100"/>
                    <w:jc w:val="left"/>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微黄色、有似氯气的气味，溶于水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66" w:type="dxa"/>
                  <w:gridSpan w:val="2"/>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41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燃烧与爆炸危险性</w:t>
                  </w:r>
                </w:p>
              </w:tc>
              <w:tc>
                <w:tcPr>
                  <w:tcW w:w="6264" w:type="dxa"/>
                  <w:gridSpan w:val="3"/>
                  <w:vAlign w:val="center"/>
                </w:tcPr>
                <w:p>
                  <w:pPr>
                    <w:spacing w:line="360" w:lineRule="exact"/>
                    <w:ind w:firstLine="210" w:firstLineChars="100"/>
                    <w:jc w:val="left"/>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不燃，无特殊燃爆特性。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66" w:type="dxa"/>
                  <w:gridSpan w:val="2"/>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41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活性反应：</w:t>
                  </w:r>
                </w:p>
              </w:tc>
              <w:tc>
                <w:tcPr>
                  <w:tcW w:w="6264" w:type="dxa"/>
                  <w:gridSpan w:val="3"/>
                  <w:vAlign w:val="center"/>
                </w:tcPr>
                <w:p>
                  <w:pPr>
                    <w:spacing w:line="360" w:lineRule="exact"/>
                    <w:ind w:firstLine="210" w:firstLineChars="100"/>
                    <w:jc w:val="left"/>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与强还原剂、易燃或可燃物等禁配物接触发生强烈反应</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66" w:type="dxa"/>
                  <w:gridSpan w:val="2"/>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41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禁忌物：</w:t>
                  </w:r>
                </w:p>
              </w:tc>
              <w:tc>
                <w:tcPr>
                  <w:tcW w:w="6264" w:type="dxa"/>
                  <w:gridSpan w:val="3"/>
                  <w:vAlign w:val="center"/>
                </w:tcPr>
                <w:p>
                  <w:pPr>
                    <w:spacing w:line="360" w:lineRule="exact"/>
                    <w:ind w:firstLine="210" w:firstLineChars="100"/>
                    <w:jc w:val="left"/>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碱类。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66" w:type="dxa"/>
                  <w:gridSpan w:val="2"/>
                  <w:vMerge w:val="continue"/>
                  <w:vAlign w:val="center"/>
                </w:tcPr>
                <w:p>
                  <w:pPr>
                    <w:spacing w:line="360" w:lineRule="exact"/>
                    <w:jc w:val="center"/>
                    <w:rPr>
                      <w:rFonts w:ascii="Times New Roman" w:hAnsi="Times New Roman" w:eastAsia="宋体" w:cs="Times New Roman"/>
                      <w:bCs/>
                      <w:snapToGrid w:val="0"/>
                      <w:color w:val="auto"/>
                      <w:kern w:val="32"/>
                      <w:lang w:val="zh-CN"/>
                    </w:rPr>
                  </w:pPr>
                </w:p>
              </w:tc>
              <w:tc>
                <w:tcPr>
                  <w:tcW w:w="1414" w:type="dxa"/>
                  <w:vAlign w:val="center"/>
                </w:tcPr>
                <w:p>
                  <w:pPr>
                    <w:spacing w:line="360" w:lineRule="exact"/>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毒性：</w:t>
                  </w:r>
                </w:p>
              </w:tc>
              <w:tc>
                <w:tcPr>
                  <w:tcW w:w="6264" w:type="dxa"/>
                  <w:gridSpan w:val="3"/>
                  <w:vAlign w:val="center"/>
                </w:tcPr>
                <w:p>
                  <w:pPr>
                    <w:spacing w:line="360" w:lineRule="exact"/>
                    <w:ind w:firstLine="210" w:firstLineChars="100"/>
                    <w:jc w:val="left"/>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LD50：8500mg/kg（大鼠腹腔）</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366" w:type="dxa"/>
                  <w:gridSpan w:val="2"/>
                  <w:vMerge w:val="restart"/>
                  <w:vAlign w:val="center"/>
                </w:tcPr>
                <w:p>
                  <w:pPr>
                    <w:pStyle w:val="30"/>
                    <w:spacing w:line="360" w:lineRule="exact"/>
                    <w:rPr>
                      <w:color w:val="auto"/>
                      <w:szCs w:val="21"/>
                    </w:rPr>
                  </w:pPr>
                  <w:r>
                    <w:rPr>
                      <w:color w:val="auto"/>
                      <w:szCs w:val="21"/>
                    </w:rPr>
                    <w:t>废矿物油</w:t>
                  </w:r>
                </w:p>
              </w:tc>
              <w:tc>
                <w:tcPr>
                  <w:tcW w:w="1414" w:type="dxa"/>
                </w:tcPr>
                <w:p>
                  <w:pPr>
                    <w:pStyle w:val="30"/>
                    <w:spacing w:line="360" w:lineRule="exact"/>
                    <w:rPr>
                      <w:color w:val="auto"/>
                      <w:szCs w:val="21"/>
                    </w:rPr>
                  </w:pPr>
                  <w:r>
                    <w:rPr>
                      <w:color w:val="auto"/>
                      <w:szCs w:val="21"/>
                    </w:rPr>
                    <w:t>废物类别</w:t>
                  </w:r>
                </w:p>
              </w:tc>
              <w:tc>
                <w:tcPr>
                  <w:tcW w:w="6264" w:type="dxa"/>
                  <w:gridSpan w:val="3"/>
                  <w:vAlign w:val="center"/>
                </w:tcPr>
                <w:p>
                  <w:pPr>
                    <w:pStyle w:val="30"/>
                    <w:spacing w:line="360" w:lineRule="exact"/>
                    <w:ind w:left="11" w:firstLine="210" w:firstLineChars="100"/>
                    <w:jc w:val="left"/>
                    <w:rPr>
                      <w:color w:val="auto"/>
                      <w:szCs w:val="21"/>
                    </w:rPr>
                  </w:pPr>
                  <w:r>
                    <w:rPr>
                      <w:color w:val="auto"/>
                      <w:szCs w:val="21"/>
                    </w:rPr>
                    <w:t>HW08废矿物油与含矿物油废物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366" w:type="dxa"/>
                  <w:gridSpan w:val="2"/>
                  <w:vMerge w:val="continue"/>
                  <w:vAlign w:val="center"/>
                </w:tcPr>
                <w:p>
                  <w:pPr>
                    <w:pStyle w:val="30"/>
                    <w:spacing w:line="360" w:lineRule="exact"/>
                    <w:rPr>
                      <w:color w:val="auto"/>
                      <w:szCs w:val="21"/>
                    </w:rPr>
                  </w:pPr>
                </w:p>
              </w:tc>
              <w:tc>
                <w:tcPr>
                  <w:tcW w:w="1414" w:type="dxa"/>
                  <w:vAlign w:val="center"/>
                </w:tcPr>
                <w:p>
                  <w:pPr>
                    <w:pStyle w:val="30"/>
                    <w:spacing w:line="360" w:lineRule="exact"/>
                    <w:rPr>
                      <w:color w:val="auto"/>
                      <w:szCs w:val="21"/>
                    </w:rPr>
                  </w:pPr>
                  <w:r>
                    <w:rPr>
                      <w:color w:val="auto"/>
                      <w:szCs w:val="21"/>
                    </w:rPr>
                    <w:t>废物代码</w:t>
                  </w:r>
                </w:p>
              </w:tc>
              <w:tc>
                <w:tcPr>
                  <w:tcW w:w="6264" w:type="dxa"/>
                  <w:gridSpan w:val="3"/>
                  <w:vAlign w:val="center"/>
                </w:tcPr>
                <w:p>
                  <w:pPr>
                    <w:pStyle w:val="30"/>
                    <w:spacing w:line="360" w:lineRule="exact"/>
                    <w:ind w:left="11" w:firstLine="210" w:firstLineChars="100"/>
                    <w:jc w:val="left"/>
                    <w:rPr>
                      <w:color w:val="auto"/>
                      <w:szCs w:val="21"/>
                    </w:rPr>
                  </w:pPr>
                  <w:r>
                    <w:rPr>
                      <w:color w:val="auto"/>
                      <w:szCs w:val="21"/>
                    </w:rPr>
                    <w:t>900-214-08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366" w:type="dxa"/>
                  <w:gridSpan w:val="2"/>
                  <w:vMerge w:val="continue"/>
                  <w:vAlign w:val="center"/>
                </w:tcPr>
                <w:p>
                  <w:pPr>
                    <w:pStyle w:val="30"/>
                    <w:spacing w:line="360" w:lineRule="exact"/>
                    <w:rPr>
                      <w:color w:val="auto"/>
                      <w:szCs w:val="21"/>
                    </w:rPr>
                  </w:pPr>
                </w:p>
              </w:tc>
              <w:tc>
                <w:tcPr>
                  <w:tcW w:w="1414" w:type="dxa"/>
                  <w:vAlign w:val="center"/>
                </w:tcPr>
                <w:p>
                  <w:pPr>
                    <w:pStyle w:val="30"/>
                    <w:spacing w:line="360" w:lineRule="exact"/>
                    <w:rPr>
                      <w:color w:val="auto"/>
                      <w:szCs w:val="21"/>
                    </w:rPr>
                  </w:pPr>
                  <w:r>
                    <w:rPr>
                      <w:color w:val="auto"/>
                      <w:szCs w:val="21"/>
                    </w:rPr>
                    <w:t>危险特征</w:t>
                  </w:r>
                </w:p>
              </w:tc>
              <w:tc>
                <w:tcPr>
                  <w:tcW w:w="6264" w:type="dxa"/>
                  <w:gridSpan w:val="3"/>
                  <w:vAlign w:val="center"/>
                </w:tcPr>
                <w:p>
                  <w:pPr>
                    <w:pStyle w:val="30"/>
                    <w:spacing w:line="360" w:lineRule="exact"/>
                    <w:ind w:left="11" w:firstLine="210" w:firstLineChars="100"/>
                    <w:jc w:val="left"/>
                    <w:rPr>
                      <w:color w:val="auto"/>
                      <w:szCs w:val="21"/>
                    </w:rPr>
                  </w:pPr>
                  <w:r>
                    <w:rPr>
                      <w:color w:val="auto"/>
                      <w:szCs w:val="21"/>
                    </w:rPr>
                    <w:t>T，I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366" w:type="dxa"/>
                  <w:gridSpan w:val="2"/>
                  <w:vMerge w:val="continue"/>
                  <w:vAlign w:val="center"/>
                </w:tcPr>
                <w:p>
                  <w:pPr>
                    <w:pStyle w:val="30"/>
                    <w:spacing w:line="360" w:lineRule="exact"/>
                    <w:rPr>
                      <w:color w:val="auto"/>
                      <w:szCs w:val="21"/>
                    </w:rPr>
                  </w:pPr>
                </w:p>
              </w:tc>
              <w:tc>
                <w:tcPr>
                  <w:tcW w:w="1414" w:type="dxa"/>
                  <w:vAlign w:val="center"/>
                </w:tcPr>
                <w:p>
                  <w:pPr>
                    <w:pStyle w:val="30"/>
                    <w:spacing w:line="360" w:lineRule="exact"/>
                    <w:rPr>
                      <w:color w:val="auto"/>
                      <w:szCs w:val="21"/>
                    </w:rPr>
                  </w:pPr>
                  <w:r>
                    <w:rPr>
                      <w:color w:val="auto"/>
                      <w:szCs w:val="21"/>
                    </w:rPr>
                    <w:t>危险特性</w:t>
                  </w:r>
                </w:p>
              </w:tc>
              <w:tc>
                <w:tcPr>
                  <w:tcW w:w="6264" w:type="dxa"/>
                  <w:gridSpan w:val="3"/>
                  <w:vAlign w:val="center"/>
                </w:tcPr>
                <w:p>
                  <w:pPr>
                    <w:pStyle w:val="30"/>
                    <w:spacing w:line="360" w:lineRule="exact"/>
                    <w:ind w:left="11" w:firstLine="210" w:firstLineChars="100"/>
                    <w:jc w:val="left"/>
                    <w:rPr>
                      <w:color w:val="auto"/>
                      <w:szCs w:val="21"/>
                    </w:rPr>
                  </w:pPr>
                  <w:r>
                    <w:rPr>
                      <w:color w:val="auto"/>
                      <w:szCs w:val="21"/>
                    </w:rPr>
                    <w:t>和矿物油性质类似，废矿油含有多种有毒性物质。如果废矿油内的有毒物质通过人体和动物的表皮渗透到血液中，并在体内积累，会导致各种细胞丧失正常功能，是公认的致癌和致突变化合物。其毒性可经呼吸道、消化道、皮肤进入人体。主要引起消化道和中枢神经系统损害。大剂量食入矿物油而引发的急性中毒变现为恶心、呕吐、头晕、视物模糊、易激动、步态不稳、细微震颤等。一般日常食用多位呕吐、腹泻症状。慢性中毒则可导致神经衰弱综合症及植物神经功能紊乱，轻者出现头晕、头疼、记忆力下降、失眠多梦、心悸、乏力等，有眼睑、舌、手指震颤，有些患者甚至会有癔病样发作；重者可出现表情淡漠、反应迟钝、傻笑、智力下降等类似精神分裂的症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58" w:type="dxa"/>
                  <w:vMerge w:val="restart"/>
                  <w:vAlign w:val="center"/>
                </w:tcPr>
                <w:p>
                  <w:pPr>
                    <w:pStyle w:val="30"/>
                    <w:spacing w:line="360" w:lineRule="exact"/>
                    <w:rPr>
                      <w:color w:val="auto"/>
                      <w:szCs w:val="21"/>
                    </w:rPr>
                  </w:pPr>
                  <w:r>
                    <w:rPr>
                      <w:color w:val="auto"/>
                      <w:szCs w:val="21"/>
                    </w:rPr>
                    <w:t>电路板</w:t>
                  </w:r>
                </w:p>
              </w:tc>
              <w:tc>
                <w:tcPr>
                  <w:tcW w:w="1422" w:type="dxa"/>
                  <w:gridSpan w:val="2"/>
                  <w:vAlign w:val="center"/>
                </w:tcPr>
                <w:p>
                  <w:pPr>
                    <w:pStyle w:val="30"/>
                    <w:spacing w:line="360" w:lineRule="exact"/>
                    <w:rPr>
                      <w:color w:val="auto"/>
                      <w:szCs w:val="21"/>
                    </w:rPr>
                  </w:pPr>
                  <w:r>
                    <w:rPr>
                      <w:color w:val="auto"/>
                      <w:szCs w:val="21"/>
                    </w:rPr>
                    <w:t>废物类别</w:t>
                  </w:r>
                </w:p>
              </w:tc>
              <w:tc>
                <w:tcPr>
                  <w:tcW w:w="6264" w:type="dxa"/>
                  <w:gridSpan w:val="3"/>
                  <w:vAlign w:val="center"/>
                </w:tcPr>
                <w:p>
                  <w:pPr>
                    <w:pStyle w:val="30"/>
                    <w:spacing w:line="360" w:lineRule="exact"/>
                    <w:ind w:firstLine="210" w:firstLineChars="100"/>
                    <w:jc w:val="left"/>
                    <w:rPr>
                      <w:color w:val="auto"/>
                      <w:szCs w:val="21"/>
                    </w:rPr>
                  </w:pPr>
                  <w:r>
                    <w:rPr>
                      <w:color w:val="auto"/>
                      <w:szCs w:val="21"/>
                    </w:rPr>
                    <w:t>HW49其他废物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58" w:type="dxa"/>
                  <w:vMerge w:val="continue"/>
                  <w:vAlign w:val="center"/>
                </w:tcPr>
                <w:p>
                  <w:pPr>
                    <w:pStyle w:val="30"/>
                    <w:spacing w:line="360" w:lineRule="exact"/>
                    <w:rPr>
                      <w:color w:val="auto"/>
                      <w:szCs w:val="21"/>
                    </w:rPr>
                  </w:pPr>
                </w:p>
              </w:tc>
              <w:tc>
                <w:tcPr>
                  <w:tcW w:w="1422" w:type="dxa"/>
                  <w:gridSpan w:val="2"/>
                  <w:vAlign w:val="center"/>
                </w:tcPr>
                <w:p>
                  <w:pPr>
                    <w:pStyle w:val="30"/>
                    <w:spacing w:line="360" w:lineRule="exact"/>
                    <w:rPr>
                      <w:color w:val="auto"/>
                      <w:szCs w:val="21"/>
                    </w:rPr>
                  </w:pPr>
                  <w:r>
                    <w:rPr>
                      <w:color w:val="auto"/>
                      <w:szCs w:val="21"/>
                    </w:rPr>
                    <w:t>废物代码</w:t>
                  </w:r>
                </w:p>
              </w:tc>
              <w:tc>
                <w:tcPr>
                  <w:tcW w:w="6264" w:type="dxa"/>
                  <w:gridSpan w:val="3"/>
                  <w:vAlign w:val="center"/>
                </w:tcPr>
                <w:p>
                  <w:pPr>
                    <w:pStyle w:val="30"/>
                    <w:spacing w:line="360" w:lineRule="exact"/>
                    <w:ind w:firstLine="210" w:firstLineChars="100"/>
                    <w:jc w:val="left"/>
                    <w:rPr>
                      <w:color w:val="auto"/>
                      <w:szCs w:val="21"/>
                    </w:rPr>
                  </w:pPr>
                  <w:r>
                    <w:rPr>
                      <w:color w:val="auto"/>
                      <w:szCs w:val="21"/>
                    </w:rPr>
                    <w:t>900-045-49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58" w:type="dxa"/>
                  <w:vMerge w:val="continue"/>
                  <w:vAlign w:val="center"/>
                </w:tcPr>
                <w:p>
                  <w:pPr>
                    <w:pStyle w:val="30"/>
                    <w:spacing w:line="360" w:lineRule="exact"/>
                    <w:rPr>
                      <w:color w:val="auto"/>
                      <w:szCs w:val="21"/>
                    </w:rPr>
                  </w:pPr>
                </w:p>
              </w:tc>
              <w:tc>
                <w:tcPr>
                  <w:tcW w:w="1422" w:type="dxa"/>
                  <w:gridSpan w:val="2"/>
                  <w:vAlign w:val="center"/>
                </w:tcPr>
                <w:p>
                  <w:pPr>
                    <w:pStyle w:val="30"/>
                    <w:spacing w:line="360" w:lineRule="exact"/>
                    <w:rPr>
                      <w:color w:val="auto"/>
                      <w:szCs w:val="21"/>
                    </w:rPr>
                  </w:pPr>
                  <w:r>
                    <w:rPr>
                      <w:color w:val="auto"/>
                      <w:szCs w:val="21"/>
                    </w:rPr>
                    <w:t>危险特征</w:t>
                  </w:r>
                </w:p>
              </w:tc>
              <w:tc>
                <w:tcPr>
                  <w:tcW w:w="6264" w:type="dxa"/>
                  <w:gridSpan w:val="3"/>
                  <w:vAlign w:val="center"/>
                </w:tcPr>
                <w:p>
                  <w:pPr>
                    <w:pStyle w:val="30"/>
                    <w:spacing w:line="360" w:lineRule="exact"/>
                    <w:ind w:firstLine="210" w:firstLineChars="100"/>
                    <w:jc w:val="left"/>
                    <w:rPr>
                      <w:color w:val="auto"/>
                      <w:szCs w:val="21"/>
                    </w:rPr>
                  </w:pPr>
                  <w:r>
                    <w:rPr>
                      <w:color w:val="auto"/>
                      <w:szCs w:val="21"/>
                    </w:rPr>
                    <w:t>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58" w:type="dxa"/>
                  <w:vMerge w:val="continue"/>
                  <w:vAlign w:val="center"/>
                </w:tcPr>
                <w:p>
                  <w:pPr>
                    <w:pStyle w:val="30"/>
                    <w:spacing w:line="360" w:lineRule="exact"/>
                    <w:rPr>
                      <w:color w:val="auto"/>
                      <w:szCs w:val="21"/>
                    </w:rPr>
                  </w:pPr>
                </w:p>
              </w:tc>
              <w:tc>
                <w:tcPr>
                  <w:tcW w:w="1422" w:type="dxa"/>
                  <w:gridSpan w:val="2"/>
                  <w:vAlign w:val="center"/>
                </w:tcPr>
                <w:p>
                  <w:pPr>
                    <w:pStyle w:val="30"/>
                    <w:spacing w:line="360" w:lineRule="exact"/>
                    <w:rPr>
                      <w:color w:val="auto"/>
                      <w:szCs w:val="21"/>
                    </w:rPr>
                  </w:pPr>
                  <w:r>
                    <w:rPr>
                      <w:color w:val="auto"/>
                      <w:szCs w:val="21"/>
                    </w:rPr>
                    <w:t>危险特性</w:t>
                  </w:r>
                </w:p>
              </w:tc>
              <w:tc>
                <w:tcPr>
                  <w:tcW w:w="6264" w:type="dxa"/>
                  <w:gridSpan w:val="3"/>
                  <w:vAlign w:val="center"/>
                </w:tcPr>
                <w:p>
                  <w:pPr>
                    <w:pStyle w:val="30"/>
                    <w:spacing w:line="360" w:lineRule="exact"/>
                    <w:ind w:firstLine="210" w:firstLineChars="100"/>
                    <w:jc w:val="left"/>
                    <w:rPr>
                      <w:color w:val="auto"/>
                      <w:szCs w:val="21"/>
                    </w:rPr>
                  </w:pPr>
                  <w:r>
                    <w:rPr>
                      <w:color w:val="auto"/>
                      <w:szCs w:val="21"/>
                    </w:rPr>
                    <w:t>废电路板的成分复杂，不少家电含有有毒化学物质，其中半数以上的材料对人体有害，有一些甚至是剧毒。主要包括砷、镉、铅以及其他多种持久降和生物累积性的有毒物质，重金属渗人土壤，进入河流和地下水，将会造成当地土壤和地下水的污染，直接或间接地对当地的居民及其它的生物造成损伤。</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66" w:type="dxa"/>
                  <w:gridSpan w:val="2"/>
                  <w:vMerge w:val="restart"/>
                  <w:vAlign w:val="center"/>
                </w:tcPr>
                <w:p>
                  <w:pPr>
                    <w:pStyle w:val="30"/>
                    <w:spacing w:line="360" w:lineRule="exact"/>
                    <w:rPr>
                      <w:color w:val="auto"/>
                      <w:szCs w:val="21"/>
                    </w:rPr>
                  </w:pPr>
                  <w:r>
                    <w:rPr>
                      <w:color w:val="auto"/>
                      <w:szCs w:val="21"/>
                    </w:rPr>
                    <w:t>背光模组、含汞灯管、</w:t>
                  </w:r>
                  <w:r>
                    <w:rPr>
                      <w:rFonts w:eastAsiaTheme="minorEastAsia"/>
                      <w:color w:val="auto"/>
                      <w:szCs w:val="21"/>
                    </w:rPr>
                    <w:t>废活性炭（吸附汞及其化合物）</w:t>
                  </w:r>
                </w:p>
              </w:tc>
              <w:tc>
                <w:tcPr>
                  <w:tcW w:w="1414" w:type="dxa"/>
                  <w:vAlign w:val="center"/>
                </w:tcPr>
                <w:p>
                  <w:pPr>
                    <w:pStyle w:val="30"/>
                    <w:spacing w:line="360" w:lineRule="exact"/>
                    <w:rPr>
                      <w:color w:val="auto"/>
                      <w:szCs w:val="21"/>
                    </w:rPr>
                  </w:pPr>
                  <w:r>
                    <w:rPr>
                      <w:color w:val="auto"/>
                      <w:szCs w:val="21"/>
                    </w:rPr>
                    <w:t>废物类别</w:t>
                  </w:r>
                </w:p>
              </w:tc>
              <w:tc>
                <w:tcPr>
                  <w:tcW w:w="6264" w:type="dxa"/>
                  <w:gridSpan w:val="3"/>
                  <w:vAlign w:val="center"/>
                </w:tcPr>
                <w:p>
                  <w:pPr>
                    <w:pStyle w:val="30"/>
                    <w:spacing w:line="360" w:lineRule="exact"/>
                    <w:ind w:firstLine="210" w:firstLineChars="100"/>
                    <w:jc w:val="left"/>
                    <w:rPr>
                      <w:color w:val="auto"/>
                      <w:szCs w:val="21"/>
                    </w:rPr>
                  </w:pPr>
                  <w:r>
                    <w:rPr>
                      <w:color w:val="auto"/>
                      <w:szCs w:val="21"/>
                    </w:rPr>
                    <w:t>HW29 含汞废物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66" w:type="dxa"/>
                  <w:gridSpan w:val="2"/>
                  <w:vMerge w:val="continue"/>
                  <w:vAlign w:val="center"/>
                </w:tcPr>
                <w:p>
                  <w:pPr>
                    <w:pStyle w:val="30"/>
                    <w:spacing w:line="360" w:lineRule="exact"/>
                    <w:rPr>
                      <w:color w:val="auto"/>
                      <w:szCs w:val="21"/>
                    </w:rPr>
                  </w:pPr>
                </w:p>
              </w:tc>
              <w:tc>
                <w:tcPr>
                  <w:tcW w:w="1414" w:type="dxa"/>
                  <w:vAlign w:val="center"/>
                </w:tcPr>
                <w:p>
                  <w:pPr>
                    <w:pStyle w:val="30"/>
                    <w:spacing w:line="360" w:lineRule="exact"/>
                    <w:rPr>
                      <w:color w:val="auto"/>
                      <w:szCs w:val="21"/>
                    </w:rPr>
                  </w:pPr>
                  <w:r>
                    <w:rPr>
                      <w:color w:val="auto"/>
                      <w:szCs w:val="21"/>
                    </w:rPr>
                    <w:t>废物代码</w:t>
                  </w:r>
                </w:p>
              </w:tc>
              <w:tc>
                <w:tcPr>
                  <w:tcW w:w="6264" w:type="dxa"/>
                  <w:gridSpan w:val="3"/>
                  <w:vAlign w:val="center"/>
                </w:tcPr>
                <w:p>
                  <w:pPr>
                    <w:pStyle w:val="30"/>
                    <w:spacing w:line="360" w:lineRule="exact"/>
                    <w:ind w:firstLine="210" w:firstLineChars="100"/>
                    <w:jc w:val="left"/>
                    <w:rPr>
                      <w:color w:val="auto"/>
                      <w:szCs w:val="21"/>
                    </w:rPr>
                  </w:pPr>
                  <w:r>
                    <w:rPr>
                      <w:color w:val="auto"/>
                      <w:szCs w:val="21"/>
                    </w:rPr>
                    <w:t>900-023-29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66" w:type="dxa"/>
                  <w:gridSpan w:val="2"/>
                  <w:vMerge w:val="continue"/>
                  <w:vAlign w:val="center"/>
                </w:tcPr>
                <w:p>
                  <w:pPr>
                    <w:pStyle w:val="30"/>
                    <w:spacing w:line="360" w:lineRule="exact"/>
                    <w:rPr>
                      <w:color w:val="auto"/>
                      <w:szCs w:val="21"/>
                    </w:rPr>
                  </w:pPr>
                </w:p>
              </w:tc>
              <w:tc>
                <w:tcPr>
                  <w:tcW w:w="1414" w:type="dxa"/>
                  <w:vAlign w:val="center"/>
                </w:tcPr>
                <w:p>
                  <w:pPr>
                    <w:pStyle w:val="30"/>
                    <w:spacing w:line="360" w:lineRule="exact"/>
                    <w:rPr>
                      <w:color w:val="auto"/>
                      <w:szCs w:val="21"/>
                    </w:rPr>
                  </w:pPr>
                  <w:r>
                    <w:rPr>
                      <w:color w:val="auto"/>
                      <w:szCs w:val="21"/>
                    </w:rPr>
                    <w:t>危险特征</w:t>
                  </w:r>
                </w:p>
              </w:tc>
              <w:tc>
                <w:tcPr>
                  <w:tcW w:w="6264" w:type="dxa"/>
                  <w:gridSpan w:val="3"/>
                  <w:vAlign w:val="center"/>
                </w:tcPr>
                <w:p>
                  <w:pPr>
                    <w:pStyle w:val="30"/>
                    <w:spacing w:line="360" w:lineRule="exact"/>
                    <w:ind w:firstLine="210" w:firstLineChars="100"/>
                    <w:jc w:val="left"/>
                    <w:rPr>
                      <w:color w:val="auto"/>
                      <w:szCs w:val="21"/>
                    </w:rPr>
                  </w:pPr>
                  <w:r>
                    <w:rPr>
                      <w:color w:val="auto"/>
                      <w:szCs w:val="21"/>
                    </w:rPr>
                    <w:t>生产、销售及使用过程中产生的废含汞荧光灯管及其他废含汞电光源，及废弃含汞电光源处理处置过程中产生的废荧光粉、废活性炭和废水处理污泥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66" w:type="dxa"/>
                  <w:gridSpan w:val="2"/>
                  <w:vMerge w:val="continue"/>
                  <w:vAlign w:val="center"/>
                </w:tcPr>
                <w:p>
                  <w:pPr>
                    <w:pStyle w:val="30"/>
                    <w:spacing w:line="360" w:lineRule="exact"/>
                    <w:rPr>
                      <w:color w:val="auto"/>
                      <w:szCs w:val="21"/>
                    </w:rPr>
                  </w:pPr>
                </w:p>
              </w:tc>
              <w:tc>
                <w:tcPr>
                  <w:tcW w:w="1414" w:type="dxa"/>
                  <w:vAlign w:val="center"/>
                </w:tcPr>
                <w:p>
                  <w:pPr>
                    <w:pStyle w:val="30"/>
                    <w:spacing w:line="360" w:lineRule="exact"/>
                    <w:rPr>
                      <w:color w:val="auto"/>
                      <w:szCs w:val="21"/>
                    </w:rPr>
                  </w:pPr>
                  <w:r>
                    <w:rPr>
                      <w:color w:val="auto"/>
                      <w:szCs w:val="21"/>
                    </w:rPr>
                    <w:t>危险特性</w:t>
                  </w:r>
                </w:p>
              </w:tc>
              <w:tc>
                <w:tcPr>
                  <w:tcW w:w="6264" w:type="dxa"/>
                  <w:gridSpan w:val="3"/>
                  <w:vAlign w:val="center"/>
                </w:tcPr>
                <w:p>
                  <w:pPr>
                    <w:pStyle w:val="30"/>
                    <w:spacing w:line="360" w:lineRule="exact"/>
                    <w:ind w:firstLine="210" w:firstLineChars="100"/>
                    <w:jc w:val="left"/>
                    <w:rPr>
                      <w:color w:val="auto"/>
                      <w:szCs w:val="21"/>
                    </w:rPr>
                  </w:pPr>
                  <w:r>
                    <w:rPr>
                      <w:color w:val="auto"/>
                      <w:kern w:val="0"/>
                      <w:szCs w:val="21"/>
                    </w:rPr>
                    <w:t>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66" w:type="dxa"/>
                  <w:gridSpan w:val="2"/>
                  <w:vMerge w:val="restart"/>
                  <w:vAlign w:val="center"/>
                </w:tcPr>
                <w:p>
                  <w:pPr>
                    <w:pStyle w:val="30"/>
                    <w:spacing w:line="360" w:lineRule="exact"/>
                    <w:rPr>
                      <w:color w:val="auto"/>
                      <w:szCs w:val="21"/>
                    </w:rPr>
                  </w:pPr>
                  <w:r>
                    <w:rPr>
                      <w:color w:val="auto"/>
                      <w:szCs w:val="21"/>
                    </w:rPr>
                    <w:t>废弃的阴极射线管（锥玻璃）、荧光粉、</w:t>
                  </w:r>
                  <w:r>
                    <w:rPr>
                      <w:rFonts w:eastAsiaTheme="minorEastAsia"/>
                      <w:color w:val="auto"/>
                      <w:szCs w:val="21"/>
                    </w:rPr>
                    <w:t>收集含铅粉尘</w:t>
                  </w:r>
                </w:p>
              </w:tc>
              <w:tc>
                <w:tcPr>
                  <w:tcW w:w="1414" w:type="dxa"/>
                  <w:vAlign w:val="center"/>
                </w:tcPr>
                <w:p>
                  <w:pPr>
                    <w:pStyle w:val="30"/>
                    <w:spacing w:line="360" w:lineRule="exact"/>
                    <w:rPr>
                      <w:color w:val="auto"/>
                      <w:szCs w:val="21"/>
                    </w:rPr>
                  </w:pPr>
                  <w:r>
                    <w:rPr>
                      <w:color w:val="auto"/>
                      <w:szCs w:val="21"/>
                    </w:rPr>
                    <w:t>废物类别</w:t>
                  </w:r>
                </w:p>
              </w:tc>
              <w:tc>
                <w:tcPr>
                  <w:tcW w:w="6264" w:type="dxa"/>
                  <w:gridSpan w:val="3"/>
                  <w:vAlign w:val="center"/>
                </w:tcPr>
                <w:p>
                  <w:pPr>
                    <w:pStyle w:val="30"/>
                    <w:spacing w:line="360" w:lineRule="exact"/>
                    <w:ind w:firstLine="210" w:firstLineChars="100"/>
                    <w:jc w:val="left"/>
                    <w:rPr>
                      <w:color w:val="auto"/>
                      <w:szCs w:val="21"/>
                    </w:rPr>
                  </w:pPr>
                  <w:r>
                    <w:rPr>
                      <w:color w:val="auto"/>
                      <w:szCs w:val="21"/>
                    </w:rPr>
                    <w:t>HW49 其他废物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66" w:type="dxa"/>
                  <w:gridSpan w:val="2"/>
                  <w:vMerge w:val="continue"/>
                  <w:vAlign w:val="center"/>
                </w:tcPr>
                <w:p>
                  <w:pPr>
                    <w:pStyle w:val="30"/>
                    <w:spacing w:line="360" w:lineRule="exact"/>
                    <w:rPr>
                      <w:color w:val="auto"/>
                      <w:szCs w:val="21"/>
                    </w:rPr>
                  </w:pPr>
                </w:p>
              </w:tc>
              <w:tc>
                <w:tcPr>
                  <w:tcW w:w="1414" w:type="dxa"/>
                  <w:vAlign w:val="center"/>
                </w:tcPr>
                <w:p>
                  <w:pPr>
                    <w:pStyle w:val="30"/>
                    <w:spacing w:line="360" w:lineRule="exact"/>
                    <w:rPr>
                      <w:color w:val="auto"/>
                      <w:szCs w:val="21"/>
                    </w:rPr>
                  </w:pPr>
                  <w:r>
                    <w:rPr>
                      <w:color w:val="auto"/>
                      <w:szCs w:val="21"/>
                    </w:rPr>
                    <w:t>废物代码</w:t>
                  </w:r>
                </w:p>
              </w:tc>
              <w:tc>
                <w:tcPr>
                  <w:tcW w:w="6264" w:type="dxa"/>
                  <w:gridSpan w:val="3"/>
                  <w:vAlign w:val="center"/>
                </w:tcPr>
                <w:p>
                  <w:pPr>
                    <w:pStyle w:val="30"/>
                    <w:spacing w:line="360" w:lineRule="exact"/>
                    <w:ind w:firstLine="210" w:firstLineChars="100"/>
                    <w:jc w:val="left"/>
                    <w:rPr>
                      <w:color w:val="auto"/>
                      <w:szCs w:val="21"/>
                    </w:rPr>
                  </w:pPr>
                  <w:r>
                    <w:rPr>
                      <w:color w:val="auto"/>
                      <w:szCs w:val="21"/>
                    </w:rPr>
                    <w:t>900-044-49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66" w:type="dxa"/>
                  <w:gridSpan w:val="2"/>
                  <w:vMerge w:val="continue"/>
                  <w:vAlign w:val="center"/>
                </w:tcPr>
                <w:p>
                  <w:pPr>
                    <w:pStyle w:val="30"/>
                    <w:spacing w:line="360" w:lineRule="exact"/>
                    <w:rPr>
                      <w:color w:val="auto"/>
                      <w:szCs w:val="21"/>
                    </w:rPr>
                  </w:pPr>
                </w:p>
              </w:tc>
              <w:tc>
                <w:tcPr>
                  <w:tcW w:w="1414" w:type="dxa"/>
                  <w:vAlign w:val="center"/>
                </w:tcPr>
                <w:p>
                  <w:pPr>
                    <w:pStyle w:val="30"/>
                    <w:spacing w:line="360" w:lineRule="exact"/>
                    <w:rPr>
                      <w:color w:val="auto"/>
                      <w:szCs w:val="21"/>
                    </w:rPr>
                  </w:pPr>
                  <w:r>
                    <w:rPr>
                      <w:color w:val="auto"/>
                      <w:szCs w:val="21"/>
                    </w:rPr>
                    <w:t>危险特征</w:t>
                  </w:r>
                </w:p>
              </w:tc>
              <w:tc>
                <w:tcPr>
                  <w:tcW w:w="6264" w:type="dxa"/>
                  <w:gridSpan w:val="3"/>
                  <w:vAlign w:val="center"/>
                </w:tcPr>
                <w:p>
                  <w:pPr>
                    <w:pStyle w:val="30"/>
                    <w:spacing w:line="360" w:lineRule="exact"/>
                    <w:ind w:firstLine="210" w:firstLineChars="100"/>
                    <w:jc w:val="left"/>
                    <w:rPr>
                      <w:color w:val="auto"/>
                      <w:szCs w:val="21"/>
                    </w:rPr>
                  </w:pPr>
                  <w:r>
                    <w:rPr>
                      <w:color w:val="auto"/>
                      <w:szCs w:val="21"/>
                    </w:rPr>
                    <w:t>废弃的镉镍电池、荧光粉和阴极射线管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66" w:type="dxa"/>
                  <w:gridSpan w:val="2"/>
                  <w:vMerge w:val="continue"/>
                  <w:vAlign w:val="center"/>
                </w:tcPr>
                <w:p>
                  <w:pPr>
                    <w:pStyle w:val="30"/>
                    <w:spacing w:line="360" w:lineRule="exact"/>
                    <w:rPr>
                      <w:color w:val="auto"/>
                      <w:szCs w:val="21"/>
                    </w:rPr>
                  </w:pPr>
                </w:p>
              </w:tc>
              <w:tc>
                <w:tcPr>
                  <w:tcW w:w="1414" w:type="dxa"/>
                  <w:vAlign w:val="center"/>
                </w:tcPr>
                <w:p>
                  <w:pPr>
                    <w:pStyle w:val="30"/>
                    <w:spacing w:line="360" w:lineRule="exact"/>
                    <w:rPr>
                      <w:color w:val="auto"/>
                      <w:szCs w:val="21"/>
                    </w:rPr>
                  </w:pPr>
                  <w:r>
                    <w:rPr>
                      <w:color w:val="auto"/>
                      <w:szCs w:val="21"/>
                    </w:rPr>
                    <w:t>危险特性</w:t>
                  </w:r>
                </w:p>
              </w:tc>
              <w:tc>
                <w:tcPr>
                  <w:tcW w:w="6264" w:type="dxa"/>
                  <w:gridSpan w:val="3"/>
                  <w:vAlign w:val="center"/>
                </w:tcPr>
                <w:p>
                  <w:pPr>
                    <w:pStyle w:val="30"/>
                    <w:spacing w:line="360" w:lineRule="exact"/>
                    <w:ind w:firstLine="210" w:firstLineChars="100"/>
                    <w:jc w:val="left"/>
                    <w:rPr>
                      <w:color w:val="auto"/>
                      <w:szCs w:val="21"/>
                    </w:rPr>
                  </w:pPr>
                  <w:r>
                    <w:rPr>
                      <w:color w:val="auto"/>
                      <w:kern w:val="0"/>
                      <w:szCs w:val="21"/>
                    </w:rPr>
                    <w:t>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66" w:type="dxa"/>
                  <w:gridSpan w:val="2"/>
                  <w:vMerge w:val="restart"/>
                  <w:vAlign w:val="center"/>
                </w:tcPr>
                <w:p>
                  <w:pPr>
                    <w:pStyle w:val="30"/>
                    <w:spacing w:line="360" w:lineRule="exact"/>
                    <w:rPr>
                      <w:color w:val="auto"/>
                      <w:szCs w:val="21"/>
                    </w:rPr>
                  </w:pPr>
                  <w:r>
                    <w:rPr>
                      <w:color w:val="auto"/>
                      <w:szCs w:val="21"/>
                    </w:rPr>
                    <w:t>废活性炭（吸附有机废气）</w:t>
                  </w:r>
                </w:p>
              </w:tc>
              <w:tc>
                <w:tcPr>
                  <w:tcW w:w="1414" w:type="dxa"/>
                  <w:vAlign w:val="center"/>
                </w:tcPr>
                <w:p>
                  <w:pPr>
                    <w:pStyle w:val="30"/>
                    <w:spacing w:line="360" w:lineRule="exact"/>
                    <w:rPr>
                      <w:color w:val="auto"/>
                      <w:szCs w:val="21"/>
                    </w:rPr>
                  </w:pPr>
                  <w:r>
                    <w:rPr>
                      <w:color w:val="auto"/>
                      <w:szCs w:val="21"/>
                    </w:rPr>
                    <w:t>废物类别</w:t>
                  </w:r>
                </w:p>
              </w:tc>
              <w:tc>
                <w:tcPr>
                  <w:tcW w:w="6264" w:type="dxa"/>
                  <w:gridSpan w:val="3"/>
                  <w:vAlign w:val="center"/>
                </w:tcPr>
                <w:p>
                  <w:pPr>
                    <w:pStyle w:val="30"/>
                    <w:spacing w:line="360" w:lineRule="exact"/>
                    <w:ind w:firstLine="210" w:firstLineChars="100"/>
                    <w:jc w:val="left"/>
                    <w:rPr>
                      <w:color w:val="auto"/>
                      <w:szCs w:val="21"/>
                    </w:rPr>
                  </w:pPr>
                  <w:r>
                    <w:rPr>
                      <w:color w:val="auto"/>
                      <w:szCs w:val="21"/>
                    </w:rPr>
                    <w:t>HW49 其他废物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66" w:type="dxa"/>
                  <w:gridSpan w:val="2"/>
                  <w:vMerge w:val="continue"/>
                  <w:vAlign w:val="center"/>
                </w:tcPr>
                <w:p>
                  <w:pPr>
                    <w:pStyle w:val="30"/>
                    <w:spacing w:line="360" w:lineRule="exact"/>
                    <w:rPr>
                      <w:color w:val="auto"/>
                      <w:szCs w:val="21"/>
                    </w:rPr>
                  </w:pPr>
                </w:p>
              </w:tc>
              <w:tc>
                <w:tcPr>
                  <w:tcW w:w="1414" w:type="dxa"/>
                  <w:vAlign w:val="center"/>
                </w:tcPr>
                <w:p>
                  <w:pPr>
                    <w:pStyle w:val="30"/>
                    <w:spacing w:line="360" w:lineRule="exact"/>
                    <w:rPr>
                      <w:color w:val="auto"/>
                      <w:szCs w:val="21"/>
                    </w:rPr>
                  </w:pPr>
                  <w:r>
                    <w:rPr>
                      <w:color w:val="auto"/>
                      <w:szCs w:val="21"/>
                    </w:rPr>
                    <w:t>废物代码</w:t>
                  </w:r>
                </w:p>
              </w:tc>
              <w:tc>
                <w:tcPr>
                  <w:tcW w:w="6264" w:type="dxa"/>
                  <w:gridSpan w:val="3"/>
                  <w:vAlign w:val="center"/>
                </w:tcPr>
                <w:p>
                  <w:pPr>
                    <w:pStyle w:val="30"/>
                    <w:spacing w:line="360" w:lineRule="exact"/>
                    <w:ind w:firstLine="210" w:firstLineChars="100"/>
                    <w:jc w:val="left"/>
                    <w:rPr>
                      <w:color w:val="auto"/>
                      <w:szCs w:val="21"/>
                    </w:rPr>
                  </w:pPr>
                  <w:r>
                    <w:rPr>
                      <w:color w:val="auto"/>
                      <w:szCs w:val="21"/>
                    </w:rPr>
                    <w:t>900-039-49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66" w:type="dxa"/>
                  <w:gridSpan w:val="2"/>
                  <w:vMerge w:val="continue"/>
                  <w:vAlign w:val="center"/>
                </w:tcPr>
                <w:p>
                  <w:pPr>
                    <w:pStyle w:val="30"/>
                    <w:spacing w:line="360" w:lineRule="exact"/>
                    <w:rPr>
                      <w:color w:val="auto"/>
                      <w:szCs w:val="21"/>
                    </w:rPr>
                  </w:pPr>
                </w:p>
              </w:tc>
              <w:tc>
                <w:tcPr>
                  <w:tcW w:w="1414" w:type="dxa"/>
                  <w:vAlign w:val="center"/>
                </w:tcPr>
                <w:p>
                  <w:pPr>
                    <w:pStyle w:val="30"/>
                    <w:spacing w:line="360" w:lineRule="exact"/>
                    <w:rPr>
                      <w:color w:val="auto"/>
                      <w:szCs w:val="21"/>
                    </w:rPr>
                  </w:pPr>
                  <w:r>
                    <w:rPr>
                      <w:color w:val="auto"/>
                      <w:szCs w:val="21"/>
                    </w:rPr>
                    <w:t>危险特征</w:t>
                  </w:r>
                </w:p>
              </w:tc>
              <w:tc>
                <w:tcPr>
                  <w:tcW w:w="6264" w:type="dxa"/>
                  <w:gridSpan w:val="3"/>
                  <w:vAlign w:val="center"/>
                </w:tcPr>
                <w:p>
                  <w:pPr>
                    <w:pStyle w:val="30"/>
                    <w:spacing w:line="360" w:lineRule="exact"/>
                    <w:ind w:firstLine="210" w:firstLineChars="100"/>
                    <w:jc w:val="left"/>
                    <w:rPr>
                      <w:color w:val="auto"/>
                      <w:szCs w:val="21"/>
                    </w:rPr>
                  </w:pPr>
                  <w:r>
                    <w:rPr>
                      <w:color w:val="auto"/>
                      <w:szCs w:val="21"/>
                    </w:rPr>
                    <w:t>烟气、VOCs 治理过程（不包括餐饮行业油烟治理过程）产生的废活性炭，化学原料和化学制品脱色（不包括有机合成食品添加剂脱色）、除杂、净化过程产生的废活性炭（不包括900-405-06、772-005-18、261-053-29、265-002-29、384-003-29、387-001-29 类废物）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66" w:type="dxa"/>
                  <w:gridSpan w:val="2"/>
                  <w:vMerge w:val="continue"/>
                  <w:vAlign w:val="center"/>
                </w:tcPr>
                <w:p>
                  <w:pPr>
                    <w:pStyle w:val="30"/>
                    <w:spacing w:line="360" w:lineRule="exact"/>
                    <w:rPr>
                      <w:color w:val="auto"/>
                      <w:szCs w:val="21"/>
                    </w:rPr>
                  </w:pPr>
                </w:p>
              </w:tc>
              <w:tc>
                <w:tcPr>
                  <w:tcW w:w="1414" w:type="dxa"/>
                  <w:vAlign w:val="center"/>
                </w:tcPr>
                <w:p>
                  <w:pPr>
                    <w:pStyle w:val="30"/>
                    <w:spacing w:line="360" w:lineRule="exact"/>
                    <w:rPr>
                      <w:color w:val="auto"/>
                      <w:szCs w:val="21"/>
                    </w:rPr>
                  </w:pPr>
                  <w:r>
                    <w:rPr>
                      <w:color w:val="auto"/>
                      <w:szCs w:val="21"/>
                    </w:rPr>
                    <w:t>危险特性</w:t>
                  </w:r>
                </w:p>
              </w:tc>
              <w:tc>
                <w:tcPr>
                  <w:tcW w:w="6264" w:type="dxa"/>
                  <w:gridSpan w:val="3"/>
                  <w:vAlign w:val="center"/>
                </w:tcPr>
                <w:p>
                  <w:pPr>
                    <w:pStyle w:val="30"/>
                    <w:spacing w:line="360" w:lineRule="exact"/>
                    <w:ind w:firstLine="210" w:firstLineChars="100"/>
                    <w:jc w:val="left"/>
                    <w:rPr>
                      <w:color w:val="auto"/>
                      <w:szCs w:val="21"/>
                    </w:rPr>
                  </w:pPr>
                  <w:r>
                    <w:rPr>
                      <w:color w:val="auto"/>
                      <w:kern w:val="0"/>
                      <w:szCs w:val="21"/>
                    </w:rPr>
                    <w:t>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58" w:type="dxa"/>
                  <w:vAlign w:val="center"/>
                </w:tcPr>
                <w:p>
                  <w:pPr>
                    <w:pStyle w:val="30"/>
                    <w:spacing w:line="360" w:lineRule="exact"/>
                    <w:rPr>
                      <w:color w:val="auto"/>
                      <w:szCs w:val="21"/>
                    </w:rPr>
                  </w:pPr>
                  <w:r>
                    <w:rPr>
                      <w:color w:val="auto"/>
                      <w:szCs w:val="21"/>
                    </w:rPr>
                    <w:t>制冷剂</w:t>
                  </w:r>
                </w:p>
              </w:tc>
              <w:tc>
                <w:tcPr>
                  <w:tcW w:w="1422" w:type="dxa"/>
                  <w:gridSpan w:val="2"/>
                  <w:vAlign w:val="center"/>
                </w:tcPr>
                <w:p>
                  <w:pPr>
                    <w:pStyle w:val="30"/>
                    <w:spacing w:line="360" w:lineRule="exact"/>
                    <w:rPr>
                      <w:color w:val="auto"/>
                      <w:szCs w:val="21"/>
                    </w:rPr>
                  </w:pPr>
                  <w:r>
                    <w:rPr>
                      <w:color w:val="auto"/>
                      <w:szCs w:val="21"/>
                    </w:rPr>
                    <w:t>特性</w:t>
                  </w:r>
                </w:p>
              </w:tc>
              <w:tc>
                <w:tcPr>
                  <w:tcW w:w="6264" w:type="dxa"/>
                  <w:gridSpan w:val="3"/>
                  <w:vAlign w:val="center"/>
                </w:tcPr>
                <w:p>
                  <w:pPr>
                    <w:pStyle w:val="30"/>
                    <w:spacing w:line="360" w:lineRule="exact"/>
                    <w:ind w:firstLine="210" w:firstLineChars="100"/>
                    <w:jc w:val="both"/>
                    <w:rPr>
                      <w:color w:val="auto"/>
                      <w:szCs w:val="21"/>
                    </w:rPr>
                  </w:pPr>
                  <w:r>
                    <w:rPr>
                      <w:color w:val="auto"/>
                      <w:szCs w:val="21"/>
                    </w:rPr>
                    <w:t>目前废旧冰箱的制冷剂主要包括两类，其中生产较早的冰箱一般采用R134A制冷剂，属于共沸混合制冷剂，含氟；第二类为目前家用冰箱使用最为广泛的制冷剂R600A，基本上目前新推出的家用冰箱90%以上都是用R600A制冷剂，R600a是一种性能优异的新型碳氢制冷剂，具有可爆性；制冷剂不属于危险废物，但消耗臭氧层物质有环境风险。</w:t>
                  </w:r>
                </w:p>
              </w:tc>
            </w:tr>
          </w:tbl>
          <w:p>
            <w:pPr>
              <w:pStyle w:val="38"/>
              <w:spacing w:beforeLines="50"/>
              <w:ind w:firstLine="361" w:firstLineChars="150"/>
              <w:rPr>
                <w:rFonts w:eastAsiaTheme="minorEastAsia"/>
                <w:b/>
                <w:color w:val="auto"/>
                <w:szCs w:val="24"/>
              </w:rPr>
            </w:pPr>
            <w:r>
              <w:rPr>
                <w:rFonts w:eastAsiaTheme="minorEastAsia"/>
                <w:b/>
                <w:color w:val="auto"/>
                <w:szCs w:val="24"/>
              </w:rPr>
              <w:t>（2）可能影响途径</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项目主要风险物质电路板等属于固态物质，而制冷剂以及废矿物油在生产过程通过抽真空的方式被抽吸到专用的密封容器中封存，整个生产过程均处于密闭状态，因此生产过程发生泄漏的机率较小，只有在设备故障或管道破裂的情况下可能发生泄漏事故。另外，在装卸或运输过程中也有可能发生泄漏事故。</w:t>
            </w:r>
          </w:p>
          <w:p>
            <w:pPr>
              <w:pStyle w:val="38"/>
              <w:ind w:firstLine="361" w:firstLineChars="150"/>
              <w:rPr>
                <w:rFonts w:eastAsiaTheme="minorEastAsia"/>
                <w:b/>
                <w:color w:val="auto"/>
                <w:szCs w:val="24"/>
              </w:rPr>
            </w:pPr>
            <w:r>
              <w:rPr>
                <w:rFonts w:eastAsiaTheme="minorEastAsia"/>
                <w:b/>
                <w:color w:val="auto"/>
                <w:szCs w:val="24"/>
              </w:rPr>
              <w:t>（3）环境风险防范措施</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根据本项目环境影响途经，提出以下风险防范措施：</w:t>
            </w:r>
            <w:bookmarkStart w:id="12" w:name="_Toc88466811"/>
            <w:bookmarkStart w:id="13" w:name="_Toc57516383"/>
            <w:bookmarkStart w:id="14" w:name="_Toc116622310"/>
            <w:bookmarkStart w:id="15" w:name="_Toc114997846"/>
            <w:bookmarkStart w:id="16" w:name="_Toc67822189"/>
            <w:bookmarkStart w:id="17" w:name="_Toc76139457"/>
            <w:bookmarkStart w:id="18" w:name="_Toc57516232"/>
            <w:bookmarkStart w:id="19" w:name="_Toc82857308"/>
            <w:bookmarkStart w:id="20" w:name="_Toc115259923"/>
            <w:bookmarkStart w:id="21" w:name="_Toc56427845"/>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①R134A和R600A制冷剂均在密闭压力钢瓶中储存。R600a是一种性能优异的新型碳氢制冷剂，压力钢瓶采取防爆措施。</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②严禁将各类废物转移给没有相应处理资质及能力的单位。</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③强化安全生产管理，必须制订岗位责任制，将责任落实到部门和个人，严格遵守操作规程，严格遵守《危险品化学安全管理条例》及国家、地方关于易燃、易爆、有毒有害物料的储运使用安全规定。</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④强化安全生产及环境保护意识的教育，提高职工的素质。</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⑤加强个人劳动保护，进入生产区必须穿载防护服及防护手套。</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⑥厂房区要加强通风，电气设备须选用防腐、防爆型，电源绝缘良好，防止产生电火花，接地牢靠，防止产生静电。</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⑦严格遵守国家有关防火防爆的安全规定，各生产区域装置及建筑物间考虑足够的安全防火距离，并布置相应的消防通道、消防水池以及足够的消防器材等装置，并要有专人负责管理。</w:t>
            </w:r>
          </w:p>
          <w:bookmarkEnd w:id="12"/>
          <w:bookmarkEnd w:id="13"/>
          <w:bookmarkEnd w:id="14"/>
          <w:bookmarkEnd w:id="15"/>
          <w:bookmarkEnd w:id="16"/>
          <w:bookmarkEnd w:id="17"/>
          <w:bookmarkEnd w:id="18"/>
          <w:bookmarkEnd w:id="19"/>
          <w:bookmarkEnd w:id="20"/>
          <w:bookmarkEnd w:id="21"/>
          <w:p>
            <w:pPr>
              <w:pStyle w:val="38"/>
              <w:ind w:firstLine="361" w:firstLineChars="150"/>
              <w:rPr>
                <w:rFonts w:eastAsiaTheme="minorEastAsia"/>
                <w:b/>
                <w:color w:val="auto"/>
                <w:szCs w:val="24"/>
              </w:rPr>
            </w:pPr>
            <w:r>
              <w:rPr>
                <w:rFonts w:eastAsiaTheme="minorEastAsia"/>
                <w:b/>
                <w:color w:val="auto"/>
                <w:szCs w:val="24"/>
              </w:rPr>
              <w:t>（4）环境风险结论</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本项目涉及到的危险物质在采取严格的防护措施后，事故发生概率较小，环境风险可接受。</w:t>
            </w:r>
          </w:p>
          <w:p>
            <w:pPr>
              <w:spacing w:line="360" w:lineRule="auto"/>
              <w:ind w:firstLine="482" w:firstLineChars="200"/>
              <w:rPr>
                <w:rFonts w:ascii="Times New Roman" w:hAnsi="Times New Roman" w:cs="Times New Roman"/>
                <w:b/>
                <w:color w:val="auto"/>
                <w:sz w:val="24"/>
                <w:szCs w:val="24"/>
              </w:rPr>
            </w:pPr>
            <w:r>
              <w:rPr>
                <w:rFonts w:hint="eastAsia" w:ascii="Times New Roman" w:hAnsi="Times New Roman" w:cs="Times New Roman"/>
                <w:b/>
                <w:color w:val="auto"/>
                <w:sz w:val="24"/>
                <w:szCs w:val="24"/>
              </w:rPr>
              <w:t>4.3 “</w:t>
            </w:r>
            <w:r>
              <w:rPr>
                <w:rFonts w:ascii="Times New Roman" w:hAnsi="Times New Roman" w:cs="Times New Roman"/>
                <w:b/>
                <w:color w:val="auto"/>
                <w:sz w:val="24"/>
                <w:szCs w:val="24"/>
              </w:rPr>
              <w:t>三本帐</w:t>
            </w:r>
            <w:r>
              <w:rPr>
                <w:rFonts w:hint="eastAsia" w:ascii="Times New Roman" w:hAnsi="Times New Roman" w:cs="Times New Roman"/>
                <w:b/>
                <w:color w:val="auto"/>
                <w:sz w:val="24"/>
                <w:szCs w:val="24"/>
              </w:rPr>
              <w:t>”及“</w:t>
            </w:r>
            <w:r>
              <w:rPr>
                <w:rFonts w:ascii="Times New Roman" w:hAnsi="Times New Roman" w:cs="Times New Roman"/>
                <w:b/>
                <w:color w:val="auto"/>
                <w:sz w:val="24"/>
                <w:szCs w:val="24"/>
              </w:rPr>
              <w:t>以新带老</w:t>
            </w:r>
            <w:r>
              <w:rPr>
                <w:rFonts w:hint="eastAsia" w:ascii="Times New Roman" w:hAnsi="Times New Roman" w:cs="Times New Roman"/>
                <w:b/>
                <w:color w:val="auto"/>
                <w:sz w:val="24"/>
                <w:szCs w:val="24"/>
              </w:rPr>
              <w:t>”</w:t>
            </w:r>
            <w:r>
              <w:rPr>
                <w:rFonts w:ascii="Times New Roman" w:hAnsi="Times New Roman" w:cs="Times New Roman"/>
                <w:b/>
                <w:color w:val="auto"/>
                <w:sz w:val="24"/>
                <w:szCs w:val="24"/>
              </w:rPr>
              <w:t>措施</w:t>
            </w:r>
          </w:p>
          <w:p>
            <w:pPr>
              <w:pStyle w:val="38"/>
              <w:ind w:firstLine="482"/>
              <w:rPr>
                <w:rFonts w:eastAsiaTheme="minorEastAsia"/>
                <w:b/>
                <w:color w:val="auto"/>
                <w:szCs w:val="24"/>
              </w:rPr>
            </w:pPr>
            <w:r>
              <w:rPr>
                <w:rFonts w:hint="eastAsia" w:eastAsiaTheme="minorEastAsia"/>
                <w:b/>
                <w:color w:val="auto"/>
                <w:szCs w:val="24"/>
              </w:rPr>
              <w:t>4.3.1 “</w:t>
            </w:r>
            <w:r>
              <w:rPr>
                <w:rFonts w:eastAsiaTheme="minorEastAsia"/>
                <w:b/>
                <w:color w:val="auto"/>
                <w:szCs w:val="24"/>
              </w:rPr>
              <w:t>三本帐</w:t>
            </w:r>
            <w:r>
              <w:rPr>
                <w:rFonts w:hint="eastAsia" w:eastAsiaTheme="minorEastAsia"/>
                <w:b/>
                <w:color w:val="auto"/>
                <w:szCs w:val="24"/>
              </w:rPr>
              <w:t>”核算</w:t>
            </w:r>
          </w:p>
          <w:p>
            <w:pPr>
              <w:spacing w:line="360" w:lineRule="auto"/>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rPr>
              <w:t>根据环评对原有项目和改扩建项目的分析，</w:t>
            </w:r>
            <w:r>
              <w:rPr>
                <w:rFonts w:ascii="Times New Roman" w:hAnsi="Times New Roman" w:cs="Times New Roman"/>
                <w:color w:val="auto"/>
                <w:sz w:val="24"/>
                <w:szCs w:val="24"/>
              </w:rPr>
              <w:t xml:space="preserve"> 本项目“三本账”核算表见下表：</w:t>
            </w:r>
          </w:p>
          <w:p>
            <w:pPr>
              <w:pStyle w:val="15"/>
              <w:spacing w:after="0"/>
              <w:ind w:left="0" w:leftChars="0"/>
              <w:jc w:val="center"/>
              <w:rPr>
                <w:b/>
                <w:color w:val="auto"/>
                <w:sz w:val="21"/>
                <w:szCs w:val="21"/>
              </w:rPr>
            </w:pPr>
            <w:r>
              <w:rPr>
                <w:b/>
                <w:color w:val="auto"/>
                <w:sz w:val="21"/>
                <w:szCs w:val="21"/>
              </w:rPr>
              <w:t>表4.3.</w:t>
            </w:r>
            <w:r>
              <w:rPr>
                <w:rFonts w:hint="eastAsia"/>
                <w:b/>
                <w:color w:val="auto"/>
                <w:sz w:val="21"/>
                <w:szCs w:val="21"/>
              </w:rPr>
              <w:t>1-1</w:t>
            </w:r>
            <w:r>
              <w:rPr>
                <w:b/>
                <w:color w:val="auto"/>
                <w:sz w:val="21"/>
                <w:szCs w:val="21"/>
              </w:rPr>
              <w:t xml:space="preserve">  技改项目完成后“三本帐”核算表（t/a）</w:t>
            </w:r>
          </w:p>
          <w:tbl>
            <w:tblPr>
              <w:tblStyle w:val="19"/>
              <w:tblW w:w="9034" w:type="dxa"/>
              <w:jc w:val="center"/>
              <w:tblInd w:w="0" w:type="dxa"/>
              <w:tblLayout w:type="fixed"/>
              <w:tblCellMar>
                <w:top w:w="0" w:type="dxa"/>
                <w:left w:w="108" w:type="dxa"/>
                <w:bottom w:w="0" w:type="dxa"/>
                <w:right w:w="108" w:type="dxa"/>
              </w:tblCellMar>
            </w:tblPr>
            <w:tblGrid>
              <w:gridCol w:w="515"/>
              <w:gridCol w:w="1129"/>
              <w:gridCol w:w="1341"/>
              <w:gridCol w:w="778"/>
              <w:gridCol w:w="993"/>
              <w:gridCol w:w="1059"/>
              <w:gridCol w:w="745"/>
              <w:gridCol w:w="893"/>
              <w:gridCol w:w="745"/>
              <w:gridCol w:w="836"/>
            </w:tblGrid>
            <w:tr>
              <w:tblPrEx>
                <w:tblLayout w:type="fixed"/>
                <w:tblCellMar>
                  <w:top w:w="0" w:type="dxa"/>
                  <w:left w:w="108" w:type="dxa"/>
                  <w:bottom w:w="0" w:type="dxa"/>
                  <w:right w:w="108" w:type="dxa"/>
                </w:tblCellMar>
              </w:tblPrEx>
              <w:trPr>
                <w:trHeight w:val="300" w:hRule="atLeast"/>
                <w:jc w:val="center"/>
              </w:trPr>
              <w:tc>
                <w:tcPr>
                  <w:tcW w:w="515"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lang w:val="en-US"/>
                    </w:rPr>
                  </w:pPr>
                  <w:r>
                    <w:rPr>
                      <w:rFonts w:hint="eastAsia"/>
                      <w:color w:val="auto"/>
                      <w:szCs w:val="21"/>
                      <w:lang w:val="en-US"/>
                    </w:rPr>
                    <w:t>分类</w:t>
                  </w:r>
                </w:p>
              </w:tc>
              <w:tc>
                <w:tcPr>
                  <w:tcW w:w="2470" w:type="dxa"/>
                  <w:gridSpan w:val="2"/>
                  <w:vMerge w:val="restart"/>
                  <w:tcBorders>
                    <w:top w:val="single" w:color="auto" w:sz="8" w:space="0"/>
                    <w:left w:val="single" w:color="auto" w:sz="8" w:space="0"/>
                    <w:bottom w:val="single" w:color="000000" w:sz="8" w:space="0"/>
                    <w:right w:val="single" w:color="000000" w:sz="8" w:space="0"/>
                  </w:tcBorders>
                  <w:shd w:val="clear" w:color="auto" w:fill="auto"/>
                  <w:vAlign w:val="center"/>
                </w:tcPr>
                <w:p>
                  <w:pPr>
                    <w:pStyle w:val="30"/>
                    <w:spacing w:line="360" w:lineRule="exact"/>
                    <w:rPr>
                      <w:color w:val="auto"/>
                      <w:szCs w:val="21"/>
                      <w:lang w:val="en-US"/>
                    </w:rPr>
                  </w:pPr>
                  <w:r>
                    <w:rPr>
                      <w:rFonts w:hint="eastAsia"/>
                      <w:color w:val="auto"/>
                      <w:szCs w:val="21"/>
                      <w:lang w:val="en-US"/>
                    </w:rPr>
                    <w:t>污染物</w:t>
                  </w:r>
                </w:p>
              </w:tc>
              <w:tc>
                <w:tcPr>
                  <w:tcW w:w="778"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lang w:val="en-US"/>
                    </w:rPr>
                  </w:pPr>
                  <w:r>
                    <w:rPr>
                      <w:rFonts w:hint="eastAsia"/>
                      <w:color w:val="auto"/>
                      <w:szCs w:val="21"/>
                      <w:lang w:val="en-US"/>
                    </w:rPr>
                    <w:t>现有排放量（t/a）</w:t>
                  </w:r>
                </w:p>
              </w:tc>
              <w:tc>
                <w:tcPr>
                  <w:tcW w:w="2797"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lang w:val="en-US"/>
                    </w:rPr>
                  </w:pPr>
                  <w:r>
                    <w:rPr>
                      <w:rFonts w:hint="eastAsia"/>
                      <w:color w:val="auto"/>
                      <w:szCs w:val="21"/>
                      <w:lang w:val="en-US"/>
                    </w:rPr>
                    <w:t>本次建设项目</w:t>
                  </w:r>
                </w:p>
              </w:tc>
              <w:tc>
                <w:tcPr>
                  <w:tcW w:w="893" w:type="dxa"/>
                  <w:vMerge w:val="restart"/>
                  <w:tcBorders>
                    <w:top w:val="single" w:color="auto" w:sz="8" w:space="0"/>
                    <w:left w:val="single" w:color="auto" w:sz="8" w:space="0"/>
                    <w:bottom w:val="single" w:color="000000" w:sz="8" w:space="0"/>
                    <w:right w:val="single" w:color="auto" w:sz="4" w:space="0"/>
                  </w:tcBorders>
                  <w:shd w:val="clear" w:color="auto" w:fill="auto"/>
                  <w:vAlign w:val="center"/>
                </w:tcPr>
                <w:p>
                  <w:pPr>
                    <w:pStyle w:val="30"/>
                    <w:spacing w:line="360" w:lineRule="exact"/>
                    <w:rPr>
                      <w:color w:val="auto"/>
                      <w:szCs w:val="21"/>
                      <w:lang w:val="en-US"/>
                    </w:rPr>
                  </w:pPr>
                  <w:r>
                    <w:rPr>
                      <w:rFonts w:hint="eastAsia"/>
                      <w:color w:val="auto"/>
                    </w:rPr>
                    <w:t>“以新带老”消减量</w:t>
                  </w:r>
                  <w:r>
                    <w:rPr>
                      <w:rFonts w:hint="eastAsia"/>
                      <w:color w:val="auto"/>
                      <w:szCs w:val="21"/>
                      <w:lang w:val="en-US"/>
                    </w:rPr>
                    <w:t>（t/a）</w:t>
                  </w:r>
                </w:p>
              </w:tc>
              <w:tc>
                <w:tcPr>
                  <w:tcW w:w="745" w:type="dxa"/>
                  <w:vMerge w:val="restart"/>
                  <w:tcBorders>
                    <w:top w:val="single" w:color="auto" w:sz="8" w:space="0"/>
                    <w:left w:val="single" w:color="auto" w:sz="4" w:space="0"/>
                    <w:bottom w:val="single" w:color="000000" w:sz="8" w:space="0"/>
                    <w:right w:val="single" w:color="auto" w:sz="8" w:space="0"/>
                  </w:tcBorders>
                  <w:shd w:val="clear" w:color="auto" w:fill="auto"/>
                  <w:vAlign w:val="center"/>
                </w:tcPr>
                <w:p>
                  <w:pPr>
                    <w:pStyle w:val="30"/>
                    <w:spacing w:line="360" w:lineRule="exact"/>
                    <w:rPr>
                      <w:color w:val="auto"/>
                      <w:szCs w:val="21"/>
                      <w:lang w:val="en-US"/>
                    </w:rPr>
                  </w:pPr>
                  <w:r>
                    <w:rPr>
                      <w:rFonts w:hint="eastAsia"/>
                      <w:color w:val="auto"/>
                      <w:szCs w:val="21"/>
                      <w:lang w:val="en-US"/>
                    </w:rPr>
                    <w:t>总排放量（t/a）</w:t>
                  </w:r>
                </w:p>
              </w:tc>
              <w:tc>
                <w:tcPr>
                  <w:tcW w:w="836"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lang w:val="en-US"/>
                    </w:rPr>
                  </w:pPr>
                  <w:r>
                    <w:rPr>
                      <w:rFonts w:hint="eastAsia"/>
                      <w:color w:val="auto"/>
                      <w:szCs w:val="21"/>
                      <w:lang w:val="en-US"/>
                    </w:rPr>
                    <w:t>排放增减量（t/a）</w:t>
                  </w:r>
                </w:p>
              </w:tc>
            </w:tr>
            <w:tr>
              <w:tblPrEx>
                <w:tblLayout w:type="fixed"/>
                <w:tblCellMar>
                  <w:top w:w="0" w:type="dxa"/>
                  <w:left w:w="108" w:type="dxa"/>
                  <w:bottom w:w="0" w:type="dxa"/>
                  <w:right w:w="108" w:type="dxa"/>
                </w:tblCellMar>
              </w:tblPrEx>
              <w:trPr>
                <w:trHeight w:val="588" w:hRule="atLeast"/>
                <w:jc w:val="center"/>
              </w:trPr>
              <w:tc>
                <w:tcPr>
                  <w:tcW w:w="515"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auto"/>
                      <w:szCs w:val="21"/>
                      <w:lang w:val="en-US"/>
                    </w:rPr>
                  </w:pPr>
                </w:p>
              </w:tc>
              <w:tc>
                <w:tcPr>
                  <w:tcW w:w="2470" w:type="dxa"/>
                  <w:gridSpan w:val="2"/>
                  <w:vMerge w:val="continue"/>
                  <w:tcBorders>
                    <w:top w:val="single" w:color="auto" w:sz="8" w:space="0"/>
                    <w:left w:val="single" w:color="auto" w:sz="8" w:space="0"/>
                    <w:bottom w:val="single" w:color="000000" w:sz="8" w:space="0"/>
                    <w:right w:val="single" w:color="000000" w:sz="8" w:space="0"/>
                  </w:tcBorders>
                  <w:vAlign w:val="center"/>
                </w:tcPr>
                <w:p>
                  <w:pPr>
                    <w:pStyle w:val="30"/>
                    <w:spacing w:line="360" w:lineRule="exact"/>
                    <w:rPr>
                      <w:color w:val="auto"/>
                      <w:szCs w:val="21"/>
                      <w:lang w:val="en-US"/>
                    </w:rPr>
                  </w:pPr>
                </w:p>
              </w:tc>
              <w:tc>
                <w:tcPr>
                  <w:tcW w:w="778"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auto"/>
                      <w:szCs w:val="21"/>
                      <w:lang w:val="en-US"/>
                    </w:rPr>
                  </w:pP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lang w:val="en-US"/>
                    </w:rPr>
                  </w:pPr>
                  <w:r>
                    <w:rPr>
                      <w:rFonts w:hint="eastAsia"/>
                      <w:color w:val="auto"/>
                      <w:szCs w:val="21"/>
                      <w:lang w:val="en-US"/>
                    </w:rPr>
                    <w:t>产生量（t/a）</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lang w:val="en-US"/>
                    </w:rPr>
                  </w:pPr>
                  <w:r>
                    <w:rPr>
                      <w:rFonts w:hint="eastAsia"/>
                      <w:color w:val="auto"/>
                      <w:szCs w:val="21"/>
                      <w:lang w:val="en-US"/>
                    </w:rPr>
                    <w:t>自身削减量（t/a）</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lang w:val="en-US"/>
                    </w:rPr>
                  </w:pPr>
                  <w:r>
                    <w:rPr>
                      <w:rFonts w:hint="eastAsia"/>
                      <w:color w:val="auto"/>
                      <w:szCs w:val="21"/>
                      <w:lang w:val="en-US"/>
                    </w:rPr>
                    <w:t>排放量（t/a）</w:t>
                  </w:r>
                </w:p>
              </w:tc>
              <w:tc>
                <w:tcPr>
                  <w:tcW w:w="893" w:type="dxa"/>
                  <w:vMerge w:val="continue"/>
                  <w:tcBorders>
                    <w:top w:val="single" w:color="auto" w:sz="8" w:space="0"/>
                    <w:left w:val="single" w:color="auto" w:sz="8" w:space="0"/>
                    <w:bottom w:val="single" w:color="000000" w:sz="8" w:space="0"/>
                    <w:right w:val="single" w:color="auto" w:sz="4" w:space="0"/>
                  </w:tcBorders>
                  <w:vAlign w:val="center"/>
                </w:tcPr>
                <w:p>
                  <w:pPr>
                    <w:pStyle w:val="30"/>
                    <w:spacing w:line="360" w:lineRule="exact"/>
                    <w:rPr>
                      <w:color w:val="auto"/>
                      <w:szCs w:val="21"/>
                      <w:lang w:val="en-US"/>
                    </w:rPr>
                  </w:pPr>
                </w:p>
              </w:tc>
              <w:tc>
                <w:tcPr>
                  <w:tcW w:w="745" w:type="dxa"/>
                  <w:vMerge w:val="continue"/>
                  <w:tcBorders>
                    <w:top w:val="single" w:color="auto" w:sz="8" w:space="0"/>
                    <w:left w:val="single" w:color="auto" w:sz="4" w:space="0"/>
                    <w:bottom w:val="single" w:color="000000" w:sz="8" w:space="0"/>
                    <w:right w:val="single" w:color="auto" w:sz="8" w:space="0"/>
                  </w:tcBorders>
                  <w:vAlign w:val="center"/>
                </w:tcPr>
                <w:p>
                  <w:pPr>
                    <w:pStyle w:val="30"/>
                    <w:spacing w:line="360" w:lineRule="exact"/>
                    <w:rPr>
                      <w:color w:val="auto"/>
                      <w:szCs w:val="21"/>
                      <w:lang w:val="en-US"/>
                    </w:rPr>
                  </w:pPr>
                </w:p>
              </w:tc>
              <w:tc>
                <w:tcPr>
                  <w:tcW w:w="836"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auto"/>
                      <w:szCs w:val="21"/>
                      <w:lang w:val="en-US"/>
                    </w:rPr>
                  </w:pPr>
                </w:p>
              </w:tc>
            </w:tr>
            <w:tr>
              <w:tblPrEx>
                <w:tblLayout w:type="fixed"/>
                <w:tblCellMar>
                  <w:top w:w="0" w:type="dxa"/>
                  <w:left w:w="108" w:type="dxa"/>
                  <w:bottom w:w="0" w:type="dxa"/>
                  <w:right w:w="108" w:type="dxa"/>
                </w:tblCellMar>
              </w:tblPrEx>
              <w:trPr>
                <w:trHeight w:val="300" w:hRule="atLeast"/>
                <w:jc w:val="center"/>
              </w:trPr>
              <w:tc>
                <w:tcPr>
                  <w:tcW w:w="515" w:type="dxa"/>
                  <w:vMerge w:val="restart"/>
                  <w:tcBorders>
                    <w:top w:val="nil"/>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lang w:val="en-US"/>
                    </w:rPr>
                  </w:pPr>
                  <w:r>
                    <w:rPr>
                      <w:rFonts w:hint="eastAsia"/>
                      <w:color w:val="auto"/>
                      <w:szCs w:val="21"/>
                      <w:lang w:val="en-US"/>
                    </w:rPr>
                    <w:t>废气</w:t>
                  </w:r>
                </w:p>
              </w:tc>
              <w:tc>
                <w:tcPr>
                  <w:tcW w:w="1129" w:type="dxa"/>
                  <w:vMerge w:val="restart"/>
                  <w:tcBorders>
                    <w:top w:val="single" w:color="auto" w:sz="8" w:space="0"/>
                    <w:left w:val="nil"/>
                    <w:right w:val="single" w:color="auto" w:sz="4" w:space="0"/>
                  </w:tcBorders>
                  <w:shd w:val="clear" w:color="auto" w:fill="auto"/>
                  <w:vAlign w:val="center"/>
                </w:tcPr>
                <w:p>
                  <w:pPr>
                    <w:pStyle w:val="30"/>
                    <w:spacing w:line="360" w:lineRule="exact"/>
                    <w:rPr>
                      <w:color w:val="auto"/>
                      <w:szCs w:val="21"/>
                    </w:rPr>
                  </w:pPr>
                  <w:r>
                    <w:rPr>
                      <w:color w:val="auto"/>
                      <w:szCs w:val="21"/>
                    </w:rPr>
                    <w:t>废旧冰箱处理线</w:t>
                  </w:r>
                </w:p>
              </w:tc>
              <w:tc>
                <w:tcPr>
                  <w:tcW w:w="1341" w:type="dxa"/>
                  <w:tcBorders>
                    <w:top w:val="single" w:color="auto" w:sz="8" w:space="0"/>
                    <w:left w:val="single" w:color="auto" w:sz="4" w:space="0"/>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粉尘</w:t>
                  </w:r>
                  <w:r>
                    <w:rPr>
                      <w:rFonts w:hint="eastAsia"/>
                      <w:color w:val="auto"/>
                      <w:szCs w:val="21"/>
                    </w:rPr>
                    <w:t>（有组织DA001）</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0.19</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rFonts w:hint="eastAsia"/>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0.19</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top w:val="nil"/>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lang w:val="en-US"/>
                    </w:rPr>
                  </w:pPr>
                </w:p>
              </w:tc>
              <w:tc>
                <w:tcPr>
                  <w:tcW w:w="1129" w:type="dxa"/>
                  <w:vMerge w:val="continue"/>
                  <w:tcBorders>
                    <w:top w:val="single" w:color="auto" w:sz="8" w:space="0"/>
                    <w:left w:val="nil"/>
                    <w:right w:val="single" w:color="auto" w:sz="4" w:space="0"/>
                  </w:tcBorders>
                  <w:shd w:val="clear" w:color="auto" w:fill="auto"/>
                  <w:vAlign w:val="center"/>
                </w:tcPr>
                <w:p>
                  <w:pPr>
                    <w:pStyle w:val="30"/>
                    <w:spacing w:line="360" w:lineRule="exact"/>
                    <w:rPr>
                      <w:color w:val="auto"/>
                      <w:szCs w:val="21"/>
                    </w:rPr>
                  </w:pPr>
                </w:p>
              </w:tc>
              <w:tc>
                <w:tcPr>
                  <w:tcW w:w="1341" w:type="dxa"/>
                  <w:tcBorders>
                    <w:top w:val="single" w:color="auto" w:sz="8" w:space="0"/>
                    <w:left w:val="single" w:color="auto" w:sz="4" w:space="0"/>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粉尘</w:t>
                  </w:r>
                  <w:r>
                    <w:rPr>
                      <w:rFonts w:hint="eastAsia"/>
                      <w:color w:val="auto"/>
                      <w:szCs w:val="21"/>
                    </w:rPr>
                    <w:t>（无组织）</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1.422</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rFonts w:hint="eastAsia"/>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1.422</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top w:val="nil"/>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lang w:val="en-US"/>
                    </w:rPr>
                  </w:pPr>
                </w:p>
              </w:tc>
              <w:tc>
                <w:tcPr>
                  <w:tcW w:w="1129" w:type="dxa"/>
                  <w:vMerge w:val="continue"/>
                  <w:tcBorders>
                    <w:top w:val="single" w:color="auto" w:sz="8" w:space="0"/>
                    <w:left w:val="nil"/>
                    <w:right w:val="single" w:color="auto" w:sz="4" w:space="0"/>
                  </w:tcBorders>
                  <w:shd w:val="clear" w:color="auto" w:fill="auto"/>
                  <w:vAlign w:val="center"/>
                </w:tcPr>
                <w:p>
                  <w:pPr>
                    <w:pStyle w:val="30"/>
                    <w:spacing w:line="360" w:lineRule="exact"/>
                    <w:rPr>
                      <w:color w:val="auto"/>
                      <w:szCs w:val="21"/>
                    </w:rPr>
                  </w:pPr>
                </w:p>
              </w:tc>
              <w:tc>
                <w:tcPr>
                  <w:tcW w:w="1341" w:type="dxa"/>
                  <w:tcBorders>
                    <w:top w:val="single" w:color="auto" w:sz="8" w:space="0"/>
                    <w:left w:val="single" w:color="auto" w:sz="4" w:space="0"/>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非甲烷总烃</w:t>
                  </w:r>
                  <w:r>
                    <w:rPr>
                      <w:rFonts w:hint="eastAsia"/>
                      <w:color w:val="auto"/>
                      <w:szCs w:val="21"/>
                    </w:rPr>
                    <w:t>（有组织DA001）</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0.06</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rFonts w:hint="eastAsia"/>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0.06</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top w:val="nil"/>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lang w:val="en-US"/>
                    </w:rPr>
                  </w:pPr>
                </w:p>
              </w:tc>
              <w:tc>
                <w:tcPr>
                  <w:tcW w:w="1129" w:type="dxa"/>
                  <w:vMerge w:val="continue"/>
                  <w:tcBorders>
                    <w:left w:val="nil"/>
                    <w:bottom w:val="single" w:color="auto" w:sz="8" w:space="0"/>
                    <w:right w:val="single" w:color="auto" w:sz="4" w:space="0"/>
                  </w:tcBorders>
                  <w:shd w:val="clear" w:color="auto" w:fill="auto"/>
                  <w:vAlign w:val="center"/>
                </w:tcPr>
                <w:p>
                  <w:pPr>
                    <w:pStyle w:val="30"/>
                    <w:spacing w:line="360" w:lineRule="exact"/>
                    <w:rPr>
                      <w:color w:val="auto"/>
                      <w:szCs w:val="21"/>
                    </w:rPr>
                  </w:pPr>
                </w:p>
              </w:tc>
              <w:tc>
                <w:tcPr>
                  <w:tcW w:w="1341" w:type="dxa"/>
                  <w:tcBorders>
                    <w:top w:val="single" w:color="auto" w:sz="8" w:space="0"/>
                    <w:left w:val="single" w:color="auto" w:sz="4" w:space="0"/>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非甲烷总烃</w:t>
                  </w:r>
                  <w:r>
                    <w:rPr>
                      <w:rFonts w:hint="eastAsia"/>
                      <w:color w:val="auto"/>
                      <w:szCs w:val="21"/>
                    </w:rPr>
                    <w:t>（无组织）</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0.03</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rFonts w:hint="eastAsia"/>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0.03</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color w:val="auto"/>
                      <w:szCs w:val="21"/>
                      <w:lang w:val="en-US"/>
                    </w:rPr>
                  </w:pPr>
                </w:p>
              </w:tc>
              <w:tc>
                <w:tcPr>
                  <w:tcW w:w="1129" w:type="dxa"/>
                  <w:vMerge w:val="restart"/>
                  <w:tcBorders>
                    <w:top w:val="single" w:color="auto" w:sz="8" w:space="0"/>
                    <w:left w:val="nil"/>
                    <w:right w:val="single" w:color="auto" w:sz="4" w:space="0"/>
                  </w:tcBorders>
                  <w:shd w:val="clear" w:color="auto" w:fill="auto"/>
                  <w:vAlign w:val="center"/>
                </w:tcPr>
                <w:p>
                  <w:pPr>
                    <w:pStyle w:val="30"/>
                    <w:spacing w:line="360" w:lineRule="exact"/>
                    <w:rPr>
                      <w:color w:val="auto"/>
                      <w:szCs w:val="21"/>
                    </w:rPr>
                  </w:pPr>
                  <w:r>
                    <w:rPr>
                      <w:color w:val="auto"/>
                      <w:szCs w:val="21"/>
                    </w:rPr>
                    <w:t>空调/小家电/废手机及其视听设备消费电子产品处理线</w:t>
                  </w:r>
                </w:p>
              </w:tc>
              <w:tc>
                <w:tcPr>
                  <w:tcW w:w="1341" w:type="dxa"/>
                  <w:tcBorders>
                    <w:top w:val="single" w:color="auto" w:sz="8" w:space="0"/>
                    <w:left w:val="single" w:color="auto" w:sz="4" w:space="0"/>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粉尘</w:t>
                  </w:r>
                  <w:r>
                    <w:rPr>
                      <w:rFonts w:hint="eastAsia"/>
                      <w:color w:val="auto"/>
                      <w:szCs w:val="21"/>
                    </w:rPr>
                    <w:t>（有组织DA002）</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0.007</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rFonts w:hint="eastAsia"/>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0.007</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color w:val="auto"/>
                      <w:szCs w:val="21"/>
                      <w:lang w:val="en-US"/>
                    </w:rPr>
                  </w:pPr>
                </w:p>
              </w:tc>
              <w:tc>
                <w:tcPr>
                  <w:tcW w:w="1129" w:type="dxa"/>
                  <w:vMerge w:val="continue"/>
                  <w:tcBorders>
                    <w:left w:val="nil"/>
                    <w:bottom w:val="single" w:color="auto" w:sz="8" w:space="0"/>
                    <w:right w:val="single" w:color="auto" w:sz="4" w:space="0"/>
                  </w:tcBorders>
                  <w:shd w:val="clear" w:color="auto" w:fill="auto"/>
                  <w:vAlign w:val="center"/>
                </w:tcPr>
                <w:p>
                  <w:pPr>
                    <w:pStyle w:val="30"/>
                    <w:spacing w:line="360" w:lineRule="exact"/>
                    <w:rPr>
                      <w:color w:val="auto"/>
                      <w:szCs w:val="21"/>
                    </w:rPr>
                  </w:pPr>
                </w:p>
              </w:tc>
              <w:tc>
                <w:tcPr>
                  <w:tcW w:w="1341" w:type="dxa"/>
                  <w:tcBorders>
                    <w:top w:val="single" w:color="auto" w:sz="8" w:space="0"/>
                    <w:left w:val="single" w:color="auto" w:sz="4" w:space="0"/>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粉尘</w:t>
                  </w:r>
                  <w:r>
                    <w:rPr>
                      <w:rFonts w:hint="eastAsia"/>
                      <w:color w:val="auto"/>
                      <w:szCs w:val="21"/>
                    </w:rPr>
                    <w:t>（无组织）</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0.015</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rFonts w:hint="eastAsia"/>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0.015</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color w:val="auto"/>
                      <w:szCs w:val="21"/>
                      <w:lang w:val="en-US"/>
                    </w:rPr>
                  </w:pPr>
                </w:p>
              </w:tc>
              <w:tc>
                <w:tcPr>
                  <w:tcW w:w="1129" w:type="dxa"/>
                  <w:vMerge w:val="restart"/>
                  <w:tcBorders>
                    <w:top w:val="single" w:color="auto" w:sz="8" w:space="0"/>
                    <w:left w:val="nil"/>
                    <w:right w:val="single" w:color="auto" w:sz="4" w:space="0"/>
                  </w:tcBorders>
                  <w:shd w:val="clear" w:color="auto" w:fill="auto"/>
                  <w:vAlign w:val="center"/>
                </w:tcPr>
                <w:p>
                  <w:pPr>
                    <w:pStyle w:val="30"/>
                    <w:spacing w:line="360" w:lineRule="exact"/>
                    <w:rPr>
                      <w:color w:val="auto"/>
                      <w:szCs w:val="21"/>
                    </w:rPr>
                  </w:pPr>
                  <w:r>
                    <w:rPr>
                      <w:color w:val="auto"/>
                      <w:szCs w:val="21"/>
                    </w:rPr>
                    <w:t>废旧洗衣机处理线</w:t>
                  </w:r>
                </w:p>
              </w:tc>
              <w:tc>
                <w:tcPr>
                  <w:tcW w:w="1341" w:type="dxa"/>
                  <w:tcBorders>
                    <w:top w:val="single" w:color="auto" w:sz="8" w:space="0"/>
                    <w:left w:val="single" w:color="auto" w:sz="4" w:space="0"/>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粉尘</w:t>
                  </w:r>
                  <w:r>
                    <w:rPr>
                      <w:rFonts w:hint="eastAsia"/>
                      <w:color w:val="auto"/>
                      <w:szCs w:val="21"/>
                    </w:rPr>
                    <w:t>（有组织DA003）</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0.008</w:t>
                  </w:r>
                </w:p>
              </w:tc>
              <w:tc>
                <w:tcPr>
                  <w:tcW w:w="993" w:type="dxa"/>
                  <w:vMerge w:val="restart"/>
                  <w:tcBorders>
                    <w:top w:val="nil"/>
                    <w:left w:val="nil"/>
                    <w:right w:val="single" w:color="auto" w:sz="8" w:space="0"/>
                  </w:tcBorders>
                  <w:shd w:val="clear" w:color="auto" w:fill="auto"/>
                  <w:vAlign w:val="center"/>
                </w:tcPr>
                <w:p>
                  <w:pPr>
                    <w:pStyle w:val="30"/>
                    <w:spacing w:line="360" w:lineRule="exact"/>
                    <w:rPr>
                      <w:color w:val="auto"/>
                      <w:szCs w:val="21"/>
                    </w:rPr>
                  </w:pPr>
                  <w:r>
                    <w:rPr>
                      <w:color w:val="auto"/>
                      <w:szCs w:val="21"/>
                    </w:rPr>
                    <w:t>2.7</w:t>
                  </w:r>
                </w:p>
              </w:tc>
              <w:tc>
                <w:tcPr>
                  <w:tcW w:w="1059" w:type="dxa"/>
                  <w:vMerge w:val="restart"/>
                  <w:tcBorders>
                    <w:top w:val="nil"/>
                    <w:left w:val="nil"/>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2.307</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0.123</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color w:val="auto"/>
                      <w:szCs w:val="21"/>
                    </w:rPr>
                    <w:t>0.008</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0.123</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0.115</w:t>
                  </w:r>
                </w:p>
              </w:tc>
            </w:tr>
            <w:tr>
              <w:tblPrEx>
                <w:tblLayout w:type="fixed"/>
                <w:tblCellMar>
                  <w:top w:w="0" w:type="dxa"/>
                  <w:left w:w="108" w:type="dxa"/>
                  <w:bottom w:w="0" w:type="dxa"/>
                  <w:right w:w="108" w:type="dxa"/>
                </w:tblCellMar>
              </w:tblPrEx>
              <w:trPr>
                <w:trHeight w:val="324" w:hRule="atLeast"/>
                <w:jc w:val="center"/>
              </w:trPr>
              <w:tc>
                <w:tcPr>
                  <w:tcW w:w="515"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color w:val="auto"/>
                      <w:szCs w:val="21"/>
                      <w:lang w:val="en-US"/>
                    </w:rPr>
                  </w:pPr>
                </w:p>
              </w:tc>
              <w:tc>
                <w:tcPr>
                  <w:tcW w:w="1129" w:type="dxa"/>
                  <w:vMerge w:val="continue"/>
                  <w:tcBorders>
                    <w:left w:val="nil"/>
                    <w:bottom w:val="single" w:color="auto" w:sz="8" w:space="0"/>
                    <w:right w:val="single" w:color="auto" w:sz="4" w:space="0"/>
                  </w:tcBorders>
                  <w:shd w:val="clear" w:color="auto" w:fill="auto"/>
                  <w:vAlign w:val="center"/>
                </w:tcPr>
                <w:p>
                  <w:pPr>
                    <w:pStyle w:val="30"/>
                    <w:spacing w:line="360" w:lineRule="exact"/>
                    <w:rPr>
                      <w:color w:val="auto"/>
                      <w:szCs w:val="21"/>
                    </w:rPr>
                  </w:pPr>
                </w:p>
              </w:tc>
              <w:tc>
                <w:tcPr>
                  <w:tcW w:w="1341" w:type="dxa"/>
                  <w:tcBorders>
                    <w:top w:val="single" w:color="auto" w:sz="8" w:space="0"/>
                    <w:left w:val="single" w:color="auto" w:sz="4" w:space="0"/>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粉尘</w:t>
                  </w:r>
                  <w:r>
                    <w:rPr>
                      <w:rFonts w:hint="eastAsia"/>
                      <w:color w:val="auto"/>
                      <w:szCs w:val="21"/>
                    </w:rPr>
                    <w:t>（无组织）</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0.018</w:t>
                  </w:r>
                </w:p>
              </w:tc>
              <w:tc>
                <w:tcPr>
                  <w:tcW w:w="993" w:type="dxa"/>
                  <w:vMerge w:val="continue"/>
                  <w:tcBorders>
                    <w:left w:val="nil"/>
                    <w:bottom w:val="single" w:color="auto" w:sz="8" w:space="0"/>
                    <w:right w:val="single" w:color="auto" w:sz="8" w:space="0"/>
                  </w:tcBorders>
                  <w:shd w:val="clear" w:color="auto" w:fill="auto"/>
                  <w:vAlign w:val="center"/>
                </w:tcPr>
                <w:p>
                  <w:pPr>
                    <w:pStyle w:val="30"/>
                    <w:spacing w:line="360" w:lineRule="exact"/>
                    <w:rPr>
                      <w:color w:val="auto"/>
                      <w:szCs w:val="21"/>
                    </w:rPr>
                  </w:pPr>
                </w:p>
              </w:tc>
              <w:tc>
                <w:tcPr>
                  <w:tcW w:w="1059" w:type="dxa"/>
                  <w:vMerge w:val="continue"/>
                  <w:tcBorders>
                    <w:left w:val="nil"/>
                    <w:bottom w:val="single" w:color="auto" w:sz="8" w:space="0"/>
                    <w:right w:val="single" w:color="auto" w:sz="8" w:space="0"/>
                  </w:tcBorders>
                  <w:shd w:val="clear" w:color="auto" w:fill="auto"/>
                  <w:vAlign w:val="center"/>
                </w:tcPr>
                <w:p>
                  <w:pPr>
                    <w:pStyle w:val="30"/>
                    <w:spacing w:line="360" w:lineRule="exact"/>
                    <w:rPr>
                      <w:color w:val="auto"/>
                      <w:szCs w:val="21"/>
                    </w:rPr>
                  </w:pP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0.27</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color w:val="auto"/>
                      <w:szCs w:val="21"/>
                    </w:rPr>
                    <w:t>0.018</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0.27</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0.252</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color w:val="auto"/>
                      <w:szCs w:val="21"/>
                      <w:lang w:val="en-US"/>
                    </w:rPr>
                  </w:pPr>
                </w:p>
              </w:tc>
              <w:tc>
                <w:tcPr>
                  <w:tcW w:w="1129" w:type="dxa"/>
                  <w:vMerge w:val="restart"/>
                  <w:tcBorders>
                    <w:top w:val="single" w:color="auto" w:sz="8" w:space="0"/>
                    <w:left w:val="nil"/>
                    <w:right w:val="single" w:color="auto" w:sz="4" w:space="0"/>
                  </w:tcBorders>
                  <w:shd w:val="clear" w:color="auto" w:fill="auto"/>
                  <w:vAlign w:val="center"/>
                </w:tcPr>
                <w:p>
                  <w:pPr>
                    <w:pStyle w:val="30"/>
                    <w:spacing w:line="360" w:lineRule="exact"/>
                    <w:rPr>
                      <w:color w:val="auto"/>
                      <w:szCs w:val="21"/>
                    </w:rPr>
                  </w:pPr>
                  <w:r>
                    <w:rPr>
                      <w:color w:val="auto"/>
                      <w:szCs w:val="21"/>
                    </w:rPr>
                    <w:t>1号废旧电视机（液晶电视）处理线</w:t>
                  </w:r>
                </w:p>
              </w:tc>
              <w:tc>
                <w:tcPr>
                  <w:tcW w:w="1341" w:type="dxa"/>
                  <w:tcBorders>
                    <w:top w:val="single" w:color="auto" w:sz="8" w:space="0"/>
                    <w:left w:val="single" w:color="auto" w:sz="4" w:space="0"/>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粉尘</w:t>
                  </w:r>
                  <w:r>
                    <w:rPr>
                      <w:rFonts w:hint="eastAsia"/>
                      <w:color w:val="auto"/>
                      <w:szCs w:val="21"/>
                    </w:rPr>
                    <w:t>（有组织DA004）</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0.004</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rFonts w:hint="eastAsia"/>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0.004</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color w:val="auto"/>
                      <w:szCs w:val="21"/>
                      <w:lang w:val="en-US"/>
                    </w:rPr>
                  </w:pPr>
                </w:p>
              </w:tc>
              <w:tc>
                <w:tcPr>
                  <w:tcW w:w="1129" w:type="dxa"/>
                  <w:vMerge w:val="continue"/>
                  <w:tcBorders>
                    <w:left w:val="nil"/>
                    <w:right w:val="single" w:color="auto" w:sz="4" w:space="0"/>
                  </w:tcBorders>
                  <w:shd w:val="clear" w:color="auto" w:fill="auto"/>
                  <w:vAlign w:val="center"/>
                </w:tcPr>
                <w:p>
                  <w:pPr>
                    <w:pStyle w:val="30"/>
                    <w:spacing w:line="360" w:lineRule="exact"/>
                    <w:rPr>
                      <w:color w:val="auto"/>
                      <w:szCs w:val="21"/>
                    </w:rPr>
                  </w:pPr>
                </w:p>
              </w:tc>
              <w:tc>
                <w:tcPr>
                  <w:tcW w:w="1341" w:type="dxa"/>
                  <w:tcBorders>
                    <w:top w:val="single" w:color="auto" w:sz="8" w:space="0"/>
                    <w:left w:val="single" w:color="auto" w:sz="4" w:space="0"/>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粉尘</w:t>
                  </w:r>
                  <w:r>
                    <w:rPr>
                      <w:rFonts w:hint="eastAsia"/>
                      <w:color w:val="auto"/>
                      <w:szCs w:val="21"/>
                    </w:rPr>
                    <w:t>（无组织）</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0.008</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rFonts w:hint="eastAsia"/>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0.008</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color w:val="auto"/>
                      <w:szCs w:val="21"/>
                      <w:lang w:val="en-US"/>
                    </w:rPr>
                  </w:pPr>
                </w:p>
              </w:tc>
              <w:tc>
                <w:tcPr>
                  <w:tcW w:w="1129" w:type="dxa"/>
                  <w:vMerge w:val="continue"/>
                  <w:tcBorders>
                    <w:left w:val="nil"/>
                    <w:right w:val="single" w:color="auto" w:sz="4" w:space="0"/>
                  </w:tcBorders>
                  <w:shd w:val="clear" w:color="auto" w:fill="auto"/>
                  <w:vAlign w:val="center"/>
                </w:tcPr>
                <w:p>
                  <w:pPr>
                    <w:pStyle w:val="30"/>
                    <w:spacing w:line="360" w:lineRule="exact"/>
                    <w:rPr>
                      <w:color w:val="auto"/>
                      <w:szCs w:val="21"/>
                    </w:rPr>
                  </w:pPr>
                </w:p>
              </w:tc>
              <w:tc>
                <w:tcPr>
                  <w:tcW w:w="1341" w:type="dxa"/>
                  <w:tcBorders>
                    <w:top w:val="single" w:color="auto" w:sz="8" w:space="0"/>
                    <w:left w:val="single" w:color="auto" w:sz="4" w:space="0"/>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汞及其化合物</w:t>
                  </w:r>
                  <w:r>
                    <w:rPr>
                      <w:rFonts w:hint="eastAsia"/>
                      <w:color w:val="auto"/>
                      <w:szCs w:val="21"/>
                    </w:rPr>
                    <w:t>（有组织DA004）</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0.0002</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0.00016</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0.00004</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rFonts w:hint="eastAsia"/>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0.00004</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0.00004</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color w:val="auto"/>
                      <w:szCs w:val="21"/>
                      <w:lang w:val="en-US"/>
                    </w:rPr>
                  </w:pPr>
                </w:p>
              </w:tc>
              <w:tc>
                <w:tcPr>
                  <w:tcW w:w="1129" w:type="dxa"/>
                  <w:vMerge w:val="restart"/>
                  <w:tcBorders>
                    <w:top w:val="single" w:color="auto" w:sz="8" w:space="0"/>
                    <w:left w:val="nil"/>
                    <w:right w:val="single" w:color="auto" w:sz="4" w:space="0"/>
                  </w:tcBorders>
                  <w:shd w:val="clear" w:color="auto" w:fill="auto"/>
                  <w:vAlign w:val="center"/>
                </w:tcPr>
                <w:p>
                  <w:pPr>
                    <w:pStyle w:val="30"/>
                    <w:spacing w:line="360" w:lineRule="exact"/>
                    <w:rPr>
                      <w:color w:val="auto"/>
                      <w:szCs w:val="21"/>
                    </w:rPr>
                  </w:pPr>
                  <w:r>
                    <w:rPr>
                      <w:color w:val="auto"/>
                      <w:szCs w:val="21"/>
                    </w:rPr>
                    <w:t>2号废旧电视机（CRT）处理线</w:t>
                  </w:r>
                </w:p>
              </w:tc>
              <w:tc>
                <w:tcPr>
                  <w:tcW w:w="1341" w:type="dxa"/>
                  <w:tcBorders>
                    <w:top w:val="single" w:color="auto" w:sz="8" w:space="0"/>
                    <w:left w:val="single" w:color="auto" w:sz="4" w:space="0"/>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粉尘</w:t>
                  </w:r>
                  <w:r>
                    <w:rPr>
                      <w:rFonts w:hint="eastAsia"/>
                      <w:color w:val="auto"/>
                      <w:szCs w:val="21"/>
                    </w:rPr>
                    <w:t>（有组织DA005）</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0.89</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rFonts w:hint="eastAsia"/>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0.89</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color w:val="auto"/>
                      <w:szCs w:val="21"/>
                      <w:lang w:val="en-US"/>
                    </w:rPr>
                  </w:pPr>
                </w:p>
              </w:tc>
              <w:tc>
                <w:tcPr>
                  <w:tcW w:w="1129" w:type="dxa"/>
                  <w:vMerge w:val="continue"/>
                  <w:tcBorders>
                    <w:left w:val="nil"/>
                    <w:right w:val="single" w:color="auto" w:sz="4" w:space="0"/>
                  </w:tcBorders>
                  <w:shd w:val="clear" w:color="auto" w:fill="auto"/>
                  <w:vAlign w:val="center"/>
                </w:tcPr>
                <w:p>
                  <w:pPr>
                    <w:pStyle w:val="30"/>
                    <w:spacing w:line="360" w:lineRule="exact"/>
                    <w:rPr>
                      <w:color w:val="auto"/>
                      <w:szCs w:val="21"/>
                    </w:rPr>
                  </w:pPr>
                </w:p>
              </w:tc>
              <w:tc>
                <w:tcPr>
                  <w:tcW w:w="1341" w:type="dxa"/>
                  <w:tcBorders>
                    <w:top w:val="single" w:color="auto" w:sz="8" w:space="0"/>
                    <w:left w:val="single" w:color="auto" w:sz="4" w:space="0"/>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粉尘</w:t>
                  </w:r>
                  <w:r>
                    <w:rPr>
                      <w:rFonts w:hint="eastAsia"/>
                      <w:color w:val="auto"/>
                      <w:szCs w:val="21"/>
                    </w:rPr>
                    <w:t>（无组织）</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1.97</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rFonts w:hint="eastAsia"/>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1.97</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color w:val="auto"/>
                      <w:szCs w:val="21"/>
                      <w:lang w:val="en-US"/>
                    </w:rPr>
                  </w:pPr>
                </w:p>
              </w:tc>
              <w:tc>
                <w:tcPr>
                  <w:tcW w:w="1129" w:type="dxa"/>
                  <w:vMerge w:val="continue"/>
                  <w:tcBorders>
                    <w:left w:val="nil"/>
                    <w:right w:val="single" w:color="auto" w:sz="4" w:space="0"/>
                  </w:tcBorders>
                  <w:shd w:val="clear" w:color="auto" w:fill="auto"/>
                  <w:vAlign w:val="center"/>
                </w:tcPr>
                <w:p>
                  <w:pPr>
                    <w:pStyle w:val="30"/>
                    <w:spacing w:line="360" w:lineRule="exact"/>
                    <w:rPr>
                      <w:color w:val="auto"/>
                      <w:szCs w:val="21"/>
                    </w:rPr>
                  </w:pPr>
                </w:p>
              </w:tc>
              <w:tc>
                <w:tcPr>
                  <w:tcW w:w="1341" w:type="dxa"/>
                  <w:tcBorders>
                    <w:top w:val="single" w:color="auto" w:sz="8" w:space="0"/>
                    <w:left w:val="single" w:color="auto" w:sz="4" w:space="0"/>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铅及其化合物</w:t>
                  </w:r>
                  <w:r>
                    <w:rPr>
                      <w:rFonts w:hint="eastAsia"/>
                      <w:color w:val="auto"/>
                      <w:szCs w:val="21"/>
                    </w:rPr>
                    <w:t>（有组织DA006）</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0.0009</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rFonts w:hint="eastAsia"/>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0.0009</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color w:val="auto"/>
                      <w:szCs w:val="21"/>
                      <w:lang w:val="en-US"/>
                    </w:rPr>
                  </w:pPr>
                </w:p>
              </w:tc>
              <w:tc>
                <w:tcPr>
                  <w:tcW w:w="1129" w:type="dxa"/>
                  <w:vMerge w:val="continue"/>
                  <w:tcBorders>
                    <w:left w:val="nil"/>
                    <w:bottom w:val="single" w:color="auto" w:sz="8" w:space="0"/>
                    <w:right w:val="single" w:color="auto" w:sz="4" w:space="0"/>
                  </w:tcBorders>
                  <w:shd w:val="clear" w:color="auto" w:fill="auto"/>
                  <w:vAlign w:val="center"/>
                </w:tcPr>
                <w:p>
                  <w:pPr>
                    <w:pStyle w:val="30"/>
                    <w:spacing w:line="360" w:lineRule="exact"/>
                    <w:rPr>
                      <w:color w:val="auto"/>
                      <w:szCs w:val="21"/>
                    </w:rPr>
                  </w:pPr>
                </w:p>
              </w:tc>
              <w:tc>
                <w:tcPr>
                  <w:tcW w:w="1341" w:type="dxa"/>
                  <w:tcBorders>
                    <w:top w:val="single" w:color="auto" w:sz="8" w:space="0"/>
                    <w:left w:val="single" w:color="auto" w:sz="4" w:space="0"/>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铅及其化合物</w:t>
                  </w:r>
                  <w:r>
                    <w:rPr>
                      <w:rFonts w:hint="eastAsia"/>
                      <w:color w:val="auto"/>
                      <w:szCs w:val="21"/>
                    </w:rPr>
                    <w:t>（无组织）</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0.0019</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rFonts w:hint="eastAsia"/>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0.0019</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color w:val="auto"/>
                      <w:szCs w:val="21"/>
                      <w:lang w:val="en-US"/>
                    </w:rPr>
                  </w:pPr>
                </w:p>
              </w:tc>
              <w:tc>
                <w:tcPr>
                  <w:tcW w:w="247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rFonts w:hint="eastAsia"/>
                      <w:color w:val="auto"/>
                      <w:szCs w:val="21"/>
                    </w:rPr>
                    <w:t>厨房油烟</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4.8g/d</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rFonts w:hint="eastAsia"/>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4.8g/d</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restart"/>
                  <w:tcBorders>
                    <w:top w:val="nil"/>
                    <w:left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废水</w:t>
                  </w:r>
                </w:p>
              </w:tc>
              <w:tc>
                <w:tcPr>
                  <w:tcW w:w="247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平衡盐水</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2.4m³/a</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2.4m³/a</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left w:val="single" w:color="auto" w:sz="8" w:space="0"/>
                    <w:right w:val="single" w:color="auto" w:sz="8" w:space="0"/>
                  </w:tcBorders>
                  <w:vAlign w:val="center"/>
                </w:tcPr>
                <w:p>
                  <w:pPr>
                    <w:pStyle w:val="30"/>
                    <w:spacing w:line="360" w:lineRule="exact"/>
                    <w:rPr>
                      <w:color w:val="auto"/>
                      <w:szCs w:val="21"/>
                    </w:rPr>
                  </w:pPr>
                </w:p>
              </w:tc>
              <w:tc>
                <w:tcPr>
                  <w:tcW w:w="1129" w:type="dxa"/>
                  <w:vMerge w:val="restart"/>
                  <w:tcBorders>
                    <w:top w:val="nil"/>
                    <w:left w:val="single" w:color="auto" w:sz="8" w:space="0"/>
                    <w:bottom w:val="single" w:color="000000"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生活污水</w:t>
                  </w:r>
                </w:p>
              </w:tc>
              <w:tc>
                <w:tcPr>
                  <w:tcW w:w="1341"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废水量</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left w:val="single" w:color="auto" w:sz="8" w:space="0"/>
                    <w:right w:val="single" w:color="auto" w:sz="8" w:space="0"/>
                  </w:tcBorders>
                  <w:vAlign w:val="center"/>
                </w:tcPr>
                <w:p>
                  <w:pPr>
                    <w:pStyle w:val="30"/>
                    <w:spacing w:line="360" w:lineRule="exact"/>
                    <w:rPr>
                      <w:color w:val="auto"/>
                      <w:szCs w:val="21"/>
                    </w:rPr>
                  </w:pPr>
                </w:p>
              </w:tc>
              <w:tc>
                <w:tcPr>
                  <w:tcW w:w="1129"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1341"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pH</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left w:val="single" w:color="auto" w:sz="8" w:space="0"/>
                    <w:right w:val="single" w:color="auto" w:sz="8" w:space="0"/>
                  </w:tcBorders>
                  <w:vAlign w:val="center"/>
                </w:tcPr>
                <w:p>
                  <w:pPr>
                    <w:pStyle w:val="30"/>
                    <w:spacing w:line="360" w:lineRule="exact"/>
                    <w:rPr>
                      <w:color w:val="auto"/>
                      <w:szCs w:val="21"/>
                    </w:rPr>
                  </w:pPr>
                </w:p>
              </w:tc>
              <w:tc>
                <w:tcPr>
                  <w:tcW w:w="1129"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1341"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CODcr</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r>
            <w:tr>
              <w:tblPrEx>
                <w:tblLayout w:type="fixed"/>
                <w:tblCellMar>
                  <w:top w:w="0" w:type="dxa"/>
                  <w:left w:w="108" w:type="dxa"/>
                  <w:bottom w:w="0" w:type="dxa"/>
                  <w:right w:w="108" w:type="dxa"/>
                </w:tblCellMar>
              </w:tblPrEx>
              <w:trPr>
                <w:trHeight w:val="336" w:hRule="atLeast"/>
                <w:jc w:val="center"/>
              </w:trPr>
              <w:tc>
                <w:tcPr>
                  <w:tcW w:w="515" w:type="dxa"/>
                  <w:vMerge w:val="continue"/>
                  <w:tcBorders>
                    <w:left w:val="single" w:color="auto" w:sz="8" w:space="0"/>
                    <w:right w:val="single" w:color="auto" w:sz="8" w:space="0"/>
                  </w:tcBorders>
                  <w:vAlign w:val="center"/>
                </w:tcPr>
                <w:p>
                  <w:pPr>
                    <w:pStyle w:val="30"/>
                    <w:spacing w:line="360" w:lineRule="exact"/>
                    <w:rPr>
                      <w:color w:val="auto"/>
                      <w:szCs w:val="21"/>
                    </w:rPr>
                  </w:pPr>
                </w:p>
              </w:tc>
              <w:tc>
                <w:tcPr>
                  <w:tcW w:w="1129"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1341"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BOD5</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r>
            <w:tr>
              <w:tblPrEx>
                <w:tblLayout w:type="fixed"/>
                <w:tblCellMar>
                  <w:top w:w="0" w:type="dxa"/>
                  <w:left w:w="108" w:type="dxa"/>
                  <w:bottom w:w="0" w:type="dxa"/>
                  <w:right w:w="108" w:type="dxa"/>
                </w:tblCellMar>
              </w:tblPrEx>
              <w:trPr>
                <w:trHeight w:val="336" w:hRule="atLeast"/>
                <w:jc w:val="center"/>
              </w:trPr>
              <w:tc>
                <w:tcPr>
                  <w:tcW w:w="515" w:type="dxa"/>
                  <w:vMerge w:val="continue"/>
                  <w:tcBorders>
                    <w:left w:val="single" w:color="auto" w:sz="8" w:space="0"/>
                    <w:right w:val="single" w:color="auto" w:sz="8" w:space="0"/>
                  </w:tcBorders>
                  <w:vAlign w:val="center"/>
                </w:tcPr>
                <w:p>
                  <w:pPr>
                    <w:pStyle w:val="30"/>
                    <w:spacing w:line="360" w:lineRule="exact"/>
                    <w:rPr>
                      <w:color w:val="auto"/>
                      <w:szCs w:val="21"/>
                    </w:rPr>
                  </w:pPr>
                </w:p>
              </w:tc>
              <w:tc>
                <w:tcPr>
                  <w:tcW w:w="1129"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1341"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NH3-N</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left w:val="single" w:color="auto" w:sz="8" w:space="0"/>
                    <w:right w:val="single" w:color="auto" w:sz="8" w:space="0"/>
                  </w:tcBorders>
                  <w:vAlign w:val="center"/>
                </w:tcPr>
                <w:p>
                  <w:pPr>
                    <w:pStyle w:val="30"/>
                    <w:spacing w:line="360" w:lineRule="exact"/>
                    <w:rPr>
                      <w:color w:val="auto"/>
                      <w:szCs w:val="21"/>
                    </w:rPr>
                  </w:pPr>
                </w:p>
              </w:tc>
              <w:tc>
                <w:tcPr>
                  <w:tcW w:w="1129"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1341"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SS</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left w:val="single" w:color="auto" w:sz="8" w:space="0"/>
                    <w:right w:val="single" w:color="auto" w:sz="8" w:space="0"/>
                  </w:tcBorders>
                  <w:vAlign w:val="center"/>
                </w:tcPr>
                <w:p>
                  <w:pPr>
                    <w:pStyle w:val="30"/>
                    <w:spacing w:line="360" w:lineRule="exact"/>
                    <w:rPr>
                      <w:color w:val="auto"/>
                      <w:szCs w:val="21"/>
                    </w:rPr>
                  </w:pPr>
                </w:p>
              </w:tc>
              <w:tc>
                <w:tcPr>
                  <w:tcW w:w="1129"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1341"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总磷</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left w:val="single" w:color="auto" w:sz="8" w:space="0"/>
                    <w:right w:val="single" w:color="auto" w:sz="8" w:space="0"/>
                  </w:tcBorders>
                  <w:vAlign w:val="center"/>
                </w:tcPr>
                <w:p>
                  <w:pPr>
                    <w:pStyle w:val="30"/>
                    <w:spacing w:line="360" w:lineRule="exact"/>
                    <w:rPr>
                      <w:color w:val="auto"/>
                      <w:szCs w:val="21"/>
                    </w:rPr>
                  </w:pPr>
                </w:p>
              </w:tc>
              <w:tc>
                <w:tcPr>
                  <w:tcW w:w="1129"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1341"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总氮</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left w:val="single" w:color="auto" w:sz="8" w:space="0"/>
                    <w:right w:val="single" w:color="auto" w:sz="8" w:space="0"/>
                  </w:tcBorders>
                  <w:vAlign w:val="center"/>
                </w:tcPr>
                <w:p>
                  <w:pPr>
                    <w:pStyle w:val="30"/>
                    <w:spacing w:line="360" w:lineRule="exact"/>
                    <w:rPr>
                      <w:color w:val="auto"/>
                      <w:szCs w:val="21"/>
                    </w:rPr>
                  </w:pPr>
                </w:p>
              </w:tc>
              <w:tc>
                <w:tcPr>
                  <w:tcW w:w="1129"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1341"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动植物油</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r>
            <w:tr>
              <w:tblPrEx>
                <w:tblLayout w:type="fixed"/>
                <w:tblCellMar>
                  <w:top w:w="0" w:type="dxa"/>
                  <w:left w:w="108" w:type="dxa"/>
                  <w:bottom w:w="0" w:type="dxa"/>
                  <w:right w:w="108" w:type="dxa"/>
                </w:tblCellMar>
              </w:tblPrEx>
              <w:trPr>
                <w:trHeight w:val="588" w:hRule="atLeast"/>
                <w:jc w:val="center"/>
              </w:trPr>
              <w:tc>
                <w:tcPr>
                  <w:tcW w:w="515" w:type="dxa"/>
                  <w:vMerge w:val="continue"/>
                  <w:tcBorders>
                    <w:left w:val="single" w:color="auto" w:sz="8" w:space="0"/>
                    <w:right w:val="single" w:color="auto" w:sz="8" w:space="0"/>
                  </w:tcBorders>
                  <w:vAlign w:val="center"/>
                </w:tcPr>
                <w:p>
                  <w:pPr>
                    <w:pStyle w:val="30"/>
                    <w:spacing w:line="360" w:lineRule="exact"/>
                    <w:rPr>
                      <w:color w:val="auto"/>
                      <w:szCs w:val="21"/>
                    </w:rPr>
                  </w:pPr>
                </w:p>
              </w:tc>
              <w:tc>
                <w:tcPr>
                  <w:tcW w:w="1129"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1341"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阴离子表面活性剂</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r>
            <w:tr>
              <w:tblPrEx>
                <w:tblLayout w:type="fixed"/>
                <w:tblCellMar>
                  <w:top w:w="0" w:type="dxa"/>
                  <w:left w:w="108" w:type="dxa"/>
                  <w:bottom w:w="0" w:type="dxa"/>
                  <w:right w:w="108" w:type="dxa"/>
                </w:tblCellMar>
              </w:tblPrEx>
              <w:trPr>
                <w:trHeight w:val="543" w:hRule="atLeast"/>
                <w:jc w:val="center"/>
              </w:trPr>
              <w:tc>
                <w:tcPr>
                  <w:tcW w:w="515" w:type="dxa"/>
                  <w:vMerge w:val="continue"/>
                  <w:tcBorders>
                    <w:left w:val="single" w:color="auto" w:sz="8" w:space="0"/>
                    <w:right w:val="single" w:color="auto" w:sz="8" w:space="0"/>
                  </w:tcBorders>
                  <w:vAlign w:val="center"/>
                </w:tcPr>
                <w:p>
                  <w:pPr>
                    <w:pStyle w:val="30"/>
                    <w:spacing w:line="360" w:lineRule="exact"/>
                    <w:rPr>
                      <w:color w:val="auto"/>
                      <w:szCs w:val="21"/>
                    </w:rPr>
                  </w:pPr>
                </w:p>
              </w:tc>
              <w:tc>
                <w:tcPr>
                  <w:tcW w:w="1129"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1341"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粪大肠菌群数（</w:t>
                  </w:r>
                  <w:r>
                    <w:rPr>
                      <w:color w:val="auto"/>
                      <w:szCs w:val="21"/>
                    </w:rPr>
                    <w:t>MPN/L</w:t>
                  </w:r>
                  <w:r>
                    <w:rPr>
                      <w:rFonts w:hint="eastAsia"/>
                      <w:color w:val="auto"/>
                      <w:szCs w:val="21"/>
                    </w:rPr>
                    <w:t>）</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r>
            <w:tr>
              <w:tblPrEx>
                <w:tblLayout w:type="fixed"/>
                <w:tblCellMar>
                  <w:top w:w="0" w:type="dxa"/>
                  <w:left w:w="108" w:type="dxa"/>
                  <w:bottom w:w="0" w:type="dxa"/>
                  <w:right w:w="108" w:type="dxa"/>
                </w:tblCellMar>
              </w:tblPrEx>
              <w:trPr>
                <w:trHeight w:val="56" w:hRule="atLeast"/>
                <w:jc w:val="center"/>
              </w:trPr>
              <w:tc>
                <w:tcPr>
                  <w:tcW w:w="515" w:type="dxa"/>
                  <w:vMerge w:val="continue"/>
                  <w:tcBorders>
                    <w:left w:val="single" w:color="auto" w:sz="8" w:space="0"/>
                    <w:bottom w:val="single" w:color="000000" w:sz="8" w:space="0"/>
                    <w:right w:val="single" w:color="auto" w:sz="8" w:space="0"/>
                  </w:tcBorders>
                  <w:vAlign w:val="center"/>
                </w:tcPr>
                <w:p>
                  <w:pPr>
                    <w:pStyle w:val="30"/>
                    <w:spacing w:line="360" w:lineRule="exact"/>
                    <w:rPr>
                      <w:color w:val="auto"/>
                      <w:szCs w:val="21"/>
                    </w:rPr>
                  </w:pPr>
                </w:p>
              </w:tc>
              <w:tc>
                <w:tcPr>
                  <w:tcW w:w="2470" w:type="dxa"/>
                  <w:gridSpan w:val="2"/>
                  <w:tcBorders>
                    <w:top w:val="nil"/>
                    <w:left w:val="single" w:color="auto" w:sz="8" w:space="0"/>
                    <w:bottom w:val="single" w:color="000000" w:sz="8" w:space="0"/>
                    <w:right w:val="single" w:color="auto" w:sz="8" w:space="0"/>
                  </w:tcBorders>
                  <w:vAlign w:val="center"/>
                </w:tcPr>
                <w:p>
                  <w:pPr>
                    <w:pStyle w:val="30"/>
                    <w:spacing w:line="360" w:lineRule="exact"/>
                    <w:rPr>
                      <w:color w:val="auto"/>
                      <w:szCs w:val="21"/>
                    </w:rPr>
                  </w:pPr>
                  <w:r>
                    <w:rPr>
                      <w:color w:val="auto"/>
                      <w:szCs w:val="21"/>
                    </w:rPr>
                    <w:t>初期雨水</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11.50m³/次</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11.50m³/次</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rFonts w:hint="eastAsia"/>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restart"/>
                  <w:tcBorders>
                    <w:top w:val="nil"/>
                    <w:left w:val="single" w:color="auto" w:sz="8" w:space="0"/>
                    <w:right w:val="single" w:color="auto" w:sz="8" w:space="0"/>
                  </w:tcBorders>
                  <w:shd w:val="clear" w:color="auto" w:fill="auto"/>
                  <w:vAlign w:val="center"/>
                </w:tcPr>
                <w:p>
                  <w:pPr>
                    <w:pStyle w:val="30"/>
                    <w:spacing w:line="360" w:lineRule="exact"/>
                    <w:rPr>
                      <w:color w:val="auto"/>
                      <w:szCs w:val="21"/>
                    </w:rPr>
                  </w:pPr>
                  <w:r>
                    <w:rPr>
                      <w:rFonts w:hint="eastAsia"/>
                      <w:color w:val="auto"/>
                      <w:szCs w:val="21"/>
                    </w:rPr>
                    <w:t>固废</w:t>
                  </w:r>
                </w:p>
              </w:tc>
              <w:tc>
                <w:tcPr>
                  <w:tcW w:w="247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废塑料</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2566.67</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2566.67</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left w:val="single" w:color="auto" w:sz="8" w:space="0"/>
                    <w:right w:val="single" w:color="auto" w:sz="8" w:space="0"/>
                  </w:tcBorders>
                  <w:shd w:val="clear" w:color="auto" w:fill="auto"/>
                  <w:vAlign w:val="center"/>
                </w:tcPr>
                <w:p>
                  <w:pPr>
                    <w:pStyle w:val="30"/>
                    <w:spacing w:line="360" w:lineRule="exact"/>
                    <w:rPr>
                      <w:color w:val="auto"/>
                      <w:szCs w:val="21"/>
                    </w:rPr>
                  </w:pPr>
                </w:p>
              </w:tc>
              <w:tc>
                <w:tcPr>
                  <w:tcW w:w="247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废旧有色金属（铜/铝等）</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349.33</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349.33</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left w:val="single" w:color="auto" w:sz="8" w:space="0"/>
                    <w:right w:val="single" w:color="auto" w:sz="8" w:space="0"/>
                  </w:tcBorders>
                  <w:shd w:val="clear" w:color="auto" w:fill="auto"/>
                  <w:vAlign w:val="center"/>
                </w:tcPr>
                <w:p>
                  <w:pPr>
                    <w:pStyle w:val="30"/>
                    <w:spacing w:line="360" w:lineRule="exact"/>
                    <w:rPr>
                      <w:color w:val="auto"/>
                      <w:szCs w:val="21"/>
                    </w:rPr>
                  </w:pPr>
                </w:p>
              </w:tc>
              <w:tc>
                <w:tcPr>
                  <w:tcW w:w="247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废钢/铁</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5280</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5280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left w:val="single" w:color="auto" w:sz="8" w:space="0"/>
                    <w:right w:val="single" w:color="auto" w:sz="8" w:space="0"/>
                  </w:tcBorders>
                  <w:shd w:val="clear" w:color="auto" w:fill="auto"/>
                  <w:vAlign w:val="center"/>
                </w:tcPr>
                <w:p>
                  <w:pPr>
                    <w:pStyle w:val="30"/>
                    <w:spacing w:line="360" w:lineRule="exact"/>
                    <w:rPr>
                      <w:color w:val="auto"/>
                      <w:szCs w:val="21"/>
                    </w:rPr>
                  </w:pPr>
                </w:p>
              </w:tc>
              <w:tc>
                <w:tcPr>
                  <w:tcW w:w="247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废玻璃</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left w:val="single" w:color="auto" w:sz="8" w:space="0"/>
                    <w:right w:val="single" w:color="auto" w:sz="8" w:space="0"/>
                  </w:tcBorders>
                  <w:shd w:val="clear" w:color="auto" w:fill="auto"/>
                  <w:vAlign w:val="center"/>
                </w:tcPr>
                <w:p>
                  <w:pPr>
                    <w:pStyle w:val="30"/>
                    <w:spacing w:line="360" w:lineRule="exact"/>
                    <w:rPr>
                      <w:color w:val="auto"/>
                      <w:szCs w:val="21"/>
                    </w:rPr>
                  </w:pPr>
                </w:p>
              </w:tc>
              <w:tc>
                <w:tcPr>
                  <w:tcW w:w="247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泡棉</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left w:val="single" w:color="auto" w:sz="8" w:space="0"/>
                    <w:right w:val="single" w:color="auto" w:sz="8" w:space="0"/>
                  </w:tcBorders>
                  <w:shd w:val="clear" w:color="auto" w:fill="auto"/>
                  <w:vAlign w:val="center"/>
                </w:tcPr>
                <w:p>
                  <w:pPr>
                    <w:pStyle w:val="30"/>
                    <w:spacing w:line="360" w:lineRule="exact"/>
                    <w:rPr>
                      <w:color w:val="auto"/>
                      <w:szCs w:val="21"/>
                    </w:rPr>
                  </w:pPr>
                </w:p>
              </w:tc>
              <w:tc>
                <w:tcPr>
                  <w:tcW w:w="247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废电子配件（开关、电容、电源线等）</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22.26</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22.26</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left w:val="single" w:color="auto" w:sz="8" w:space="0"/>
                    <w:right w:val="single" w:color="auto" w:sz="8" w:space="0"/>
                  </w:tcBorders>
                  <w:shd w:val="clear" w:color="auto" w:fill="auto"/>
                  <w:vAlign w:val="center"/>
                </w:tcPr>
                <w:p>
                  <w:pPr>
                    <w:pStyle w:val="30"/>
                    <w:spacing w:line="360" w:lineRule="exact"/>
                    <w:rPr>
                      <w:color w:val="auto"/>
                      <w:szCs w:val="21"/>
                    </w:rPr>
                  </w:pPr>
                </w:p>
              </w:tc>
              <w:tc>
                <w:tcPr>
                  <w:tcW w:w="247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制冷剂</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left w:val="single" w:color="auto" w:sz="8" w:space="0"/>
                    <w:right w:val="single" w:color="auto" w:sz="8" w:space="0"/>
                  </w:tcBorders>
                  <w:shd w:val="clear" w:color="auto" w:fill="auto"/>
                  <w:vAlign w:val="center"/>
                </w:tcPr>
                <w:p>
                  <w:pPr>
                    <w:pStyle w:val="30"/>
                    <w:spacing w:line="360" w:lineRule="exact"/>
                    <w:rPr>
                      <w:color w:val="auto"/>
                      <w:szCs w:val="21"/>
                    </w:rPr>
                  </w:pPr>
                </w:p>
              </w:tc>
              <w:tc>
                <w:tcPr>
                  <w:tcW w:w="247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废弃细碎料</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99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312</w:t>
                  </w:r>
                </w:p>
              </w:tc>
              <w:tc>
                <w:tcPr>
                  <w:tcW w:w="1059"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312</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left w:val="single" w:color="auto" w:sz="8" w:space="0"/>
                    <w:right w:val="single" w:color="auto" w:sz="8" w:space="0"/>
                  </w:tcBorders>
                  <w:shd w:val="clear" w:color="auto" w:fill="auto"/>
                  <w:vAlign w:val="center"/>
                </w:tcPr>
                <w:p>
                  <w:pPr>
                    <w:pStyle w:val="30"/>
                    <w:spacing w:line="360" w:lineRule="exact"/>
                    <w:rPr>
                      <w:color w:val="auto"/>
                      <w:szCs w:val="21"/>
                    </w:rPr>
                  </w:pPr>
                </w:p>
              </w:tc>
              <w:tc>
                <w:tcPr>
                  <w:tcW w:w="247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废活性炭（吸附有机废气）</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99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0</w:t>
                  </w:r>
                </w:p>
              </w:tc>
              <w:tc>
                <w:tcPr>
                  <w:tcW w:w="1059"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left w:val="single" w:color="auto" w:sz="8" w:space="0"/>
                    <w:right w:val="single" w:color="auto" w:sz="8" w:space="0"/>
                  </w:tcBorders>
                  <w:shd w:val="clear" w:color="auto" w:fill="auto"/>
                  <w:vAlign w:val="center"/>
                </w:tcPr>
                <w:p>
                  <w:pPr>
                    <w:pStyle w:val="30"/>
                    <w:spacing w:line="360" w:lineRule="exact"/>
                    <w:rPr>
                      <w:color w:val="auto"/>
                      <w:szCs w:val="21"/>
                    </w:rPr>
                  </w:pPr>
                </w:p>
              </w:tc>
              <w:tc>
                <w:tcPr>
                  <w:tcW w:w="247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收集粉尘</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99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0</w:t>
                  </w:r>
                </w:p>
              </w:tc>
              <w:tc>
                <w:tcPr>
                  <w:tcW w:w="1059"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left w:val="single" w:color="auto" w:sz="8" w:space="0"/>
                    <w:right w:val="single" w:color="auto" w:sz="8" w:space="0"/>
                  </w:tcBorders>
                  <w:shd w:val="clear" w:color="auto" w:fill="auto"/>
                  <w:vAlign w:val="center"/>
                </w:tcPr>
                <w:p>
                  <w:pPr>
                    <w:pStyle w:val="30"/>
                    <w:spacing w:line="360" w:lineRule="exact"/>
                    <w:rPr>
                      <w:color w:val="auto"/>
                      <w:szCs w:val="21"/>
                    </w:rPr>
                  </w:pPr>
                </w:p>
              </w:tc>
              <w:tc>
                <w:tcPr>
                  <w:tcW w:w="247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废矿物油</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left w:val="single" w:color="auto" w:sz="8" w:space="0"/>
                    <w:right w:val="single" w:color="auto" w:sz="8" w:space="0"/>
                  </w:tcBorders>
                  <w:shd w:val="clear" w:color="auto" w:fill="auto"/>
                  <w:vAlign w:val="center"/>
                </w:tcPr>
                <w:p>
                  <w:pPr>
                    <w:pStyle w:val="30"/>
                    <w:spacing w:line="360" w:lineRule="exact"/>
                    <w:rPr>
                      <w:color w:val="auto"/>
                      <w:szCs w:val="21"/>
                    </w:rPr>
                  </w:pPr>
                </w:p>
              </w:tc>
              <w:tc>
                <w:tcPr>
                  <w:tcW w:w="247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废电路板</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192</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192</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left w:val="single" w:color="auto" w:sz="8" w:space="0"/>
                    <w:right w:val="single" w:color="auto" w:sz="8" w:space="0"/>
                  </w:tcBorders>
                  <w:shd w:val="clear" w:color="auto" w:fill="auto"/>
                  <w:vAlign w:val="center"/>
                </w:tcPr>
                <w:p>
                  <w:pPr>
                    <w:pStyle w:val="30"/>
                    <w:spacing w:line="360" w:lineRule="exact"/>
                    <w:rPr>
                      <w:color w:val="auto"/>
                      <w:szCs w:val="21"/>
                    </w:rPr>
                  </w:pPr>
                </w:p>
              </w:tc>
              <w:tc>
                <w:tcPr>
                  <w:tcW w:w="247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含汞灯管</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993"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1059"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left w:val="single" w:color="auto" w:sz="8" w:space="0"/>
                    <w:right w:val="single" w:color="auto" w:sz="8" w:space="0"/>
                  </w:tcBorders>
                  <w:shd w:val="clear" w:color="auto" w:fill="auto"/>
                  <w:vAlign w:val="center"/>
                </w:tcPr>
                <w:p>
                  <w:pPr>
                    <w:pStyle w:val="30"/>
                    <w:spacing w:line="360" w:lineRule="exact"/>
                    <w:rPr>
                      <w:color w:val="auto"/>
                      <w:szCs w:val="21"/>
                    </w:rPr>
                  </w:pPr>
                </w:p>
              </w:tc>
              <w:tc>
                <w:tcPr>
                  <w:tcW w:w="247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背光模组</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99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0</w:t>
                  </w:r>
                </w:p>
              </w:tc>
              <w:tc>
                <w:tcPr>
                  <w:tcW w:w="1059"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left w:val="single" w:color="auto" w:sz="8" w:space="0"/>
                    <w:right w:val="single" w:color="auto" w:sz="8" w:space="0"/>
                  </w:tcBorders>
                  <w:shd w:val="clear" w:color="auto" w:fill="auto"/>
                  <w:vAlign w:val="center"/>
                </w:tcPr>
                <w:p>
                  <w:pPr>
                    <w:pStyle w:val="30"/>
                    <w:spacing w:line="360" w:lineRule="exact"/>
                    <w:rPr>
                      <w:color w:val="auto"/>
                      <w:szCs w:val="21"/>
                    </w:rPr>
                  </w:pPr>
                </w:p>
              </w:tc>
              <w:tc>
                <w:tcPr>
                  <w:tcW w:w="247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废弃的阴极射线管（锥玻璃）</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99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0</w:t>
                  </w:r>
                </w:p>
              </w:tc>
              <w:tc>
                <w:tcPr>
                  <w:tcW w:w="1059"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left w:val="single" w:color="auto" w:sz="8" w:space="0"/>
                    <w:right w:val="single" w:color="auto" w:sz="8" w:space="0"/>
                  </w:tcBorders>
                  <w:shd w:val="clear" w:color="auto" w:fill="auto"/>
                  <w:vAlign w:val="center"/>
                </w:tcPr>
                <w:p>
                  <w:pPr>
                    <w:pStyle w:val="30"/>
                    <w:spacing w:line="360" w:lineRule="exact"/>
                    <w:rPr>
                      <w:color w:val="auto"/>
                      <w:szCs w:val="21"/>
                    </w:rPr>
                  </w:pPr>
                </w:p>
              </w:tc>
              <w:tc>
                <w:tcPr>
                  <w:tcW w:w="247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荧光粉</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99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0</w:t>
                  </w:r>
                </w:p>
              </w:tc>
              <w:tc>
                <w:tcPr>
                  <w:tcW w:w="1059"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left w:val="single" w:color="auto" w:sz="8" w:space="0"/>
                    <w:right w:val="single" w:color="auto" w:sz="8" w:space="0"/>
                  </w:tcBorders>
                  <w:shd w:val="clear" w:color="auto" w:fill="auto"/>
                  <w:vAlign w:val="center"/>
                </w:tcPr>
                <w:p>
                  <w:pPr>
                    <w:pStyle w:val="30"/>
                    <w:spacing w:line="360" w:lineRule="exact"/>
                    <w:rPr>
                      <w:color w:val="auto"/>
                      <w:szCs w:val="21"/>
                    </w:rPr>
                  </w:pPr>
                </w:p>
              </w:tc>
              <w:tc>
                <w:tcPr>
                  <w:tcW w:w="247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废活性炭（吸附汞及其化合物）</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99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0.002</w:t>
                  </w:r>
                </w:p>
              </w:tc>
              <w:tc>
                <w:tcPr>
                  <w:tcW w:w="1059"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0.002</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r>
            <w:tr>
              <w:tblPrEx>
                <w:tblLayout w:type="fixed"/>
                <w:tblCellMar>
                  <w:top w:w="0" w:type="dxa"/>
                  <w:left w:w="108" w:type="dxa"/>
                  <w:bottom w:w="0" w:type="dxa"/>
                  <w:right w:w="108" w:type="dxa"/>
                </w:tblCellMar>
              </w:tblPrEx>
              <w:trPr>
                <w:trHeight w:val="300" w:hRule="atLeast"/>
                <w:jc w:val="center"/>
              </w:trPr>
              <w:tc>
                <w:tcPr>
                  <w:tcW w:w="515" w:type="dxa"/>
                  <w:vMerge w:val="continue"/>
                  <w:tcBorders>
                    <w:left w:val="single" w:color="auto" w:sz="8" w:space="0"/>
                    <w:bottom w:val="single" w:color="auto" w:sz="8" w:space="0"/>
                    <w:right w:val="single" w:color="auto" w:sz="8" w:space="0"/>
                  </w:tcBorders>
                  <w:shd w:val="clear" w:color="auto" w:fill="auto"/>
                  <w:vAlign w:val="center"/>
                </w:tcPr>
                <w:p>
                  <w:pPr>
                    <w:pStyle w:val="30"/>
                    <w:spacing w:line="360" w:lineRule="exact"/>
                    <w:rPr>
                      <w:color w:val="auto"/>
                      <w:szCs w:val="21"/>
                    </w:rPr>
                  </w:pPr>
                </w:p>
              </w:tc>
              <w:tc>
                <w:tcPr>
                  <w:tcW w:w="247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auto"/>
                      <w:szCs w:val="21"/>
                    </w:rPr>
                  </w:pPr>
                  <w:r>
                    <w:rPr>
                      <w:color w:val="auto"/>
                      <w:szCs w:val="21"/>
                    </w:rPr>
                    <w:t>收集含铅粉尘</w:t>
                  </w:r>
                </w:p>
              </w:tc>
              <w:tc>
                <w:tcPr>
                  <w:tcW w:w="778"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99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0</w:t>
                  </w:r>
                </w:p>
              </w:tc>
              <w:tc>
                <w:tcPr>
                  <w:tcW w:w="1059"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Cs/>
                      <w:snapToGrid w:val="0"/>
                      <w:color w:val="auto"/>
                      <w:kern w:val="32"/>
                      <w:lang w:val="zh-CN"/>
                    </w:rPr>
                  </w:pPr>
                  <w:r>
                    <w:rPr>
                      <w:rFonts w:ascii="Times New Roman" w:hAnsi="Times New Roman" w:eastAsia="宋体" w:cs="Times New Roman"/>
                      <w:bCs/>
                      <w:snapToGrid w:val="0"/>
                      <w:color w:val="auto"/>
                      <w:kern w:val="32"/>
                      <w:lang w:val="zh-CN"/>
                    </w:rPr>
                    <w:t>0</w:t>
                  </w:r>
                </w:p>
              </w:tc>
              <w:tc>
                <w:tcPr>
                  <w:tcW w:w="745"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93" w:type="dxa"/>
                  <w:tcBorders>
                    <w:top w:val="nil"/>
                    <w:left w:val="nil"/>
                    <w:bottom w:val="single" w:color="auto" w:sz="8" w:space="0"/>
                    <w:right w:val="single" w:color="auto" w:sz="4" w:space="0"/>
                  </w:tcBorders>
                  <w:shd w:val="clear" w:color="auto" w:fill="auto"/>
                  <w:vAlign w:val="center"/>
                </w:tcPr>
                <w:p>
                  <w:pPr>
                    <w:pStyle w:val="30"/>
                    <w:spacing w:line="360" w:lineRule="exact"/>
                    <w:rPr>
                      <w:color w:val="auto"/>
                      <w:szCs w:val="21"/>
                    </w:rPr>
                  </w:pPr>
                  <w:r>
                    <w:rPr>
                      <w:color w:val="auto"/>
                      <w:szCs w:val="21"/>
                    </w:rPr>
                    <w:t>0</w:t>
                  </w:r>
                </w:p>
              </w:tc>
              <w:tc>
                <w:tcPr>
                  <w:tcW w:w="745" w:type="dxa"/>
                  <w:tcBorders>
                    <w:top w:val="nil"/>
                    <w:left w:val="single" w:color="auto" w:sz="4" w:space="0"/>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c>
                <w:tcPr>
                  <w:tcW w:w="836" w:type="dxa"/>
                  <w:tcBorders>
                    <w:top w:val="nil"/>
                    <w:left w:val="nil"/>
                    <w:bottom w:val="single" w:color="auto" w:sz="8" w:space="0"/>
                    <w:right w:val="single" w:color="auto" w:sz="8" w:space="0"/>
                  </w:tcBorders>
                  <w:shd w:val="clear" w:color="auto" w:fill="auto"/>
                  <w:vAlign w:val="center"/>
                </w:tcPr>
                <w:p>
                  <w:pPr>
                    <w:pStyle w:val="30"/>
                    <w:spacing w:line="360" w:lineRule="exact"/>
                    <w:rPr>
                      <w:color w:val="auto"/>
                      <w:szCs w:val="21"/>
                    </w:rPr>
                  </w:pPr>
                  <w:r>
                    <w:rPr>
                      <w:color w:val="auto"/>
                      <w:szCs w:val="21"/>
                    </w:rPr>
                    <w:t>0</w:t>
                  </w:r>
                </w:p>
              </w:tc>
            </w:tr>
          </w:tbl>
          <w:p>
            <w:pPr>
              <w:pStyle w:val="38"/>
              <w:spacing w:beforeLines="50"/>
              <w:ind w:firstLine="482"/>
              <w:rPr>
                <w:b/>
                <w:color w:val="auto"/>
                <w:szCs w:val="21"/>
              </w:rPr>
            </w:pPr>
            <w:r>
              <w:rPr>
                <w:rFonts w:hint="eastAsia" w:eastAsiaTheme="minorEastAsia"/>
                <w:b/>
                <w:color w:val="auto"/>
                <w:szCs w:val="24"/>
              </w:rPr>
              <w:t xml:space="preserve">4.3.2 </w:t>
            </w:r>
            <w:r>
              <w:rPr>
                <w:rFonts w:eastAsiaTheme="minorEastAsia"/>
                <w:b/>
                <w:color w:val="auto"/>
                <w:szCs w:val="24"/>
              </w:rPr>
              <w:t>“以新带老”措施</w:t>
            </w:r>
          </w:p>
          <w:p>
            <w:pPr>
              <w:spacing w:line="360" w:lineRule="auto"/>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rPr>
              <w:t>根据项目的特点，原有项目各环保手续齐全，污染物达标排放；本环评不再提出</w:t>
            </w:r>
            <w:r>
              <w:rPr>
                <w:rFonts w:ascii="Times New Roman" w:hAnsi="Times New Roman" w:cs="Times New Roman"/>
                <w:color w:val="auto"/>
                <w:sz w:val="24"/>
                <w:szCs w:val="24"/>
              </w:rPr>
              <w:t>“以新带老”措施</w:t>
            </w:r>
            <w:r>
              <w:rPr>
                <w:rFonts w:hint="eastAsia" w:ascii="Times New Roman" w:hAnsi="Times New Roman" w:cs="Times New Roman"/>
                <w:color w:val="auto"/>
                <w:sz w:val="24"/>
                <w:szCs w:val="24"/>
              </w:rPr>
              <w:t>。</w:t>
            </w:r>
          </w:p>
          <w:p>
            <w:pPr>
              <w:spacing w:line="360" w:lineRule="auto"/>
              <w:ind w:firstLine="482" w:firstLineChars="200"/>
              <w:rPr>
                <w:rFonts w:ascii="Times New Roman" w:hAnsi="Times New Roman" w:cs="Times New Roman"/>
                <w:b/>
                <w:color w:val="auto"/>
                <w:sz w:val="24"/>
                <w:szCs w:val="24"/>
              </w:rPr>
            </w:pPr>
            <w:bookmarkStart w:id="22" w:name="_Toc72228649"/>
            <w:r>
              <w:rPr>
                <w:rFonts w:ascii="Times New Roman" w:hAnsi="Times New Roman" w:cs="Times New Roman"/>
                <w:b/>
                <w:color w:val="auto"/>
                <w:sz w:val="24"/>
                <w:szCs w:val="24"/>
              </w:rPr>
              <w:t>4.4 环保投资估算</w:t>
            </w:r>
            <w:bookmarkEnd w:id="22"/>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项目总投资1050万元，其中新增基建环保投资为47.11万元，占总投资的4.49%。年环保投资运行费用约为31.2万元，项目拟采取措施的具体内容、责任主体、实施时段及环境保护投入资金如下表所示。</w:t>
            </w:r>
          </w:p>
          <w:p>
            <w:pPr>
              <w:pStyle w:val="32"/>
              <w:spacing w:beforeLines="0"/>
              <w:rPr>
                <w:rFonts w:hAnsi="Times New Roman" w:eastAsiaTheme="minorEastAsia"/>
                <w:color w:val="auto"/>
                <w:sz w:val="21"/>
                <w:szCs w:val="21"/>
              </w:rPr>
            </w:pPr>
            <w:r>
              <w:rPr>
                <w:rFonts w:hAnsi="Times New Roman" w:eastAsiaTheme="minorEastAsia"/>
                <w:color w:val="auto"/>
                <w:sz w:val="21"/>
                <w:szCs w:val="21"/>
              </w:rPr>
              <w:t>表4.4-1  项目环保投资一览表 单位：万元</w:t>
            </w:r>
          </w:p>
          <w:tbl>
            <w:tblPr>
              <w:tblStyle w:val="19"/>
              <w:tblW w:w="90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595"/>
              <w:gridCol w:w="704"/>
              <w:gridCol w:w="1414"/>
              <w:gridCol w:w="2666"/>
              <w:gridCol w:w="850"/>
              <w:gridCol w:w="136"/>
              <w:gridCol w:w="595"/>
              <w:gridCol w:w="821"/>
              <w:gridCol w:w="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6" w:type="dxa"/>
                  <w:vMerge w:val="restart"/>
                  <w:vAlign w:val="center"/>
                </w:tcPr>
                <w:p>
                  <w:pPr>
                    <w:pStyle w:val="30"/>
                    <w:spacing w:line="360" w:lineRule="exact"/>
                    <w:rPr>
                      <w:color w:val="auto"/>
                      <w:szCs w:val="21"/>
                    </w:rPr>
                  </w:pPr>
                  <w:r>
                    <w:rPr>
                      <w:color w:val="auto"/>
                      <w:szCs w:val="21"/>
                    </w:rPr>
                    <w:t>时期</w:t>
                  </w:r>
                </w:p>
              </w:tc>
              <w:tc>
                <w:tcPr>
                  <w:tcW w:w="1299" w:type="dxa"/>
                  <w:gridSpan w:val="2"/>
                  <w:vMerge w:val="restart"/>
                  <w:vAlign w:val="center"/>
                </w:tcPr>
                <w:p>
                  <w:pPr>
                    <w:pStyle w:val="30"/>
                    <w:spacing w:line="360" w:lineRule="exact"/>
                    <w:rPr>
                      <w:color w:val="auto"/>
                      <w:szCs w:val="21"/>
                    </w:rPr>
                  </w:pPr>
                  <w:r>
                    <w:rPr>
                      <w:color w:val="auto"/>
                      <w:szCs w:val="21"/>
                    </w:rPr>
                    <w:t>类型</w:t>
                  </w:r>
                </w:p>
              </w:tc>
              <w:tc>
                <w:tcPr>
                  <w:tcW w:w="4080" w:type="dxa"/>
                  <w:gridSpan w:val="2"/>
                  <w:vAlign w:val="center"/>
                </w:tcPr>
                <w:p>
                  <w:pPr>
                    <w:pStyle w:val="30"/>
                    <w:spacing w:line="360" w:lineRule="exact"/>
                    <w:rPr>
                      <w:color w:val="auto"/>
                      <w:szCs w:val="21"/>
                    </w:rPr>
                  </w:pPr>
                  <w:r>
                    <w:rPr>
                      <w:color w:val="auto"/>
                      <w:szCs w:val="21"/>
                    </w:rPr>
                    <w:t>环保措施</w:t>
                  </w:r>
                </w:p>
              </w:tc>
              <w:tc>
                <w:tcPr>
                  <w:tcW w:w="1581" w:type="dxa"/>
                  <w:gridSpan w:val="3"/>
                  <w:vAlign w:val="center"/>
                </w:tcPr>
                <w:p>
                  <w:pPr>
                    <w:pStyle w:val="30"/>
                    <w:spacing w:line="360" w:lineRule="exact"/>
                    <w:rPr>
                      <w:color w:val="auto"/>
                      <w:szCs w:val="21"/>
                    </w:rPr>
                  </w:pPr>
                  <w:r>
                    <w:rPr>
                      <w:color w:val="auto"/>
                      <w:szCs w:val="21"/>
                    </w:rPr>
                    <w:t>建设期资金投入（万元）</w:t>
                  </w:r>
                </w:p>
              </w:tc>
              <w:tc>
                <w:tcPr>
                  <w:tcW w:w="1568" w:type="dxa"/>
                  <w:gridSpan w:val="2"/>
                  <w:vAlign w:val="center"/>
                </w:tcPr>
                <w:p>
                  <w:pPr>
                    <w:pStyle w:val="30"/>
                    <w:spacing w:line="360" w:lineRule="exact"/>
                    <w:rPr>
                      <w:color w:val="auto"/>
                      <w:szCs w:val="21"/>
                    </w:rPr>
                  </w:pPr>
                  <w:r>
                    <w:rPr>
                      <w:color w:val="auto"/>
                      <w:szCs w:val="21"/>
                    </w:rPr>
                    <w:t>运行期资金投入（万元/a）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6" w:type="dxa"/>
                  <w:vMerge w:val="continue"/>
                  <w:vAlign w:val="center"/>
                </w:tcPr>
                <w:p>
                  <w:pPr>
                    <w:pStyle w:val="30"/>
                    <w:spacing w:line="360" w:lineRule="exact"/>
                    <w:rPr>
                      <w:color w:val="auto"/>
                      <w:szCs w:val="21"/>
                    </w:rPr>
                  </w:pPr>
                </w:p>
              </w:tc>
              <w:tc>
                <w:tcPr>
                  <w:tcW w:w="1299" w:type="dxa"/>
                  <w:gridSpan w:val="2"/>
                  <w:vMerge w:val="continue"/>
                  <w:vAlign w:val="center"/>
                </w:tcPr>
                <w:p>
                  <w:pPr>
                    <w:pStyle w:val="30"/>
                    <w:spacing w:line="360" w:lineRule="exact"/>
                    <w:rPr>
                      <w:color w:val="auto"/>
                      <w:szCs w:val="21"/>
                    </w:rPr>
                  </w:pPr>
                </w:p>
              </w:tc>
              <w:tc>
                <w:tcPr>
                  <w:tcW w:w="1414" w:type="dxa"/>
                  <w:vAlign w:val="center"/>
                </w:tcPr>
                <w:p>
                  <w:pPr>
                    <w:pStyle w:val="30"/>
                    <w:spacing w:line="360" w:lineRule="exact"/>
                    <w:rPr>
                      <w:color w:val="auto"/>
                      <w:szCs w:val="21"/>
                    </w:rPr>
                  </w:pPr>
                  <w:r>
                    <w:rPr>
                      <w:color w:val="auto"/>
                      <w:szCs w:val="21"/>
                    </w:rPr>
                    <w:t>环保项目</w:t>
                  </w:r>
                </w:p>
              </w:tc>
              <w:tc>
                <w:tcPr>
                  <w:tcW w:w="2666" w:type="dxa"/>
                  <w:vAlign w:val="center"/>
                </w:tcPr>
                <w:p>
                  <w:pPr>
                    <w:pStyle w:val="30"/>
                    <w:spacing w:line="360" w:lineRule="exact"/>
                    <w:rPr>
                      <w:color w:val="auto"/>
                      <w:szCs w:val="21"/>
                    </w:rPr>
                  </w:pPr>
                  <w:r>
                    <w:rPr>
                      <w:color w:val="auto"/>
                      <w:szCs w:val="21"/>
                    </w:rPr>
                    <w:t>数量</w:t>
                  </w:r>
                </w:p>
              </w:tc>
              <w:tc>
                <w:tcPr>
                  <w:tcW w:w="850" w:type="dxa"/>
                  <w:vAlign w:val="center"/>
                </w:tcPr>
                <w:p>
                  <w:pPr>
                    <w:pStyle w:val="30"/>
                    <w:spacing w:line="360" w:lineRule="exact"/>
                    <w:rPr>
                      <w:color w:val="auto"/>
                      <w:szCs w:val="21"/>
                    </w:rPr>
                  </w:pPr>
                  <w:r>
                    <w:rPr>
                      <w:color w:val="auto"/>
                      <w:szCs w:val="21"/>
                    </w:rPr>
                    <w:t>建设费用</w:t>
                  </w:r>
                </w:p>
              </w:tc>
              <w:tc>
                <w:tcPr>
                  <w:tcW w:w="731" w:type="dxa"/>
                  <w:gridSpan w:val="2"/>
                  <w:vAlign w:val="center"/>
                </w:tcPr>
                <w:p>
                  <w:pPr>
                    <w:pStyle w:val="30"/>
                    <w:spacing w:line="360" w:lineRule="exact"/>
                    <w:rPr>
                      <w:color w:val="auto"/>
                      <w:szCs w:val="21"/>
                    </w:rPr>
                  </w:pPr>
                  <w:r>
                    <w:rPr>
                      <w:color w:val="auto"/>
                      <w:szCs w:val="21"/>
                    </w:rPr>
                    <w:t>责任主体</w:t>
                  </w:r>
                </w:p>
              </w:tc>
              <w:tc>
                <w:tcPr>
                  <w:tcW w:w="821" w:type="dxa"/>
                  <w:vAlign w:val="center"/>
                </w:tcPr>
                <w:p>
                  <w:pPr>
                    <w:pStyle w:val="30"/>
                    <w:spacing w:line="360" w:lineRule="exact"/>
                    <w:rPr>
                      <w:color w:val="auto"/>
                      <w:szCs w:val="21"/>
                    </w:rPr>
                  </w:pPr>
                  <w:r>
                    <w:rPr>
                      <w:color w:val="auto"/>
                      <w:szCs w:val="21"/>
                    </w:rPr>
                    <w:t>运行维护费用</w:t>
                  </w:r>
                </w:p>
              </w:tc>
              <w:tc>
                <w:tcPr>
                  <w:tcW w:w="747" w:type="dxa"/>
                  <w:vAlign w:val="center"/>
                </w:tcPr>
                <w:p>
                  <w:pPr>
                    <w:pStyle w:val="30"/>
                    <w:spacing w:line="360" w:lineRule="exact"/>
                    <w:rPr>
                      <w:color w:val="auto"/>
                      <w:szCs w:val="21"/>
                    </w:rPr>
                  </w:pPr>
                  <w:r>
                    <w:rPr>
                      <w:color w:val="auto"/>
                      <w:szCs w:val="21"/>
                    </w:rPr>
                    <w:t>责任主体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6" w:type="dxa"/>
                  <w:vMerge w:val="restart"/>
                  <w:vAlign w:val="center"/>
                </w:tcPr>
                <w:p>
                  <w:pPr>
                    <w:pStyle w:val="30"/>
                    <w:spacing w:line="360" w:lineRule="exact"/>
                    <w:rPr>
                      <w:color w:val="auto"/>
                      <w:szCs w:val="21"/>
                    </w:rPr>
                  </w:pPr>
                  <w:r>
                    <w:rPr>
                      <w:color w:val="auto"/>
                      <w:szCs w:val="21"/>
                    </w:rPr>
                    <w:t>运营期污染源</w:t>
                  </w:r>
                </w:p>
              </w:tc>
              <w:tc>
                <w:tcPr>
                  <w:tcW w:w="595" w:type="dxa"/>
                  <w:vMerge w:val="restart"/>
                  <w:vAlign w:val="center"/>
                </w:tcPr>
                <w:p>
                  <w:pPr>
                    <w:pStyle w:val="30"/>
                    <w:spacing w:line="360" w:lineRule="exact"/>
                    <w:rPr>
                      <w:color w:val="auto"/>
                      <w:szCs w:val="21"/>
                    </w:rPr>
                  </w:pPr>
                  <w:r>
                    <w:rPr>
                      <w:color w:val="auto"/>
                      <w:szCs w:val="21"/>
                    </w:rPr>
                    <w:t>废气</w:t>
                  </w:r>
                </w:p>
              </w:tc>
              <w:tc>
                <w:tcPr>
                  <w:tcW w:w="704" w:type="dxa"/>
                  <w:vAlign w:val="center"/>
                </w:tcPr>
                <w:p>
                  <w:pPr>
                    <w:pStyle w:val="30"/>
                    <w:spacing w:line="360" w:lineRule="exact"/>
                    <w:rPr>
                      <w:rFonts w:eastAsiaTheme="minorEastAsia"/>
                      <w:color w:val="auto"/>
                      <w:szCs w:val="21"/>
                    </w:rPr>
                  </w:pPr>
                  <w:r>
                    <w:rPr>
                      <w:rFonts w:eastAsiaTheme="minorEastAsia"/>
                      <w:color w:val="auto"/>
                      <w:szCs w:val="21"/>
                    </w:rPr>
                    <w:t>厨房油烟</w:t>
                  </w:r>
                </w:p>
              </w:tc>
              <w:tc>
                <w:tcPr>
                  <w:tcW w:w="1414" w:type="dxa"/>
                  <w:vAlign w:val="center"/>
                </w:tcPr>
                <w:p>
                  <w:pPr>
                    <w:pStyle w:val="30"/>
                    <w:spacing w:line="360" w:lineRule="exact"/>
                    <w:rPr>
                      <w:color w:val="auto"/>
                      <w:szCs w:val="21"/>
                    </w:rPr>
                  </w:pPr>
                  <w:r>
                    <w:rPr>
                      <w:color w:val="auto"/>
                      <w:szCs w:val="21"/>
                    </w:rPr>
                    <w:t>油烟净化器</w:t>
                  </w:r>
                </w:p>
              </w:tc>
              <w:tc>
                <w:tcPr>
                  <w:tcW w:w="2666" w:type="dxa"/>
                  <w:vAlign w:val="center"/>
                </w:tcPr>
                <w:p>
                  <w:pPr>
                    <w:pStyle w:val="30"/>
                    <w:spacing w:line="360" w:lineRule="exact"/>
                    <w:ind w:firstLine="210" w:firstLineChars="100"/>
                    <w:jc w:val="left"/>
                    <w:rPr>
                      <w:color w:val="auto"/>
                      <w:szCs w:val="21"/>
                    </w:rPr>
                  </w:pPr>
                  <w:r>
                    <w:rPr>
                      <w:color w:val="auto"/>
                      <w:szCs w:val="21"/>
                    </w:rPr>
                    <w:t>1台处理效率不低于60%的油烟净化器</w:t>
                  </w:r>
                </w:p>
              </w:tc>
              <w:tc>
                <w:tcPr>
                  <w:tcW w:w="850" w:type="dxa"/>
                  <w:vAlign w:val="center"/>
                </w:tcPr>
                <w:p>
                  <w:pPr>
                    <w:pStyle w:val="30"/>
                    <w:spacing w:line="360" w:lineRule="exact"/>
                    <w:rPr>
                      <w:color w:val="auto"/>
                      <w:szCs w:val="21"/>
                    </w:rPr>
                  </w:pPr>
                  <w:r>
                    <w:rPr>
                      <w:color w:val="auto"/>
                      <w:szCs w:val="21"/>
                    </w:rPr>
                    <w:t>“1”</w:t>
                  </w:r>
                </w:p>
              </w:tc>
              <w:tc>
                <w:tcPr>
                  <w:tcW w:w="731" w:type="dxa"/>
                  <w:gridSpan w:val="2"/>
                  <w:vMerge w:val="restart"/>
                  <w:vAlign w:val="center"/>
                </w:tcPr>
                <w:p>
                  <w:pPr>
                    <w:pStyle w:val="30"/>
                    <w:spacing w:line="360" w:lineRule="exact"/>
                    <w:rPr>
                      <w:color w:val="auto"/>
                      <w:szCs w:val="21"/>
                    </w:rPr>
                  </w:pPr>
                  <w:r>
                    <w:rPr>
                      <w:color w:val="auto"/>
                      <w:szCs w:val="21"/>
                    </w:rPr>
                    <w:t>施工单位</w:t>
                  </w:r>
                </w:p>
              </w:tc>
              <w:tc>
                <w:tcPr>
                  <w:tcW w:w="821" w:type="dxa"/>
                  <w:vAlign w:val="center"/>
                </w:tcPr>
                <w:p>
                  <w:pPr>
                    <w:pStyle w:val="30"/>
                    <w:spacing w:line="360" w:lineRule="exact"/>
                    <w:rPr>
                      <w:color w:val="auto"/>
                      <w:szCs w:val="21"/>
                    </w:rPr>
                  </w:pPr>
                  <w:r>
                    <w:rPr>
                      <w:color w:val="auto"/>
                      <w:szCs w:val="21"/>
                    </w:rPr>
                    <w:t>0.2</w:t>
                  </w:r>
                </w:p>
              </w:tc>
              <w:tc>
                <w:tcPr>
                  <w:tcW w:w="747" w:type="dxa"/>
                  <w:vMerge w:val="restart"/>
                  <w:vAlign w:val="center"/>
                </w:tcPr>
                <w:p>
                  <w:pPr>
                    <w:pStyle w:val="30"/>
                    <w:spacing w:line="360" w:lineRule="exact"/>
                    <w:rPr>
                      <w:color w:val="auto"/>
                      <w:szCs w:val="21"/>
                    </w:rPr>
                  </w:pPr>
                  <w:r>
                    <w:rPr>
                      <w:color w:val="auto"/>
                      <w:szCs w:val="21"/>
                    </w:rPr>
                    <w:t>建设单位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6" w:type="dxa"/>
                  <w:vMerge w:val="continue"/>
                  <w:vAlign w:val="center"/>
                </w:tcPr>
                <w:p>
                  <w:pPr>
                    <w:pStyle w:val="30"/>
                    <w:spacing w:line="360" w:lineRule="exact"/>
                    <w:rPr>
                      <w:color w:val="auto"/>
                      <w:szCs w:val="21"/>
                    </w:rPr>
                  </w:pPr>
                </w:p>
              </w:tc>
              <w:tc>
                <w:tcPr>
                  <w:tcW w:w="595" w:type="dxa"/>
                  <w:vMerge w:val="continue"/>
                  <w:vAlign w:val="center"/>
                </w:tcPr>
                <w:p>
                  <w:pPr>
                    <w:pStyle w:val="30"/>
                    <w:spacing w:line="360" w:lineRule="exact"/>
                    <w:rPr>
                      <w:color w:val="auto"/>
                      <w:szCs w:val="21"/>
                    </w:rPr>
                  </w:pPr>
                </w:p>
              </w:tc>
              <w:tc>
                <w:tcPr>
                  <w:tcW w:w="704" w:type="dxa"/>
                  <w:vAlign w:val="center"/>
                </w:tcPr>
                <w:p>
                  <w:pPr>
                    <w:pStyle w:val="30"/>
                    <w:spacing w:line="360" w:lineRule="exact"/>
                    <w:rPr>
                      <w:rFonts w:eastAsiaTheme="minorEastAsia"/>
                      <w:color w:val="auto"/>
                      <w:szCs w:val="21"/>
                    </w:rPr>
                  </w:pPr>
                  <w:r>
                    <w:rPr>
                      <w:rFonts w:eastAsiaTheme="minorEastAsia"/>
                      <w:color w:val="auto"/>
                      <w:szCs w:val="21"/>
                    </w:rPr>
                    <w:t>粉尘、非甲烷总烃</w:t>
                  </w:r>
                </w:p>
              </w:tc>
              <w:tc>
                <w:tcPr>
                  <w:tcW w:w="1414" w:type="dxa"/>
                  <w:vAlign w:val="center"/>
                </w:tcPr>
                <w:p>
                  <w:pPr>
                    <w:pStyle w:val="30"/>
                    <w:spacing w:line="360" w:lineRule="exact"/>
                    <w:rPr>
                      <w:color w:val="auto"/>
                      <w:szCs w:val="21"/>
                    </w:rPr>
                  </w:pPr>
                  <w:r>
                    <w:rPr>
                      <w:color w:val="auto"/>
                      <w:szCs w:val="21"/>
                    </w:rPr>
                    <w:t>废旧冰箱处理线废气处理设施</w:t>
                  </w:r>
                </w:p>
              </w:tc>
              <w:tc>
                <w:tcPr>
                  <w:tcW w:w="2666" w:type="dxa"/>
                  <w:vAlign w:val="center"/>
                </w:tcPr>
                <w:p>
                  <w:pPr>
                    <w:pStyle w:val="30"/>
                    <w:spacing w:line="360" w:lineRule="exact"/>
                    <w:ind w:firstLine="210" w:firstLineChars="100"/>
                    <w:jc w:val="left"/>
                    <w:rPr>
                      <w:color w:val="auto"/>
                      <w:szCs w:val="21"/>
                    </w:rPr>
                  </w:pPr>
                  <w:r>
                    <w:rPr>
                      <w:color w:val="auto"/>
                      <w:szCs w:val="21"/>
                    </w:rPr>
                    <w:t>集气效率不低于90%的集气罩、1套去除效率不低于70%的旋风除尘器、1套去除效率不低于95%的脉冲除尘器（3#）、1套去除效率不低于80%的有机废气处理装置（采用UV光氧裂解+活性炭吸附）和1根Φ0.5m、高15m的排气筒（DA001）</w:t>
                  </w:r>
                </w:p>
              </w:tc>
              <w:tc>
                <w:tcPr>
                  <w:tcW w:w="850" w:type="dxa"/>
                  <w:vAlign w:val="center"/>
                </w:tcPr>
                <w:p>
                  <w:pPr>
                    <w:pStyle w:val="30"/>
                    <w:spacing w:line="360" w:lineRule="exact"/>
                    <w:rPr>
                      <w:color w:val="auto"/>
                      <w:szCs w:val="21"/>
                    </w:rPr>
                  </w:pPr>
                  <w:r>
                    <w:rPr>
                      <w:color w:val="auto"/>
                      <w:szCs w:val="21"/>
                    </w:rPr>
                    <w:t>“60”</w:t>
                  </w:r>
                </w:p>
              </w:tc>
              <w:tc>
                <w:tcPr>
                  <w:tcW w:w="731" w:type="dxa"/>
                  <w:gridSpan w:val="2"/>
                  <w:vMerge w:val="continue"/>
                  <w:vAlign w:val="center"/>
                </w:tcPr>
                <w:p>
                  <w:pPr>
                    <w:pStyle w:val="30"/>
                    <w:spacing w:line="360" w:lineRule="exact"/>
                    <w:rPr>
                      <w:color w:val="auto"/>
                      <w:szCs w:val="21"/>
                    </w:rPr>
                  </w:pPr>
                </w:p>
              </w:tc>
              <w:tc>
                <w:tcPr>
                  <w:tcW w:w="821" w:type="dxa"/>
                  <w:vAlign w:val="center"/>
                </w:tcPr>
                <w:p>
                  <w:pPr>
                    <w:pStyle w:val="30"/>
                    <w:spacing w:line="360" w:lineRule="exact"/>
                    <w:rPr>
                      <w:color w:val="auto"/>
                      <w:szCs w:val="21"/>
                    </w:rPr>
                  </w:pPr>
                  <w:r>
                    <w:rPr>
                      <w:color w:val="auto"/>
                      <w:szCs w:val="21"/>
                    </w:rPr>
                    <w:t>5</w:t>
                  </w:r>
                </w:p>
              </w:tc>
              <w:tc>
                <w:tcPr>
                  <w:tcW w:w="747" w:type="dxa"/>
                  <w:vMerge w:val="continue"/>
                  <w:vAlign w:val="center"/>
                </w:tcPr>
                <w:p>
                  <w:pPr>
                    <w:pStyle w:val="30"/>
                    <w:spacing w:line="360" w:lineRule="exact"/>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6" w:type="dxa"/>
                  <w:vMerge w:val="continue"/>
                  <w:vAlign w:val="center"/>
                </w:tcPr>
                <w:p>
                  <w:pPr>
                    <w:pStyle w:val="30"/>
                    <w:spacing w:line="360" w:lineRule="exact"/>
                    <w:rPr>
                      <w:color w:val="auto"/>
                      <w:szCs w:val="21"/>
                    </w:rPr>
                  </w:pPr>
                </w:p>
              </w:tc>
              <w:tc>
                <w:tcPr>
                  <w:tcW w:w="595" w:type="dxa"/>
                  <w:vMerge w:val="continue"/>
                  <w:vAlign w:val="center"/>
                </w:tcPr>
                <w:p>
                  <w:pPr>
                    <w:pStyle w:val="30"/>
                    <w:spacing w:line="360" w:lineRule="exact"/>
                    <w:rPr>
                      <w:color w:val="auto"/>
                      <w:szCs w:val="21"/>
                    </w:rPr>
                  </w:pPr>
                </w:p>
              </w:tc>
              <w:tc>
                <w:tcPr>
                  <w:tcW w:w="704" w:type="dxa"/>
                  <w:vAlign w:val="center"/>
                </w:tcPr>
                <w:p>
                  <w:pPr>
                    <w:pStyle w:val="30"/>
                    <w:spacing w:line="360" w:lineRule="exact"/>
                    <w:rPr>
                      <w:rFonts w:eastAsiaTheme="minorEastAsia"/>
                      <w:color w:val="auto"/>
                      <w:szCs w:val="21"/>
                    </w:rPr>
                  </w:pPr>
                  <w:r>
                    <w:rPr>
                      <w:color w:val="auto"/>
                      <w:szCs w:val="21"/>
                    </w:rPr>
                    <w:t>粉尘</w:t>
                  </w:r>
                </w:p>
              </w:tc>
              <w:tc>
                <w:tcPr>
                  <w:tcW w:w="1414" w:type="dxa"/>
                  <w:vAlign w:val="center"/>
                </w:tcPr>
                <w:p>
                  <w:pPr>
                    <w:pStyle w:val="30"/>
                    <w:spacing w:line="360" w:lineRule="exact"/>
                    <w:rPr>
                      <w:color w:val="auto"/>
                      <w:szCs w:val="21"/>
                    </w:rPr>
                  </w:pPr>
                  <w:r>
                    <w:rPr>
                      <w:color w:val="auto"/>
                      <w:szCs w:val="21"/>
                    </w:rPr>
                    <w:t>空调/小家电/废手机及其视听设备消费电子产品处理线废气处理设施</w:t>
                  </w:r>
                </w:p>
              </w:tc>
              <w:tc>
                <w:tcPr>
                  <w:tcW w:w="2666" w:type="dxa"/>
                  <w:vAlign w:val="center"/>
                </w:tcPr>
                <w:p>
                  <w:pPr>
                    <w:pStyle w:val="30"/>
                    <w:spacing w:line="360" w:lineRule="exact"/>
                    <w:ind w:firstLine="210" w:firstLineChars="100"/>
                    <w:jc w:val="left"/>
                    <w:rPr>
                      <w:color w:val="auto"/>
                      <w:szCs w:val="21"/>
                    </w:rPr>
                  </w:pPr>
                  <w:r>
                    <w:rPr>
                      <w:color w:val="auto"/>
                      <w:szCs w:val="21"/>
                    </w:rPr>
                    <w:t>项目已对喷吹室进行密闭，并设置1个集气效率不低于90%的集气罩对其进行收集，</w:t>
                  </w:r>
                  <w:r>
                    <w:rPr>
                      <w:color w:val="auto"/>
                      <w:szCs w:val="21"/>
                    </w:rPr>
                    <w:t>收集后统一进入1个处理效率不低于95%的</w:t>
                  </w:r>
                  <w:r>
                    <w:rPr>
                      <w:rFonts w:hint="eastAsia"/>
                      <w:color w:val="auto"/>
                      <w:szCs w:val="21"/>
                    </w:rPr>
                    <w:t>2</w:t>
                  </w:r>
                  <w:r>
                    <w:rPr>
                      <w:color w:val="auto"/>
                      <w:szCs w:val="21"/>
                    </w:rPr>
                    <w:t>#脉冲除尘器对其进行处理后通过1根Φ0.4m、高15m的排气筒（DA00</w:t>
                  </w:r>
                  <w:r>
                    <w:rPr>
                      <w:rFonts w:hint="eastAsia"/>
                      <w:color w:val="auto"/>
                      <w:szCs w:val="21"/>
                    </w:rPr>
                    <w:t>2</w:t>
                  </w:r>
                  <w:r>
                    <w:rPr>
                      <w:color w:val="auto"/>
                      <w:szCs w:val="21"/>
                    </w:rPr>
                    <w:t>）外排</w:t>
                  </w:r>
                  <w:r>
                    <w:rPr>
                      <w:rFonts w:hint="eastAsia"/>
                      <w:color w:val="auto"/>
                      <w:szCs w:val="21"/>
                    </w:rPr>
                    <w:t>。</w:t>
                  </w:r>
                </w:p>
              </w:tc>
              <w:tc>
                <w:tcPr>
                  <w:tcW w:w="850" w:type="dxa"/>
                  <w:vAlign w:val="center"/>
                </w:tcPr>
                <w:p>
                  <w:pPr>
                    <w:pStyle w:val="30"/>
                    <w:spacing w:line="360" w:lineRule="exact"/>
                    <w:rPr>
                      <w:color w:val="auto"/>
                      <w:szCs w:val="21"/>
                    </w:rPr>
                  </w:pPr>
                  <w:r>
                    <w:rPr>
                      <w:color w:val="auto"/>
                      <w:szCs w:val="21"/>
                    </w:rPr>
                    <w:t>“30”</w:t>
                  </w:r>
                </w:p>
              </w:tc>
              <w:tc>
                <w:tcPr>
                  <w:tcW w:w="731" w:type="dxa"/>
                  <w:gridSpan w:val="2"/>
                  <w:vMerge w:val="continue"/>
                  <w:vAlign w:val="center"/>
                </w:tcPr>
                <w:p>
                  <w:pPr>
                    <w:pStyle w:val="30"/>
                    <w:spacing w:line="360" w:lineRule="exact"/>
                    <w:rPr>
                      <w:color w:val="auto"/>
                      <w:szCs w:val="21"/>
                    </w:rPr>
                  </w:pPr>
                </w:p>
              </w:tc>
              <w:tc>
                <w:tcPr>
                  <w:tcW w:w="821" w:type="dxa"/>
                  <w:vAlign w:val="center"/>
                </w:tcPr>
                <w:p>
                  <w:pPr>
                    <w:pStyle w:val="30"/>
                    <w:spacing w:line="360" w:lineRule="exact"/>
                    <w:rPr>
                      <w:color w:val="auto"/>
                      <w:szCs w:val="21"/>
                    </w:rPr>
                  </w:pPr>
                  <w:r>
                    <w:rPr>
                      <w:color w:val="auto"/>
                      <w:szCs w:val="21"/>
                    </w:rPr>
                    <w:t>3</w:t>
                  </w:r>
                </w:p>
              </w:tc>
              <w:tc>
                <w:tcPr>
                  <w:tcW w:w="747" w:type="dxa"/>
                  <w:vMerge w:val="continue"/>
                  <w:vAlign w:val="center"/>
                </w:tcPr>
                <w:p>
                  <w:pPr>
                    <w:pStyle w:val="30"/>
                    <w:spacing w:line="360" w:lineRule="exact"/>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6" w:type="dxa"/>
                  <w:vMerge w:val="continue"/>
                  <w:vAlign w:val="center"/>
                </w:tcPr>
                <w:p>
                  <w:pPr>
                    <w:pStyle w:val="30"/>
                    <w:spacing w:line="360" w:lineRule="exact"/>
                    <w:rPr>
                      <w:color w:val="auto"/>
                      <w:szCs w:val="21"/>
                    </w:rPr>
                  </w:pPr>
                </w:p>
              </w:tc>
              <w:tc>
                <w:tcPr>
                  <w:tcW w:w="595" w:type="dxa"/>
                  <w:vMerge w:val="continue"/>
                  <w:vAlign w:val="center"/>
                </w:tcPr>
                <w:p>
                  <w:pPr>
                    <w:pStyle w:val="30"/>
                    <w:spacing w:line="360" w:lineRule="exact"/>
                    <w:rPr>
                      <w:color w:val="auto"/>
                      <w:szCs w:val="21"/>
                    </w:rPr>
                  </w:pPr>
                </w:p>
              </w:tc>
              <w:tc>
                <w:tcPr>
                  <w:tcW w:w="704" w:type="dxa"/>
                  <w:vAlign w:val="center"/>
                </w:tcPr>
                <w:p>
                  <w:pPr>
                    <w:pStyle w:val="30"/>
                    <w:spacing w:line="360" w:lineRule="exact"/>
                    <w:rPr>
                      <w:rFonts w:eastAsiaTheme="minorEastAsia"/>
                      <w:color w:val="auto"/>
                      <w:szCs w:val="21"/>
                    </w:rPr>
                  </w:pPr>
                  <w:r>
                    <w:rPr>
                      <w:rFonts w:eastAsiaTheme="minorEastAsia"/>
                      <w:color w:val="auto"/>
                      <w:szCs w:val="21"/>
                    </w:rPr>
                    <w:t>粉尘</w:t>
                  </w:r>
                </w:p>
              </w:tc>
              <w:tc>
                <w:tcPr>
                  <w:tcW w:w="1414" w:type="dxa"/>
                  <w:vAlign w:val="center"/>
                </w:tcPr>
                <w:p>
                  <w:pPr>
                    <w:pStyle w:val="30"/>
                    <w:spacing w:line="360" w:lineRule="exact"/>
                    <w:rPr>
                      <w:color w:val="auto"/>
                      <w:szCs w:val="21"/>
                    </w:rPr>
                  </w:pPr>
                  <w:r>
                    <w:rPr>
                      <w:color w:val="auto"/>
                      <w:szCs w:val="21"/>
                    </w:rPr>
                    <w:t>废旧洗衣机处理线废气处理设施</w:t>
                  </w:r>
                </w:p>
              </w:tc>
              <w:tc>
                <w:tcPr>
                  <w:tcW w:w="2666" w:type="dxa"/>
                  <w:vAlign w:val="center"/>
                </w:tcPr>
                <w:p>
                  <w:pPr>
                    <w:pStyle w:val="30"/>
                    <w:spacing w:line="360" w:lineRule="exact"/>
                    <w:ind w:firstLine="210" w:firstLineChars="100"/>
                    <w:jc w:val="left"/>
                    <w:rPr>
                      <w:color w:val="auto"/>
                      <w:szCs w:val="21"/>
                    </w:rPr>
                  </w:pPr>
                  <w:r>
                    <w:rPr>
                      <w:color w:val="auto"/>
                      <w:szCs w:val="21"/>
                    </w:rPr>
                    <w:t>设置集气罩的集气效率不低于90%集气罩、1个处理效率不低于95%的</w:t>
                  </w:r>
                  <w:r>
                    <w:rPr>
                      <w:rFonts w:hint="eastAsia"/>
                      <w:color w:val="auto"/>
                      <w:szCs w:val="21"/>
                    </w:rPr>
                    <w:t>3</w:t>
                  </w:r>
                  <w:r>
                    <w:rPr>
                      <w:color w:val="auto"/>
                      <w:szCs w:val="21"/>
                    </w:rPr>
                    <w:t>#脉冲除尘器和1根Φ0.84m、高15m的排气筒（DA003）</w:t>
                  </w:r>
                  <w:r>
                    <w:rPr>
                      <w:color w:val="auto"/>
                      <w:szCs w:val="21"/>
                    </w:rPr>
                    <w:t>外排。</w:t>
                  </w:r>
                </w:p>
              </w:tc>
              <w:tc>
                <w:tcPr>
                  <w:tcW w:w="850" w:type="dxa"/>
                  <w:vAlign w:val="center"/>
                </w:tcPr>
                <w:p>
                  <w:pPr>
                    <w:pStyle w:val="30"/>
                    <w:spacing w:line="360" w:lineRule="exact"/>
                    <w:rPr>
                      <w:color w:val="auto"/>
                      <w:szCs w:val="21"/>
                    </w:rPr>
                  </w:pPr>
                  <w:r>
                    <w:rPr>
                      <w:color w:val="auto"/>
                      <w:szCs w:val="21"/>
                    </w:rPr>
                    <w:t>10</w:t>
                  </w:r>
                </w:p>
              </w:tc>
              <w:tc>
                <w:tcPr>
                  <w:tcW w:w="731" w:type="dxa"/>
                  <w:gridSpan w:val="2"/>
                  <w:vMerge w:val="continue"/>
                  <w:vAlign w:val="center"/>
                </w:tcPr>
                <w:p>
                  <w:pPr>
                    <w:pStyle w:val="30"/>
                    <w:spacing w:line="360" w:lineRule="exact"/>
                    <w:rPr>
                      <w:color w:val="auto"/>
                      <w:szCs w:val="21"/>
                    </w:rPr>
                  </w:pPr>
                </w:p>
              </w:tc>
              <w:tc>
                <w:tcPr>
                  <w:tcW w:w="821" w:type="dxa"/>
                  <w:vAlign w:val="center"/>
                </w:tcPr>
                <w:p>
                  <w:pPr>
                    <w:pStyle w:val="30"/>
                    <w:spacing w:line="360" w:lineRule="exact"/>
                    <w:rPr>
                      <w:color w:val="auto"/>
                      <w:szCs w:val="21"/>
                    </w:rPr>
                  </w:pPr>
                  <w:r>
                    <w:rPr>
                      <w:color w:val="auto"/>
                      <w:szCs w:val="21"/>
                    </w:rPr>
                    <w:t>2</w:t>
                  </w:r>
                </w:p>
              </w:tc>
              <w:tc>
                <w:tcPr>
                  <w:tcW w:w="747" w:type="dxa"/>
                  <w:vMerge w:val="continue"/>
                  <w:vAlign w:val="center"/>
                </w:tcPr>
                <w:p>
                  <w:pPr>
                    <w:pStyle w:val="30"/>
                    <w:spacing w:line="360" w:lineRule="exact"/>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0" w:hRule="atLeast"/>
                <w:jc w:val="center"/>
              </w:trPr>
              <w:tc>
                <w:tcPr>
                  <w:tcW w:w="516" w:type="dxa"/>
                  <w:vMerge w:val="continue"/>
                  <w:vAlign w:val="center"/>
                </w:tcPr>
                <w:p>
                  <w:pPr>
                    <w:pStyle w:val="30"/>
                    <w:spacing w:line="360" w:lineRule="exact"/>
                    <w:rPr>
                      <w:color w:val="auto"/>
                      <w:szCs w:val="21"/>
                    </w:rPr>
                  </w:pPr>
                </w:p>
              </w:tc>
              <w:tc>
                <w:tcPr>
                  <w:tcW w:w="595" w:type="dxa"/>
                  <w:vMerge w:val="continue"/>
                  <w:vAlign w:val="center"/>
                </w:tcPr>
                <w:p>
                  <w:pPr>
                    <w:pStyle w:val="30"/>
                    <w:spacing w:line="360" w:lineRule="exact"/>
                    <w:rPr>
                      <w:color w:val="auto"/>
                      <w:szCs w:val="21"/>
                    </w:rPr>
                  </w:pPr>
                </w:p>
              </w:tc>
              <w:tc>
                <w:tcPr>
                  <w:tcW w:w="704" w:type="dxa"/>
                  <w:vAlign w:val="center"/>
                </w:tcPr>
                <w:p>
                  <w:pPr>
                    <w:pStyle w:val="30"/>
                    <w:spacing w:line="360" w:lineRule="exact"/>
                    <w:rPr>
                      <w:rFonts w:eastAsiaTheme="minorEastAsia"/>
                      <w:color w:val="auto"/>
                      <w:szCs w:val="21"/>
                    </w:rPr>
                  </w:pPr>
                  <w:r>
                    <w:rPr>
                      <w:color w:val="auto"/>
                      <w:szCs w:val="21"/>
                    </w:rPr>
                    <w:t>粉尘、汞及其化合物</w:t>
                  </w:r>
                </w:p>
              </w:tc>
              <w:tc>
                <w:tcPr>
                  <w:tcW w:w="1414" w:type="dxa"/>
                  <w:vAlign w:val="center"/>
                </w:tcPr>
                <w:p>
                  <w:pPr>
                    <w:pStyle w:val="30"/>
                    <w:spacing w:line="360" w:lineRule="exact"/>
                    <w:rPr>
                      <w:color w:val="auto"/>
                      <w:szCs w:val="21"/>
                    </w:rPr>
                  </w:pPr>
                  <w:r>
                    <w:rPr>
                      <w:color w:val="auto"/>
                      <w:szCs w:val="21"/>
                    </w:rPr>
                    <w:t>1号废旧电视机（液晶电视）处理线废气处理设施</w:t>
                  </w:r>
                </w:p>
              </w:tc>
              <w:tc>
                <w:tcPr>
                  <w:tcW w:w="2666" w:type="dxa"/>
                  <w:vAlign w:val="center"/>
                </w:tcPr>
                <w:p>
                  <w:pPr>
                    <w:pStyle w:val="30"/>
                    <w:spacing w:line="360" w:lineRule="exact"/>
                    <w:ind w:firstLine="210" w:firstLineChars="100"/>
                    <w:jc w:val="left"/>
                    <w:rPr>
                      <w:color w:val="auto"/>
                      <w:szCs w:val="21"/>
                    </w:rPr>
                  </w:pPr>
                  <w:r>
                    <w:rPr>
                      <w:color w:val="auto"/>
                      <w:szCs w:val="21"/>
                    </w:rPr>
                    <w:t>对每个拆解工位设置集气效率不低于90%的集气罩进行收集；</w:t>
                  </w:r>
                  <w:r>
                    <w:rPr>
                      <w:rFonts w:hint="eastAsia"/>
                      <w:color w:val="auto"/>
                      <w:szCs w:val="21"/>
                    </w:rPr>
                    <w:t>而</w:t>
                  </w:r>
                  <w:r>
                    <w:rPr>
                      <w:color w:val="auto"/>
                      <w:szCs w:val="21"/>
                    </w:rPr>
                    <w:t>汞及其化合物经负压系统全部收集后，通过1套去除效率不低于80%的汞及其化合物处理装置（采用UV光氧裂解+载硫活性炭吸附）对其进行处理；</w:t>
                  </w:r>
                  <w:r>
                    <w:rPr>
                      <w:rFonts w:hint="eastAsia"/>
                      <w:color w:val="auto"/>
                      <w:szCs w:val="21"/>
                    </w:rPr>
                    <w:t>处理后的</w:t>
                  </w:r>
                  <w:r>
                    <w:rPr>
                      <w:color w:val="auto"/>
                      <w:szCs w:val="21"/>
                    </w:rPr>
                    <w:t>汞及其化合物</w:t>
                  </w:r>
                  <w:r>
                    <w:rPr>
                      <w:rFonts w:hint="eastAsia"/>
                      <w:color w:val="auto"/>
                      <w:szCs w:val="21"/>
                    </w:rPr>
                    <w:t>和</w:t>
                  </w:r>
                  <w:r>
                    <w:rPr>
                      <w:color w:val="auto"/>
                      <w:szCs w:val="21"/>
                    </w:rPr>
                    <w:t>废旧电视机（液晶电视）处理线拆解粉尘统一进入1个处理效率不低于95%的</w:t>
                  </w:r>
                  <w:r>
                    <w:rPr>
                      <w:rFonts w:hint="eastAsia"/>
                      <w:color w:val="auto"/>
                      <w:szCs w:val="21"/>
                    </w:rPr>
                    <w:t>4</w:t>
                  </w:r>
                  <w:r>
                    <w:rPr>
                      <w:color w:val="auto"/>
                      <w:szCs w:val="21"/>
                    </w:rPr>
                    <w:t>#脉冲除尘器对其进行处理后通过1根Φ0.</w:t>
                  </w:r>
                  <w:r>
                    <w:rPr>
                      <w:rFonts w:hint="eastAsia"/>
                      <w:color w:val="auto"/>
                      <w:szCs w:val="21"/>
                    </w:rPr>
                    <w:t>4</w:t>
                  </w:r>
                  <w:r>
                    <w:rPr>
                      <w:color w:val="auto"/>
                      <w:szCs w:val="21"/>
                    </w:rPr>
                    <w:t>4m</w:t>
                  </w:r>
                  <w:r>
                    <w:rPr>
                      <w:rFonts w:hint="eastAsia"/>
                      <w:color w:val="auto"/>
                      <w:szCs w:val="21"/>
                    </w:rPr>
                    <w:t>、</w:t>
                  </w:r>
                  <w:r>
                    <w:rPr>
                      <w:color w:val="auto"/>
                      <w:szCs w:val="21"/>
                    </w:rPr>
                    <w:t>高15m的排气筒（DA00</w:t>
                  </w:r>
                  <w:r>
                    <w:rPr>
                      <w:rFonts w:hint="eastAsia"/>
                      <w:color w:val="auto"/>
                      <w:szCs w:val="21"/>
                    </w:rPr>
                    <w:t>4</w:t>
                  </w:r>
                  <w:r>
                    <w:rPr>
                      <w:color w:val="auto"/>
                      <w:szCs w:val="21"/>
                    </w:rPr>
                    <w:t>）外排。</w:t>
                  </w:r>
                </w:p>
              </w:tc>
              <w:tc>
                <w:tcPr>
                  <w:tcW w:w="850" w:type="dxa"/>
                  <w:vAlign w:val="center"/>
                </w:tcPr>
                <w:p>
                  <w:pPr>
                    <w:pStyle w:val="30"/>
                    <w:spacing w:line="360" w:lineRule="exact"/>
                    <w:rPr>
                      <w:color w:val="auto"/>
                      <w:szCs w:val="21"/>
                    </w:rPr>
                  </w:pPr>
                  <w:r>
                    <w:rPr>
                      <w:color w:val="auto"/>
                      <w:szCs w:val="21"/>
                    </w:rPr>
                    <w:t>“</w:t>
                  </w:r>
                  <w:r>
                    <w:rPr>
                      <w:rFonts w:hint="eastAsia"/>
                      <w:color w:val="auto"/>
                      <w:szCs w:val="21"/>
                    </w:rPr>
                    <w:t>7</w:t>
                  </w:r>
                  <w:r>
                    <w:rPr>
                      <w:color w:val="auto"/>
                      <w:szCs w:val="21"/>
                    </w:rPr>
                    <w:t>0”</w:t>
                  </w:r>
                </w:p>
              </w:tc>
              <w:tc>
                <w:tcPr>
                  <w:tcW w:w="731" w:type="dxa"/>
                  <w:gridSpan w:val="2"/>
                  <w:vMerge w:val="continue"/>
                  <w:vAlign w:val="center"/>
                </w:tcPr>
                <w:p>
                  <w:pPr>
                    <w:pStyle w:val="30"/>
                    <w:spacing w:line="360" w:lineRule="exact"/>
                    <w:rPr>
                      <w:color w:val="auto"/>
                      <w:szCs w:val="21"/>
                    </w:rPr>
                  </w:pPr>
                </w:p>
              </w:tc>
              <w:tc>
                <w:tcPr>
                  <w:tcW w:w="821" w:type="dxa"/>
                  <w:vAlign w:val="center"/>
                </w:tcPr>
                <w:p>
                  <w:pPr>
                    <w:pStyle w:val="30"/>
                    <w:spacing w:line="360" w:lineRule="exact"/>
                    <w:rPr>
                      <w:color w:val="auto"/>
                      <w:szCs w:val="21"/>
                    </w:rPr>
                  </w:pPr>
                  <w:r>
                    <w:rPr>
                      <w:rFonts w:hint="eastAsia"/>
                      <w:color w:val="auto"/>
                      <w:szCs w:val="21"/>
                    </w:rPr>
                    <w:t>6</w:t>
                  </w:r>
                </w:p>
              </w:tc>
              <w:tc>
                <w:tcPr>
                  <w:tcW w:w="747" w:type="dxa"/>
                  <w:vMerge w:val="continue"/>
                  <w:vAlign w:val="center"/>
                </w:tcPr>
                <w:p>
                  <w:pPr>
                    <w:pStyle w:val="30"/>
                    <w:spacing w:line="360" w:lineRule="exact"/>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6" w:type="dxa"/>
                  <w:vMerge w:val="continue"/>
                  <w:vAlign w:val="center"/>
                </w:tcPr>
                <w:p>
                  <w:pPr>
                    <w:pStyle w:val="30"/>
                    <w:spacing w:line="360" w:lineRule="exact"/>
                    <w:rPr>
                      <w:color w:val="auto"/>
                      <w:szCs w:val="21"/>
                    </w:rPr>
                  </w:pPr>
                </w:p>
              </w:tc>
              <w:tc>
                <w:tcPr>
                  <w:tcW w:w="595" w:type="dxa"/>
                  <w:vMerge w:val="continue"/>
                  <w:vAlign w:val="center"/>
                </w:tcPr>
                <w:p>
                  <w:pPr>
                    <w:pStyle w:val="30"/>
                    <w:spacing w:line="360" w:lineRule="exact"/>
                    <w:rPr>
                      <w:color w:val="auto"/>
                      <w:szCs w:val="21"/>
                    </w:rPr>
                  </w:pPr>
                </w:p>
              </w:tc>
              <w:tc>
                <w:tcPr>
                  <w:tcW w:w="704" w:type="dxa"/>
                  <w:vAlign w:val="center"/>
                </w:tcPr>
                <w:p>
                  <w:pPr>
                    <w:pStyle w:val="30"/>
                    <w:spacing w:line="360" w:lineRule="exact"/>
                    <w:rPr>
                      <w:rFonts w:eastAsiaTheme="minorEastAsia"/>
                      <w:color w:val="auto"/>
                      <w:szCs w:val="21"/>
                    </w:rPr>
                  </w:pPr>
                  <w:r>
                    <w:rPr>
                      <w:color w:val="auto"/>
                      <w:szCs w:val="21"/>
                    </w:rPr>
                    <w:t>粉尘、铅及其化合物</w:t>
                  </w:r>
                </w:p>
              </w:tc>
              <w:tc>
                <w:tcPr>
                  <w:tcW w:w="1414" w:type="dxa"/>
                  <w:vAlign w:val="center"/>
                </w:tcPr>
                <w:p>
                  <w:pPr>
                    <w:pStyle w:val="30"/>
                    <w:spacing w:line="360" w:lineRule="exact"/>
                    <w:rPr>
                      <w:color w:val="auto"/>
                      <w:szCs w:val="21"/>
                    </w:rPr>
                  </w:pPr>
                  <w:r>
                    <w:rPr>
                      <w:color w:val="auto"/>
                      <w:szCs w:val="21"/>
                    </w:rPr>
                    <w:t>2号废旧电视机（CRT）处理线废气处理设施</w:t>
                  </w:r>
                </w:p>
              </w:tc>
              <w:tc>
                <w:tcPr>
                  <w:tcW w:w="2666" w:type="dxa"/>
                  <w:vAlign w:val="center"/>
                </w:tcPr>
                <w:p>
                  <w:pPr>
                    <w:pStyle w:val="30"/>
                    <w:spacing w:line="360" w:lineRule="exact"/>
                    <w:ind w:firstLine="210" w:firstLineChars="100"/>
                    <w:jc w:val="left"/>
                    <w:rPr>
                      <w:color w:val="auto"/>
                      <w:szCs w:val="21"/>
                    </w:rPr>
                  </w:pPr>
                  <w:r>
                    <w:rPr>
                      <w:color w:val="auto"/>
                      <w:szCs w:val="21"/>
                    </w:rPr>
                    <w:t>①在1个破碎区、2个人工喷吹室、1条人工拆解线工作台分别设置了集气效率不低于90%的集气罩</w:t>
                  </w:r>
                  <w:r>
                    <w:rPr>
                      <w:rFonts w:hint="eastAsia"/>
                      <w:color w:val="auto"/>
                      <w:szCs w:val="21"/>
                    </w:rPr>
                    <w:t>，</w:t>
                  </w:r>
                  <w:r>
                    <w:rPr>
                      <w:color w:val="auto"/>
                      <w:szCs w:val="21"/>
                    </w:rPr>
                    <w:t>1个处理效率不低于95%的</w:t>
                  </w:r>
                  <w:r>
                    <w:rPr>
                      <w:rFonts w:hint="eastAsia"/>
                      <w:color w:val="auto"/>
                      <w:szCs w:val="21"/>
                    </w:rPr>
                    <w:t>5</w:t>
                  </w:r>
                  <w:r>
                    <w:rPr>
                      <w:color w:val="auto"/>
                      <w:szCs w:val="21"/>
                    </w:rPr>
                    <w:t>#脉冲除尘器</w:t>
                  </w:r>
                  <w:r>
                    <w:rPr>
                      <w:color w:val="auto"/>
                      <w:szCs w:val="21"/>
                    </w:rPr>
                    <w:t>和1根Φ0.74m、高15m的排气筒（DA005）。</w:t>
                  </w:r>
                </w:p>
                <w:p>
                  <w:pPr>
                    <w:pStyle w:val="30"/>
                    <w:spacing w:line="360" w:lineRule="exact"/>
                    <w:ind w:firstLine="210" w:firstLineChars="100"/>
                    <w:jc w:val="left"/>
                    <w:rPr>
                      <w:color w:val="auto"/>
                      <w:szCs w:val="21"/>
                    </w:rPr>
                  </w:pPr>
                  <w:r>
                    <w:rPr>
                      <w:rFonts w:hint="eastAsia" w:ascii="宋体" w:hAnsi="宋体" w:cs="宋体"/>
                      <w:color w:val="auto"/>
                      <w:szCs w:val="21"/>
                    </w:rPr>
                    <w:t>②</w:t>
                  </w:r>
                  <w:r>
                    <w:rPr>
                      <w:color w:val="auto"/>
                      <w:szCs w:val="21"/>
                    </w:rPr>
                    <w:t>对6个阴极射线管（CRT）拆解工作台设置集气效率不低于95%的集气罩对其进行收集；1个处理效率不低于95%的</w:t>
                  </w:r>
                  <w:r>
                    <w:rPr>
                      <w:rFonts w:hint="eastAsia"/>
                      <w:color w:val="auto"/>
                      <w:szCs w:val="21"/>
                    </w:rPr>
                    <w:t>6</w:t>
                  </w:r>
                  <w:r>
                    <w:rPr>
                      <w:color w:val="auto"/>
                      <w:szCs w:val="21"/>
                    </w:rPr>
                    <w:t>#脉冲除尘器和1根Φ0.76m、高15m的排气筒（DA00</w:t>
                  </w:r>
                  <w:r>
                    <w:rPr>
                      <w:rFonts w:hint="eastAsia"/>
                      <w:color w:val="auto"/>
                      <w:szCs w:val="21"/>
                    </w:rPr>
                    <w:t>6</w:t>
                  </w:r>
                  <w:r>
                    <w:rPr>
                      <w:color w:val="auto"/>
                      <w:szCs w:val="21"/>
                    </w:rPr>
                    <w:t>）外排。</w:t>
                  </w:r>
                </w:p>
              </w:tc>
              <w:tc>
                <w:tcPr>
                  <w:tcW w:w="850" w:type="dxa"/>
                  <w:vAlign w:val="center"/>
                </w:tcPr>
                <w:p>
                  <w:pPr>
                    <w:pStyle w:val="30"/>
                    <w:spacing w:line="360" w:lineRule="exact"/>
                    <w:rPr>
                      <w:color w:val="auto"/>
                      <w:szCs w:val="21"/>
                    </w:rPr>
                  </w:pPr>
                  <w:r>
                    <w:rPr>
                      <w:color w:val="auto"/>
                      <w:szCs w:val="21"/>
                    </w:rPr>
                    <w:t>“120”</w:t>
                  </w:r>
                </w:p>
              </w:tc>
              <w:tc>
                <w:tcPr>
                  <w:tcW w:w="731" w:type="dxa"/>
                  <w:gridSpan w:val="2"/>
                  <w:vMerge w:val="continue"/>
                  <w:vAlign w:val="center"/>
                </w:tcPr>
                <w:p>
                  <w:pPr>
                    <w:pStyle w:val="30"/>
                    <w:spacing w:line="360" w:lineRule="exact"/>
                    <w:rPr>
                      <w:color w:val="auto"/>
                      <w:szCs w:val="21"/>
                    </w:rPr>
                  </w:pPr>
                </w:p>
              </w:tc>
              <w:tc>
                <w:tcPr>
                  <w:tcW w:w="821" w:type="dxa"/>
                  <w:vAlign w:val="center"/>
                </w:tcPr>
                <w:p>
                  <w:pPr>
                    <w:pStyle w:val="30"/>
                    <w:spacing w:line="360" w:lineRule="exact"/>
                    <w:rPr>
                      <w:color w:val="auto"/>
                      <w:szCs w:val="21"/>
                    </w:rPr>
                  </w:pPr>
                  <w:r>
                    <w:rPr>
                      <w:color w:val="auto"/>
                      <w:szCs w:val="21"/>
                    </w:rPr>
                    <w:t>5</w:t>
                  </w:r>
                </w:p>
              </w:tc>
              <w:tc>
                <w:tcPr>
                  <w:tcW w:w="747" w:type="dxa"/>
                  <w:vMerge w:val="continue"/>
                  <w:vAlign w:val="center"/>
                </w:tcPr>
                <w:p>
                  <w:pPr>
                    <w:pStyle w:val="30"/>
                    <w:spacing w:line="360" w:lineRule="exact"/>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6" w:type="dxa"/>
                  <w:vMerge w:val="continue"/>
                  <w:vAlign w:val="center"/>
                </w:tcPr>
                <w:p>
                  <w:pPr>
                    <w:pStyle w:val="30"/>
                    <w:spacing w:line="360" w:lineRule="exact"/>
                    <w:rPr>
                      <w:color w:val="auto"/>
                      <w:szCs w:val="21"/>
                    </w:rPr>
                  </w:pPr>
                </w:p>
              </w:tc>
              <w:tc>
                <w:tcPr>
                  <w:tcW w:w="595" w:type="dxa"/>
                  <w:vMerge w:val="restart"/>
                  <w:vAlign w:val="center"/>
                </w:tcPr>
                <w:p>
                  <w:pPr>
                    <w:pStyle w:val="30"/>
                    <w:spacing w:line="360" w:lineRule="exact"/>
                    <w:rPr>
                      <w:color w:val="auto"/>
                      <w:szCs w:val="21"/>
                    </w:rPr>
                  </w:pPr>
                  <w:r>
                    <w:rPr>
                      <w:color w:val="auto"/>
                      <w:szCs w:val="21"/>
                    </w:rPr>
                    <w:t>废水</w:t>
                  </w:r>
                </w:p>
              </w:tc>
              <w:tc>
                <w:tcPr>
                  <w:tcW w:w="2118" w:type="dxa"/>
                  <w:gridSpan w:val="2"/>
                  <w:vAlign w:val="center"/>
                </w:tcPr>
                <w:p>
                  <w:pPr>
                    <w:pStyle w:val="30"/>
                    <w:spacing w:line="360" w:lineRule="exact"/>
                    <w:rPr>
                      <w:rFonts w:eastAsiaTheme="minorEastAsia"/>
                      <w:color w:val="auto"/>
                      <w:szCs w:val="21"/>
                    </w:rPr>
                  </w:pPr>
                  <w:r>
                    <w:rPr>
                      <w:rFonts w:eastAsiaTheme="minorEastAsia"/>
                      <w:color w:val="auto"/>
                      <w:szCs w:val="21"/>
                    </w:rPr>
                    <w:t>雨污分流</w:t>
                  </w:r>
                </w:p>
              </w:tc>
              <w:tc>
                <w:tcPr>
                  <w:tcW w:w="2666" w:type="dxa"/>
                  <w:vAlign w:val="center"/>
                </w:tcPr>
                <w:p>
                  <w:pPr>
                    <w:pStyle w:val="30"/>
                    <w:spacing w:line="360" w:lineRule="exact"/>
                    <w:ind w:firstLine="210" w:firstLineChars="100"/>
                    <w:jc w:val="left"/>
                    <w:rPr>
                      <w:color w:val="auto"/>
                      <w:szCs w:val="21"/>
                    </w:rPr>
                  </w:pPr>
                  <w:r>
                    <w:rPr>
                      <w:color w:val="auto"/>
                      <w:szCs w:val="21"/>
                    </w:rPr>
                    <w:t>雨水管网</w:t>
                  </w:r>
                </w:p>
              </w:tc>
              <w:tc>
                <w:tcPr>
                  <w:tcW w:w="850" w:type="dxa"/>
                  <w:vAlign w:val="center"/>
                </w:tcPr>
                <w:p>
                  <w:pPr>
                    <w:pStyle w:val="30"/>
                    <w:spacing w:line="360" w:lineRule="exact"/>
                    <w:rPr>
                      <w:color w:val="auto"/>
                      <w:szCs w:val="21"/>
                    </w:rPr>
                  </w:pPr>
                  <w:r>
                    <w:rPr>
                      <w:color w:val="auto"/>
                      <w:szCs w:val="21"/>
                    </w:rPr>
                    <w:t>--</w:t>
                  </w:r>
                </w:p>
              </w:tc>
              <w:tc>
                <w:tcPr>
                  <w:tcW w:w="731" w:type="dxa"/>
                  <w:gridSpan w:val="2"/>
                  <w:vMerge w:val="continue"/>
                  <w:vAlign w:val="center"/>
                </w:tcPr>
                <w:p>
                  <w:pPr>
                    <w:pStyle w:val="30"/>
                    <w:spacing w:line="360" w:lineRule="exact"/>
                    <w:rPr>
                      <w:color w:val="auto"/>
                      <w:szCs w:val="21"/>
                    </w:rPr>
                  </w:pPr>
                </w:p>
              </w:tc>
              <w:tc>
                <w:tcPr>
                  <w:tcW w:w="821" w:type="dxa"/>
                  <w:vAlign w:val="center"/>
                </w:tcPr>
                <w:p>
                  <w:pPr>
                    <w:pStyle w:val="30"/>
                    <w:spacing w:line="360" w:lineRule="exact"/>
                    <w:rPr>
                      <w:color w:val="auto"/>
                      <w:szCs w:val="21"/>
                    </w:rPr>
                  </w:pPr>
                  <w:r>
                    <w:rPr>
                      <w:color w:val="auto"/>
                      <w:szCs w:val="21"/>
                    </w:rPr>
                    <w:t>--</w:t>
                  </w:r>
                </w:p>
              </w:tc>
              <w:tc>
                <w:tcPr>
                  <w:tcW w:w="747" w:type="dxa"/>
                  <w:vMerge w:val="continue"/>
                  <w:vAlign w:val="center"/>
                </w:tcPr>
                <w:p>
                  <w:pPr>
                    <w:pStyle w:val="30"/>
                    <w:spacing w:line="360" w:lineRule="exact"/>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6" w:type="dxa"/>
                  <w:vMerge w:val="continue"/>
                  <w:vAlign w:val="center"/>
                </w:tcPr>
                <w:p>
                  <w:pPr>
                    <w:pStyle w:val="30"/>
                    <w:spacing w:line="360" w:lineRule="exact"/>
                    <w:rPr>
                      <w:color w:val="auto"/>
                      <w:szCs w:val="21"/>
                    </w:rPr>
                  </w:pPr>
                </w:p>
              </w:tc>
              <w:tc>
                <w:tcPr>
                  <w:tcW w:w="595" w:type="dxa"/>
                  <w:vMerge w:val="continue"/>
                  <w:vAlign w:val="center"/>
                </w:tcPr>
                <w:p>
                  <w:pPr>
                    <w:pStyle w:val="30"/>
                    <w:spacing w:line="360" w:lineRule="exact"/>
                    <w:rPr>
                      <w:color w:val="auto"/>
                      <w:szCs w:val="21"/>
                    </w:rPr>
                  </w:pPr>
                </w:p>
              </w:tc>
              <w:tc>
                <w:tcPr>
                  <w:tcW w:w="704" w:type="dxa"/>
                  <w:vAlign w:val="center"/>
                </w:tcPr>
                <w:p>
                  <w:pPr>
                    <w:pStyle w:val="30"/>
                    <w:spacing w:line="360" w:lineRule="exact"/>
                    <w:rPr>
                      <w:rFonts w:eastAsiaTheme="minorEastAsia"/>
                      <w:color w:val="auto"/>
                      <w:szCs w:val="21"/>
                    </w:rPr>
                  </w:pPr>
                  <w:r>
                    <w:rPr>
                      <w:rFonts w:eastAsiaTheme="minorEastAsia"/>
                      <w:color w:val="auto"/>
                      <w:szCs w:val="21"/>
                    </w:rPr>
                    <w:t>平衡盐水</w:t>
                  </w:r>
                </w:p>
              </w:tc>
              <w:tc>
                <w:tcPr>
                  <w:tcW w:w="1414" w:type="dxa"/>
                  <w:vAlign w:val="center"/>
                </w:tcPr>
                <w:p>
                  <w:pPr>
                    <w:pStyle w:val="30"/>
                    <w:spacing w:line="360" w:lineRule="exact"/>
                    <w:rPr>
                      <w:rFonts w:eastAsiaTheme="minorEastAsia"/>
                      <w:color w:val="auto"/>
                      <w:szCs w:val="21"/>
                    </w:rPr>
                  </w:pPr>
                  <w:r>
                    <w:rPr>
                      <w:rFonts w:eastAsiaTheme="minorEastAsia"/>
                      <w:color w:val="auto"/>
                      <w:szCs w:val="21"/>
                    </w:rPr>
                    <w:t>盐水缸</w:t>
                  </w:r>
                </w:p>
              </w:tc>
              <w:tc>
                <w:tcPr>
                  <w:tcW w:w="2666" w:type="dxa"/>
                  <w:vAlign w:val="center"/>
                </w:tcPr>
                <w:p>
                  <w:pPr>
                    <w:pStyle w:val="30"/>
                    <w:spacing w:line="360" w:lineRule="exact"/>
                    <w:ind w:firstLine="210" w:firstLineChars="100"/>
                    <w:jc w:val="left"/>
                    <w:rPr>
                      <w:color w:val="auto"/>
                      <w:szCs w:val="21"/>
                    </w:rPr>
                  </w:pPr>
                  <w:r>
                    <w:rPr>
                      <w:color w:val="auto"/>
                      <w:szCs w:val="21"/>
                    </w:rPr>
                    <w:t>1个2m³</w:t>
                  </w:r>
                </w:p>
              </w:tc>
              <w:tc>
                <w:tcPr>
                  <w:tcW w:w="850" w:type="dxa"/>
                  <w:vAlign w:val="center"/>
                </w:tcPr>
                <w:p>
                  <w:pPr>
                    <w:pStyle w:val="30"/>
                    <w:spacing w:line="360" w:lineRule="exact"/>
                    <w:rPr>
                      <w:color w:val="auto"/>
                      <w:szCs w:val="21"/>
                    </w:rPr>
                  </w:pPr>
                  <w:r>
                    <w:rPr>
                      <w:color w:val="auto"/>
                      <w:szCs w:val="21"/>
                    </w:rPr>
                    <w:t>“1”</w:t>
                  </w:r>
                </w:p>
              </w:tc>
              <w:tc>
                <w:tcPr>
                  <w:tcW w:w="731" w:type="dxa"/>
                  <w:gridSpan w:val="2"/>
                  <w:vMerge w:val="continue"/>
                  <w:vAlign w:val="center"/>
                </w:tcPr>
                <w:p>
                  <w:pPr>
                    <w:pStyle w:val="30"/>
                    <w:spacing w:line="360" w:lineRule="exact"/>
                    <w:rPr>
                      <w:color w:val="auto"/>
                      <w:szCs w:val="21"/>
                    </w:rPr>
                  </w:pPr>
                </w:p>
              </w:tc>
              <w:tc>
                <w:tcPr>
                  <w:tcW w:w="821" w:type="dxa"/>
                  <w:vAlign w:val="center"/>
                </w:tcPr>
                <w:p>
                  <w:pPr>
                    <w:pStyle w:val="30"/>
                    <w:spacing w:line="360" w:lineRule="exact"/>
                    <w:rPr>
                      <w:color w:val="auto"/>
                      <w:szCs w:val="21"/>
                    </w:rPr>
                  </w:pPr>
                  <w:r>
                    <w:rPr>
                      <w:color w:val="auto"/>
                      <w:szCs w:val="21"/>
                    </w:rPr>
                    <w:t>0</w:t>
                  </w:r>
                </w:p>
              </w:tc>
              <w:tc>
                <w:tcPr>
                  <w:tcW w:w="747" w:type="dxa"/>
                  <w:vMerge w:val="continue"/>
                  <w:vAlign w:val="center"/>
                </w:tcPr>
                <w:p>
                  <w:pPr>
                    <w:pStyle w:val="30"/>
                    <w:spacing w:line="360" w:lineRule="exact"/>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6" w:type="dxa"/>
                  <w:vMerge w:val="continue"/>
                  <w:vAlign w:val="center"/>
                </w:tcPr>
                <w:p>
                  <w:pPr>
                    <w:pStyle w:val="30"/>
                    <w:spacing w:line="360" w:lineRule="exact"/>
                    <w:rPr>
                      <w:color w:val="auto"/>
                      <w:szCs w:val="21"/>
                    </w:rPr>
                  </w:pPr>
                </w:p>
              </w:tc>
              <w:tc>
                <w:tcPr>
                  <w:tcW w:w="595" w:type="dxa"/>
                  <w:vMerge w:val="continue"/>
                  <w:vAlign w:val="center"/>
                </w:tcPr>
                <w:p>
                  <w:pPr>
                    <w:pStyle w:val="30"/>
                    <w:spacing w:line="360" w:lineRule="exact"/>
                    <w:rPr>
                      <w:color w:val="auto"/>
                      <w:szCs w:val="21"/>
                    </w:rPr>
                  </w:pPr>
                </w:p>
              </w:tc>
              <w:tc>
                <w:tcPr>
                  <w:tcW w:w="704" w:type="dxa"/>
                  <w:vAlign w:val="center"/>
                </w:tcPr>
                <w:p>
                  <w:pPr>
                    <w:pStyle w:val="30"/>
                    <w:spacing w:line="360" w:lineRule="exact"/>
                    <w:rPr>
                      <w:color w:val="auto"/>
                      <w:szCs w:val="21"/>
                    </w:rPr>
                  </w:pPr>
                  <w:r>
                    <w:rPr>
                      <w:color w:val="auto"/>
                      <w:szCs w:val="21"/>
                    </w:rPr>
                    <w:t>初期雨水</w:t>
                  </w:r>
                </w:p>
              </w:tc>
              <w:tc>
                <w:tcPr>
                  <w:tcW w:w="1414" w:type="dxa"/>
                  <w:vAlign w:val="center"/>
                </w:tcPr>
                <w:p>
                  <w:pPr>
                    <w:pStyle w:val="30"/>
                    <w:spacing w:line="360" w:lineRule="exact"/>
                    <w:rPr>
                      <w:color w:val="auto"/>
                      <w:szCs w:val="21"/>
                    </w:rPr>
                  </w:pPr>
                  <w:r>
                    <w:rPr>
                      <w:color w:val="auto"/>
                      <w:szCs w:val="21"/>
                    </w:rPr>
                    <w:t>初期雨水收集池</w:t>
                  </w:r>
                </w:p>
              </w:tc>
              <w:tc>
                <w:tcPr>
                  <w:tcW w:w="2666" w:type="dxa"/>
                  <w:vAlign w:val="center"/>
                </w:tcPr>
                <w:p>
                  <w:pPr>
                    <w:pStyle w:val="30"/>
                    <w:spacing w:line="360" w:lineRule="exact"/>
                    <w:ind w:firstLine="210" w:firstLineChars="100"/>
                    <w:jc w:val="left"/>
                    <w:rPr>
                      <w:color w:val="auto"/>
                      <w:szCs w:val="21"/>
                    </w:rPr>
                  </w:pPr>
                  <w:r>
                    <w:rPr>
                      <w:color w:val="auto"/>
                      <w:szCs w:val="21"/>
                    </w:rPr>
                    <w:t>1个30m³</w:t>
                  </w:r>
                </w:p>
              </w:tc>
              <w:tc>
                <w:tcPr>
                  <w:tcW w:w="850" w:type="dxa"/>
                  <w:vAlign w:val="center"/>
                </w:tcPr>
                <w:p>
                  <w:pPr>
                    <w:pStyle w:val="30"/>
                    <w:spacing w:line="360" w:lineRule="exact"/>
                    <w:rPr>
                      <w:color w:val="auto"/>
                      <w:szCs w:val="21"/>
                    </w:rPr>
                  </w:pPr>
                  <w:r>
                    <w:rPr>
                      <w:color w:val="auto"/>
                      <w:szCs w:val="21"/>
                    </w:rPr>
                    <w:t>5</w:t>
                  </w:r>
                </w:p>
              </w:tc>
              <w:tc>
                <w:tcPr>
                  <w:tcW w:w="731" w:type="dxa"/>
                  <w:gridSpan w:val="2"/>
                  <w:vMerge w:val="continue"/>
                  <w:vAlign w:val="center"/>
                </w:tcPr>
                <w:p>
                  <w:pPr>
                    <w:pStyle w:val="30"/>
                    <w:spacing w:line="360" w:lineRule="exact"/>
                    <w:rPr>
                      <w:color w:val="auto"/>
                      <w:szCs w:val="21"/>
                    </w:rPr>
                  </w:pPr>
                </w:p>
              </w:tc>
              <w:tc>
                <w:tcPr>
                  <w:tcW w:w="821" w:type="dxa"/>
                  <w:vAlign w:val="center"/>
                </w:tcPr>
                <w:p>
                  <w:pPr>
                    <w:pStyle w:val="30"/>
                    <w:spacing w:line="360" w:lineRule="exact"/>
                    <w:rPr>
                      <w:color w:val="auto"/>
                      <w:szCs w:val="21"/>
                    </w:rPr>
                  </w:pPr>
                  <w:r>
                    <w:rPr>
                      <w:color w:val="auto"/>
                      <w:szCs w:val="21"/>
                    </w:rPr>
                    <w:t>0</w:t>
                  </w:r>
                </w:p>
              </w:tc>
              <w:tc>
                <w:tcPr>
                  <w:tcW w:w="747" w:type="dxa"/>
                  <w:vMerge w:val="continue"/>
                  <w:vAlign w:val="center"/>
                </w:tcPr>
                <w:p>
                  <w:pPr>
                    <w:pStyle w:val="30"/>
                    <w:spacing w:line="360" w:lineRule="exact"/>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6" w:type="dxa"/>
                  <w:vMerge w:val="continue"/>
                  <w:vAlign w:val="center"/>
                </w:tcPr>
                <w:p>
                  <w:pPr>
                    <w:pStyle w:val="30"/>
                    <w:spacing w:line="360" w:lineRule="exact"/>
                    <w:rPr>
                      <w:color w:val="auto"/>
                      <w:szCs w:val="21"/>
                    </w:rPr>
                  </w:pPr>
                </w:p>
              </w:tc>
              <w:tc>
                <w:tcPr>
                  <w:tcW w:w="595" w:type="dxa"/>
                  <w:vMerge w:val="continue"/>
                  <w:vAlign w:val="center"/>
                </w:tcPr>
                <w:p>
                  <w:pPr>
                    <w:pStyle w:val="30"/>
                    <w:spacing w:line="360" w:lineRule="exact"/>
                    <w:rPr>
                      <w:color w:val="auto"/>
                      <w:szCs w:val="21"/>
                    </w:rPr>
                  </w:pPr>
                </w:p>
              </w:tc>
              <w:tc>
                <w:tcPr>
                  <w:tcW w:w="704" w:type="dxa"/>
                  <w:vMerge w:val="restart"/>
                  <w:vAlign w:val="center"/>
                </w:tcPr>
                <w:p>
                  <w:pPr>
                    <w:pStyle w:val="30"/>
                    <w:spacing w:line="360" w:lineRule="exact"/>
                    <w:rPr>
                      <w:color w:val="auto"/>
                      <w:szCs w:val="21"/>
                    </w:rPr>
                  </w:pPr>
                  <w:r>
                    <w:rPr>
                      <w:color w:val="auto"/>
                      <w:szCs w:val="21"/>
                    </w:rPr>
                    <w:t>生活污水</w:t>
                  </w:r>
                </w:p>
              </w:tc>
              <w:tc>
                <w:tcPr>
                  <w:tcW w:w="1414" w:type="dxa"/>
                  <w:vAlign w:val="center"/>
                </w:tcPr>
                <w:p>
                  <w:pPr>
                    <w:pStyle w:val="30"/>
                    <w:spacing w:line="360" w:lineRule="exact"/>
                    <w:rPr>
                      <w:color w:val="auto"/>
                      <w:szCs w:val="21"/>
                    </w:rPr>
                  </w:pPr>
                  <w:r>
                    <w:rPr>
                      <w:color w:val="auto"/>
                      <w:szCs w:val="21"/>
                    </w:rPr>
                    <w:t>隔油池</w:t>
                  </w:r>
                </w:p>
              </w:tc>
              <w:tc>
                <w:tcPr>
                  <w:tcW w:w="2666" w:type="dxa"/>
                  <w:vAlign w:val="center"/>
                </w:tcPr>
                <w:p>
                  <w:pPr>
                    <w:pStyle w:val="30"/>
                    <w:spacing w:line="360" w:lineRule="exact"/>
                    <w:ind w:firstLine="210" w:firstLineChars="100"/>
                    <w:jc w:val="left"/>
                    <w:rPr>
                      <w:color w:val="auto"/>
                      <w:szCs w:val="21"/>
                    </w:rPr>
                  </w:pPr>
                  <w:r>
                    <w:rPr>
                      <w:color w:val="auto"/>
                      <w:szCs w:val="21"/>
                    </w:rPr>
                    <w:t>1个2m³</w:t>
                  </w:r>
                </w:p>
              </w:tc>
              <w:tc>
                <w:tcPr>
                  <w:tcW w:w="850" w:type="dxa"/>
                  <w:vAlign w:val="center"/>
                </w:tcPr>
                <w:p>
                  <w:pPr>
                    <w:pStyle w:val="30"/>
                    <w:spacing w:line="360" w:lineRule="exact"/>
                    <w:rPr>
                      <w:color w:val="auto"/>
                      <w:szCs w:val="21"/>
                    </w:rPr>
                  </w:pPr>
                  <w:r>
                    <w:rPr>
                      <w:color w:val="auto"/>
                      <w:szCs w:val="21"/>
                    </w:rPr>
                    <w:t>“0.5”</w:t>
                  </w:r>
                </w:p>
              </w:tc>
              <w:tc>
                <w:tcPr>
                  <w:tcW w:w="731" w:type="dxa"/>
                  <w:gridSpan w:val="2"/>
                  <w:vMerge w:val="continue"/>
                  <w:vAlign w:val="center"/>
                </w:tcPr>
                <w:p>
                  <w:pPr>
                    <w:pStyle w:val="30"/>
                    <w:spacing w:line="360" w:lineRule="exact"/>
                    <w:rPr>
                      <w:color w:val="auto"/>
                      <w:szCs w:val="21"/>
                    </w:rPr>
                  </w:pPr>
                </w:p>
              </w:tc>
              <w:tc>
                <w:tcPr>
                  <w:tcW w:w="821" w:type="dxa"/>
                  <w:vAlign w:val="center"/>
                </w:tcPr>
                <w:p>
                  <w:pPr>
                    <w:pStyle w:val="30"/>
                    <w:spacing w:line="360" w:lineRule="exact"/>
                    <w:rPr>
                      <w:color w:val="auto"/>
                      <w:szCs w:val="21"/>
                    </w:rPr>
                  </w:pPr>
                  <w:r>
                    <w:rPr>
                      <w:color w:val="auto"/>
                      <w:szCs w:val="21"/>
                    </w:rPr>
                    <w:t>0</w:t>
                  </w:r>
                </w:p>
              </w:tc>
              <w:tc>
                <w:tcPr>
                  <w:tcW w:w="747" w:type="dxa"/>
                  <w:vMerge w:val="continue"/>
                  <w:vAlign w:val="center"/>
                </w:tcPr>
                <w:p>
                  <w:pPr>
                    <w:pStyle w:val="30"/>
                    <w:spacing w:line="360" w:lineRule="exact"/>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6" w:type="dxa"/>
                  <w:vMerge w:val="continue"/>
                  <w:vAlign w:val="center"/>
                </w:tcPr>
                <w:p>
                  <w:pPr>
                    <w:pStyle w:val="30"/>
                    <w:spacing w:line="360" w:lineRule="exact"/>
                    <w:rPr>
                      <w:color w:val="auto"/>
                      <w:szCs w:val="21"/>
                    </w:rPr>
                  </w:pPr>
                </w:p>
              </w:tc>
              <w:tc>
                <w:tcPr>
                  <w:tcW w:w="595" w:type="dxa"/>
                  <w:vMerge w:val="continue"/>
                  <w:vAlign w:val="center"/>
                </w:tcPr>
                <w:p>
                  <w:pPr>
                    <w:pStyle w:val="30"/>
                    <w:spacing w:line="360" w:lineRule="exact"/>
                    <w:rPr>
                      <w:color w:val="auto"/>
                      <w:szCs w:val="21"/>
                    </w:rPr>
                  </w:pPr>
                </w:p>
              </w:tc>
              <w:tc>
                <w:tcPr>
                  <w:tcW w:w="704" w:type="dxa"/>
                  <w:vMerge w:val="continue"/>
                  <w:vAlign w:val="center"/>
                </w:tcPr>
                <w:p>
                  <w:pPr>
                    <w:pStyle w:val="30"/>
                    <w:spacing w:line="360" w:lineRule="exact"/>
                    <w:rPr>
                      <w:color w:val="auto"/>
                      <w:szCs w:val="21"/>
                    </w:rPr>
                  </w:pPr>
                </w:p>
              </w:tc>
              <w:tc>
                <w:tcPr>
                  <w:tcW w:w="1414" w:type="dxa"/>
                  <w:vAlign w:val="center"/>
                </w:tcPr>
                <w:p>
                  <w:pPr>
                    <w:pStyle w:val="30"/>
                    <w:spacing w:line="360" w:lineRule="exact"/>
                    <w:rPr>
                      <w:color w:val="auto"/>
                      <w:szCs w:val="21"/>
                    </w:rPr>
                  </w:pPr>
                  <w:r>
                    <w:rPr>
                      <w:color w:val="auto"/>
                      <w:szCs w:val="21"/>
                    </w:rPr>
                    <w:t>化粪池</w:t>
                  </w:r>
                </w:p>
              </w:tc>
              <w:tc>
                <w:tcPr>
                  <w:tcW w:w="2666" w:type="dxa"/>
                  <w:vAlign w:val="center"/>
                </w:tcPr>
                <w:p>
                  <w:pPr>
                    <w:pStyle w:val="30"/>
                    <w:spacing w:line="360" w:lineRule="exact"/>
                    <w:ind w:firstLine="210" w:firstLineChars="100"/>
                    <w:jc w:val="left"/>
                    <w:rPr>
                      <w:color w:val="auto"/>
                      <w:szCs w:val="21"/>
                    </w:rPr>
                  </w:pPr>
                  <w:r>
                    <w:rPr>
                      <w:color w:val="auto"/>
                      <w:szCs w:val="21"/>
                    </w:rPr>
                    <w:t>3个5m³</w:t>
                  </w:r>
                </w:p>
              </w:tc>
              <w:tc>
                <w:tcPr>
                  <w:tcW w:w="850" w:type="dxa"/>
                  <w:vAlign w:val="center"/>
                </w:tcPr>
                <w:p>
                  <w:pPr>
                    <w:pStyle w:val="30"/>
                    <w:spacing w:line="360" w:lineRule="exact"/>
                    <w:rPr>
                      <w:color w:val="auto"/>
                      <w:szCs w:val="21"/>
                    </w:rPr>
                  </w:pPr>
                  <w:r>
                    <w:rPr>
                      <w:color w:val="auto"/>
                      <w:szCs w:val="21"/>
                    </w:rPr>
                    <w:t>“3”</w:t>
                  </w:r>
                </w:p>
              </w:tc>
              <w:tc>
                <w:tcPr>
                  <w:tcW w:w="731" w:type="dxa"/>
                  <w:gridSpan w:val="2"/>
                  <w:vMerge w:val="continue"/>
                  <w:vAlign w:val="center"/>
                </w:tcPr>
                <w:p>
                  <w:pPr>
                    <w:pStyle w:val="30"/>
                    <w:spacing w:line="360" w:lineRule="exact"/>
                    <w:rPr>
                      <w:color w:val="auto"/>
                      <w:szCs w:val="21"/>
                    </w:rPr>
                  </w:pPr>
                </w:p>
              </w:tc>
              <w:tc>
                <w:tcPr>
                  <w:tcW w:w="821" w:type="dxa"/>
                  <w:vAlign w:val="center"/>
                </w:tcPr>
                <w:p>
                  <w:pPr>
                    <w:pStyle w:val="30"/>
                    <w:spacing w:line="360" w:lineRule="exact"/>
                    <w:rPr>
                      <w:color w:val="auto"/>
                      <w:szCs w:val="21"/>
                    </w:rPr>
                  </w:pPr>
                  <w:r>
                    <w:rPr>
                      <w:color w:val="auto"/>
                      <w:szCs w:val="21"/>
                    </w:rPr>
                    <w:t>0</w:t>
                  </w:r>
                </w:p>
              </w:tc>
              <w:tc>
                <w:tcPr>
                  <w:tcW w:w="747" w:type="dxa"/>
                  <w:vMerge w:val="continue"/>
                  <w:vAlign w:val="center"/>
                </w:tcPr>
                <w:p>
                  <w:pPr>
                    <w:pStyle w:val="30"/>
                    <w:spacing w:line="360" w:lineRule="exact"/>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6" w:type="dxa"/>
                  <w:vMerge w:val="continue"/>
                  <w:vAlign w:val="center"/>
                </w:tcPr>
                <w:p>
                  <w:pPr>
                    <w:pStyle w:val="30"/>
                    <w:spacing w:line="360" w:lineRule="exact"/>
                    <w:rPr>
                      <w:color w:val="auto"/>
                      <w:szCs w:val="21"/>
                    </w:rPr>
                  </w:pPr>
                </w:p>
              </w:tc>
              <w:tc>
                <w:tcPr>
                  <w:tcW w:w="595" w:type="dxa"/>
                  <w:vMerge w:val="continue"/>
                  <w:vAlign w:val="center"/>
                </w:tcPr>
                <w:p>
                  <w:pPr>
                    <w:pStyle w:val="30"/>
                    <w:spacing w:line="360" w:lineRule="exact"/>
                    <w:rPr>
                      <w:color w:val="auto"/>
                      <w:szCs w:val="21"/>
                    </w:rPr>
                  </w:pPr>
                </w:p>
              </w:tc>
              <w:tc>
                <w:tcPr>
                  <w:tcW w:w="704" w:type="dxa"/>
                  <w:vMerge w:val="continue"/>
                  <w:vAlign w:val="center"/>
                </w:tcPr>
                <w:p>
                  <w:pPr>
                    <w:pStyle w:val="30"/>
                    <w:spacing w:line="360" w:lineRule="exact"/>
                    <w:rPr>
                      <w:color w:val="auto"/>
                      <w:szCs w:val="21"/>
                    </w:rPr>
                  </w:pPr>
                </w:p>
              </w:tc>
              <w:tc>
                <w:tcPr>
                  <w:tcW w:w="1414" w:type="dxa"/>
                  <w:vAlign w:val="center"/>
                </w:tcPr>
                <w:p>
                  <w:pPr>
                    <w:pStyle w:val="30"/>
                    <w:spacing w:line="360" w:lineRule="exact"/>
                    <w:rPr>
                      <w:color w:val="auto"/>
                      <w:szCs w:val="21"/>
                    </w:rPr>
                  </w:pPr>
                  <w:r>
                    <w:rPr>
                      <w:rFonts w:eastAsiaTheme="minorEastAsia"/>
                      <w:color w:val="auto"/>
                      <w:szCs w:val="21"/>
                    </w:rPr>
                    <w:t>一体化污水处理设施</w:t>
                  </w:r>
                </w:p>
              </w:tc>
              <w:tc>
                <w:tcPr>
                  <w:tcW w:w="2666" w:type="dxa"/>
                  <w:vAlign w:val="center"/>
                </w:tcPr>
                <w:p>
                  <w:pPr>
                    <w:pStyle w:val="30"/>
                    <w:spacing w:line="360" w:lineRule="exact"/>
                    <w:ind w:firstLine="210" w:firstLineChars="100"/>
                    <w:jc w:val="left"/>
                    <w:rPr>
                      <w:color w:val="auto"/>
                      <w:szCs w:val="21"/>
                    </w:rPr>
                  </w:pPr>
                  <w:r>
                    <w:rPr>
                      <w:color w:val="auto"/>
                      <w:szCs w:val="21"/>
                    </w:rPr>
                    <w:t>1套处理能力为30m³/d</w:t>
                  </w:r>
                </w:p>
              </w:tc>
              <w:tc>
                <w:tcPr>
                  <w:tcW w:w="850" w:type="dxa"/>
                  <w:vAlign w:val="center"/>
                </w:tcPr>
                <w:p>
                  <w:pPr>
                    <w:pStyle w:val="30"/>
                    <w:spacing w:line="360" w:lineRule="exact"/>
                    <w:rPr>
                      <w:color w:val="auto"/>
                      <w:szCs w:val="21"/>
                    </w:rPr>
                  </w:pPr>
                  <w:r>
                    <w:rPr>
                      <w:color w:val="auto"/>
                      <w:szCs w:val="21"/>
                    </w:rPr>
                    <w:t>30</w:t>
                  </w:r>
                </w:p>
              </w:tc>
              <w:tc>
                <w:tcPr>
                  <w:tcW w:w="731" w:type="dxa"/>
                  <w:gridSpan w:val="2"/>
                  <w:vMerge w:val="continue"/>
                  <w:vAlign w:val="center"/>
                </w:tcPr>
                <w:p>
                  <w:pPr>
                    <w:pStyle w:val="30"/>
                    <w:spacing w:line="360" w:lineRule="exact"/>
                    <w:rPr>
                      <w:color w:val="auto"/>
                      <w:szCs w:val="21"/>
                    </w:rPr>
                  </w:pPr>
                </w:p>
              </w:tc>
              <w:tc>
                <w:tcPr>
                  <w:tcW w:w="821" w:type="dxa"/>
                  <w:vAlign w:val="center"/>
                </w:tcPr>
                <w:p>
                  <w:pPr>
                    <w:pStyle w:val="30"/>
                    <w:spacing w:line="360" w:lineRule="exact"/>
                    <w:rPr>
                      <w:color w:val="auto"/>
                      <w:szCs w:val="21"/>
                    </w:rPr>
                  </w:pPr>
                  <w:r>
                    <w:rPr>
                      <w:color w:val="auto"/>
                      <w:szCs w:val="21"/>
                    </w:rPr>
                    <w:t>2</w:t>
                  </w:r>
                </w:p>
              </w:tc>
              <w:tc>
                <w:tcPr>
                  <w:tcW w:w="747" w:type="dxa"/>
                  <w:vMerge w:val="continue"/>
                  <w:vAlign w:val="center"/>
                </w:tcPr>
                <w:p>
                  <w:pPr>
                    <w:pStyle w:val="30"/>
                    <w:spacing w:line="360" w:lineRule="exact"/>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6" w:type="dxa"/>
                  <w:vMerge w:val="continue"/>
                  <w:vAlign w:val="center"/>
                </w:tcPr>
                <w:p>
                  <w:pPr>
                    <w:pStyle w:val="30"/>
                    <w:spacing w:line="360" w:lineRule="exact"/>
                    <w:rPr>
                      <w:color w:val="auto"/>
                      <w:szCs w:val="21"/>
                    </w:rPr>
                  </w:pPr>
                </w:p>
              </w:tc>
              <w:tc>
                <w:tcPr>
                  <w:tcW w:w="595" w:type="dxa"/>
                  <w:vMerge w:val="continue"/>
                  <w:vAlign w:val="center"/>
                </w:tcPr>
                <w:p>
                  <w:pPr>
                    <w:pStyle w:val="30"/>
                    <w:spacing w:line="360" w:lineRule="exact"/>
                    <w:rPr>
                      <w:color w:val="auto"/>
                      <w:szCs w:val="21"/>
                    </w:rPr>
                  </w:pPr>
                </w:p>
              </w:tc>
              <w:tc>
                <w:tcPr>
                  <w:tcW w:w="704" w:type="dxa"/>
                  <w:vMerge w:val="continue"/>
                  <w:vAlign w:val="center"/>
                </w:tcPr>
                <w:p>
                  <w:pPr>
                    <w:pStyle w:val="30"/>
                    <w:spacing w:line="360" w:lineRule="exact"/>
                    <w:rPr>
                      <w:color w:val="auto"/>
                      <w:szCs w:val="21"/>
                    </w:rPr>
                  </w:pPr>
                </w:p>
              </w:tc>
              <w:tc>
                <w:tcPr>
                  <w:tcW w:w="1414" w:type="dxa"/>
                  <w:vAlign w:val="center"/>
                </w:tcPr>
                <w:p>
                  <w:pPr>
                    <w:pStyle w:val="30"/>
                    <w:spacing w:line="360" w:lineRule="exact"/>
                    <w:rPr>
                      <w:color w:val="auto"/>
                      <w:szCs w:val="21"/>
                    </w:rPr>
                  </w:pPr>
                  <w:r>
                    <w:rPr>
                      <w:rFonts w:eastAsiaTheme="minorEastAsia"/>
                      <w:color w:val="auto"/>
                      <w:szCs w:val="21"/>
                    </w:rPr>
                    <w:t>清水池</w:t>
                  </w:r>
                </w:p>
              </w:tc>
              <w:tc>
                <w:tcPr>
                  <w:tcW w:w="2666" w:type="dxa"/>
                  <w:vAlign w:val="center"/>
                </w:tcPr>
                <w:p>
                  <w:pPr>
                    <w:pStyle w:val="30"/>
                    <w:spacing w:line="360" w:lineRule="exact"/>
                    <w:ind w:firstLine="210" w:firstLineChars="100"/>
                    <w:jc w:val="left"/>
                    <w:rPr>
                      <w:color w:val="auto"/>
                      <w:szCs w:val="21"/>
                    </w:rPr>
                  </w:pPr>
                  <w:r>
                    <w:rPr>
                      <w:color w:val="auto"/>
                      <w:szCs w:val="21"/>
                    </w:rPr>
                    <w:t>1个有效容积为30m³</w:t>
                  </w:r>
                </w:p>
              </w:tc>
              <w:tc>
                <w:tcPr>
                  <w:tcW w:w="850" w:type="dxa"/>
                  <w:vAlign w:val="center"/>
                </w:tcPr>
                <w:p>
                  <w:pPr>
                    <w:pStyle w:val="30"/>
                    <w:spacing w:line="360" w:lineRule="exact"/>
                    <w:rPr>
                      <w:color w:val="auto"/>
                      <w:szCs w:val="21"/>
                    </w:rPr>
                  </w:pPr>
                  <w:r>
                    <w:rPr>
                      <w:color w:val="auto"/>
                      <w:szCs w:val="21"/>
                    </w:rPr>
                    <w:t>10</w:t>
                  </w:r>
                </w:p>
              </w:tc>
              <w:tc>
                <w:tcPr>
                  <w:tcW w:w="731" w:type="dxa"/>
                  <w:gridSpan w:val="2"/>
                  <w:vMerge w:val="continue"/>
                  <w:vAlign w:val="center"/>
                </w:tcPr>
                <w:p>
                  <w:pPr>
                    <w:pStyle w:val="30"/>
                    <w:spacing w:line="360" w:lineRule="exact"/>
                    <w:rPr>
                      <w:color w:val="auto"/>
                      <w:szCs w:val="21"/>
                    </w:rPr>
                  </w:pPr>
                </w:p>
              </w:tc>
              <w:tc>
                <w:tcPr>
                  <w:tcW w:w="821" w:type="dxa"/>
                  <w:vAlign w:val="center"/>
                </w:tcPr>
                <w:p>
                  <w:pPr>
                    <w:pStyle w:val="30"/>
                    <w:spacing w:line="360" w:lineRule="exact"/>
                    <w:rPr>
                      <w:color w:val="auto"/>
                      <w:szCs w:val="21"/>
                    </w:rPr>
                  </w:pPr>
                  <w:r>
                    <w:rPr>
                      <w:color w:val="auto"/>
                      <w:szCs w:val="21"/>
                    </w:rPr>
                    <w:t>0</w:t>
                  </w:r>
                </w:p>
              </w:tc>
              <w:tc>
                <w:tcPr>
                  <w:tcW w:w="747" w:type="dxa"/>
                  <w:vMerge w:val="continue"/>
                  <w:vAlign w:val="center"/>
                </w:tcPr>
                <w:p>
                  <w:pPr>
                    <w:pStyle w:val="30"/>
                    <w:spacing w:line="360" w:lineRule="exact"/>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6" w:type="dxa"/>
                  <w:vMerge w:val="continue"/>
                  <w:vAlign w:val="center"/>
                </w:tcPr>
                <w:p>
                  <w:pPr>
                    <w:pStyle w:val="30"/>
                    <w:spacing w:line="360" w:lineRule="exact"/>
                    <w:rPr>
                      <w:color w:val="auto"/>
                      <w:szCs w:val="21"/>
                    </w:rPr>
                  </w:pPr>
                </w:p>
              </w:tc>
              <w:tc>
                <w:tcPr>
                  <w:tcW w:w="1299" w:type="dxa"/>
                  <w:gridSpan w:val="2"/>
                  <w:vMerge w:val="restart"/>
                  <w:vAlign w:val="center"/>
                </w:tcPr>
                <w:p>
                  <w:pPr>
                    <w:pStyle w:val="30"/>
                    <w:spacing w:line="360" w:lineRule="exact"/>
                    <w:rPr>
                      <w:color w:val="auto"/>
                      <w:szCs w:val="21"/>
                    </w:rPr>
                  </w:pPr>
                  <w:r>
                    <w:rPr>
                      <w:color w:val="auto"/>
                      <w:szCs w:val="21"/>
                    </w:rPr>
                    <w:t>地下水防渗</w:t>
                  </w:r>
                </w:p>
              </w:tc>
              <w:tc>
                <w:tcPr>
                  <w:tcW w:w="1414" w:type="dxa"/>
                  <w:vAlign w:val="center"/>
                </w:tcPr>
                <w:p>
                  <w:pPr>
                    <w:pStyle w:val="30"/>
                    <w:spacing w:line="360" w:lineRule="exact"/>
                    <w:rPr>
                      <w:color w:val="auto"/>
                      <w:szCs w:val="21"/>
                    </w:rPr>
                  </w:pPr>
                  <w:r>
                    <w:rPr>
                      <w:color w:val="auto"/>
                      <w:szCs w:val="21"/>
                    </w:rPr>
                    <w:t>重点防渗区</w:t>
                  </w:r>
                </w:p>
              </w:tc>
              <w:tc>
                <w:tcPr>
                  <w:tcW w:w="2666" w:type="dxa"/>
                  <w:vAlign w:val="center"/>
                </w:tcPr>
                <w:p>
                  <w:pPr>
                    <w:pStyle w:val="30"/>
                    <w:spacing w:line="360" w:lineRule="exact"/>
                    <w:ind w:firstLine="210" w:firstLineChars="100"/>
                    <w:jc w:val="left"/>
                    <w:rPr>
                      <w:color w:val="auto"/>
                      <w:szCs w:val="21"/>
                      <w:lang w:val="en-US"/>
                    </w:rPr>
                  </w:pPr>
                  <w:r>
                    <w:rPr>
                      <w:color w:val="auto"/>
                      <w:szCs w:val="21"/>
                    </w:rPr>
                    <w:t>重点防渗区为废电路板暂存区、4个危险废物贮存间；其地面和裙墙均已采用环氧树脂等防渗漆进行防渗其渗透系数≤10</w:t>
                  </w:r>
                  <w:r>
                    <w:rPr>
                      <w:color w:val="auto"/>
                      <w:szCs w:val="21"/>
                      <w:vertAlign w:val="superscript"/>
                    </w:rPr>
                    <w:t>-10</w:t>
                  </w:r>
                  <w:r>
                    <w:rPr>
                      <w:color w:val="auto"/>
                      <w:szCs w:val="21"/>
                    </w:rPr>
                    <w:t>cm/s</w:t>
                  </w:r>
                </w:p>
              </w:tc>
              <w:tc>
                <w:tcPr>
                  <w:tcW w:w="850" w:type="dxa"/>
                  <w:vAlign w:val="center"/>
                </w:tcPr>
                <w:p>
                  <w:pPr>
                    <w:pStyle w:val="30"/>
                    <w:spacing w:line="360" w:lineRule="exact"/>
                    <w:rPr>
                      <w:color w:val="auto"/>
                      <w:szCs w:val="21"/>
                    </w:rPr>
                  </w:pPr>
                  <w:r>
                    <w:rPr>
                      <w:color w:val="auto"/>
                      <w:szCs w:val="21"/>
                    </w:rPr>
                    <w:t>“36”</w:t>
                  </w:r>
                </w:p>
              </w:tc>
              <w:tc>
                <w:tcPr>
                  <w:tcW w:w="731" w:type="dxa"/>
                  <w:gridSpan w:val="2"/>
                  <w:vMerge w:val="continue"/>
                  <w:vAlign w:val="center"/>
                </w:tcPr>
                <w:p>
                  <w:pPr>
                    <w:pStyle w:val="30"/>
                    <w:spacing w:line="360" w:lineRule="exact"/>
                    <w:rPr>
                      <w:color w:val="auto"/>
                      <w:szCs w:val="21"/>
                    </w:rPr>
                  </w:pPr>
                </w:p>
              </w:tc>
              <w:tc>
                <w:tcPr>
                  <w:tcW w:w="821" w:type="dxa"/>
                  <w:vAlign w:val="center"/>
                </w:tcPr>
                <w:p>
                  <w:pPr>
                    <w:pStyle w:val="30"/>
                    <w:spacing w:line="360" w:lineRule="exact"/>
                    <w:rPr>
                      <w:color w:val="auto"/>
                      <w:szCs w:val="21"/>
                    </w:rPr>
                  </w:pPr>
                  <w:r>
                    <w:rPr>
                      <w:color w:val="auto"/>
                      <w:szCs w:val="21"/>
                    </w:rPr>
                    <w:t>0</w:t>
                  </w:r>
                </w:p>
              </w:tc>
              <w:tc>
                <w:tcPr>
                  <w:tcW w:w="747" w:type="dxa"/>
                  <w:vMerge w:val="continue"/>
                  <w:vAlign w:val="center"/>
                </w:tcPr>
                <w:p>
                  <w:pPr>
                    <w:pStyle w:val="30"/>
                    <w:spacing w:line="360" w:lineRule="exact"/>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6" w:type="dxa"/>
                  <w:vMerge w:val="continue"/>
                  <w:vAlign w:val="center"/>
                </w:tcPr>
                <w:p>
                  <w:pPr>
                    <w:pStyle w:val="30"/>
                    <w:spacing w:line="360" w:lineRule="exact"/>
                    <w:rPr>
                      <w:color w:val="auto"/>
                      <w:szCs w:val="21"/>
                    </w:rPr>
                  </w:pPr>
                </w:p>
              </w:tc>
              <w:tc>
                <w:tcPr>
                  <w:tcW w:w="1299" w:type="dxa"/>
                  <w:gridSpan w:val="2"/>
                  <w:vMerge w:val="continue"/>
                  <w:vAlign w:val="center"/>
                </w:tcPr>
                <w:p>
                  <w:pPr>
                    <w:pStyle w:val="30"/>
                    <w:spacing w:line="360" w:lineRule="exact"/>
                    <w:rPr>
                      <w:color w:val="auto"/>
                      <w:szCs w:val="21"/>
                    </w:rPr>
                  </w:pPr>
                </w:p>
              </w:tc>
              <w:tc>
                <w:tcPr>
                  <w:tcW w:w="1414" w:type="dxa"/>
                  <w:vAlign w:val="center"/>
                </w:tcPr>
                <w:p>
                  <w:pPr>
                    <w:pStyle w:val="30"/>
                    <w:spacing w:line="360" w:lineRule="exact"/>
                    <w:rPr>
                      <w:color w:val="auto"/>
                      <w:szCs w:val="21"/>
                    </w:rPr>
                  </w:pPr>
                  <w:r>
                    <w:rPr>
                      <w:color w:val="auto"/>
                      <w:szCs w:val="21"/>
                    </w:rPr>
                    <w:t>一般防渗区</w:t>
                  </w:r>
                </w:p>
              </w:tc>
              <w:tc>
                <w:tcPr>
                  <w:tcW w:w="2666" w:type="dxa"/>
                  <w:vAlign w:val="center"/>
                </w:tcPr>
                <w:p>
                  <w:pPr>
                    <w:pStyle w:val="30"/>
                    <w:spacing w:line="360" w:lineRule="exact"/>
                    <w:ind w:firstLine="210" w:firstLineChars="100"/>
                    <w:jc w:val="left"/>
                    <w:rPr>
                      <w:color w:val="auto"/>
                      <w:szCs w:val="21"/>
                    </w:rPr>
                  </w:pPr>
                  <w:r>
                    <w:rPr>
                      <w:color w:val="auto"/>
                      <w:szCs w:val="21"/>
                    </w:rPr>
                    <w:t>一般防渗区措施地面采取粘土铺底，并在上层铺30cm的混凝土进行硬化。其渗透系数≤1.0×10</w:t>
                  </w:r>
                  <w:r>
                    <w:rPr>
                      <w:color w:val="auto"/>
                      <w:szCs w:val="21"/>
                      <w:vertAlign w:val="superscript"/>
                    </w:rPr>
                    <w:t>-7</w:t>
                  </w:r>
                  <w:r>
                    <w:rPr>
                      <w:color w:val="auto"/>
                      <w:szCs w:val="21"/>
                    </w:rPr>
                    <w:t>cm/s</w:t>
                  </w:r>
                </w:p>
              </w:tc>
              <w:tc>
                <w:tcPr>
                  <w:tcW w:w="850" w:type="dxa"/>
                  <w:vAlign w:val="center"/>
                </w:tcPr>
                <w:p>
                  <w:pPr>
                    <w:pStyle w:val="30"/>
                    <w:spacing w:line="360" w:lineRule="exact"/>
                    <w:rPr>
                      <w:color w:val="auto"/>
                      <w:szCs w:val="21"/>
                    </w:rPr>
                  </w:pPr>
                  <w:r>
                    <w:rPr>
                      <w:color w:val="auto"/>
                      <w:szCs w:val="21"/>
                    </w:rPr>
                    <w:t>“160”</w:t>
                  </w:r>
                </w:p>
              </w:tc>
              <w:tc>
                <w:tcPr>
                  <w:tcW w:w="731" w:type="dxa"/>
                  <w:gridSpan w:val="2"/>
                  <w:vMerge w:val="continue"/>
                  <w:vAlign w:val="center"/>
                </w:tcPr>
                <w:p>
                  <w:pPr>
                    <w:pStyle w:val="30"/>
                    <w:spacing w:line="360" w:lineRule="exact"/>
                    <w:rPr>
                      <w:color w:val="auto"/>
                      <w:szCs w:val="21"/>
                    </w:rPr>
                  </w:pPr>
                </w:p>
              </w:tc>
              <w:tc>
                <w:tcPr>
                  <w:tcW w:w="821" w:type="dxa"/>
                  <w:vAlign w:val="center"/>
                </w:tcPr>
                <w:p>
                  <w:pPr>
                    <w:pStyle w:val="30"/>
                    <w:spacing w:line="360" w:lineRule="exact"/>
                    <w:rPr>
                      <w:color w:val="auto"/>
                      <w:szCs w:val="21"/>
                    </w:rPr>
                  </w:pPr>
                  <w:r>
                    <w:rPr>
                      <w:color w:val="auto"/>
                      <w:szCs w:val="21"/>
                    </w:rPr>
                    <w:t>0</w:t>
                  </w:r>
                </w:p>
              </w:tc>
              <w:tc>
                <w:tcPr>
                  <w:tcW w:w="747" w:type="dxa"/>
                  <w:vMerge w:val="continue"/>
                  <w:vAlign w:val="center"/>
                </w:tcPr>
                <w:p>
                  <w:pPr>
                    <w:pStyle w:val="30"/>
                    <w:spacing w:line="360" w:lineRule="exact"/>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6" w:type="dxa"/>
                  <w:vMerge w:val="continue"/>
                  <w:vAlign w:val="center"/>
                </w:tcPr>
                <w:p>
                  <w:pPr>
                    <w:pStyle w:val="30"/>
                    <w:spacing w:line="360" w:lineRule="exact"/>
                    <w:rPr>
                      <w:color w:val="auto"/>
                      <w:szCs w:val="21"/>
                    </w:rPr>
                  </w:pPr>
                </w:p>
              </w:tc>
              <w:tc>
                <w:tcPr>
                  <w:tcW w:w="595" w:type="dxa"/>
                  <w:vAlign w:val="center"/>
                </w:tcPr>
                <w:p>
                  <w:pPr>
                    <w:pStyle w:val="30"/>
                    <w:spacing w:line="360" w:lineRule="exact"/>
                    <w:rPr>
                      <w:color w:val="auto"/>
                      <w:szCs w:val="21"/>
                    </w:rPr>
                  </w:pPr>
                  <w:r>
                    <w:rPr>
                      <w:color w:val="auto"/>
                      <w:szCs w:val="21"/>
                    </w:rPr>
                    <w:t>噪声</w:t>
                  </w:r>
                </w:p>
              </w:tc>
              <w:tc>
                <w:tcPr>
                  <w:tcW w:w="704" w:type="dxa"/>
                  <w:vAlign w:val="center"/>
                </w:tcPr>
                <w:p>
                  <w:pPr>
                    <w:pStyle w:val="30"/>
                    <w:spacing w:line="360" w:lineRule="exact"/>
                    <w:rPr>
                      <w:color w:val="auto"/>
                      <w:szCs w:val="21"/>
                    </w:rPr>
                  </w:pPr>
                  <w:r>
                    <w:rPr>
                      <w:color w:val="auto"/>
                      <w:szCs w:val="21"/>
                    </w:rPr>
                    <w:t>设备噪声</w:t>
                  </w:r>
                </w:p>
              </w:tc>
              <w:tc>
                <w:tcPr>
                  <w:tcW w:w="1414" w:type="dxa"/>
                  <w:vAlign w:val="center"/>
                </w:tcPr>
                <w:p>
                  <w:pPr>
                    <w:pStyle w:val="30"/>
                    <w:spacing w:line="360" w:lineRule="exact"/>
                    <w:rPr>
                      <w:color w:val="auto"/>
                      <w:szCs w:val="21"/>
                    </w:rPr>
                  </w:pPr>
                  <w:r>
                    <w:rPr>
                      <w:color w:val="auto"/>
                      <w:szCs w:val="21"/>
                    </w:rPr>
                    <w:t>减震垫、消声器等</w:t>
                  </w:r>
                </w:p>
              </w:tc>
              <w:tc>
                <w:tcPr>
                  <w:tcW w:w="2666" w:type="dxa"/>
                  <w:vAlign w:val="center"/>
                </w:tcPr>
                <w:p>
                  <w:pPr>
                    <w:pStyle w:val="30"/>
                    <w:spacing w:line="360" w:lineRule="exact"/>
                    <w:ind w:firstLine="210" w:firstLineChars="100"/>
                    <w:jc w:val="left"/>
                    <w:rPr>
                      <w:color w:val="auto"/>
                      <w:szCs w:val="21"/>
                    </w:rPr>
                  </w:pPr>
                  <w:r>
                    <w:rPr>
                      <w:color w:val="auto"/>
                      <w:szCs w:val="21"/>
                    </w:rPr>
                    <w:t>设备基础加装减震垫、消声器等</w:t>
                  </w:r>
                </w:p>
              </w:tc>
              <w:tc>
                <w:tcPr>
                  <w:tcW w:w="850" w:type="dxa"/>
                  <w:vAlign w:val="center"/>
                </w:tcPr>
                <w:p>
                  <w:pPr>
                    <w:pStyle w:val="30"/>
                    <w:spacing w:line="360" w:lineRule="exact"/>
                    <w:rPr>
                      <w:color w:val="auto"/>
                      <w:szCs w:val="21"/>
                    </w:rPr>
                  </w:pPr>
                  <w:r>
                    <w:rPr>
                      <w:color w:val="auto"/>
                      <w:szCs w:val="21"/>
                    </w:rPr>
                    <w:t>2</w:t>
                  </w:r>
                </w:p>
              </w:tc>
              <w:tc>
                <w:tcPr>
                  <w:tcW w:w="731" w:type="dxa"/>
                  <w:gridSpan w:val="2"/>
                  <w:vMerge w:val="continue"/>
                  <w:vAlign w:val="center"/>
                </w:tcPr>
                <w:p>
                  <w:pPr>
                    <w:pStyle w:val="30"/>
                    <w:spacing w:line="360" w:lineRule="exact"/>
                    <w:rPr>
                      <w:color w:val="auto"/>
                      <w:szCs w:val="21"/>
                    </w:rPr>
                  </w:pPr>
                </w:p>
              </w:tc>
              <w:tc>
                <w:tcPr>
                  <w:tcW w:w="821" w:type="dxa"/>
                  <w:vAlign w:val="center"/>
                </w:tcPr>
                <w:p>
                  <w:pPr>
                    <w:pStyle w:val="30"/>
                    <w:spacing w:line="360" w:lineRule="exact"/>
                    <w:rPr>
                      <w:color w:val="auto"/>
                      <w:szCs w:val="21"/>
                    </w:rPr>
                  </w:pPr>
                  <w:r>
                    <w:rPr>
                      <w:color w:val="auto"/>
                      <w:szCs w:val="21"/>
                    </w:rPr>
                    <w:t>0</w:t>
                  </w:r>
                </w:p>
              </w:tc>
              <w:tc>
                <w:tcPr>
                  <w:tcW w:w="747" w:type="dxa"/>
                  <w:vMerge w:val="continue"/>
                  <w:vAlign w:val="center"/>
                </w:tcPr>
                <w:p>
                  <w:pPr>
                    <w:pStyle w:val="30"/>
                    <w:spacing w:line="360" w:lineRule="exact"/>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6" w:type="dxa"/>
                  <w:vMerge w:val="continue"/>
                  <w:vAlign w:val="center"/>
                </w:tcPr>
                <w:p>
                  <w:pPr>
                    <w:pStyle w:val="30"/>
                    <w:spacing w:line="360" w:lineRule="exact"/>
                    <w:rPr>
                      <w:color w:val="auto"/>
                      <w:szCs w:val="21"/>
                    </w:rPr>
                  </w:pPr>
                </w:p>
              </w:tc>
              <w:tc>
                <w:tcPr>
                  <w:tcW w:w="595" w:type="dxa"/>
                  <w:vMerge w:val="restart"/>
                  <w:vAlign w:val="center"/>
                </w:tcPr>
                <w:p>
                  <w:pPr>
                    <w:pStyle w:val="30"/>
                    <w:spacing w:line="360" w:lineRule="exact"/>
                    <w:rPr>
                      <w:color w:val="auto"/>
                      <w:szCs w:val="21"/>
                    </w:rPr>
                  </w:pPr>
                  <w:r>
                    <w:rPr>
                      <w:color w:val="auto"/>
                      <w:szCs w:val="21"/>
                    </w:rPr>
                    <w:t>固废</w:t>
                  </w:r>
                </w:p>
              </w:tc>
              <w:tc>
                <w:tcPr>
                  <w:tcW w:w="704" w:type="dxa"/>
                  <w:vAlign w:val="center"/>
                </w:tcPr>
                <w:p>
                  <w:pPr>
                    <w:pStyle w:val="30"/>
                    <w:spacing w:line="360" w:lineRule="exact"/>
                    <w:rPr>
                      <w:color w:val="auto"/>
                      <w:szCs w:val="21"/>
                    </w:rPr>
                  </w:pPr>
                  <w:r>
                    <w:rPr>
                      <w:color w:val="auto"/>
                      <w:szCs w:val="21"/>
                    </w:rPr>
                    <w:t>危险废物</w:t>
                  </w:r>
                </w:p>
              </w:tc>
              <w:tc>
                <w:tcPr>
                  <w:tcW w:w="1414" w:type="dxa"/>
                  <w:vAlign w:val="center"/>
                </w:tcPr>
                <w:p>
                  <w:pPr>
                    <w:pStyle w:val="30"/>
                    <w:spacing w:line="360" w:lineRule="exact"/>
                    <w:rPr>
                      <w:color w:val="auto"/>
                      <w:szCs w:val="21"/>
                    </w:rPr>
                  </w:pPr>
                  <w:r>
                    <w:rPr>
                      <w:color w:val="auto"/>
                      <w:szCs w:val="21"/>
                    </w:rPr>
                    <w:t>危险废物贮存间</w:t>
                  </w:r>
                </w:p>
              </w:tc>
              <w:tc>
                <w:tcPr>
                  <w:tcW w:w="2666" w:type="dxa"/>
                  <w:vAlign w:val="center"/>
                </w:tcPr>
                <w:p>
                  <w:pPr>
                    <w:pStyle w:val="30"/>
                    <w:spacing w:line="360" w:lineRule="exact"/>
                    <w:ind w:firstLine="210" w:firstLineChars="100"/>
                    <w:jc w:val="left"/>
                    <w:rPr>
                      <w:color w:val="auto"/>
                      <w:szCs w:val="21"/>
                    </w:rPr>
                  </w:pPr>
                  <w:r>
                    <w:rPr>
                      <w:color w:val="auto"/>
                      <w:szCs w:val="21"/>
                    </w:rPr>
                    <w:t>200m²的废电路板暂存区、100m²的阴极射线管（锥玻璃）含铅贮存区、4个面积分别约为30m²危险废物贮存间</w:t>
                  </w:r>
                </w:p>
              </w:tc>
              <w:tc>
                <w:tcPr>
                  <w:tcW w:w="850" w:type="dxa"/>
                  <w:vAlign w:val="center"/>
                </w:tcPr>
                <w:p>
                  <w:pPr>
                    <w:pStyle w:val="30"/>
                    <w:spacing w:line="360" w:lineRule="exact"/>
                    <w:rPr>
                      <w:color w:val="auto"/>
                      <w:szCs w:val="21"/>
                    </w:rPr>
                  </w:pPr>
                  <w:r>
                    <w:rPr>
                      <w:color w:val="auto"/>
                      <w:szCs w:val="21"/>
                    </w:rPr>
                    <w:t>“26”</w:t>
                  </w:r>
                </w:p>
              </w:tc>
              <w:tc>
                <w:tcPr>
                  <w:tcW w:w="731" w:type="dxa"/>
                  <w:gridSpan w:val="2"/>
                  <w:vMerge w:val="continue"/>
                  <w:vAlign w:val="center"/>
                </w:tcPr>
                <w:p>
                  <w:pPr>
                    <w:pStyle w:val="30"/>
                    <w:spacing w:line="360" w:lineRule="exact"/>
                    <w:rPr>
                      <w:color w:val="auto"/>
                      <w:szCs w:val="21"/>
                    </w:rPr>
                  </w:pPr>
                </w:p>
              </w:tc>
              <w:tc>
                <w:tcPr>
                  <w:tcW w:w="821" w:type="dxa"/>
                  <w:vAlign w:val="center"/>
                </w:tcPr>
                <w:p>
                  <w:pPr>
                    <w:pStyle w:val="30"/>
                    <w:spacing w:line="360" w:lineRule="exact"/>
                    <w:rPr>
                      <w:color w:val="auto"/>
                      <w:szCs w:val="21"/>
                    </w:rPr>
                  </w:pPr>
                  <w:r>
                    <w:rPr>
                      <w:color w:val="auto"/>
                      <w:szCs w:val="21"/>
                    </w:rPr>
                    <w:t>6</w:t>
                  </w:r>
                </w:p>
              </w:tc>
              <w:tc>
                <w:tcPr>
                  <w:tcW w:w="747" w:type="dxa"/>
                  <w:vMerge w:val="continue"/>
                  <w:vAlign w:val="center"/>
                </w:tcPr>
                <w:p>
                  <w:pPr>
                    <w:pStyle w:val="30"/>
                    <w:spacing w:line="360" w:lineRule="exact"/>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6" w:type="dxa"/>
                  <w:vMerge w:val="continue"/>
                  <w:vAlign w:val="center"/>
                </w:tcPr>
                <w:p>
                  <w:pPr>
                    <w:pStyle w:val="30"/>
                    <w:spacing w:line="360" w:lineRule="exact"/>
                    <w:rPr>
                      <w:color w:val="auto"/>
                      <w:szCs w:val="21"/>
                    </w:rPr>
                  </w:pPr>
                </w:p>
              </w:tc>
              <w:tc>
                <w:tcPr>
                  <w:tcW w:w="595" w:type="dxa"/>
                  <w:vMerge w:val="continue"/>
                  <w:vAlign w:val="center"/>
                </w:tcPr>
                <w:p>
                  <w:pPr>
                    <w:pStyle w:val="30"/>
                    <w:spacing w:line="360" w:lineRule="exact"/>
                    <w:rPr>
                      <w:color w:val="auto"/>
                      <w:szCs w:val="21"/>
                    </w:rPr>
                  </w:pPr>
                </w:p>
              </w:tc>
              <w:tc>
                <w:tcPr>
                  <w:tcW w:w="704" w:type="dxa"/>
                  <w:vAlign w:val="center"/>
                </w:tcPr>
                <w:p>
                  <w:pPr>
                    <w:pStyle w:val="30"/>
                    <w:spacing w:line="360" w:lineRule="exact"/>
                    <w:rPr>
                      <w:color w:val="auto"/>
                      <w:szCs w:val="21"/>
                    </w:rPr>
                  </w:pPr>
                  <w:r>
                    <w:rPr>
                      <w:color w:val="auto"/>
                      <w:szCs w:val="21"/>
                    </w:rPr>
                    <w:t>生活垃圾</w:t>
                  </w:r>
                </w:p>
              </w:tc>
              <w:tc>
                <w:tcPr>
                  <w:tcW w:w="1414" w:type="dxa"/>
                  <w:vAlign w:val="center"/>
                </w:tcPr>
                <w:p>
                  <w:pPr>
                    <w:pStyle w:val="30"/>
                    <w:spacing w:line="360" w:lineRule="exact"/>
                    <w:rPr>
                      <w:color w:val="auto"/>
                      <w:szCs w:val="21"/>
                    </w:rPr>
                  </w:pPr>
                  <w:r>
                    <w:rPr>
                      <w:color w:val="auto"/>
                      <w:szCs w:val="21"/>
                    </w:rPr>
                    <w:t>生活垃圾桶</w:t>
                  </w:r>
                </w:p>
              </w:tc>
              <w:tc>
                <w:tcPr>
                  <w:tcW w:w="2666" w:type="dxa"/>
                  <w:vAlign w:val="center"/>
                </w:tcPr>
                <w:p>
                  <w:pPr>
                    <w:pStyle w:val="30"/>
                    <w:spacing w:line="360" w:lineRule="exact"/>
                    <w:ind w:firstLine="210" w:firstLineChars="100"/>
                    <w:jc w:val="left"/>
                    <w:rPr>
                      <w:color w:val="auto"/>
                      <w:szCs w:val="21"/>
                    </w:rPr>
                  </w:pPr>
                  <w:r>
                    <w:rPr>
                      <w:color w:val="auto"/>
                      <w:szCs w:val="21"/>
                    </w:rPr>
                    <w:t>--</w:t>
                  </w:r>
                </w:p>
              </w:tc>
              <w:tc>
                <w:tcPr>
                  <w:tcW w:w="850" w:type="dxa"/>
                  <w:vAlign w:val="center"/>
                </w:tcPr>
                <w:p>
                  <w:pPr>
                    <w:pStyle w:val="30"/>
                    <w:spacing w:line="360" w:lineRule="exact"/>
                    <w:rPr>
                      <w:color w:val="auto"/>
                      <w:szCs w:val="21"/>
                    </w:rPr>
                  </w:pPr>
                  <w:r>
                    <w:rPr>
                      <w:color w:val="auto"/>
                      <w:szCs w:val="21"/>
                    </w:rPr>
                    <w:t>0.01</w:t>
                  </w:r>
                </w:p>
              </w:tc>
              <w:tc>
                <w:tcPr>
                  <w:tcW w:w="731" w:type="dxa"/>
                  <w:gridSpan w:val="2"/>
                  <w:vMerge w:val="continue"/>
                  <w:vAlign w:val="center"/>
                </w:tcPr>
                <w:p>
                  <w:pPr>
                    <w:pStyle w:val="30"/>
                    <w:spacing w:line="360" w:lineRule="exact"/>
                    <w:rPr>
                      <w:color w:val="auto"/>
                      <w:szCs w:val="21"/>
                    </w:rPr>
                  </w:pPr>
                </w:p>
              </w:tc>
              <w:tc>
                <w:tcPr>
                  <w:tcW w:w="821" w:type="dxa"/>
                  <w:vAlign w:val="center"/>
                </w:tcPr>
                <w:p>
                  <w:pPr>
                    <w:pStyle w:val="30"/>
                    <w:spacing w:line="360" w:lineRule="exact"/>
                    <w:rPr>
                      <w:color w:val="auto"/>
                      <w:szCs w:val="21"/>
                    </w:rPr>
                  </w:pPr>
                  <w:r>
                    <w:rPr>
                      <w:color w:val="auto"/>
                      <w:szCs w:val="21"/>
                    </w:rPr>
                    <w:t>2</w:t>
                  </w:r>
                </w:p>
              </w:tc>
              <w:tc>
                <w:tcPr>
                  <w:tcW w:w="747" w:type="dxa"/>
                  <w:vMerge w:val="continue"/>
                  <w:vAlign w:val="center"/>
                </w:tcPr>
                <w:p>
                  <w:pPr>
                    <w:pStyle w:val="30"/>
                    <w:spacing w:line="360" w:lineRule="exact"/>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6" w:type="dxa"/>
                  <w:vMerge w:val="continue"/>
                  <w:vAlign w:val="center"/>
                </w:tcPr>
                <w:p>
                  <w:pPr>
                    <w:pStyle w:val="30"/>
                    <w:spacing w:line="360" w:lineRule="exact"/>
                    <w:rPr>
                      <w:color w:val="auto"/>
                      <w:szCs w:val="21"/>
                    </w:rPr>
                  </w:pPr>
                </w:p>
              </w:tc>
              <w:tc>
                <w:tcPr>
                  <w:tcW w:w="595" w:type="dxa"/>
                  <w:vAlign w:val="center"/>
                </w:tcPr>
                <w:p>
                  <w:pPr>
                    <w:pStyle w:val="30"/>
                    <w:spacing w:line="360" w:lineRule="exact"/>
                    <w:rPr>
                      <w:color w:val="auto"/>
                      <w:szCs w:val="21"/>
                    </w:rPr>
                  </w:pPr>
                  <w:r>
                    <w:rPr>
                      <w:color w:val="auto"/>
                      <w:szCs w:val="21"/>
                    </w:rPr>
                    <w:t>其他</w:t>
                  </w:r>
                </w:p>
              </w:tc>
              <w:tc>
                <w:tcPr>
                  <w:tcW w:w="2118" w:type="dxa"/>
                  <w:gridSpan w:val="2"/>
                  <w:vAlign w:val="center"/>
                </w:tcPr>
                <w:p>
                  <w:pPr>
                    <w:pStyle w:val="30"/>
                    <w:spacing w:line="360" w:lineRule="exact"/>
                    <w:rPr>
                      <w:color w:val="auto"/>
                      <w:szCs w:val="21"/>
                    </w:rPr>
                  </w:pPr>
                  <w:r>
                    <w:rPr>
                      <w:color w:val="auto"/>
                      <w:szCs w:val="21"/>
                    </w:rPr>
                    <w:t>标识牌</w:t>
                  </w:r>
                </w:p>
              </w:tc>
              <w:tc>
                <w:tcPr>
                  <w:tcW w:w="2666" w:type="dxa"/>
                  <w:vAlign w:val="center"/>
                </w:tcPr>
                <w:p>
                  <w:pPr>
                    <w:pStyle w:val="30"/>
                    <w:spacing w:line="360" w:lineRule="exact"/>
                    <w:ind w:firstLine="210" w:firstLineChars="100"/>
                    <w:jc w:val="left"/>
                    <w:rPr>
                      <w:color w:val="auto"/>
                      <w:szCs w:val="21"/>
                    </w:rPr>
                  </w:pPr>
                  <w:r>
                    <w:rPr>
                      <w:color w:val="auto"/>
                      <w:szCs w:val="21"/>
                    </w:rPr>
                    <w:t>--</w:t>
                  </w:r>
                </w:p>
              </w:tc>
              <w:tc>
                <w:tcPr>
                  <w:tcW w:w="850" w:type="dxa"/>
                  <w:vAlign w:val="center"/>
                </w:tcPr>
                <w:p>
                  <w:pPr>
                    <w:pStyle w:val="30"/>
                    <w:spacing w:line="360" w:lineRule="exact"/>
                    <w:rPr>
                      <w:color w:val="auto"/>
                      <w:szCs w:val="21"/>
                    </w:rPr>
                  </w:pPr>
                  <w:r>
                    <w:rPr>
                      <w:color w:val="auto"/>
                      <w:szCs w:val="21"/>
                    </w:rPr>
                    <w:t>0.1</w:t>
                  </w:r>
                </w:p>
              </w:tc>
              <w:tc>
                <w:tcPr>
                  <w:tcW w:w="731" w:type="dxa"/>
                  <w:gridSpan w:val="2"/>
                  <w:vMerge w:val="continue"/>
                  <w:vAlign w:val="center"/>
                </w:tcPr>
                <w:p>
                  <w:pPr>
                    <w:pStyle w:val="30"/>
                    <w:spacing w:line="360" w:lineRule="exact"/>
                    <w:rPr>
                      <w:color w:val="auto"/>
                      <w:szCs w:val="21"/>
                    </w:rPr>
                  </w:pPr>
                </w:p>
              </w:tc>
              <w:tc>
                <w:tcPr>
                  <w:tcW w:w="821" w:type="dxa"/>
                  <w:vAlign w:val="center"/>
                </w:tcPr>
                <w:p>
                  <w:pPr>
                    <w:pStyle w:val="30"/>
                    <w:spacing w:line="360" w:lineRule="exact"/>
                    <w:rPr>
                      <w:color w:val="auto"/>
                      <w:szCs w:val="21"/>
                    </w:rPr>
                  </w:pPr>
                  <w:r>
                    <w:rPr>
                      <w:color w:val="auto"/>
                      <w:szCs w:val="21"/>
                    </w:rPr>
                    <w:t>0</w:t>
                  </w:r>
                </w:p>
              </w:tc>
              <w:tc>
                <w:tcPr>
                  <w:tcW w:w="747" w:type="dxa"/>
                  <w:vMerge w:val="continue"/>
                  <w:vAlign w:val="center"/>
                </w:tcPr>
                <w:p>
                  <w:pPr>
                    <w:pStyle w:val="30"/>
                    <w:spacing w:line="360" w:lineRule="exact"/>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95" w:type="dxa"/>
                  <w:gridSpan w:val="5"/>
                  <w:vAlign w:val="center"/>
                </w:tcPr>
                <w:p>
                  <w:pPr>
                    <w:pStyle w:val="30"/>
                    <w:spacing w:line="360" w:lineRule="exact"/>
                    <w:rPr>
                      <w:color w:val="auto"/>
                      <w:szCs w:val="21"/>
                    </w:rPr>
                  </w:pPr>
                  <w:r>
                    <w:rPr>
                      <w:color w:val="auto"/>
                      <w:szCs w:val="21"/>
                    </w:rPr>
                    <w:t>管理相关费用</w:t>
                  </w:r>
                </w:p>
              </w:tc>
              <w:tc>
                <w:tcPr>
                  <w:tcW w:w="3149" w:type="dxa"/>
                  <w:gridSpan w:val="5"/>
                  <w:vAlign w:val="center"/>
                </w:tcPr>
                <w:p>
                  <w:pPr>
                    <w:pStyle w:val="30"/>
                    <w:spacing w:line="360" w:lineRule="exact"/>
                    <w:rPr>
                      <w:color w:val="auto"/>
                      <w:szCs w:val="21"/>
                    </w:rPr>
                  </w:pPr>
                  <w:r>
                    <w:rPr>
                      <w:color w:val="auto"/>
                      <w:szCs w:val="21"/>
                    </w:rPr>
                    <w:t xml:space="preserve">20万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95" w:type="dxa"/>
                  <w:gridSpan w:val="5"/>
                  <w:vAlign w:val="center"/>
                </w:tcPr>
                <w:p>
                  <w:pPr>
                    <w:pStyle w:val="30"/>
                    <w:spacing w:line="360" w:lineRule="exact"/>
                    <w:rPr>
                      <w:color w:val="auto"/>
                      <w:szCs w:val="21"/>
                    </w:rPr>
                  </w:pPr>
                  <w:r>
                    <w:rPr>
                      <w:color w:val="auto"/>
                      <w:szCs w:val="21"/>
                    </w:rPr>
                    <w:t>合计</w:t>
                  </w:r>
                </w:p>
              </w:tc>
              <w:tc>
                <w:tcPr>
                  <w:tcW w:w="986" w:type="dxa"/>
                  <w:gridSpan w:val="2"/>
                  <w:vAlign w:val="center"/>
                </w:tcPr>
                <w:p>
                  <w:pPr>
                    <w:pStyle w:val="30"/>
                    <w:spacing w:line="360" w:lineRule="exact"/>
                    <w:rPr>
                      <w:color w:val="auto"/>
                      <w:szCs w:val="21"/>
                    </w:rPr>
                  </w:pPr>
                  <w:r>
                    <w:rPr>
                      <w:color w:val="auto"/>
                      <w:szCs w:val="21"/>
                    </w:rPr>
                    <w:t>47.11</w:t>
                  </w:r>
                </w:p>
              </w:tc>
              <w:tc>
                <w:tcPr>
                  <w:tcW w:w="595" w:type="dxa"/>
                  <w:vAlign w:val="center"/>
                </w:tcPr>
                <w:p>
                  <w:pPr>
                    <w:pStyle w:val="30"/>
                    <w:spacing w:line="360" w:lineRule="exact"/>
                    <w:rPr>
                      <w:color w:val="auto"/>
                      <w:szCs w:val="21"/>
                    </w:rPr>
                  </w:pPr>
                  <w:r>
                    <w:rPr>
                      <w:color w:val="auto"/>
                      <w:szCs w:val="21"/>
                    </w:rPr>
                    <w:t>--</w:t>
                  </w:r>
                </w:p>
              </w:tc>
              <w:tc>
                <w:tcPr>
                  <w:tcW w:w="821" w:type="dxa"/>
                  <w:vAlign w:val="center"/>
                </w:tcPr>
                <w:p>
                  <w:pPr>
                    <w:pStyle w:val="30"/>
                    <w:spacing w:line="360" w:lineRule="exact"/>
                    <w:rPr>
                      <w:color w:val="auto"/>
                      <w:szCs w:val="21"/>
                    </w:rPr>
                  </w:pPr>
                  <w:r>
                    <w:rPr>
                      <w:color w:val="auto"/>
                      <w:szCs w:val="21"/>
                    </w:rPr>
                    <w:t>31.2</w:t>
                  </w:r>
                </w:p>
              </w:tc>
              <w:tc>
                <w:tcPr>
                  <w:tcW w:w="747" w:type="dxa"/>
                  <w:vAlign w:val="center"/>
                </w:tcPr>
                <w:p>
                  <w:pPr>
                    <w:pStyle w:val="30"/>
                    <w:spacing w:line="360" w:lineRule="exact"/>
                    <w:rPr>
                      <w:color w:val="auto"/>
                      <w:szCs w:val="21"/>
                    </w:rPr>
                  </w:pP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44" w:type="dxa"/>
                  <w:gridSpan w:val="10"/>
                  <w:vAlign w:val="center"/>
                </w:tcPr>
                <w:p>
                  <w:pPr>
                    <w:pStyle w:val="30"/>
                    <w:spacing w:line="360" w:lineRule="exact"/>
                    <w:jc w:val="left"/>
                    <w:rPr>
                      <w:color w:val="auto"/>
                      <w:szCs w:val="21"/>
                    </w:rPr>
                  </w:pPr>
                  <w:r>
                    <w:rPr>
                      <w:color w:val="auto"/>
                      <w:szCs w:val="21"/>
                    </w:rPr>
                    <w:t xml:space="preserve">  备注：“”表示已投资，不计入本次投资内。</w:t>
                  </w:r>
                </w:p>
              </w:tc>
            </w:tr>
          </w:tbl>
          <w:p>
            <w:pPr>
              <w:pStyle w:val="38"/>
              <w:ind w:firstLine="480"/>
              <w:rPr>
                <w:rFonts w:eastAsiaTheme="minorEastAsia"/>
                <w:color w:val="auto"/>
                <w:szCs w:val="24"/>
              </w:rPr>
            </w:pPr>
          </w:p>
          <w:p>
            <w:pPr>
              <w:pStyle w:val="38"/>
              <w:ind w:firstLine="480"/>
              <w:rPr>
                <w:rFonts w:eastAsiaTheme="minorEastAsia"/>
                <w:color w:val="auto"/>
                <w:szCs w:val="24"/>
              </w:rPr>
            </w:pPr>
          </w:p>
          <w:p>
            <w:pPr>
              <w:pStyle w:val="38"/>
              <w:ind w:firstLine="480"/>
              <w:rPr>
                <w:rFonts w:eastAsiaTheme="minorEastAsia"/>
                <w:color w:val="auto"/>
                <w:szCs w:val="24"/>
              </w:rPr>
            </w:pPr>
          </w:p>
          <w:p>
            <w:pPr>
              <w:pStyle w:val="38"/>
              <w:ind w:firstLine="480"/>
              <w:rPr>
                <w:rFonts w:eastAsiaTheme="minorEastAsia"/>
                <w:color w:val="auto"/>
                <w:szCs w:val="24"/>
              </w:rPr>
            </w:pPr>
          </w:p>
          <w:p>
            <w:pPr>
              <w:pStyle w:val="38"/>
              <w:ind w:firstLine="480"/>
              <w:rPr>
                <w:rFonts w:eastAsiaTheme="minorEastAsia"/>
                <w:color w:val="auto"/>
                <w:szCs w:val="24"/>
              </w:rPr>
            </w:pPr>
          </w:p>
          <w:p>
            <w:pPr>
              <w:pStyle w:val="38"/>
              <w:ind w:firstLine="480"/>
              <w:rPr>
                <w:rFonts w:hint="eastAsia" w:eastAsiaTheme="minorEastAsia"/>
                <w:color w:val="auto"/>
                <w:szCs w:val="24"/>
              </w:rPr>
            </w:pPr>
          </w:p>
          <w:p>
            <w:pPr>
              <w:pStyle w:val="38"/>
              <w:ind w:firstLine="480"/>
              <w:rPr>
                <w:rFonts w:eastAsiaTheme="minorEastAsia"/>
                <w:color w:val="auto"/>
                <w:szCs w:val="24"/>
              </w:rPr>
            </w:pPr>
          </w:p>
          <w:p>
            <w:pPr>
              <w:pStyle w:val="38"/>
              <w:ind w:firstLine="480"/>
              <w:rPr>
                <w:rFonts w:eastAsiaTheme="minorEastAsia"/>
                <w:color w:val="auto"/>
                <w:szCs w:val="24"/>
              </w:rPr>
            </w:pPr>
          </w:p>
        </w:tc>
      </w:tr>
    </w:tbl>
    <w:p>
      <w:pPr>
        <w:spacing w:line="360" w:lineRule="auto"/>
        <w:jc w:val="left"/>
        <w:outlineLvl w:val="0"/>
        <w:rPr>
          <w:rFonts w:ascii="Times New Roman" w:hAnsi="Times New Roman" w:cs="Times New Roman"/>
          <w:b/>
          <w:color w:val="auto"/>
          <w:sz w:val="28"/>
          <w:szCs w:val="20"/>
        </w:rPr>
      </w:pPr>
      <w:r>
        <w:rPr>
          <w:rFonts w:ascii="Times New Roman" w:hAnsi="Times New Roman" w:cs="Times New Roman"/>
          <w:b/>
          <w:color w:val="auto"/>
          <w:sz w:val="28"/>
          <w:szCs w:val="20"/>
        </w:rPr>
        <w:t>五、环境保护措施监督检查清单</w:t>
      </w:r>
    </w:p>
    <w:tbl>
      <w:tblPr>
        <w:tblStyle w:val="20"/>
        <w:tblW w:w="9270"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42"/>
        <w:gridCol w:w="847"/>
        <w:gridCol w:w="845"/>
        <w:gridCol w:w="852"/>
        <w:gridCol w:w="1125"/>
        <w:gridCol w:w="2956"/>
        <w:gridCol w:w="170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tcBorders>
              <w:tl2br w:val="single" w:color="auto" w:sz="4" w:space="0"/>
            </w:tcBorders>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 xml:space="preserve">  内容</w:t>
            </w:r>
          </w:p>
          <w:p>
            <w:pPr>
              <w:spacing w:line="360" w:lineRule="exact"/>
              <w:jc w:val="left"/>
              <w:rPr>
                <w:rFonts w:ascii="Times New Roman" w:hAnsi="Times New Roman" w:cs="Times New Roman"/>
                <w:color w:val="auto"/>
              </w:rPr>
            </w:pPr>
            <w:r>
              <w:rPr>
                <w:rFonts w:ascii="Times New Roman" w:hAnsi="Times New Roman" w:cs="Times New Roman"/>
                <w:color w:val="auto"/>
              </w:rPr>
              <w:t>要素</w:t>
            </w:r>
          </w:p>
        </w:tc>
        <w:tc>
          <w:tcPr>
            <w:tcW w:w="2544" w:type="dxa"/>
            <w:gridSpan w:val="3"/>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排放口（编号、名称）/污染源</w:t>
            </w:r>
          </w:p>
        </w:tc>
        <w:tc>
          <w:tcPr>
            <w:tcW w:w="1125"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污染物项目</w:t>
            </w:r>
          </w:p>
        </w:tc>
        <w:tc>
          <w:tcPr>
            <w:tcW w:w="2956"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环境保护措施</w:t>
            </w:r>
          </w:p>
        </w:tc>
        <w:tc>
          <w:tcPr>
            <w:tcW w:w="1703"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执行标准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restart"/>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大气环境</w:t>
            </w:r>
          </w:p>
        </w:tc>
        <w:tc>
          <w:tcPr>
            <w:tcW w:w="847" w:type="dxa"/>
            <w:vAlign w:val="center"/>
          </w:tcPr>
          <w:p>
            <w:pPr>
              <w:pStyle w:val="30"/>
              <w:spacing w:line="360" w:lineRule="exact"/>
              <w:rPr>
                <w:color w:val="auto"/>
                <w:szCs w:val="21"/>
              </w:rPr>
            </w:pPr>
            <w:r>
              <w:rPr>
                <w:color w:val="auto"/>
                <w:szCs w:val="21"/>
              </w:rPr>
              <w:t>废旧冰箱处理线</w:t>
            </w:r>
          </w:p>
        </w:tc>
        <w:tc>
          <w:tcPr>
            <w:tcW w:w="845" w:type="dxa"/>
            <w:vAlign w:val="center"/>
          </w:tcPr>
          <w:p>
            <w:pPr>
              <w:pStyle w:val="30"/>
              <w:rPr>
                <w:color w:val="auto"/>
                <w:szCs w:val="21"/>
              </w:rPr>
            </w:pPr>
            <w:r>
              <w:rPr>
                <w:color w:val="auto"/>
                <w:szCs w:val="21"/>
              </w:rPr>
              <w:t>冷媒抽取+拆解+破碎</w:t>
            </w:r>
          </w:p>
        </w:tc>
        <w:tc>
          <w:tcPr>
            <w:tcW w:w="852" w:type="dxa"/>
            <w:vAlign w:val="center"/>
          </w:tcPr>
          <w:p>
            <w:pPr>
              <w:pStyle w:val="30"/>
              <w:rPr>
                <w:color w:val="auto"/>
                <w:szCs w:val="21"/>
              </w:rPr>
            </w:pPr>
            <w:r>
              <w:rPr>
                <w:color w:val="auto"/>
                <w:szCs w:val="21"/>
              </w:rPr>
              <w:t>有组织</w:t>
            </w:r>
          </w:p>
        </w:tc>
        <w:tc>
          <w:tcPr>
            <w:tcW w:w="1125" w:type="dxa"/>
            <w:vAlign w:val="center"/>
          </w:tcPr>
          <w:p>
            <w:pPr>
              <w:pStyle w:val="30"/>
              <w:rPr>
                <w:color w:val="auto"/>
                <w:szCs w:val="21"/>
              </w:rPr>
            </w:pPr>
            <w:r>
              <w:rPr>
                <w:color w:val="auto"/>
                <w:szCs w:val="21"/>
              </w:rPr>
              <w:t>粉尘、非甲烷总烃</w:t>
            </w:r>
          </w:p>
        </w:tc>
        <w:tc>
          <w:tcPr>
            <w:tcW w:w="2956" w:type="dxa"/>
            <w:tcBorders>
              <w:bottom w:val="single" w:color="auto" w:sz="4" w:space="0"/>
            </w:tcBorders>
            <w:vAlign w:val="center"/>
          </w:tcPr>
          <w:p>
            <w:pPr>
              <w:pStyle w:val="30"/>
              <w:spacing w:line="360" w:lineRule="exact"/>
              <w:ind w:firstLine="210" w:firstLineChars="100"/>
              <w:jc w:val="both"/>
              <w:rPr>
                <w:color w:val="auto"/>
                <w:szCs w:val="21"/>
              </w:rPr>
            </w:pPr>
            <w:r>
              <w:rPr>
                <w:color w:val="auto"/>
                <w:szCs w:val="21"/>
              </w:rPr>
              <w:t>针对废旧冰箱处理线废气，项目已设置集气效率不低于90%的集气罩、1套去除效率不低于70%的旋风除尘器、1套去除效率不低于95%的脉冲除尘器（3#）、1套去除效率不低于80%的有机废气处理装置（采用UV光氧裂解+活性炭吸附）对其进行处理，处理后通过1根Φ0.5m、高15m的排气筒（DA001）外排。</w:t>
            </w:r>
          </w:p>
        </w:tc>
        <w:tc>
          <w:tcPr>
            <w:tcW w:w="1703" w:type="dxa"/>
            <w:vMerge w:val="restart"/>
            <w:vAlign w:val="center"/>
          </w:tcPr>
          <w:p>
            <w:pPr>
              <w:pStyle w:val="30"/>
              <w:spacing w:line="360" w:lineRule="exact"/>
              <w:ind w:firstLine="210" w:firstLineChars="100"/>
              <w:jc w:val="both"/>
              <w:rPr>
                <w:rFonts w:eastAsiaTheme="minorEastAsia"/>
                <w:color w:val="auto"/>
                <w:szCs w:val="21"/>
              </w:rPr>
            </w:pPr>
            <w:r>
              <w:rPr>
                <w:color w:val="auto"/>
                <w:szCs w:val="24"/>
              </w:rPr>
              <w:t>《大气污染物综合排放标准》（GB16297-1996）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847" w:type="dxa"/>
            <w:vAlign w:val="center"/>
          </w:tcPr>
          <w:p>
            <w:pPr>
              <w:pStyle w:val="30"/>
              <w:spacing w:line="360" w:lineRule="exact"/>
              <w:rPr>
                <w:color w:val="auto"/>
                <w:szCs w:val="21"/>
              </w:rPr>
            </w:pPr>
            <w:r>
              <w:rPr>
                <w:color w:val="auto"/>
                <w:szCs w:val="21"/>
              </w:rPr>
              <w:t>空调/小家电/废手机及其视听设备消费电子产品处理线</w:t>
            </w:r>
          </w:p>
        </w:tc>
        <w:tc>
          <w:tcPr>
            <w:tcW w:w="845" w:type="dxa"/>
            <w:vAlign w:val="center"/>
          </w:tcPr>
          <w:p>
            <w:pPr>
              <w:pStyle w:val="30"/>
              <w:spacing w:line="360" w:lineRule="exact"/>
              <w:rPr>
                <w:color w:val="auto"/>
                <w:szCs w:val="21"/>
              </w:rPr>
            </w:pPr>
            <w:r>
              <w:rPr>
                <w:color w:val="auto"/>
                <w:szCs w:val="21"/>
              </w:rPr>
              <w:t>拆解</w:t>
            </w:r>
          </w:p>
        </w:tc>
        <w:tc>
          <w:tcPr>
            <w:tcW w:w="852" w:type="dxa"/>
            <w:vAlign w:val="center"/>
          </w:tcPr>
          <w:p>
            <w:pPr>
              <w:pStyle w:val="30"/>
              <w:spacing w:line="360" w:lineRule="exact"/>
              <w:rPr>
                <w:rFonts w:eastAsiaTheme="minorEastAsia"/>
                <w:bCs w:val="0"/>
                <w:snapToGrid/>
                <w:color w:val="auto"/>
                <w:kern w:val="0"/>
                <w:szCs w:val="21"/>
                <w:lang w:val="en-US"/>
              </w:rPr>
            </w:pPr>
            <w:r>
              <w:rPr>
                <w:color w:val="auto"/>
                <w:szCs w:val="21"/>
              </w:rPr>
              <w:t>有组织</w:t>
            </w:r>
          </w:p>
        </w:tc>
        <w:tc>
          <w:tcPr>
            <w:tcW w:w="1125" w:type="dxa"/>
            <w:vAlign w:val="center"/>
          </w:tcPr>
          <w:p>
            <w:pPr>
              <w:pStyle w:val="30"/>
              <w:spacing w:line="360" w:lineRule="exact"/>
              <w:rPr>
                <w:color w:val="auto"/>
                <w:szCs w:val="21"/>
              </w:rPr>
            </w:pPr>
            <w:r>
              <w:rPr>
                <w:color w:val="auto"/>
                <w:szCs w:val="21"/>
              </w:rPr>
              <w:t>粉尘</w:t>
            </w:r>
          </w:p>
        </w:tc>
        <w:tc>
          <w:tcPr>
            <w:tcW w:w="2956" w:type="dxa"/>
            <w:tcBorders>
              <w:top w:val="single" w:color="auto" w:sz="4" w:space="0"/>
              <w:bottom w:val="single" w:color="auto" w:sz="4" w:space="0"/>
            </w:tcBorders>
            <w:vAlign w:val="center"/>
          </w:tcPr>
          <w:p>
            <w:pPr>
              <w:pStyle w:val="30"/>
              <w:spacing w:line="360" w:lineRule="exact"/>
              <w:ind w:firstLine="210" w:firstLineChars="100"/>
              <w:jc w:val="both"/>
              <w:rPr>
                <w:color w:val="auto"/>
                <w:szCs w:val="21"/>
              </w:rPr>
            </w:pPr>
            <w:r>
              <w:rPr>
                <w:color w:val="auto"/>
                <w:szCs w:val="21"/>
              </w:rPr>
              <w:t>针对空调/小家电/废手机及其视听设备消费电子产品处理线拆解粉尘，项目已对喷吹室进行密闭，并设置1个集气效率不低于90%的集气罩对其进行收集，集气罩的集气效率不低于90%；集气罩风量为5000m³/h，收集后统一进入1个处理效率不低于95%的</w:t>
            </w:r>
            <w:r>
              <w:rPr>
                <w:rFonts w:hint="eastAsia"/>
                <w:color w:val="auto"/>
                <w:szCs w:val="21"/>
              </w:rPr>
              <w:t>2</w:t>
            </w:r>
            <w:r>
              <w:rPr>
                <w:color w:val="auto"/>
                <w:szCs w:val="21"/>
              </w:rPr>
              <w:t>#脉冲除尘器对其进行处理后通过1根Φ0.4m、高15m的排气筒（DA00</w:t>
            </w:r>
            <w:r>
              <w:rPr>
                <w:rFonts w:hint="eastAsia"/>
                <w:color w:val="auto"/>
                <w:szCs w:val="21"/>
              </w:rPr>
              <w:t>2</w:t>
            </w:r>
            <w:r>
              <w:rPr>
                <w:color w:val="auto"/>
                <w:szCs w:val="21"/>
              </w:rPr>
              <w:t>）外排</w:t>
            </w:r>
            <w:r>
              <w:rPr>
                <w:rFonts w:hint="eastAsia"/>
                <w:color w:val="auto"/>
                <w:szCs w:val="21"/>
              </w:rPr>
              <w:t>。</w:t>
            </w:r>
          </w:p>
        </w:tc>
        <w:tc>
          <w:tcPr>
            <w:tcW w:w="1703" w:type="dxa"/>
            <w:vMerge w:val="continue"/>
            <w:vAlign w:val="center"/>
          </w:tcPr>
          <w:p>
            <w:pPr>
              <w:pStyle w:val="30"/>
              <w:spacing w:line="360" w:lineRule="exact"/>
              <w:ind w:firstLine="210" w:firstLineChars="100"/>
              <w:jc w:val="both"/>
              <w:rPr>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847" w:type="dxa"/>
            <w:vAlign w:val="center"/>
          </w:tcPr>
          <w:p>
            <w:pPr>
              <w:pStyle w:val="30"/>
              <w:spacing w:line="360" w:lineRule="exact"/>
              <w:rPr>
                <w:color w:val="auto"/>
                <w:szCs w:val="21"/>
              </w:rPr>
            </w:pPr>
            <w:r>
              <w:rPr>
                <w:color w:val="auto"/>
                <w:szCs w:val="21"/>
              </w:rPr>
              <w:t>废旧洗衣机处理线</w:t>
            </w:r>
          </w:p>
        </w:tc>
        <w:tc>
          <w:tcPr>
            <w:tcW w:w="845" w:type="dxa"/>
            <w:vAlign w:val="center"/>
          </w:tcPr>
          <w:p>
            <w:pPr>
              <w:pStyle w:val="30"/>
              <w:spacing w:line="360" w:lineRule="exact"/>
              <w:rPr>
                <w:color w:val="auto"/>
                <w:szCs w:val="21"/>
              </w:rPr>
            </w:pPr>
            <w:r>
              <w:rPr>
                <w:color w:val="auto"/>
                <w:szCs w:val="21"/>
              </w:rPr>
              <w:t>拆解+塑料破碎</w:t>
            </w:r>
          </w:p>
        </w:tc>
        <w:tc>
          <w:tcPr>
            <w:tcW w:w="852" w:type="dxa"/>
            <w:vAlign w:val="center"/>
          </w:tcPr>
          <w:p>
            <w:pPr>
              <w:pStyle w:val="30"/>
              <w:spacing w:line="360" w:lineRule="exact"/>
              <w:rPr>
                <w:rFonts w:eastAsiaTheme="minorEastAsia"/>
                <w:bCs w:val="0"/>
                <w:snapToGrid/>
                <w:color w:val="auto"/>
                <w:kern w:val="0"/>
                <w:szCs w:val="21"/>
                <w:lang w:val="en-US"/>
              </w:rPr>
            </w:pPr>
            <w:r>
              <w:rPr>
                <w:color w:val="auto"/>
                <w:szCs w:val="21"/>
              </w:rPr>
              <w:t>有组织</w:t>
            </w:r>
          </w:p>
        </w:tc>
        <w:tc>
          <w:tcPr>
            <w:tcW w:w="1125" w:type="dxa"/>
            <w:vAlign w:val="center"/>
          </w:tcPr>
          <w:p>
            <w:pPr>
              <w:pStyle w:val="30"/>
              <w:spacing w:line="360" w:lineRule="exact"/>
              <w:rPr>
                <w:color w:val="auto"/>
                <w:szCs w:val="21"/>
              </w:rPr>
            </w:pPr>
            <w:r>
              <w:rPr>
                <w:color w:val="auto"/>
                <w:szCs w:val="21"/>
              </w:rPr>
              <w:t>粉尘</w:t>
            </w:r>
          </w:p>
        </w:tc>
        <w:tc>
          <w:tcPr>
            <w:tcW w:w="2956" w:type="dxa"/>
            <w:tcBorders>
              <w:top w:val="single" w:color="auto" w:sz="4" w:space="0"/>
              <w:bottom w:val="single" w:color="auto" w:sz="4" w:space="0"/>
            </w:tcBorders>
            <w:vAlign w:val="center"/>
          </w:tcPr>
          <w:p>
            <w:pPr>
              <w:pStyle w:val="30"/>
              <w:spacing w:line="360" w:lineRule="exact"/>
              <w:ind w:firstLine="210" w:firstLineChars="100"/>
              <w:jc w:val="both"/>
              <w:rPr>
                <w:color w:val="auto"/>
                <w:szCs w:val="21"/>
              </w:rPr>
            </w:pPr>
            <w:r>
              <w:rPr>
                <w:color w:val="auto"/>
                <w:szCs w:val="21"/>
              </w:rPr>
              <w:t>针对废旧洗衣机拆解粉尘，项目拟对每个拆解工位设置集气效率不低于90%的集气罩进行收集，针对废旧洗衣机塑料破碎粉尘，项目拟分别对两台破碎机设置集气效率不低于90%的集气罩进行收集；收集后的粉尘通过1个处理效率不低于95%的</w:t>
            </w:r>
            <w:r>
              <w:rPr>
                <w:rFonts w:hint="eastAsia"/>
                <w:color w:val="auto"/>
                <w:szCs w:val="21"/>
              </w:rPr>
              <w:t>3</w:t>
            </w:r>
            <w:r>
              <w:rPr>
                <w:color w:val="auto"/>
                <w:szCs w:val="21"/>
              </w:rPr>
              <w:t>#脉冲除尘器处理，处理后通过1根Φ0.84m、高15m的排气筒（DA003）外排。</w:t>
            </w:r>
          </w:p>
        </w:tc>
        <w:tc>
          <w:tcPr>
            <w:tcW w:w="1703" w:type="dxa"/>
            <w:vMerge w:val="continue"/>
            <w:vAlign w:val="center"/>
          </w:tcPr>
          <w:p>
            <w:pPr>
              <w:pStyle w:val="30"/>
              <w:spacing w:line="360" w:lineRule="exact"/>
              <w:ind w:firstLine="210" w:firstLineChars="100"/>
              <w:jc w:val="both"/>
              <w:rPr>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847" w:type="dxa"/>
            <w:vAlign w:val="center"/>
          </w:tcPr>
          <w:p>
            <w:pPr>
              <w:pStyle w:val="30"/>
              <w:spacing w:line="360" w:lineRule="exact"/>
              <w:rPr>
                <w:color w:val="auto"/>
                <w:szCs w:val="21"/>
              </w:rPr>
            </w:pPr>
            <w:r>
              <w:rPr>
                <w:color w:val="auto"/>
                <w:szCs w:val="21"/>
              </w:rPr>
              <w:t>1号废旧电视机（液晶电视）处理线</w:t>
            </w:r>
          </w:p>
        </w:tc>
        <w:tc>
          <w:tcPr>
            <w:tcW w:w="845" w:type="dxa"/>
            <w:vAlign w:val="center"/>
          </w:tcPr>
          <w:p>
            <w:pPr>
              <w:pStyle w:val="30"/>
              <w:spacing w:line="360" w:lineRule="exact"/>
              <w:rPr>
                <w:color w:val="auto"/>
                <w:szCs w:val="21"/>
              </w:rPr>
            </w:pPr>
            <w:r>
              <w:rPr>
                <w:color w:val="auto"/>
                <w:szCs w:val="21"/>
              </w:rPr>
              <w:t>拆解</w:t>
            </w:r>
          </w:p>
        </w:tc>
        <w:tc>
          <w:tcPr>
            <w:tcW w:w="852" w:type="dxa"/>
            <w:vAlign w:val="center"/>
          </w:tcPr>
          <w:p>
            <w:pPr>
              <w:pStyle w:val="30"/>
              <w:spacing w:line="360" w:lineRule="exact"/>
              <w:rPr>
                <w:rFonts w:eastAsiaTheme="minorEastAsia"/>
                <w:bCs w:val="0"/>
                <w:snapToGrid/>
                <w:color w:val="auto"/>
                <w:kern w:val="0"/>
                <w:szCs w:val="21"/>
                <w:lang w:val="en-US"/>
              </w:rPr>
            </w:pPr>
            <w:r>
              <w:rPr>
                <w:color w:val="auto"/>
                <w:szCs w:val="21"/>
              </w:rPr>
              <w:t>有组织</w:t>
            </w:r>
          </w:p>
        </w:tc>
        <w:tc>
          <w:tcPr>
            <w:tcW w:w="1125" w:type="dxa"/>
            <w:vAlign w:val="center"/>
          </w:tcPr>
          <w:p>
            <w:pPr>
              <w:pStyle w:val="30"/>
              <w:spacing w:line="360" w:lineRule="exact"/>
              <w:rPr>
                <w:color w:val="auto"/>
                <w:szCs w:val="21"/>
              </w:rPr>
            </w:pPr>
            <w:r>
              <w:rPr>
                <w:color w:val="auto"/>
                <w:szCs w:val="21"/>
              </w:rPr>
              <w:t>粉尘、汞及其化合物</w:t>
            </w:r>
          </w:p>
        </w:tc>
        <w:tc>
          <w:tcPr>
            <w:tcW w:w="2956" w:type="dxa"/>
            <w:tcBorders>
              <w:top w:val="single" w:color="auto" w:sz="4" w:space="0"/>
              <w:bottom w:val="single" w:color="auto" w:sz="4" w:space="0"/>
            </w:tcBorders>
            <w:vAlign w:val="center"/>
          </w:tcPr>
          <w:p>
            <w:pPr>
              <w:pStyle w:val="30"/>
              <w:spacing w:line="360" w:lineRule="exact"/>
              <w:ind w:firstLine="210" w:firstLineChars="100"/>
              <w:jc w:val="both"/>
              <w:rPr>
                <w:color w:val="auto"/>
                <w:szCs w:val="21"/>
              </w:rPr>
            </w:pPr>
            <w:r>
              <w:rPr>
                <w:color w:val="auto"/>
                <w:szCs w:val="21"/>
              </w:rPr>
              <w:t>针对1号废旧电视机（液晶电视）处理线拆解粉尘，项目对每个拆解工位设置集气效率不低于90%的集气罩进行收集；</w:t>
            </w:r>
            <w:r>
              <w:rPr>
                <w:rFonts w:hint="eastAsia"/>
                <w:color w:val="auto"/>
                <w:szCs w:val="21"/>
              </w:rPr>
              <w:t>而</w:t>
            </w:r>
            <w:r>
              <w:rPr>
                <w:color w:val="auto"/>
                <w:szCs w:val="21"/>
              </w:rPr>
              <w:t>汞及其化合物经负压系统全部收集后，通过1套去除效率不低于80%的汞及其化合物处理装置（采用UV光氧裂解+载硫活性炭吸附）对其进行处理；</w:t>
            </w:r>
            <w:r>
              <w:rPr>
                <w:rFonts w:hint="eastAsia"/>
                <w:color w:val="auto"/>
                <w:szCs w:val="21"/>
              </w:rPr>
              <w:t>处理后的</w:t>
            </w:r>
            <w:r>
              <w:rPr>
                <w:color w:val="auto"/>
                <w:szCs w:val="21"/>
              </w:rPr>
              <w:t>汞及其化合物</w:t>
            </w:r>
            <w:r>
              <w:rPr>
                <w:rFonts w:hint="eastAsia"/>
                <w:color w:val="auto"/>
                <w:szCs w:val="21"/>
              </w:rPr>
              <w:t>和</w:t>
            </w:r>
            <w:r>
              <w:rPr>
                <w:color w:val="auto"/>
                <w:szCs w:val="21"/>
              </w:rPr>
              <w:t>废旧电视机（液晶电视）处理线拆解粉尘统一进入1个处理效率不低于95%的</w:t>
            </w:r>
            <w:r>
              <w:rPr>
                <w:rFonts w:hint="eastAsia"/>
                <w:color w:val="auto"/>
                <w:szCs w:val="21"/>
              </w:rPr>
              <w:t>4</w:t>
            </w:r>
            <w:r>
              <w:rPr>
                <w:color w:val="auto"/>
                <w:szCs w:val="21"/>
              </w:rPr>
              <w:t>#脉冲除尘器对其进行处理后通过1根Φ0.</w:t>
            </w:r>
            <w:r>
              <w:rPr>
                <w:rFonts w:hint="eastAsia"/>
                <w:color w:val="auto"/>
                <w:szCs w:val="21"/>
              </w:rPr>
              <w:t>4</w:t>
            </w:r>
            <w:r>
              <w:rPr>
                <w:color w:val="auto"/>
                <w:szCs w:val="21"/>
              </w:rPr>
              <w:t>4m</w:t>
            </w:r>
            <w:r>
              <w:rPr>
                <w:rFonts w:hint="eastAsia"/>
                <w:color w:val="auto"/>
                <w:szCs w:val="21"/>
              </w:rPr>
              <w:t>、</w:t>
            </w:r>
            <w:r>
              <w:rPr>
                <w:color w:val="auto"/>
                <w:szCs w:val="21"/>
              </w:rPr>
              <w:t>高15m的排气筒（DA00</w:t>
            </w:r>
            <w:r>
              <w:rPr>
                <w:rFonts w:hint="eastAsia"/>
                <w:color w:val="auto"/>
                <w:szCs w:val="21"/>
              </w:rPr>
              <w:t>4</w:t>
            </w:r>
            <w:r>
              <w:rPr>
                <w:color w:val="auto"/>
                <w:szCs w:val="21"/>
              </w:rPr>
              <w:t>）外排。</w:t>
            </w:r>
          </w:p>
        </w:tc>
        <w:tc>
          <w:tcPr>
            <w:tcW w:w="1703" w:type="dxa"/>
            <w:vMerge w:val="continue"/>
            <w:vAlign w:val="center"/>
          </w:tcPr>
          <w:p>
            <w:pPr>
              <w:pStyle w:val="30"/>
              <w:spacing w:line="360" w:lineRule="exact"/>
              <w:ind w:firstLine="210" w:firstLineChars="100"/>
              <w:jc w:val="both"/>
              <w:rPr>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847" w:type="dxa"/>
            <w:vMerge w:val="restart"/>
            <w:vAlign w:val="center"/>
          </w:tcPr>
          <w:p>
            <w:pPr>
              <w:pStyle w:val="30"/>
              <w:rPr>
                <w:color w:val="auto"/>
                <w:szCs w:val="21"/>
              </w:rPr>
            </w:pPr>
            <w:r>
              <w:rPr>
                <w:color w:val="auto"/>
                <w:szCs w:val="21"/>
              </w:rPr>
              <w:t>2号废旧电视机（CRT）处理线</w:t>
            </w:r>
          </w:p>
        </w:tc>
        <w:tc>
          <w:tcPr>
            <w:tcW w:w="845" w:type="dxa"/>
            <w:vAlign w:val="center"/>
          </w:tcPr>
          <w:p>
            <w:pPr>
              <w:pStyle w:val="30"/>
              <w:rPr>
                <w:color w:val="auto"/>
                <w:szCs w:val="21"/>
              </w:rPr>
            </w:pPr>
            <w:r>
              <w:rPr>
                <w:rFonts w:hint="eastAsia"/>
                <w:color w:val="auto"/>
                <w:szCs w:val="21"/>
              </w:rPr>
              <w:t>前端</w:t>
            </w:r>
            <w:r>
              <w:rPr>
                <w:color w:val="auto"/>
                <w:szCs w:val="21"/>
              </w:rPr>
              <w:t>拆解</w:t>
            </w:r>
          </w:p>
        </w:tc>
        <w:tc>
          <w:tcPr>
            <w:tcW w:w="852" w:type="dxa"/>
            <w:vAlign w:val="center"/>
          </w:tcPr>
          <w:p>
            <w:pPr>
              <w:pStyle w:val="30"/>
              <w:rPr>
                <w:color w:val="auto"/>
                <w:szCs w:val="21"/>
              </w:rPr>
            </w:pPr>
            <w:r>
              <w:rPr>
                <w:color w:val="auto"/>
                <w:szCs w:val="21"/>
              </w:rPr>
              <w:t>有组织</w:t>
            </w:r>
          </w:p>
        </w:tc>
        <w:tc>
          <w:tcPr>
            <w:tcW w:w="1125" w:type="dxa"/>
            <w:vAlign w:val="center"/>
          </w:tcPr>
          <w:p>
            <w:pPr>
              <w:pStyle w:val="30"/>
              <w:rPr>
                <w:color w:val="auto"/>
                <w:szCs w:val="21"/>
              </w:rPr>
            </w:pPr>
            <w:r>
              <w:rPr>
                <w:rFonts w:hint="eastAsia"/>
                <w:color w:val="auto"/>
                <w:szCs w:val="21"/>
              </w:rPr>
              <w:t>普通粉尘</w:t>
            </w:r>
          </w:p>
        </w:tc>
        <w:tc>
          <w:tcPr>
            <w:tcW w:w="2956" w:type="dxa"/>
            <w:tcBorders>
              <w:top w:val="single" w:color="auto" w:sz="4" w:space="0"/>
              <w:bottom w:val="single" w:color="auto" w:sz="4" w:space="0"/>
            </w:tcBorders>
            <w:vAlign w:val="center"/>
          </w:tcPr>
          <w:p>
            <w:pPr>
              <w:pStyle w:val="30"/>
              <w:spacing w:line="360" w:lineRule="exact"/>
              <w:ind w:firstLine="210" w:firstLineChars="100"/>
              <w:jc w:val="both"/>
              <w:rPr>
                <w:color w:val="auto"/>
                <w:szCs w:val="21"/>
              </w:rPr>
            </w:pPr>
            <w:r>
              <w:rPr>
                <w:color w:val="auto"/>
                <w:szCs w:val="21"/>
              </w:rPr>
              <w:t>针对2号废旧电视机（CRT）处理线拆解普通粉尘，项目已分别在1个破碎区、2个人工喷吹室、1条人工拆解线工作台分别设置了集气效率不低于90%的集气罩进行收集</w:t>
            </w:r>
            <w:r>
              <w:rPr>
                <w:rFonts w:hint="eastAsia"/>
                <w:color w:val="auto"/>
                <w:szCs w:val="21"/>
              </w:rPr>
              <w:t>，</w:t>
            </w:r>
            <w:r>
              <w:rPr>
                <w:color w:val="auto"/>
                <w:szCs w:val="21"/>
              </w:rPr>
              <w:t>收集后</w:t>
            </w:r>
            <w:r>
              <w:rPr>
                <w:rFonts w:hint="eastAsia"/>
                <w:color w:val="auto"/>
                <w:szCs w:val="21"/>
              </w:rPr>
              <w:t>,</w:t>
            </w:r>
            <w:r>
              <w:rPr>
                <w:color w:val="auto"/>
                <w:szCs w:val="21"/>
              </w:rPr>
              <w:t>进入1个处理效率不低于95%的</w:t>
            </w:r>
            <w:r>
              <w:rPr>
                <w:rFonts w:hint="eastAsia"/>
                <w:color w:val="auto"/>
                <w:szCs w:val="21"/>
              </w:rPr>
              <w:t>5</w:t>
            </w:r>
            <w:r>
              <w:rPr>
                <w:color w:val="auto"/>
                <w:szCs w:val="21"/>
              </w:rPr>
              <w:t>#脉冲除尘器对其进行处理后通过1根Φ0.74m、高15m的排气筒（DA00</w:t>
            </w:r>
            <w:r>
              <w:rPr>
                <w:rFonts w:hint="eastAsia"/>
                <w:color w:val="auto"/>
                <w:szCs w:val="21"/>
              </w:rPr>
              <w:t>5</w:t>
            </w:r>
            <w:r>
              <w:rPr>
                <w:color w:val="auto"/>
                <w:szCs w:val="21"/>
              </w:rPr>
              <w:t>）外排。</w:t>
            </w:r>
          </w:p>
        </w:tc>
        <w:tc>
          <w:tcPr>
            <w:tcW w:w="1703" w:type="dxa"/>
            <w:vMerge w:val="continue"/>
            <w:vAlign w:val="center"/>
          </w:tcPr>
          <w:p>
            <w:pPr>
              <w:pStyle w:val="30"/>
              <w:spacing w:line="360" w:lineRule="exact"/>
              <w:ind w:firstLine="210" w:firstLineChars="100"/>
              <w:jc w:val="both"/>
              <w:rPr>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847" w:type="dxa"/>
            <w:vMerge w:val="continue"/>
            <w:vAlign w:val="center"/>
          </w:tcPr>
          <w:p>
            <w:pPr>
              <w:pStyle w:val="30"/>
              <w:rPr>
                <w:color w:val="auto"/>
                <w:szCs w:val="21"/>
              </w:rPr>
            </w:pPr>
          </w:p>
        </w:tc>
        <w:tc>
          <w:tcPr>
            <w:tcW w:w="845" w:type="dxa"/>
            <w:vAlign w:val="center"/>
          </w:tcPr>
          <w:p>
            <w:pPr>
              <w:pStyle w:val="30"/>
              <w:rPr>
                <w:color w:val="auto"/>
                <w:szCs w:val="21"/>
              </w:rPr>
            </w:pPr>
            <w:r>
              <w:rPr>
                <w:color w:val="auto"/>
                <w:szCs w:val="21"/>
              </w:rPr>
              <w:t>阴极射线管（CRT）拆解</w:t>
            </w:r>
          </w:p>
        </w:tc>
        <w:tc>
          <w:tcPr>
            <w:tcW w:w="852" w:type="dxa"/>
            <w:vAlign w:val="center"/>
          </w:tcPr>
          <w:p>
            <w:pPr>
              <w:pStyle w:val="30"/>
              <w:rPr>
                <w:color w:val="auto"/>
                <w:szCs w:val="21"/>
              </w:rPr>
            </w:pPr>
            <w:r>
              <w:rPr>
                <w:color w:val="auto"/>
                <w:szCs w:val="21"/>
              </w:rPr>
              <w:t>有组织</w:t>
            </w:r>
          </w:p>
        </w:tc>
        <w:tc>
          <w:tcPr>
            <w:tcW w:w="1125" w:type="dxa"/>
            <w:vAlign w:val="center"/>
          </w:tcPr>
          <w:p>
            <w:pPr>
              <w:pStyle w:val="30"/>
              <w:rPr>
                <w:color w:val="auto"/>
                <w:szCs w:val="21"/>
              </w:rPr>
            </w:pPr>
            <w:r>
              <w:rPr>
                <w:color w:val="auto"/>
                <w:szCs w:val="21"/>
              </w:rPr>
              <w:t>粉尘、汞及其化合物</w:t>
            </w:r>
          </w:p>
        </w:tc>
        <w:tc>
          <w:tcPr>
            <w:tcW w:w="2956" w:type="dxa"/>
            <w:tcBorders>
              <w:top w:val="single" w:color="auto" w:sz="4" w:space="0"/>
              <w:bottom w:val="single" w:color="auto" w:sz="4" w:space="0"/>
            </w:tcBorders>
            <w:vAlign w:val="center"/>
          </w:tcPr>
          <w:p>
            <w:pPr>
              <w:pStyle w:val="30"/>
              <w:spacing w:line="360" w:lineRule="exact"/>
              <w:ind w:firstLine="210" w:firstLineChars="100"/>
              <w:jc w:val="both"/>
              <w:rPr>
                <w:color w:val="auto"/>
                <w:szCs w:val="21"/>
              </w:rPr>
            </w:pPr>
            <w:r>
              <w:rPr>
                <w:color w:val="auto"/>
                <w:szCs w:val="21"/>
              </w:rPr>
              <w:t>针对2号废旧电视机（CRT）处理线拆解含铅粉尘，阴极射线管（CRT）拆解区为密闭式拆解区设置6个阴极射线管（CRT）拆解工作台，项目分别对6个阴极射线管（CRT）拆解工作台设置集气效率不低于95%的集气罩对其进行收集；收集后统一进入1个处理效率不低于95%的6#脉冲除尘器对其进行处理，处理后通过1根Φ0.76m、高15m的排气筒（DA006）外排。</w:t>
            </w:r>
          </w:p>
        </w:tc>
        <w:tc>
          <w:tcPr>
            <w:tcW w:w="1703" w:type="dxa"/>
            <w:vMerge w:val="continue"/>
            <w:vAlign w:val="center"/>
          </w:tcPr>
          <w:p>
            <w:pPr>
              <w:pStyle w:val="30"/>
              <w:spacing w:line="360" w:lineRule="exact"/>
              <w:ind w:firstLine="210" w:firstLineChars="100"/>
              <w:jc w:val="both"/>
              <w:rPr>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847" w:type="dxa"/>
            <w:vAlign w:val="center"/>
          </w:tcPr>
          <w:p>
            <w:pPr>
              <w:pStyle w:val="30"/>
              <w:spacing w:line="360" w:lineRule="exact"/>
              <w:rPr>
                <w:color w:val="auto"/>
                <w:szCs w:val="21"/>
              </w:rPr>
            </w:pPr>
            <w:r>
              <w:rPr>
                <w:color w:val="auto"/>
                <w:szCs w:val="21"/>
              </w:rPr>
              <w:t>厨房</w:t>
            </w:r>
          </w:p>
        </w:tc>
        <w:tc>
          <w:tcPr>
            <w:tcW w:w="845" w:type="dxa"/>
            <w:vAlign w:val="center"/>
          </w:tcPr>
          <w:p>
            <w:pPr>
              <w:pStyle w:val="30"/>
              <w:spacing w:line="360" w:lineRule="exact"/>
              <w:rPr>
                <w:color w:val="auto"/>
                <w:szCs w:val="21"/>
              </w:rPr>
            </w:pPr>
            <w:r>
              <w:rPr>
                <w:color w:val="auto"/>
                <w:szCs w:val="21"/>
              </w:rPr>
              <w:t>--</w:t>
            </w:r>
          </w:p>
        </w:tc>
        <w:tc>
          <w:tcPr>
            <w:tcW w:w="852" w:type="dxa"/>
            <w:vAlign w:val="center"/>
          </w:tcPr>
          <w:p>
            <w:pPr>
              <w:pStyle w:val="30"/>
              <w:spacing w:line="360" w:lineRule="exact"/>
              <w:rPr>
                <w:color w:val="auto"/>
                <w:szCs w:val="21"/>
              </w:rPr>
            </w:pPr>
            <w:r>
              <w:rPr>
                <w:color w:val="auto"/>
                <w:szCs w:val="21"/>
              </w:rPr>
              <w:t>--</w:t>
            </w:r>
          </w:p>
        </w:tc>
        <w:tc>
          <w:tcPr>
            <w:tcW w:w="1125" w:type="dxa"/>
            <w:vAlign w:val="center"/>
          </w:tcPr>
          <w:p>
            <w:pPr>
              <w:pStyle w:val="30"/>
              <w:spacing w:line="360" w:lineRule="exact"/>
              <w:rPr>
                <w:color w:val="auto"/>
                <w:szCs w:val="21"/>
              </w:rPr>
            </w:pPr>
            <w:r>
              <w:rPr>
                <w:color w:val="auto"/>
                <w:szCs w:val="21"/>
              </w:rPr>
              <w:t>厨房油烟</w:t>
            </w:r>
          </w:p>
        </w:tc>
        <w:tc>
          <w:tcPr>
            <w:tcW w:w="2956" w:type="dxa"/>
            <w:vAlign w:val="center"/>
          </w:tcPr>
          <w:p>
            <w:pPr>
              <w:pStyle w:val="30"/>
              <w:spacing w:line="360" w:lineRule="exact"/>
              <w:ind w:firstLine="210" w:firstLineChars="100"/>
              <w:jc w:val="both"/>
              <w:rPr>
                <w:color w:val="auto"/>
                <w:szCs w:val="21"/>
              </w:rPr>
            </w:pPr>
            <w:r>
              <w:rPr>
                <w:color w:val="auto"/>
                <w:szCs w:val="21"/>
              </w:rPr>
              <w:t>项目区厨房安装一个最低去除率60%的油烟净化器。</w:t>
            </w:r>
          </w:p>
        </w:tc>
        <w:tc>
          <w:tcPr>
            <w:tcW w:w="1703" w:type="dxa"/>
            <w:vAlign w:val="center"/>
          </w:tcPr>
          <w:p>
            <w:pPr>
              <w:pStyle w:val="30"/>
              <w:spacing w:line="360" w:lineRule="exact"/>
              <w:ind w:firstLine="210" w:firstLineChars="100"/>
              <w:jc w:val="both"/>
              <w:rPr>
                <w:rFonts w:eastAsiaTheme="minorEastAsia"/>
                <w:color w:val="auto"/>
                <w:szCs w:val="21"/>
              </w:rPr>
            </w:pPr>
            <w:r>
              <w:rPr>
                <w:color w:val="auto"/>
                <w:szCs w:val="21"/>
              </w:rPr>
              <w:t>《昆明市地方标准 餐饮业油烟污染物排放要求》（DB5301/T50-2021）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restart"/>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地表水环境</w:t>
            </w:r>
          </w:p>
        </w:tc>
        <w:tc>
          <w:tcPr>
            <w:tcW w:w="1692" w:type="dxa"/>
            <w:gridSpan w:val="2"/>
            <w:vAlign w:val="center"/>
          </w:tcPr>
          <w:p>
            <w:pPr>
              <w:pStyle w:val="30"/>
              <w:spacing w:line="360" w:lineRule="exact"/>
              <w:rPr>
                <w:color w:val="auto"/>
                <w:szCs w:val="21"/>
              </w:rPr>
            </w:pPr>
            <w:r>
              <w:rPr>
                <w:rFonts w:eastAsiaTheme="minorEastAsia"/>
                <w:color w:val="auto"/>
                <w:szCs w:val="21"/>
              </w:rPr>
              <w:t>废旧洗衣机处理线</w:t>
            </w:r>
          </w:p>
        </w:tc>
        <w:tc>
          <w:tcPr>
            <w:tcW w:w="852" w:type="dxa"/>
            <w:vAlign w:val="center"/>
          </w:tcPr>
          <w:p>
            <w:pPr>
              <w:pStyle w:val="30"/>
              <w:spacing w:line="360" w:lineRule="exact"/>
              <w:rPr>
                <w:color w:val="auto"/>
                <w:szCs w:val="21"/>
              </w:rPr>
            </w:pPr>
            <w:r>
              <w:rPr>
                <w:color w:val="auto"/>
                <w:szCs w:val="21"/>
              </w:rPr>
              <w:t>不外排</w:t>
            </w:r>
          </w:p>
        </w:tc>
        <w:tc>
          <w:tcPr>
            <w:tcW w:w="1125" w:type="dxa"/>
            <w:vAlign w:val="center"/>
          </w:tcPr>
          <w:p>
            <w:pPr>
              <w:pStyle w:val="30"/>
              <w:spacing w:line="360" w:lineRule="exact"/>
              <w:rPr>
                <w:color w:val="auto"/>
                <w:szCs w:val="21"/>
              </w:rPr>
            </w:pPr>
            <w:r>
              <w:rPr>
                <w:rFonts w:eastAsiaTheme="minorEastAsia"/>
                <w:color w:val="auto"/>
                <w:szCs w:val="21"/>
              </w:rPr>
              <w:t>平衡盐水</w:t>
            </w:r>
          </w:p>
        </w:tc>
        <w:tc>
          <w:tcPr>
            <w:tcW w:w="2956" w:type="dxa"/>
            <w:vAlign w:val="center"/>
          </w:tcPr>
          <w:p>
            <w:pPr>
              <w:pStyle w:val="30"/>
              <w:spacing w:line="360" w:lineRule="exact"/>
              <w:ind w:firstLine="210" w:firstLineChars="100"/>
              <w:jc w:val="both"/>
              <w:rPr>
                <w:color w:val="auto"/>
                <w:szCs w:val="21"/>
              </w:rPr>
            </w:pPr>
            <w:r>
              <w:rPr>
                <w:color w:val="auto"/>
                <w:szCs w:val="21"/>
              </w:rPr>
              <w:t>项目平衡盐水按1：8的比例稀释后回用于绿化，不外排。</w:t>
            </w:r>
          </w:p>
        </w:tc>
        <w:tc>
          <w:tcPr>
            <w:tcW w:w="1703" w:type="dxa"/>
            <w:tcBorders>
              <w:bottom w:val="single" w:color="auto" w:sz="4" w:space="0"/>
            </w:tcBorders>
            <w:vAlign w:val="center"/>
          </w:tcPr>
          <w:p>
            <w:pPr>
              <w:pStyle w:val="30"/>
              <w:spacing w:line="360" w:lineRule="exact"/>
              <w:ind w:firstLine="210" w:firstLineChars="100"/>
              <w:jc w:val="left"/>
              <w:rPr>
                <w:color w:val="auto"/>
                <w:szCs w:val="21"/>
              </w:rPr>
            </w:pPr>
            <w:r>
              <w:rPr>
                <w:rFonts w:hint="eastAsia"/>
                <w:color w:val="auto"/>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1692" w:type="dxa"/>
            <w:gridSpan w:val="2"/>
            <w:vMerge w:val="restart"/>
            <w:vAlign w:val="center"/>
          </w:tcPr>
          <w:p>
            <w:pPr>
              <w:pStyle w:val="30"/>
              <w:spacing w:line="360" w:lineRule="exact"/>
              <w:rPr>
                <w:color w:val="auto"/>
                <w:szCs w:val="21"/>
              </w:rPr>
            </w:pPr>
            <w:r>
              <w:rPr>
                <w:rFonts w:eastAsiaTheme="minorEastAsia"/>
                <w:color w:val="auto"/>
                <w:szCs w:val="21"/>
              </w:rPr>
              <w:t>厂区范围</w:t>
            </w:r>
          </w:p>
        </w:tc>
        <w:tc>
          <w:tcPr>
            <w:tcW w:w="852" w:type="dxa"/>
            <w:vAlign w:val="center"/>
          </w:tcPr>
          <w:p>
            <w:pPr>
              <w:pStyle w:val="30"/>
              <w:spacing w:line="360" w:lineRule="exact"/>
              <w:rPr>
                <w:color w:val="auto"/>
                <w:szCs w:val="21"/>
              </w:rPr>
            </w:pPr>
            <w:r>
              <w:rPr>
                <w:color w:val="auto"/>
                <w:szCs w:val="21"/>
              </w:rPr>
              <w:t>不外排</w:t>
            </w:r>
          </w:p>
        </w:tc>
        <w:tc>
          <w:tcPr>
            <w:tcW w:w="1125" w:type="dxa"/>
            <w:vAlign w:val="center"/>
          </w:tcPr>
          <w:p>
            <w:pPr>
              <w:pStyle w:val="30"/>
              <w:spacing w:line="360" w:lineRule="exact"/>
              <w:rPr>
                <w:color w:val="auto"/>
                <w:szCs w:val="21"/>
              </w:rPr>
            </w:pPr>
            <w:r>
              <w:rPr>
                <w:color w:val="auto"/>
                <w:szCs w:val="21"/>
              </w:rPr>
              <w:t>初期雨水</w:t>
            </w:r>
          </w:p>
        </w:tc>
        <w:tc>
          <w:tcPr>
            <w:tcW w:w="2956" w:type="dxa"/>
            <w:vAlign w:val="center"/>
          </w:tcPr>
          <w:p>
            <w:pPr>
              <w:pStyle w:val="30"/>
              <w:spacing w:line="360" w:lineRule="exact"/>
              <w:ind w:firstLine="210" w:firstLineChars="100"/>
              <w:jc w:val="both"/>
              <w:rPr>
                <w:color w:val="auto"/>
                <w:szCs w:val="21"/>
              </w:rPr>
            </w:pPr>
            <w:r>
              <w:rPr>
                <w:color w:val="auto"/>
                <w:szCs w:val="21"/>
              </w:rPr>
              <w:t>项目拟建设1个30m³的初期雨水收集池，对厂区的初期雨水进行收集；收集沉淀处理后回用于项目区绿化，不外排。</w:t>
            </w:r>
          </w:p>
        </w:tc>
        <w:tc>
          <w:tcPr>
            <w:tcW w:w="1703" w:type="dxa"/>
            <w:tcBorders>
              <w:top w:val="single" w:color="auto" w:sz="4" w:space="0"/>
            </w:tcBorders>
            <w:vAlign w:val="center"/>
          </w:tcPr>
          <w:p>
            <w:pPr>
              <w:pStyle w:val="30"/>
              <w:spacing w:line="360" w:lineRule="exact"/>
              <w:ind w:firstLine="210" w:firstLineChars="100"/>
              <w:jc w:val="both"/>
              <w:rPr>
                <w:rFonts w:eastAsiaTheme="minorEastAsia"/>
                <w:color w:val="auto"/>
              </w:rPr>
            </w:pPr>
            <w:r>
              <w:rPr>
                <w:rFonts w:eastAsiaTheme="minorEastAsia"/>
                <w:color w:val="auto"/>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1692" w:type="dxa"/>
            <w:gridSpan w:val="2"/>
            <w:vMerge w:val="continue"/>
            <w:vAlign w:val="center"/>
          </w:tcPr>
          <w:p>
            <w:pPr>
              <w:pStyle w:val="30"/>
              <w:spacing w:line="360" w:lineRule="exact"/>
              <w:rPr>
                <w:color w:val="auto"/>
                <w:szCs w:val="21"/>
              </w:rPr>
            </w:pPr>
          </w:p>
        </w:tc>
        <w:tc>
          <w:tcPr>
            <w:tcW w:w="852" w:type="dxa"/>
            <w:vAlign w:val="center"/>
          </w:tcPr>
          <w:p>
            <w:pPr>
              <w:pStyle w:val="30"/>
              <w:spacing w:line="360" w:lineRule="exact"/>
              <w:rPr>
                <w:color w:val="auto"/>
                <w:szCs w:val="21"/>
              </w:rPr>
            </w:pPr>
            <w:r>
              <w:rPr>
                <w:color w:val="auto"/>
                <w:szCs w:val="21"/>
              </w:rPr>
              <w:t>雨水口</w:t>
            </w:r>
          </w:p>
        </w:tc>
        <w:tc>
          <w:tcPr>
            <w:tcW w:w="1125" w:type="dxa"/>
            <w:vAlign w:val="center"/>
          </w:tcPr>
          <w:p>
            <w:pPr>
              <w:pStyle w:val="30"/>
              <w:spacing w:line="360" w:lineRule="exact"/>
              <w:rPr>
                <w:color w:val="auto"/>
                <w:szCs w:val="21"/>
              </w:rPr>
            </w:pPr>
            <w:r>
              <w:rPr>
                <w:color w:val="auto"/>
                <w:szCs w:val="21"/>
              </w:rPr>
              <w:t>雨水</w:t>
            </w:r>
          </w:p>
        </w:tc>
        <w:tc>
          <w:tcPr>
            <w:tcW w:w="2956" w:type="dxa"/>
            <w:vAlign w:val="center"/>
          </w:tcPr>
          <w:p>
            <w:pPr>
              <w:pStyle w:val="30"/>
              <w:spacing w:line="360" w:lineRule="exact"/>
              <w:ind w:firstLine="210" w:firstLineChars="100"/>
              <w:jc w:val="both"/>
              <w:rPr>
                <w:color w:val="auto"/>
                <w:szCs w:val="21"/>
              </w:rPr>
            </w:pPr>
            <w:r>
              <w:rPr>
                <w:color w:val="auto"/>
                <w:szCs w:val="21"/>
              </w:rPr>
              <w:t>雨水外排。</w:t>
            </w:r>
          </w:p>
        </w:tc>
        <w:tc>
          <w:tcPr>
            <w:tcW w:w="1703" w:type="dxa"/>
            <w:vAlign w:val="center"/>
          </w:tcPr>
          <w:p>
            <w:pPr>
              <w:pStyle w:val="30"/>
              <w:spacing w:line="360" w:lineRule="exact"/>
              <w:ind w:firstLine="210" w:firstLineChars="100"/>
              <w:jc w:val="both"/>
              <w:rPr>
                <w:rFonts w:eastAsiaTheme="minorEastAsia"/>
                <w:color w:val="auto"/>
              </w:rPr>
            </w:pPr>
            <w:r>
              <w:rPr>
                <w:color w:val="auto"/>
                <w:szCs w:val="21"/>
              </w:rPr>
              <w:t>《污水综合排放标准》（GB8978-1996）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1692" w:type="dxa"/>
            <w:gridSpan w:val="2"/>
            <w:vAlign w:val="center"/>
          </w:tcPr>
          <w:p>
            <w:pPr>
              <w:pStyle w:val="30"/>
              <w:spacing w:line="360" w:lineRule="exact"/>
              <w:rPr>
                <w:color w:val="auto"/>
                <w:szCs w:val="21"/>
              </w:rPr>
            </w:pPr>
            <w:r>
              <w:rPr>
                <w:color w:val="auto"/>
                <w:szCs w:val="21"/>
              </w:rPr>
              <w:t>员工生活</w:t>
            </w:r>
          </w:p>
        </w:tc>
        <w:tc>
          <w:tcPr>
            <w:tcW w:w="852" w:type="dxa"/>
            <w:vAlign w:val="center"/>
          </w:tcPr>
          <w:p>
            <w:pPr>
              <w:pStyle w:val="30"/>
              <w:spacing w:line="360" w:lineRule="exact"/>
              <w:rPr>
                <w:color w:val="auto"/>
                <w:szCs w:val="21"/>
              </w:rPr>
            </w:pPr>
            <w:r>
              <w:rPr>
                <w:color w:val="auto"/>
                <w:szCs w:val="21"/>
              </w:rPr>
              <w:t>不外排</w:t>
            </w:r>
          </w:p>
        </w:tc>
        <w:tc>
          <w:tcPr>
            <w:tcW w:w="1125" w:type="dxa"/>
            <w:vAlign w:val="center"/>
          </w:tcPr>
          <w:p>
            <w:pPr>
              <w:pStyle w:val="30"/>
              <w:spacing w:line="360" w:lineRule="exact"/>
              <w:rPr>
                <w:color w:val="auto"/>
                <w:szCs w:val="21"/>
              </w:rPr>
            </w:pPr>
            <w:r>
              <w:rPr>
                <w:color w:val="auto"/>
                <w:szCs w:val="21"/>
              </w:rPr>
              <w:t>生活污水</w:t>
            </w:r>
          </w:p>
        </w:tc>
        <w:tc>
          <w:tcPr>
            <w:tcW w:w="2956" w:type="dxa"/>
            <w:vAlign w:val="center"/>
          </w:tcPr>
          <w:p>
            <w:pPr>
              <w:pStyle w:val="30"/>
              <w:spacing w:line="360" w:lineRule="exact"/>
              <w:ind w:firstLine="210" w:firstLineChars="100"/>
              <w:jc w:val="both"/>
              <w:rPr>
                <w:color w:val="auto"/>
                <w:szCs w:val="21"/>
              </w:rPr>
            </w:pPr>
            <w:r>
              <w:rPr>
                <w:color w:val="auto"/>
                <w:szCs w:val="21"/>
              </w:rPr>
              <w:t>根据调查，厂区内针对厨房废水，已配套设置了1个2m³的隔油池对厨房废水进行预处理；针对办公生活区，已配套设置了3个5m³的化粪池对生活污水进行处理；整改后拟建设1套处理能力为30m³/d的一体化污水处理设施对生活污水进行处理；并拟设置1个有效容积为30m³的清水池对处理后的生活污水进行暂存。</w:t>
            </w:r>
          </w:p>
          <w:p>
            <w:pPr>
              <w:pStyle w:val="30"/>
              <w:spacing w:line="360" w:lineRule="exact"/>
              <w:ind w:firstLine="210" w:firstLineChars="100"/>
              <w:jc w:val="both"/>
              <w:rPr>
                <w:color w:val="auto"/>
                <w:szCs w:val="21"/>
              </w:rPr>
            </w:pPr>
            <w:r>
              <w:rPr>
                <w:color w:val="auto"/>
                <w:szCs w:val="21"/>
              </w:rPr>
              <w:t>近期（园区污水处理厂建成前），项目产生的生活污水通过隔油池、化粪池和一体化污水处理设施处理后，回用于绿化不外排；远期（园区污水处理厂建成后），项目产生的生活污水通过隔油池、化粪池预处理后，进入东川再就业特区天生桥特色产业园污水处理厂集中处理。</w:t>
            </w:r>
          </w:p>
        </w:tc>
        <w:tc>
          <w:tcPr>
            <w:tcW w:w="1703" w:type="dxa"/>
            <w:vAlign w:val="center"/>
          </w:tcPr>
          <w:p>
            <w:pPr>
              <w:pStyle w:val="30"/>
              <w:spacing w:line="360" w:lineRule="exact"/>
              <w:ind w:firstLine="210" w:firstLineChars="100"/>
              <w:jc w:val="both"/>
              <w:rPr>
                <w:rFonts w:eastAsiaTheme="minorEastAsia"/>
                <w:color w:val="auto"/>
              </w:rPr>
            </w:pPr>
            <w:r>
              <w:rPr>
                <w:color w:val="auto"/>
                <w:szCs w:val="21"/>
              </w:rPr>
              <w:t>近期（园区污水处理厂建成前）：《</w:t>
            </w:r>
            <w:r>
              <w:rPr>
                <w:rFonts w:eastAsiaTheme="minorEastAsia"/>
                <w:color w:val="auto"/>
              </w:rPr>
              <w:t>城市污水再生利用城市杂用水水质》（GB/T18920-2020）城市绿化标准；</w:t>
            </w:r>
          </w:p>
          <w:p>
            <w:pPr>
              <w:pStyle w:val="30"/>
              <w:spacing w:line="360" w:lineRule="exact"/>
              <w:ind w:firstLine="210" w:firstLineChars="100"/>
              <w:jc w:val="both"/>
              <w:rPr>
                <w:rFonts w:eastAsiaTheme="minorEastAsia"/>
                <w:color w:val="auto"/>
              </w:rPr>
            </w:pPr>
            <w:r>
              <w:rPr>
                <w:color w:val="auto"/>
                <w:szCs w:val="21"/>
              </w:rPr>
              <w:t>远期（园区污水处理厂建成后）：《污水排入城镇下水道水质标准》（GB/T31962-2015）中B级标准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 w:hRule="atLeast"/>
          <w:jc w:val="center"/>
        </w:trPr>
        <w:tc>
          <w:tcPr>
            <w:tcW w:w="942" w:type="dxa"/>
            <w:vMerge w:val="restart"/>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声环境</w:t>
            </w:r>
          </w:p>
        </w:tc>
        <w:tc>
          <w:tcPr>
            <w:tcW w:w="2544" w:type="dxa"/>
            <w:gridSpan w:val="3"/>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废旧冰箱处理线设备</w:t>
            </w:r>
          </w:p>
        </w:tc>
        <w:tc>
          <w:tcPr>
            <w:tcW w:w="1125" w:type="dxa"/>
            <w:vMerge w:val="restart"/>
            <w:vAlign w:val="center"/>
          </w:tcPr>
          <w:p>
            <w:pPr>
              <w:spacing w:line="360" w:lineRule="exact"/>
              <w:jc w:val="center"/>
              <w:rPr>
                <w:rFonts w:ascii="Times New Roman" w:hAnsi="Times New Roman" w:cs="Times New Roman"/>
                <w:color w:val="auto"/>
                <w:kern w:val="0"/>
              </w:rPr>
            </w:pPr>
            <w:r>
              <w:rPr>
                <w:rFonts w:ascii="Times New Roman" w:hAnsi="Times New Roman" w:cs="Times New Roman"/>
                <w:color w:val="auto"/>
                <w:kern w:val="0"/>
              </w:rPr>
              <w:t>LeqdB（A）</w:t>
            </w:r>
          </w:p>
        </w:tc>
        <w:tc>
          <w:tcPr>
            <w:tcW w:w="2956" w:type="dxa"/>
            <w:vMerge w:val="restart"/>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设备安装减震垫、消声器、墙体阻隔等。</w:t>
            </w:r>
          </w:p>
        </w:tc>
        <w:tc>
          <w:tcPr>
            <w:tcW w:w="1703" w:type="dxa"/>
            <w:vMerge w:val="restart"/>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达到《工业企业厂界环境噪声排放标准》（GB12348-2008）3类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 w:hRule="atLeast"/>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2544" w:type="dxa"/>
            <w:gridSpan w:val="3"/>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废旧洗衣机处理线设备</w:t>
            </w:r>
          </w:p>
        </w:tc>
        <w:tc>
          <w:tcPr>
            <w:tcW w:w="1125" w:type="dxa"/>
            <w:vMerge w:val="continue"/>
            <w:vAlign w:val="center"/>
          </w:tcPr>
          <w:p>
            <w:pPr>
              <w:spacing w:line="360" w:lineRule="exact"/>
              <w:jc w:val="center"/>
              <w:rPr>
                <w:rFonts w:ascii="Times New Roman" w:hAnsi="Times New Roman" w:cs="Times New Roman"/>
                <w:color w:val="auto"/>
                <w:kern w:val="0"/>
              </w:rPr>
            </w:pPr>
          </w:p>
        </w:tc>
        <w:tc>
          <w:tcPr>
            <w:tcW w:w="2956" w:type="dxa"/>
            <w:vMerge w:val="continue"/>
            <w:vAlign w:val="center"/>
          </w:tcPr>
          <w:p>
            <w:pPr>
              <w:pStyle w:val="30"/>
              <w:spacing w:line="360" w:lineRule="exact"/>
              <w:ind w:firstLine="210" w:firstLineChars="100"/>
              <w:jc w:val="both"/>
              <w:rPr>
                <w:rFonts w:eastAsiaTheme="minorEastAsia"/>
                <w:color w:val="auto"/>
                <w:szCs w:val="21"/>
              </w:rPr>
            </w:pPr>
          </w:p>
        </w:tc>
        <w:tc>
          <w:tcPr>
            <w:tcW w:w="1703" w:type="dxa"/>
            <w:vMerge w:val="continue"/>
            <w:vAlign w:val="center"/>
          </w:tcPr>
          <w:p>
            <w:pPr>
              <w:pStyle w:val="30"/>
              <w:spacing w:line="360" w:lineRule="exact"/>
              <w:ind w:firstLine="210" w:firstLineChars="100"/>
              <w:jc w:val="both"/>
              <w:rPr>
                <w:rFonts w:eastAsia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 w:hRule="atLeast"/>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2544" w:type="dxa"/>
            <w:gridSpan w:val="3"/>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空调/小家电/废手机及其视听设备消费电子产品处理线设备</w:t>
            </w:r>
          </w:p>
        </w:tc>
        <w:tc>
          <w:tcPr>
            <w:tcW w:w="1125" w:type="dxa"/>
            <w:vMerge w:val="continue"/>
            <w:vAlign w:val="center"/>
          </w:tcPr>
          <w:p>
            <w:pPr>
              <w:spacing w:line="360" w:lineRule="exact"/>
              <w:jc w:val="center"/>
              <w:rPr>
                <w:rFonts w:ascii="Times New Roman" w:hAnsi="Times New Roman" w:cs="Times New Roman"/>
                <w:color w:val="auto"/>
                <w:kern w:val="0"/>
              </w:rPr>
            </w:pPr>
          </w:p>
        </w:tc>
        <w:tc>
          <w:tcPr>
            <w:tcW w:w="2956" w:type="dxa"/>
            <w:vMerge w:val="continue"/>
            <w:vAlign w:val="center"/>
          </w:tcPr>
          <w:p>
            <w:pPr>
              <w:pStyle w:val="30"/>
              <w:spacing w:line="360" w:lineRule="exact"/>
              <w:ind w:firstLine="210" w:firstLineChars="100"/>
              <w:jc w:val="both"/>
              <w:rPr>
                <w:rFonts w:eastAsiaTheme="minorEastAsia"/>
                <w:color w:val="auto"/>
                <w:szCs w:val="21"/>
              </w:rPr>
            </w:pPr>
          </w:p>
        </w:tc>
        <w:tc>
          <w:tcPr>
            <w:tcW w:w="1703" w:type="dxa"/>
            <w:vMerge w:val="continue"/>
            <w:vAlign w:val="center"/>
          </w:tcPr>
          <w:p>
            <w:pPr>
              <w:pStyle w:val="30"/>
              <w:spacing w:line="360" w:lineRule="exact"/>
              <w:ind w:firstLine="210" w:firstLineChars="100"/>
              <w:jc w:val="both"/>
              <w:rPr>
                <w:rFonts w:eastAsia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 w:hRule="atLeast"/>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2544" w:type="dxa"/>
            <w:gridSpan w:val="3"/>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2号废旧电视机（CRT）处理线设备</w:t>
            </w:r>
          </w:p>
        </w:tc>
        <w:tc>
          <w:tcPr>
            <w:tcW w:w="1125" w:type="dxa"/>
            <w:vMerge w:val="continue"/>
            <w:vAlign w:val="center"/>
          </w:tcPr>
          <w:p>
            <w:pPr>
              <w:spacing w:line="360" w:lineRule="exact"/>
              <w:jc w:val="center"/>
              <w:rPr>
                <w:rFonts w:ascii="Times New Roman" w:hAnsi="Times New Roman" w:cs="Times New Roman"/>
                <w:color w:val="auto"/>
                <w:kern w:val="0"/>
              </w:rPr>
            </w:pPr>
          </w:p>
        </w:tc>
        <w:tc>
          <w:tcPr>
            <w:tcW w:w="2956" w:type="dxa"/>
            <w:vMerge w:val="continue"/>
            <w:vAlign w:val="center"/>
          </w:tcPr>
          <w:p>
            <w:pPr>
              <w:pStyle w:val="30"/>
              <w:spacing w:line="360" w:lineRule="exact"/>
              <w:ind w:firstLine="210" w:firstLineChars="100"/>
              <w:jc w:val="both"/>
              <w:rPr>
                <w:rFonts w:eastAsiaTheme="minorEastAsia"/>
                <w:color w:val="auto"/>
                <w:szCs w:val="21"/>
              </w:rPr>
            </w:pPr>
          </w:p>
        </w:tc>
        <w:tc>
          <w:tcPr>
            <w:tcW w:w="1703" w:type="dxa"/>
            <w:vMerge w:val="continue"/>
            <w:vAlign w:val="center"/>
          </w:tcPr>
          <w:p>
            <w:pPr>
              <w:pStyle w:val="30"/>
              <w:spacing w:line="360" w:lineRule="exact"/>
              <w:ind w:firstLine="210" w:firstLineChars="100"/>
              <w:jc w:val="both"/>
              <w:rPr>
                <w:rFonts w:eastAsia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 w:hRule="atLeast"/>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2544" w:type="dxa"/>
            <w:gridSpan w:val="3"/>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1号废旧电视机（液晶电视）处理线设备</w:t>
            </w:r>
          </w:p>
        </w:tc>
        <w:tc>
          <w:tcPr>
            <w:tcW w:w="1125" w:type="dxa"/>
            <w:vMerge w:val="continue"/>
            <w:vAlign w:val="center"/>
          </w:tcPr>
          <w:p>
            <w:pPr>
              <w:spacing w:line="360" w:lineRule="exact"/>
              <w:jc w:val="center"/>
              <w:rPr>
                <w:rFonts w:ascii="Times New Roman" w:hAnsi="Times New Roman" w:cs="Times New Roman"/>
                <w:color w:val="auto"/>
                <w:kern w:val="0"/>
              </w:rPr>
            </w:pPr>
          </w:p>
        </w:tc>
        <w:tc>
          <w:tcPr>
            <w:tcW w:w="2956" w:type="dxa"/>
            <w:vMerge w:val="continue"/>
            <w:vAlign w:val="center"/>
          </w:tcPr>
          <w:p>
            <w:pPr>
              <w:pStyle w:val="30"/>
              <w:spacing w:line="360" w:lineRule="exact"/>
              <w:ind w:firstLine="210" w:firstLineChars="100"/>
              <w:jc w:val="both"/>
              <w:rPr>
                <w:rFonts w:eastAsiaTheme="minorEastAsia"/>
                <w:color w:val="auto"/>
                <w:szCs w:val="21"/>
              </w:rPr>
            </w:pPr>
          </w:p>
        </w:tc>
        <w:tc>
          <w:tcPr>
            <w:tcW w:w="1703" w:type="dxa"/>
            <w:vMerge w:val="continue"/>
            <w:vAlign w:val="center"/>
          </w:tcPr>
          <w:p>
            <w:pPr>
              <w:pStyle w:val="30"/>
              <w:spacing w:line="360" w:lineRule="exact"/>
              <w:ind w:firstLine="210" w:firstLineChars="100"/>
              <w:jc w:val="both"/>
              <w:rPr>
                <w:rFonts w:eastAsia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 w:hRule="atLeast"/>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2544" w:type="dxa"/>
            <w:gridSpan w:val="3"/>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叉车等运输设备</w:t>
            </w:r>
          </w:p>
        </w:tc>
        <w:tc>
          <w:tcPr>
            <w:tcW w:w="1125" w:type="dxa"/>
            <w:vMerge w:val="continue"/>
            <w:vAlign w:val="center"/>
          </w:tcPr>
          <w:p>
            <w:pPr>
              <w:spacing w:line="360" w:lineRule="exact"/>
              <w:jc w:val="center"/>
              <w:rPr>
                <w:rFonts w:ascii="Times New Roman" w:hAnsi="Times New Roman" w:cs="Times New Roman"/>
                <w:color w:val="auto"/>
                <w:kern w:val="0"/>
              </w:rPr>
            </w:pPr>
          </w:p>
        </w:tc>
        <w:tc>
          <w:tcPr>
            <w:tcW w:w="2956" w:type="dxa"/>
            <w:vMerge w:val="continue"/>
            <w:vAlign w:val="center"/>
          </w:tcPr>
          <w:p>
            <w:pPr>
              <w:pStyle w:val="30"/>
              <w:spacing w:line="360" w:lineRule="exact"/>
              <w:ind w:firstLine="210" w:firstLineChars="100"/>
              <w:jc w:val="both"/>
              <w:rPr>
                <w:rFonts w:eastAsiaTheme="minorEastAsia"/>
                <w:color w:val="auto"/>
                <w:szCs w:val="21"/>
              </w:rPr>
            </w:pPr>
          </w:p>
        </w:tc>
        <w:tc>
          <w:tcPr>
            <w:tcW w:w="1703" w:type="dxa"/>
            <w:vMerge w:val="continue"/>
            <w:vAlign w:val="center"/>
          </w:tcPr>
          <w:p>
            <w:pPr>
              <w:pStyle w:val="30"/>
              <w:spacing w:line="360" w:lineRule="exact"/>
              <w:ind w:firstLine="210" w:firstLineChars="100"/>
              <w:jc w:val="both"/>
              <w:rPr>
                <w:rFonts w:eastAsia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restart"/>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固体废物</w:t>
            </w:r>
          </w:p>
        </w:tc>
        <w:tc>
          <w:tcPr>
            <w:tcW w:w="2544" w:type="dxa"/>
            <w:gridSpan w:val="3"/>
            <w:vMerge w:val="restart"/>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废旧冰箱处理线、废旧洗衣机处理线、空调/小家电/废手机及其视听设备消费电子产品处理线、2号废旧电视机（CRT）处理线、1号废旧电视机（液晶电视）处理线</w:t>
            </w:r>
          </w:p>
        </w:tc>
        <w:tc>
          <w:tcPr>
            <w:tcW w:w="1125" w:type="dxa"/>
            <w:tcBorders>
              <w:bottom w:val="single" w:color="auto" w:sz="4" w:space="0"/>
            </w:tcBorders>
            <w:vAlign w:val="center"/>
          </w:tcPr>
          <w:p>
            <w:pPr>
              <w:pStyle w:val="30"/>
              <w:spacing w:line="360" w:lineRule="exact"/>
              <w:rPr>
                <w:color w:val="auto"/>
                <w:szCs w:val="21"/>
              </w:rPr>
            </w:pPr>
            <w:r>
              <w:rPr>
                <w:color w:val="auto"/>
                <w:szCs w:val="21"/>
              </w:rPr>
              <w:t>废塑料</w:t>
            </w:r>
          </w:p>
        </w:tc>
        <w:tc>
          <w:tcPr>
            <w:tcW w:w="2956" w:type="dxa"/>
            <w:tcBorders>
              <w:bottom w:val="single" w:color="auto" w:sz="4" w:space="0"/>
            </w:tcBorders>
            <w:vAlign w:val="center"/>
          </w:tcPr>
          <w:p>
            <w:pPr>
              <w:pStyle w:val="30"/>
              <w:spacing w:line="360" w:lineRule="exact"/>
              <w:ind w:firstLine="210" w:firstLineChars="100"/>
              <w:jc w:val="left"/>
              <w:rPr>
                <w:color w:val="auto"/>
                <w:szCs w:val="21"/>
              </w:rPr>
            </w:pPr>
            <w:r>
              <w:rPr>
                <w:color w:val="auto"/>
              </w:rPr>
              <w:t>已和清远市联和再生资源有限公司、云南昆船环保技术有限公司等21家公司签订合同，通过招投标情况决定委托处置单位。</w:t>
            </w:r>
          </w:p>
        </w:tc>
        <w:tc>
          <w:tcPr>
            <w:tcW w:w="1703" w:type="dxa"/>
            <w:vMerge w:val="restart"/>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处置率为100%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2544" w:type="dxa"/>
            <w:gridSpan w:val="3"/>
            <w:vMerge w:val="continue"/>
            <w:vAlign w:val="center"/>
          </w:tcPr>
          <w:p>
            <w:pPr>
              <w:spacing w:line="360" w:lineRule="exact"/>
              <w:jc w:val="center"/>
              <w:rPr>
                <w:rFonts w:ascii="Times New Roman" w:hAnsi="Times New Roman" w:cs="Times New Roman"/>
                <w:color w:val="auto"/>
              </w:rPr>
            </w:pPr>
          </w:p>
        </w:tc>
        <w:tc>
          <w:tcPr>
            <w:tcW w:w="1125" w:type="dxa"/>
            <w:tcBorders>
              <w:bottom w:val="single" w:color="auto" w:sz="4" w:space="0"/>
            </w:tcBorders>
            <w:vAlign w:val="center"/>
          </w:tcPr>
          <w:p>
            <w:pPr>
              <w:pStyle w:val="30"/>
              <w:spacing w:line="360" w:lineRule="exact"/>
              <w:rPr>
                <w:color w:val="auto"/>
                <w:szCs w:val="21"/>
              </w:rPr>
            </w:pPr>
            <w:r>
              <w:rPr>
                <w:color w:val="auto"/>
                <w:szCs w:val="21"/>
              </w:rPr>
              <w:t>废旧有色金属（铜/铝等）</w:t>
            </w:r>
          </w:p>
        </w:tc>
        <w:tc>
          <w:tcPr>
            <w:tcW w:w="2956" w:type="dxa"/>
            <w:tcBorders>
              <w:top w:val="single" w:color="auto" w:sz="4" w:space="0"/>
              <w:bottom w:val="single" w:color="auto" w:sz="4" w:space="0"/>
            </w:tcBorders>
            <w:vAlign w:val="center"/>
          </w:tcPr>
          <w:p>
            <w:pPr>
              <w:pStyle w:val="30"/>
              <w:spacing w:line="360" w:lineRule="exact"/>
              <w:ind w:firstLine="210" w:firstLineChars="100"/>
              <w:jc w:val="left"/>
              <w:rPr>
                <w:color w:val="auto"/>
                <w:szCs w:val="21"/>
              </w:rPr>
            </w:pPr>
            <w:r>
              <w:rPr>
                <w:color w:val="auto"/>
              </w:rPr>
              <w:t>已和天津通宜顺金属制品有限公司、曲靖市马龙区巨龙机电制造有限公司等16家公司签订合同，通过招投标情况决定委托处置单位。</w:t>
            </w:r>
          </w:p>
        </w:tc>
        <w:tc>
          <w:tcPr>
            <w:tcW w:w="1703" w:type="dxa"/>
            <w:vMerge w:val="continue"/>
            <w:vAlign w:val="center"/>
          </w:tcPr>
          <w:p>
            <w:pPr>
              <w:pStyle w:val="30"/>
              <w:spacing w:line="360" w:lineRule="exact"/>
              <w:ind w:firstLine="210" w:firstLineChars="100"/>
              <w:jc w:val="both"/>
              <w:rPr>
                <w:rFonts w:eastAsia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2544" w:type="dxa"/>
            <w:gridSpan w:val="3"/>
            <w:vMerge w:val="continue"/>
            <w:vAlign w:val="center"/>
          </w:tcPr>
          <w:p>
            <w:pPr>
              <w:spacing w:line="360" w:lineRule="exact"/>
              <w:jc w:val="center"/>
              <w:rPr>
                <w:rFonts w:ascii="Times New Roman" w:hAnsi="Times New Roman" w:cs="Times New Roman"/>
                <w:color w:val="auto"/>
              </w:rPr>
            </w:pPr>
          </w:p>
        </w:tc>
        <w:tc>
          <w:tcPr>
            <w:tcW w:w="1125" w:type="dxa"/>
            <w:tcBorders>
              <w:bottom w:val="single" w:color="auto" w:sz="4" w:space="0"/>
            </w:tcBorders>
            <w:vAlign w:val="center"/>
          </w:tcPr>
          <w:p>
            <w:pPr>
              <w:pStyle w:val="30"/>
              <w:spacing w:line="360" w:lineRule="exact"/>
              <w:rPr>
                <w:color w:val="auto"/>
                <w:szCs w:val="21"/>
              </w:rPr>
            </w:pPr>
            <w:r>
              <w:rPr>
                <w:color w:val="auto"/>
                <w:szCs w:val="21"/>
              </w:rPr>
              <w:t>废钢/铁</w:t>
            </w:r>
          </w:p>
        </w:tc>
        <w:tc>
          <w:tcPr>
            <w:tcW w:w="2956" w:type="dxa"/>
            <w:tcBorders>
              <w:top w:val="single" w:color="auto" w:sz="4" w:space="0"/>
              <w:bottom w:val="single" w:color="auto" w:sz="4" w:space="0"/>
            </w:tcBorders>
            <w:vAlign w:val="center"/>
          </w:tcPr>
          <w:p>
            <w:pPr>
              <w:pStyle w:val="30"/>
              <w:spacing w:line="360" w:lineRule="exact"/>
              <w:ind w:firstLine="210" w:firstLineChars="100"/>
              <w:jc w:val="left"/>
              <w:rPr>
                <w:color w:val="auto"/>
                <w:szCs w:val="21"/>
              </w:rPr>
            </w:pPr>
            <w:r>
              <w:rPr>
                <w:color w:val="auto"/>
              </w:rPr>
              <w:t>已和玉溪保家再生资源有限公司、天津凯成发金属制品有限公司、安宁市伟中铸造有限公司签订合同，通过招投标情况决定委托处置单位。</w:t>
            </w:r>
          </w:p>
        </w:tc>
        <w:tc>
          <w:tcPr>
            <w:tcW w:w="1703" w:type="dxa"/>
            <w:vMerge w:val="continue"/>
            <w:vAlign w:val="center"/>
          </w:tcPr>
          <w:p>
            <w:pPr>
              <w:pStyle w:val="30"/>
              <w:spacing w:line="360" w:lineRule="exact"/>
              <w:ind w:firstLine="210" w:firstLineChars="100"/>
              <w:jc w:val="both"/>
              <w:rPr>
                <w:rFonts w:eastAsia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2544" w:type="dxa"/>
            <w:gridSpan w:val="3"/>
            <w:vMerge w:val="continue"/>
            <w:vAlign w:val="center"/>
          </w:tcPr>
          <w:p>
            <w:pPr>
              <w:pStyle w:val="30"/>
              <w:spacing w:line="360" w:lineRule="exact"/>
              <w:rPr>
                <w:rFonts w:eastAsiaTheme="minorEastAsia"/>
                <w:color w:val="auto"/>
                <w:szCs w:val="21"/>
              </w:rPr>
            </w:pPr>
          </w:p>
        </w:tc>
        <w:tc>
          <w:tcPr>
            <w:tcW w:w="1125" w:type="dxa"/>
            <w:tcBorders>
              <w:bottom w:val="single" w:color="auto" w:sz="4" w:space="0"/>
            </w:tcBorders>
            <w:vAlign w:val="center"/>
          </w:tcPr>
          <w:p>
            <w:pPr>
              <w:pStyle w:val="30"/>
              <w:spacing w:line="360" w:lineRule="exact"/>
              <w:rPr>
                <w:color w:val="auto"/>
                <w:szCs w:val="21"/>
              </w:rPr>
            </w:pPr>
            <w:r>
              <w:rPr>
                <w:color w:val="auto"/>
                <w:szCs w:val="21"/>
              </w:rPr>
              <w:t>废玻璃</w:t>
            </w:r>
          </w:p>
        </w:tc>
        <w:tc>
          <w:tcPr>
            <w:tcW w:w="2956" w:type="dxa"/>
            <w:tcBorders>
              <w:top w:val="single" w:color="auto" w:sz="4" w:space="0"/>
              <w:bottom w:val="single" w:color="auto" w:sz="4" w:space="0"/>
            </w:tcBorders>
            <w:vAlign w:val="center"/>
          </w:tcPr>
          <w:p>
            <w:pPr>
              <w:pStyle w:val="30"/>
              <w:spacing w:line="360" w:lineRule="exact"/>
              <w:ind w:firstLine="210" w:firstLineChars="100"/>
              <w:jc w:val="left"/>
              <w:rPr>
                <w:color w:val="auto"/>
                <w:szCs w:val="21"/>
              </w:rPr>
            </w:pPr>
            <w:r>
              <w:rPr>
                <w:color w:val="auto"/>
              </w:rPr>
              <w:t>已和泸州永恒玻璃有限公司、四川省泸州市海纳环保科技有限公司、四川吉晶安新材料科技有限公司签订合同，通过招投标情况决定委托处置单位。</w:t>
            </w:r>
          </w:p>
        </w:tc>
        <w:tc>
          <w:tcPr>
            <w:tcW w:w="1703" w:type="dxa"/>
            <w:vMerge w:val="continue"/>
            <w:vAlign w:val="center"/>
          </w:tcPr>
          <w:p>
            <w:pPr>
              <w:pStyle w:val="30"/>
              <w:spacing w:line="360" w:lineRule="exact"/>
              <w:ind w:firstLine="210" w:firstLineChars="100"/>
              <w:jc w:val="both"/>
              <w:rPr>
                <w:rFonts w:eastAsia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2544" w:type="dxa"/>
            <w:gridSpan w:val="3"/>
            <w:vMerge w:val="continue"/>
            <w:vAlign w:val="center"/>
          </w:tcPr>
          <w:p>
            <w:pPr>
              <w:pStyle w:val="30"/>
              <w:spacing w:line="360" w:lineRule="exact"/>
              <w:rPr>
                <w:rFonts w:eastAsiaTheme="minorEastAsia"/>
                <w:color w:val="auto"/>
                <w:szCs w:val="21"/>
              </w:rPr>
            </w:pPr>
          </w:p>
        </w:tc>
        <w:tc>
          <w:tcPr>
            <w:tcW w:w="1125" w:type="dxa"/>
            <w:tcBorders>
              <w:bottom w:val="single" w:color="auto" w:sz="4" w:space="0"/>
            </w:tcBorders>
            <w:vAlign w:val="center"/>
          </w:tcPr>
          <w:p>
            <w:pPr>
              <w:pStyle w:val="30"/>
              <w:spacing w:line="360" w:lineRule="exact"/>
              <w:rPr>
                <w:color w:val="auto"/>
                <w:szCs w:val="21"/>
              </w:rPr>
            </w:pPr>
            <w:r>
              <w:rPr>
                <w:color w:val="auto"/>
                <w:szCs w:val="21"/>
              </w:rPr>
              <w:t>泡棉</w:t>
            </w:r>
          </w:p>
        </w:tc>
        <w:tc>
          <w:tcPr>
            <w:tcW w:w="2956" w:type="dxa"/>
            <w:tcBorders>
              <w:top w:val="single" w:color="auto" w:sz="4" w:space="0"/>
              <w:bottom w:val="single" w:color="auto" w:sz="4" w:space="0"/>
            </w:tcBorders>
            <w:vAlign w:val="center"/>
          </w:tcPr>
          <w:p>
            <w:pPr>
              <w:pStyle w:val="30"/>
              <w:spacing w:line="360" w:lineRule="exact"/>
              <w:ind w:firstLine="210" w:firstLineChars="100"/>
              <w:jc w:val="left"/>
              <w:rPr>
                <w:color w:val="auto"/>
                <w:szCs w:val="21"/>
              </w:rPr>
            </w:pPr>
            <w:r>
              <w:rPr>
                <w:color w:val="auto"/>
                <w:szCs w:val="21"/>
              </w:rPr>
              <w:t>委托昆明涌诺保洁服务有限公司处置</w:t>
            </w:r>
          </w:p>
        </w:tc>
        <w:tc>
          <w:tcPr>
            <w:tcW w:w="1703" w:type="dxa"/>
            <w:vMerge w:val="continue"/>
            <w:vAlign w:val="center"/>
          </w:tcPr>
          <w:p>
            <w:pPr>
              <w:pStyle w:val="30"/>
              <w:spacing w:line="360" w:lineRule="exact"/>
              <w:ind w:firstLine="210" w:firstLineChars="100"/>
              <w:jc w:val="both"/>
              <w:rPr>
                <w:rFonts w:eastAsia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2544" w:type="dxa"/>
            <w:gridSpan w:val="3"/>
            <w:vMerge w:val="continue"/>
            <w:vAlign w:val="center"/>
          </w:tcPr>
          <w:p>
            <w:pPr>
              <w:pStyle w:val="30"/>
              <w:spacing w:line="360" w:lineRule="exact"/>
              <w:rPr>
                <w:rFonts w:eastAsiaTheme="minorEastAsia"/>
                <w:color w:val="auto"/>
                <w:szCs w:val="21"/>
              </w:rPr>
            </w:pPr>
          </w:p>
        </w:tc>
        <w:tc>
          <w:tcPr>
            <w:tcW w:w="1125" w:type="dxa"/>
            <w:tcBorders>
              <w:bottom w:val="single" w:color="auto" w:sz="4" w:space="0"/>
            </w:tcBorders>
            <w:vAlign w:val="center"/>
          </w:tcPr>
          <w:p>
            <w:pPr>
              <w:pStyle w:val="30"/>
              <w:spacing w:line="360" w:lineRule="exact"/>
              <w:rPr>
                <w:color w:val="auto"/>
                <w:szCs w:val="21"/>
              </w:rPr>
            </w:pPr>
            <w:r>
              <w:rPr>
                <w:color w:val="auto"/>
                <w:szCs w:val="21"/>
              </w:rPr>
              <w:t>废电子配件（开关、电容、电源线等）</w:t>
            </w:r>
          </w:p>
        </w:tc>
        <w:tc>
          <w:tcPr>
            <w:tcW w:w="2956" w:type="dxa"/>
            <w:tcBorders>
              <w:top w:val="single" w:color="auto" w:sz="4" w:space="0"/>
              <w:bottom w:val="single" w:color="auto" w:sz="4" w:space="0"/>
            </w:tcBorders>
            <w:vAlign w:val="center"/>
          </w:tcPr>
          <w:p>
            <w:pPr>
              <w:pStyle w:val="30"/>
              <w:spacing w:line="360" w:lineRule="exact"/>
              <w:ind w:firstLine="210" w:firstLineChars="100"/>
              <w:jc w:val="left"/>
              <w:rPr>
                <w:color w:val="auto"/>
                <w:szCs w:val="21"/>
              </w:rPr>
            </w:pPr>
            <w:r>
              <w:rPr>
                <w:color w:val="auto"/>
              </w:rPr>
              <w:t>已和北京国浩贸易有限公司、河南京飞再生资源有限公司签订合同，通过招投标情况决定委托处置单位。</w:t>
            </w:r>
          </w:p>
        </w:tc>
        <w:tc>
          <w:tcPr>
            <w:tcW w:w="1703" w:type="dxa"/>
            <w:vMerge w:val="continue"/>
            <w:vAlign w:val="center"/>
          </w:tcPr>
          <w:p>
            <w:pPr>
              <w:pStyle w:val="30"/>
              <w:spacing w:line="360" w:lineRule="exact"/>
              <w:ind w:firstLine="210" w:firstLineChars="100"/>
              <w:jc w:val="both"/>
              <w:rPr>
                <w:rFonts w:eastAsia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2544" w:type="dxa"/>
            <w:gridSpan w:val="3"/>
            <w:vMerge w:val="continue"/>
            <w:vAlign w:val="center"/>
          </w:tcPr>
          <w:p>
            <w:pPr>
              <w:pStyle w:val="30"/>
              <w:spacing w:line="360" w:lineRule="exact"/>
              <w:rPr>
                <w:rFonts w:eastAsiaTheme="minorEastAsia"/>
                <w:color w:val="auto"/>
                <w:szCs w:val="21"/>
              </w:rPr>
            </w:pPr>
          </w:p>
        </w:tc>
        <w:tc>
          <w:tcPr>
            <w:tcW w:w="1125" w:type="dxa"/>
            <w:tcBorders>
              <w:bottom w:val="single" w:color="auto" w:sz="4" w:space="0"/>
            </w:tcBorders>
            <w:vAlign w:val="center"/>
          </w:tcPr>
          <w:p>
            <w:pPr>
              <w:pStyle w:val="30"/>
              <w:spacing w:line="360" w:lineRule="exact"/>
              <w:rPr>
                <w:color w:val="auto"/>
                <w:szCs w:val="21"/>
              </w:rPr>
            </w:pPr>
            <w:r>
              <w:rPr>
                <w:color w:val="auto"/>
                <w:szCs w:val="21"/>
              </w:rPr>
              <w:t>制冷剂</w:t>
            </w:r>
          </w:p>
        </w:tc>
        <w:tc>
          <w:tcPr>
            <w:tcW w:w="2956" w:type="dxa"/>
            <w:tcBorders>
              <w:top w:val="single" w:color="auto" w:sz="4" w:space="0"/>
              <w:bottom w:val="single" w:color="auto" w:sz="4" w:space="0"/>
            </w:tcBorders>
            <w:vAlign w:val="center"/>
          </w:tcPr>
          <w:p>
            <w:pPr>
              <w:pStyle w:val="30"/>
              <w:spacing w:line="360" w:lineRule="exact"/>
              <w:ind w:firstLine="210" w:firstLineChars="100"/>
              <w:jc w:val="left"/>
              <w:rPr>
                <w:color w:val="auto"/>
                <w:szCs w:val="21"/>
              </w:rPr>
            </w:pPr>
            <w:r>
              <w:rPr>
                <w:color w:val="auto"/>
                <w:szCs w:val="21"/>
              </w:rPr>
              <w:t>暂存于4危险废物贮存间，委托天津澳宏环保材料有限公司处置。</w:t>
            </w:r>
          </w:p>
        </w:tc>
        <w:tc>
          <w:tcPr>
            <w:tcW w:w="1703" w:type="dxa"/>
            <w:vMerge w:val="continue"/>
            <w:vAlign w:val="center"/>
          </w:tcPr>
          <w:p>
            <w:pPr>
              <w:pStyle w:val="30"/>
              <w:spacing w:line="360" w:lineRule="exact"/>
              <w:ind w:firstLine="210" w:firstLineChars="100"/>
              <w:jc w:val="both"/>
              <w:rPr>
                <w:rFonts w:eastAsia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2544" w:type="dxa"/>
            <w:gridSpan w:val="3"/>
            <w:vMerge w:val="continue"/>
            <w:vAlign w:val="center"/>
          </w:tcPr>
          <w:p>
            <w:pPr>
              <w:pStyle w:val="30"/>
              <w:spacing w:line="360" w:lineRule="exact"/>
              <w:rPr>
                <w:rFonts w:eastAsiaTheme="minorEastAsia"/>
                <w:color w:val="auto"/>
                <w:szCs w:val="21"/>
              </w:rPr>
            </w:pPr>
          </w:p>
        </w:tc>
        <w:tc>
          <w:tcPr>
            <w:tcW w:w="1125" w:type="dxa"/>
            <w:tcBorders>
              <w:bottom w:val="single" w:color="auto" w:sz="4" w:space="0"/>
            </w:tcBorders>
            <w:vAlign w:val="center"/>
          </w:tcPr>
          <w:p>
            <w:pPr>
              <w:pStyle w:val="30"/>
              <w:spacing w:line="360" w:lineRule="exact"/>
              <w:rPr>
                <w:color w:val="auto"/>
                <w:szCs w:val="21"/>
              </w:rPr>
            </w:pPr>
            <w:r>
              <w:rPr>
                <w:color w:val="auto"/>
                <w:szCs w:val="21"/>
              </w:rPr>
              <w:t>废弃细碎料</w:t>
            </w:r>
          </w:p>
        </w:tc>
        <w:tc>
          <w:tcPr>
            <w:tcW w:w="2956" w:type="dxa"/>
            <w:tcBorders>
              <w:top w:val="single" w:color="auto" w:sz="4" w:space="0"/>
              <w:bottom w:val="single" w:color="auto" w:sz="4" w:space="0"/>
            </w:tcBorders>
            <w:vAlign w:val="center"/>
          </w:tcPr>
          <w:p>
            <w:pPr>
              <w:pStyle w:val="30"/>
              <w:spacing w:line="360" w:lineRule="exact"/>
              <w:ind w:firstLine="210" w:firstLineChars="100"/>
              <w:jc w:val="left"/>
              <w:rPr>
                <w:color w:val="auto"/>
                <w:szCs w:val="21"/>
              </w:rPr>
            </w:pPr>
            <w:r>
              <w:rPr>
                <w:color w:val="auto"/>
                <w:szCs w:val="21"/>
              </w:rPr>
              <w:t>委托昆明涌诺保洁服务有限公司处置。</w:t>
            </w:r>
          </w:p>
        </w:tc>
        <w:tc>
          <w:tcPr>
            <w:tcW w:w="1703" w:type="dxa"/>
            <w:vMerge w:val="continue"/>
            <w:vAlign w:val="center"/>
          </w:tcPr>
          <w:p>
            <w:pPr>
              <w:pStyle w:val="30"/>
              <w:spacing w:line="360" w:lineRule="exact"/>
              <w:ind w:firstLine="210" w:firstLineChars="100"/>
              <w:jc w:val="both"/>
              <w:rPr>
                <w:rFonts w:eastAsia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2544" w:type="dxa"/>
            <w:gridSpan w:val="3"/>
            <w:vMerge w:val="continue"/>
            <w:vAlign w:val="center"/>
          </w:tcPr>
          <w:p>
            <w:pPr>
              <w:pStyle w:val="30"/>
              <w:spacing w:line="360" w:lineRule="exact"/>
              <w:rPr>
                <w:rFonts w:eastAsiaTheme="minorEastAsia"/>
                <w:color w:val="auto"/>
                <w:szCs w:val="21"/>
              </w:rPr>
            </w:pPr>
          </w:p>
        </w:tc>
        <w:tc>
          <w:tcPr>
            <w:tcW w:w="1125" w:type="dxa"/>
            <w:tcBorders>
              <w:bottom w:val="single" w:color="auto" w:sz="4" w:space="0"/>
            </w:tcBorders>
            <w:vAlign w:val="center"/>
          </w:tcPr>
          <w:p>
            <w:pPr>
              <w:pStyle w:val="30"/>
              <w:spacing w:line="360" w:lineRule="exact"/>
              <w:rPr>
                <w:color w:val="auto"/>
                <w:szCs w:val="21"/>
              </w:rPr>
            </w:pPr>
            <w:r>
              <w:rPr>
                <w:color w:val="auto"/>
                <w:szCs w:val="21"/>
              </w:rPr>
              <w:t>收集粉尘</w:t>
            </w:r>
          </w:p>
        </w:tc>
        <w:tc>
          <w:tcPr>
            <w:tcW w:w="2956" w:type="dxa"/>
            <w:tcBorders>
              <w:top w:val="single" w:color="auto" w:sz="4" w:space="0"/>
              <w:bottom w:val="single" w:color="auto" w:sz="4" w:space="0"/>
            </w:tcBorders>
            <w:vAlign w:val="center"/>
          </w:tcPr>
          <w:p>
            <w:pPr>
              <w:pStyle w:val="30"/>
              <w:spacing w:line="360" w:lineRule="exact"/>
              <w:ind w:firstLine="210" w:firstLineChars="100"/>
              <w:jc w:val="left"/>
              <w:rPr>
                <w:color w:val="auto"/>
                <w:szCs w:val="21"/>
              </w:rPr>
            </w:pPr>
            <w:r>
              <w:rPr>
                <w:color w:val="auto"/>
                <w:szCs w:val="21"/>
              </w:rPr>
              <w:t>委托昆明涌诺保洁服务有限公司处置。</w:t>
            </w:r>
          </w:p>
        </w:tc>
        <w:tc>
          <w:tcPr>
            <w:tcW w:w="1703" w:type="dxa"/>
            <w:vMerge w:val="continue"/>
            <w:vAlign w:val="center"/>
          </w:tcPr>
          <w:p>
            <w:pPr>
              <w:pStyle w:val="30"/>
              <w:spacing w:line="360" w:lineRule="exact"/>
              <w:ind w:firstLine="210" w:firstLineChars="100"/>
              <w:jc w:val="both"/>
              <w:rPr>
                <w:rFonts w:eastAsia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2544" w:type="dxa"/>
            <w:gridSpan w:val="3"/>
            <w:vMerge w:val="continue"/>
            <w:vAlign w:val="center"/>
          </w:tcPr>
          <w:p>
            <w:pPr>
              <w:spacing w:line="360" w:lineRule="exact"/>
              <w:jc w:val="center"/>
              <w:rPr>
                <w:rFonts w:ascii="Times New Roman" w:hAnsi="Times New Roman" w:cs="Times New Roman"/>
                <w:color w:val="auto"/>
                <w:kern w:val="0"/>
              </w:rPr>
            </w:pPr>
          </w:p>
        </w:tc>
        <w:tc>
          <w:tcPr>
            <w:tcW w:w="1125" w:type="dxa"/>
            <w:vAlign w:val="center"/>
          </w:tcPr>
          <w:p>
            <w:pPr>
              <w:pStyle w:val="30"/>
              <w:spacing w:line="360" w:lineRule="exact"/>
              <w:rPr>
                <w:color w:val="auto"/>
                <w:szCs w:val="21"/>
              </w:rPr>
            </w:pPr>
            <w:r>
              <w:rPr>
                <w:color w:val="auto"/>
                <w:szCs w:val="21"/>
              </w:rPr>
              <w:t>废矿物油</w:t>
            </w:r>
          </w:p>
        </w:tc>
        <w:tc>
          <w:tcPr>
            <w:tcW w:w="2956" w:type="dxa"/>
            <w:tcBorders>
              <w:top w:val="single" w:color="auto" w:sz="4" w:space="0"/>
            </w:tcBorders>
            <w:vAlign w:val="center"/>
          </w:tcPr>
          <w:p>
            <w:pPr>
              <w:pStyle w:val="30"/>
              <w:spacing w:line="360" w:lineRule="exact"/>
              <w:ind w:firstLine="210" w:firstLineChars="100"/>
              <w:jc w:val="left"/>
              <w:rPr>
                <w:color w:val="auto"/>
                <w:szCs w:val="21"/>
              </w:rPr>
            </w:pPr>
            <w:r>
              <w:rPr>
                <w:color w:val="auto"/>
                <w:szCs w:val="21"/>
              </w:rPr>
              <w:t>暂存于2#危险废物贮存间，委托</w:t>
            </w:r>
            <w:r>
              <w:rPr>
                <w:color w:val="auto"/>
              </w:rPr>
              <w:t>云南圣邦科技有限公司</w:t>
            </w:r>
            <w:r>
              <w:rPr>
                <w:color w:val="auto"/>
                <w:szCs w:val="21"/>
              </w:rPr>
              <w:t>处置。</w:t>
            </w:r>
          </w:p>
        </w:tc>
        <w:tc>
          <w:tcPr>
            <w:tcW w:w="1703" w:type="dxa"/>
            <w:vMerge w:val="restart"/>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满足《危险废物贮存污染控制标准》（GB18597-2001）及修改单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2544" w:type="dxa"/>
            <w:gridSpan w:val="3"/>
            <w:vMerge w:val="continue"/>
            <w:vAlign w:val="center"/>
          </w:tcPr>
          <w:p>
            <w:pPr>
              <w:spacing w:line="360" w:lineRule="exact"/>
              <w:jc w:val="center"/>
              <w:rPr>
                <w:rFonts w:ascii="Times New Roman" w:hAnsi="Times New Roman" w:cs="Times New Roman"/>
                <w:color w:val="auto"/>
                <w:kern w:val="0"/>
              </w:rPr>
            </w:pPr>
          </w:p>
        </w:tc>
        <w:tc>
          <w:tcPr>
            <w:tcW w:w="1125" w:type="dxa"/>
            <w:vAlign w:val="center"/>
          </w:tcPr>
          <w:p>
            <w:pPr>
              <w:pStyle w:val="30"/>
              <w:spacing w:line="360" w:lineRule="exact"/>
              <w:rPr>
                <w:color w:val="auto"/>
                <w:szCs w:val="21"/>
              </w:rPr>
            </w:pPr>
            <w:r>
              <w:rPr>
                <w:color w:val="auto"/>
                <w:szCs w:val="21"/>
              </w:rPr>
              <w:t>废电路板</w:t>
            </w:r>
          </w:p>
        </w:tc>
        <w:tc>
          <w:tcPr>
            <w:tcW w:w="2956" w:type="dxa"/>
            <w:tcBorders>
              <w:top w:val="single" w:color="auto" w:sz="4" w:space="0"/>
            </w:tcBorders>
            <w:vAlign w:val="center"/>
          </w:tcPr>
          <w:p>
            <w:pPr>
              <w:pStyle w:val="30"/>
              <w:spacing w:line="360" w:lineRule="exact"/>
              <w:ind w:firstLine="210" w:firstLineChars="100"/>
              <w:jc w:val="left"/>
              <w:rPr>
                <w:color w:val="auto"/>
                <w:szCs w:val="21"/>
              </w:rPr>
            </w:pPr>
            <w:r>
              <w:rPr>
                <w:color w:val="auto"/>
                <w:szCs w:val="21"/>
              </w:rPr>
              <w:t>暂存于废电路板贮存区，委托</w:t>
            </w:r>
            <w:r>
              <w:rPr>
                <w:color w:val="auto"/>
              </w:rPr>
              <w:t>贵州鸿鹄环保实业有限公司</w:t>
            </w:r>
            <w:r>
              <w:rPr>
                <w:color w:val="auto"/>
                <w:szCs w:val="21"/>
              </w:rPr>
              <w:t>处置。</w:t>
            </w:r>
          </w:p>
        </w:tc>
        <w:tc>
          <w:tcPr>
            <w:tcW w:w="1703" w:type="dxa"/>
            <w:vMerge w:val="continue"/>
            <w:vAlign w:val="center"/>
          </w:tcPr>
          <w:p>
            <w:pPr>
              <w:pStyle w:val="30"/>
              <w:spacing w:line="360" w:lineRule="exact"/>
              <w:ind w:firstLine="210" w:firstLineChars="100"/>
              <w:jc w:val="both"/>
              <w:rPr>
                <w:rFonts w:eastAsia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2544" w:type="dxa"/>
            <w:gridSpan w:val="3"/>
            <w:vMerge w:val="continue"/>
            <w:vAlign w:val="center"/>
          </w:tcPr>
          <w:p>
            <w:pPr>
              <w:spacing w:line="360" w:lineRule="exact"/>
              <w:jc w:val="center"/>
              <w:rPr>
                <w:rFonts w:ascii="Times New Roman" w:hAnsi="Times New Roman" w:cs="Times New Roman"/>
                <w:color w:val="auto"/>
                <w:kern w:val="0"/>
              </w:rPr>
            </w:pPr>
          </w:p>
        </w:tc>
        <w:tc>
          <w:tcPr>
            <w:tcW w:w="1125" w:type="dxa"/>
            <w:vAlign w:val="center"/>
          </w:tcPr>
          <w:p>
            <w:pPr>
              <w:pStyle w:val="30"/>
              <w:spacing w:line="360" w:lineRule="exact"/>
              <w:rPr>
                <w:color w:val="auto"/>
                <w:szCs w:val="21"/>
              </w:rPr>
            </w:pPr>
            <w:r>
              <w:rPr>
                <w:color w:val="auto"/>
                <w:szCs w:val="21"/>
              </w:rPr>
              <w:t>含汞灯管</w:t>
            </w:r>
          </w:p>
        </w:tc>
        <w:tc>
          <w:tcPr>
            <w:tcW w:w="2956" w:type="dxa"/>
            <w:tcBorders>
              <w:top w:val="single" w:color="auto" w:sz="4" w:space="0"/>
            </w:tcBorders>
            <w:vAlign w:val="center"/>
          </w:tcPr>
          <w:p>
            <w:pPr>
              <w:pStyle w:val="30"/>
              <w:spacing w:line="360" w:lineRule="exact"/>
              <w:ind w:firstLine="210" w:firstLineChars="100"/>
              <w:jc w:val="left"/>
              <w:rPr>
                <w:color w:val="auto"/>
                <w:szCs w:val="21"/>
              </w:rPr>
            </w:pPr>
            <w:r>
              <w:rPr>
                <w:color w:val="auto"/>
                <w:szCs w:val="21"/>
              </w:rPr>
              <w:t>暂存于1#危险废物贮存间，委托陕西安信显像管循环处理应用有限公司处置。</w:t>
            </w:r>
          </w:p>
        </w:tc>
        <w:tc>
          <w:tcPr>
            <w:tcW w:w="1703" w:type="dxa"/>
            <w:vMerge w:val="continue"/>
            <w:vAlign w:val="center"/>
          </w:tcPr>
          <w:p>
            <w:pPr>
              <w:pStyle w:val="30"/>
              <w:spacing w:line="360" w:lineRule="exact"/>
              <w:ind w:firstLine="210" w:firstLineChars="100"/>
              <w:jc w:val="both"/>
              <w:rPr>
                <w:rFonts w:eastAsia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2544" w:type="dxa"/>
            <w:gridSpan w:val="3"/>
            <w:vMerge w:val="continue"/>
            <w:vAlign w:val="center"/>
          </w:tcPr>
          <w:p>
            <w:pPr>
              <w:spacing w:line="360" w:lineRule="exact"/>
              <w:jc w:val="center"/>
              <w:rPr>
                <w:rFonts w:ascii="Times New Roman" w:hAnsi="Times New Roman" w:cs="Times New Roman"/>
                <w:color w:val="auto"/>
                <w:kern w:val="0"/>
              </w:rPr>
            </w:pPr>
          </w:p>
        </w:tc>
        <w:tc>
          <w:tcPr>
            <w:tcW w:w="1125" w:type="dxa"/>
            <w:vAlign w:val="center"/>
          </w:tcPr>
          <w:p>
            <w:pPr>
              <w:pStyle w:val="30"/>
              <w:spacing w:line="360" w:lineRule="exact"/>
              <w:rPr>
                <w:color w:val="auto"/>
                <w:szCs w:val="21"/>
              </w:rPr>
            </w:pPr>
            <w:r>
              <w:rPr>
                <w:color w:val="auto"/>
                <w:szCs w:val="21"/>
              </w:rPr>
              <w:t>背光模组</w:t>
            </w:r>
          </w:p>
        </w:tc>
        <w:tc>
          <w:tcPr>
            <w:tcW w:w="2956" w:type="dxa"/>
            <w:tcBorders>
              <w:top w:val="single" w:color="auto" w:sz="4" w:space="0"/>
            </w:tcBorders>
            <w:vAlign w:val="center"/>
          </w:tcPr>
          <w:p>
            <w:pPr>
              <w:pStyle w:val="30"/>
              <w:spacing w:line="360" w:lineRule="exact"/>
              <w:ind w:firstLine="210" w:firstLineChars="100"/>
              <w:jc w:val="left"/>
              <w:rPr>
                <w:color w:val="auto"/>
                <w:szCs w:val="21"/>
              </w:rPr>
            </w:pPr>
            <w:r>
              <w:rPr>
                <w:color w:val="auto"/>
                <w:szCs w:val="21"/>
              </w:rPr>
              <w:t>暂存于1#危险废物贮存间，委托</w:t>
            </w:r>
            <w:r>
              <w:rPr>
                <w:color w:val="auto"/>
                <w:szCs w:val="21"/>
              </w:rPr>
              <w:t>陕西安信显像管循环处理应用有限公司</w:t>
            </w:r>
            <w:r>
              <w:rPr>
                <w:color w:val="auto"/>
                <w:szCs w:val="21"/>
              </w:rPr>
              <w:t>处置。</w:t>
            </w:r>
          </w:p>
        </w:tc>
        <w:tc>
          <w:tcPr>
            <w:tcW w:w="1703" w:type="dxa"/>
            <w:vMerge w:val="continue"/>
            <w:vAlign w:val="center"/>
          </w:tcPr>
          <w:p>
            <w:pPr>
              <w:pStyle w:val="30"/>
              <w:spacing w:line="360" w:lineRule="exact"/>
              <w:ind w:firstLine="210" w:firstLineChars="100"/>
              <w:jc w:val="both"/>
              <w:rPr>
                <w:rFonts w:eastAsia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2544" w:type="dxa"/>
            <w:gridSpan w:val="3"/>
            <w:vMerge w:val="continue"/>
            <w:vAlign w:val="center"/>
          </w:tcPr>
          <w:p>
            <w:pPr>
              <w:spacing w:line="360" w:lineRule="exact"/>
              <w:jc w:val="center"/>
              <w:rPr>
                <w:rFonts w:ascii="Times New Roman" w:hAnsi="Times New Roman" w:cs="Times New Roman"/>
                <w:color w:val="auto"/>
                <w:kern w:val="0"/>
              </w:rPr>
            </w:pPr>
          </w:p>
        </w:tc>
        <w:tc>
          <w:tcPr>
            <w:tcW w:w="1125" w:type="dxa"/>
            <w:vAlign w:val="center"/>
          </w:tcPr>
          <w:p>
            <w:pPr>
              <w:pStyle w:val="30"/>
              <w:spacing w:line="360" w:lineRule="exact"/>
              <w:rPr>
                <w:color w:val="auto"/>
                <w:szCs w:val="21"/>
              </w:rPr>
            </w:pPr>
            <w:r>
              <w:rPr>
                <w:color w:val="auto"/>
                <w:szCs w:val="21"/>
              </w:rPr>
              <w:t>废弃的阴极射线管（锥玻璃）</w:t>
            </w:r>
          </w:p>
        </w:tc>
        <w:tc>
          <w:tcPr>
            <w:tcW w:w="2956" w:type="dxa"/>
            <w:tcBorders>
              <w:top w:val="single" w:color="auto" w:sz="4" w:space="0"/>
            </w:tcBorders>
            <w:vAlign w:val="center"/>
          </w:tcPr>
          <w:p>
            <w:pPr>
              <w:pStyle w:val="30"/>
              <w:spacing w:line="360" w:lineRule="exact"/>
              <w:ind w:firstLine="210" w:firstLineChars="100"/>
              <w:jc w:val="left"/>
              <w:rPr>
                <w:color w:val="auto"/>
                <w:szCs w:val="21"/>
              </w:rPr>
            </w:pPr>
            <w:r>
              <w:rPr>
                <w:color w:val="auto"/>
                <w:szCs w:val="21"/>
              </w:rPr>
              <w:t>暂存于废弃的阴极射线管（锥玻璃）含铅贮存区，委托</w:t>
            </w:r>
            <w:r>
              <w:rPr>
                <w:color w:val="auto"/>
              </w:rPr>
              <w:t>云南沙甸铅业股份有限公司、贵州鸿鹄环保实业有限公司</w:t>
            </w:r>
            <w:r>
              <w:rPr>
                <w:color w:val="auto"/>
                <w:szCs w:val="21"/>
              </w:rPr>
              <w:t>处置。</w:t>
            </w:r>
          </w:p>
        </w:tc>
        <w:tc>
          <w:tcPr>
            <w:tcW w:w="1703" w:type="dxa"/>
            <w:vMerge w:val="continue"/>
            <w:vAlign w:val="center"/>
          </w:tcPr>
          <w:p>
            <w:pPr>
              <w:pStyle w:val="30"/>
              <w:spacing w:line="360" w:lineRule="exact"/>
              <w:ind w:firstLine="210" w:firstLineChars="100"/>
              <w:jc w:val="both"/>
              <w:rPr>
                <w:rFonts w:eastAsia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2544" w:type="dxa"/>
            <w:gridSpan w:val="3"/>
            <w:vMerge w:val="continue"/>
            <w:vAlign w:val="center"/>
          </w:tcPr>
          <w:p>
            <w:pPr>
              <w:spacing w:line="360" w:lineRule="exact"/>
              <w:jc w:val="center"/>
              <w:rPr>
                <w:rFonts w:ascii="Times New Roman" w:hAnsi="Times New Roman" w:cs="Times New Roman"/>
                <w:color w:val="auto"/>
                <w:kern w:val="0"/>
              </w:rPr>
            </w:pPr>
          </w:p>
        </w:tc>
        <w:tc>
          <w:tcPr>
            <w:tcW w:w="1125" w:type="dxa"/>
            <w:vAlign w:val="center"/>
          </w:tcPr>
          <w:p>
            <w:pPr>
              <w:pStyle w:val="30"/>
              <w:spacing w:line="360" w:lineRule="exact"/>
              <w:rPr>
                <w:color w:val="auto"/>
                <w:szCs w:val="21"/>
              </w:rPr>
            </w:pPr>
            <w:r>
              <w:rPr>
                <w:color w:val="auto"/>
                <w:szCs w:val="21"/>
              </w:rPr>
              <w:t>荧光粉</w:t>
            </w:r>
          </w:p>
        </w:tc>
        <w:tc>
          <w:tcPr>
            <w:tcW w:w="2956" w:type="dxa"/>
            <w:tcBorders>
              <w:top w:val="single" w:color="auto" w:sz="4" w:space="0"/>
            </w:tcBorders>
            <w:vAlign w:val="center"/>
          </w:tcPr>
          <w:p>
            <w:pPr>
              <w:pStyle w:val="30"/>
              <w:spacing w:line="360" w:lineRule="exact"/>
              <w:ind w:firstLine="210" w:firstLineChars="100"/>
              <w:jc w:val="left"/>
              <w:rPr>
                <w:color w:val="auto"/>
                <w:szCs w:val="21"/>
              </w:rPr>
            </w:pPr>
            <w:r>
              <w:rPr>
                <w:color w:val="auto"/>
                <w:szCs w:val="21"/>
              </w:rPr>
              <w:t>暂存于1#危险废物贮存间，委托</w:t>
            </w:r>
            <w:r>
              <w:rPr>
                <w:color w:val="auto"/>
                <w:szCs w:val="21"/>
              </w:rPr>
              <w:t>陕西安信显像管循环处理应用有限公司</w:t>
            </w:r>
            <w:r>
              <w:rPr>
                <w:color w:val="auto"/>
                <w:szCs w:val="21"/>
              </w:rPr>
              <w:t>处置。</w:t>
            </w:r>
          </w:p>
        </w:tc>
        <w:tc>
          <w:tcPr>
            <w:tcW w:w="1703" w:type="dxa"/>
            <w:vMerge w:val="continue"/>
            <w:vAlign w:val="center"/>
          </w:tcPr>
          <w:p>
            <w:pPr>
              <w:pStyle w:val="30"/>
              <w:spacing w:line="360" w:lineRule="exact"/>
              <w:ind w:firstLine="210" w:firstLineChars="100"/>
              <w:jc w:val="both"/>
              <w:rPr>
                <w:rFonts w:eastAsia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2544" w:type="dxa"/>
            <w:gridSpan w:val="3"/>
            <w:vMerge w:val="continue"/>
            <w:vAlign w:val="center"/>
          </w:tcPr>
          <w:p>
            <w:pPr>
              <w:spacing w:line="360" w:lineRule="exact"/>
              <w:jc w:val="center"/>
              <w:rPr>
                <w:rFonts w:ascii="Times New Roman" w:hAnsi="Times New Roman" w:cs="Times New Roman"/>
                <w:color w:val="auto"/>
                <w:kern w:val="0"/>
              </w:rPr>
            </w:pPr>
          </w:p>
        </w:tc>
        <w:tc>
          <w:tcPr>
            <w:tcW w:w="1125" w:type="dxa"/>
            <w:vAlign w:val="center"/>
          </w:tcPr>
          <w:p>
            <w:pPr>
              <w:pStyle w:val="30"/>
              <w:spacing w:line="360" w:lineRule="exact"/>
              <w:rPr>
                <w:color w:val="auto"/>
                <w:szCs w:val="21"/>
              </w:rPr>
            </w:pPr>
            <w:r>
              <w:rPr>
                <w:color w:val="auto"/>
                <w:szCs w:val="21"/>
              </w:rPr>
              <w:t>废活性炭（吸附有机废气）</w:t>
            </w:r>
          </w:p>
        </w:tc>
        <w:tc>
          <w:tcPr>
            <w:tcW w:w="2956" w:type="dxa"/>
            <w:tcBorders>
              <w:top w:val="single" w:color="auto" w:sz="4" w:space="0"/>
            </w:tcBorders>
            <w:vAlign w:val="center"/>
          </w:tcPr>
          <w:p>
            <w:pPr>
              <w:pStyle w:val="30"/>
              <w:spacing w:line="360" w:lineRule="exact"/>
              <w:ind w:firstLine="210" w:firstLineChars="100"/>
              <w:jc w:val="left"/>
              <w:rPr>
                <w:color w:val="auto"/>
                <w:szCs w:val="21"/>
              </w:rPr>
            </w:pPr>
            <w:r>
              <w:rPr>
                <w:color w:val="auto"/>
                <w:szCs w:val="21"/>
              </w:rPr>
              <w:t>暂存于3#危险废物贮存间，委托</w:t>
            </w:r>
            <w:r>
              <w:rPr>
                <w:rFonts w:hint="eastAsia"/>
                <w:color w:val="auto"/>
              </w:rPr>
              <w:t>云南大地丰源环保有限公司</w:t>
            </w:r>
            <w:r>
              <w:rPr>
                <w:color w:val="auto"/>
                <w:szCs w:val="21"/>
              </w:rPr>
              <w:t>处置。</w:t>
            </w:r>
          </w:p>
        </w:tc>
        <w:tc>
          <w:tcPr>
            <w:tcW w:w="1703" w:type="dxa"/>
            <w:vMerge w:val="continue"/>
            <w:vAlign w:val="center"/>
          </w:tcPr>
          <w:p>
            <w:pPr>
              <w:pStyle w:val="30"/>
              <w:spacing w:line="360" w:lineRule="exact"/>
              <w:ind w:firstLine="210" w:firstLineChars="100"/>
              <w:jc w:val="both"/>
              <w:rPr>
                <w:rFonts w:eastAsia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2544" w:type="dxa"/>
            <w:gridSpan w:val="3"/>
            <w:vMerge w:val="continue"/>
            <w:vAlign w:val="center"/>
          </w:tcPr>
          <w:p>
            <w:pPr>
              <w:spacing w:line="360" w:lineRule="exact"/>
              <w:jc w:val="center"/>
              <w:rPr>
                <w:rFonts w:ascii="Times New Roman" w:hAnsi="Times New Roman" w:cs="Times New Roman"/>
                <w:color w:val="auto"/>
                <w:kern w:val="0"/>
              </w:rPr>
            </w:pPr>
          </w:p>
        </w:tc>
        <w:tc>
          <w:tcPr>
            <w:tcW w:w="1125" w:type="dxa"/>
            <w:vAlign w:val="center"/>
          </w:tcPr>
          <w:p>
            <w:pPr>
              <w:pStyle w:val="30"/>
              <w:spacing w:line="360" w:lineRule="exact"/>
              <w:rPr>
                <w:color w:val="auto"/>
                <w:szCs w:val="21"/>
              </w:rPr>
            </w:pPr>
            <w:r>
              <w:rPr>
                <w:color w:val="auto"/>
                <w:szCs w:val="21"/>
              </w:rPr>
              <w:t>废活性炭（吸附汞及其化合物）</w:t>
            </w:r>
          </w:p>
        </w:tc>
        <w:tc>
          <w:tcPr>
            <w:tcW w:w="2956" w:type="dxa"/>
            <w:tcBorders>
              <w:top w:val="single" w:color="auto" w:sz="4" w:space="0"/>
            </w:tcBorders>
            <w:vAlign w:val="center"/>
          </w:tcPr>
          <w:p>
            <w:pPr>
              <w:pStyle w:val="30"/>
              <w:spacing w:line="360" w:lineRule="exact"/>
              <w:ind w:firstLine="210" w:firstLineChars="100"/>
              <w:jc w:val="left"/>
              <w:rPr>
                <w:color w:val="auto"/>
                <w:szCs w:val="21"/>
              </w:rPr>
            </w:pPr>
            <w:r>
              <w:rPr>
                <w:color w:val="auto"/>
                <w:szCs w:val="21"/>
              </w:rPr>
              <w:t>暂存于1#危险废物贮存间，委托</w:t>
            </w:r>
            <w:r>
              <w:rPr>
                <w:rFonts w:hint="eastAsia"/>
                <w:color w:val="auto"/>
              </w:rPr>
              <w:t>云南大地丰源环保有限公司</w:t>
            </w:r>
            <w:r>
              <w:rPr>
                <w:color w:val="auto"/>
                <w:szCs w:val="21"/>
              </w:rPr>
              <w:t>处置。</w:t>
            </w:r>
          </w:p>
        </w:tc>
        <w:tc>
          <w:tcPr>
            <w:tcW w:w="1703" w:type="dxa"/>
            <w:vMerge w:val="continue"/>
            <w:vAlign w:val="center"/>
          </w:tcPr>
          <w:p>
            <w:pPr>
              <w:pStyle w:val="30"/>
              <w:spacing w:line="360" w:lineRule="exact"/>
              <w:ind w:firstLine="210" w:firstLineChars="100"/>
              <w:jc w:val="both"/>
              <w:rPr>
                <w:rFonts w:eastAsia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2544" w:type="dxa"/>
            <w:gridSpan w:val="3"/>
            <w:vMerge w:val="continue"/>
            <w:vAlign w:val="center"/>
          </w:tcPr>
          <w:p>
            <w:pPr>
              <w:spacing w:line="360" w:lineRule="exact"/>
              <w:jc w:val="center"/>
              <w:rPr>
                <w:rFonts w:ascii="Times New Roman" w:hAnsi="Times New Roman" w:cs="Times New Roman"/>
                <w:color w:val="auto"/>
                <w:kern w:val="0"/>
              </w:rPr>
            </w:pPr>
          </w:p>
        </w:tc>
        <w:tc>
          <w:tcPr>
            <w:tcW w:w="1125" w:type="dxa"/>
            <w:vAlign w:val="center"/>
          </w:tcPr>
          <w:p>
            <w:pPr>
              <w:pStyle w:val="30"/>
              <w:spacing w:line="360" w:lineRule="exact"/>
              <w:rPr>
                <w:rFonts w:eastAsiaTheme="minorEastAsia"/>
                <w:color w:val="auto"/>
                <w:szCs w:val="21"/>
              </w:rPr>
            </w:pPr>
            <w:r>
              <w:rPr>
                <w:color w:val="auto"/>
                <w:szCs w:val="21"/>
              </w:rPr>
              <w:t>收集含铅粉尘</w:t>
            </w:r>
          </w:p>
        </w:tc>
        <w:tc>
          <w:tcPr>
            <w:tcW w:w="2956" w:type="dxa"/>
            <w:tcBorders>
              <w:top w:val="single" w:color="auto" w:sz="4" w:space="0"/>
            </w:tcBorders>
            <w:vAlign w:val="center"/>
          </w:tcPr>
          <w:p>
            <w:pPr>
              <w:pStyle w:val="30"/>
              <w:spacing w:line="360" w:lineRule="exact"/>
              <w:ind w:firstLine="210" w:firstLineChars="100"/>
              <w:jc w:val="both"/>
              <w:rPr>
                <w:rFonts w:eastAsiaTheme="minorEastAsia"/>
                <w:color w:val="auto"/>
                <w:szCs w:val="24"/>
              </w:rPr>
            </w:pPr>
            <w:r>
              <w:rPr>
                <w:color w:val="auto"/>
                <w:szCs w:val="21"/>
              </w:rPr>
              <w:t>暂存于1#危险废物贮存间，委托</w:t>
            </w:r>
            <w:r>
              <w:rPr>
                <w:color w:val="auto"/>
                <w:szCs w:val="21"/>
              </w:rPr>
              <w:t>陕西安信显像管循环处理应用有限公司处置</w:t>
            </w:r>
            <w:r>
              <w:rPr>
                <w:color w:val="auto"/>
                <w:szCs w:val="21"/>
              </w:rPr>
              <w:t>。</w:t>
            </w:r>
          </w:p>
        </w:tc>
        <w:tc>
          <w:tcPr>
            <w:tcW w:w="1703" w:type="dxa"/>
            <w:vMerge w:val="continue"/>
            <w:vAlign w:val="center"/>
          </w:tcPr>
          <w:p>
            <w:pPr>
              <w:pStyle w:val="30"/>
              <w:spacing w:line="360" w:lineRule="exact"/>
              <w:ind w:firstLine="210" w:firstLineChars="100"/>
              <w:jc w:val="both"/>
              <w:rPr>
                <w:rFonts w:eastAsia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2544" w:type="dxa"/>
            <w:gridSpan w:val="3"/>
            <w:vMerge w:val="restart"/>
            <w:vAlign w:val="center"/>
          </w:tcPr>
          <w:p>
            <w:pPr>
              <w:pStyle w:val="30"/>
              <w:spacing w:line="360" w:lineRule="exact"/>
              <w:rPr>
                <w:color w:val="auto"/>
                <w:szCs w:val="21"/>
              </w:rPr>
            </w:pPr>
            <w:r>
              <w:rPr>
                <w:color w:val="auto"/>
                <w:szCs w:val="21"/>
              </w:rPr>
              <w:t>员工生活</w:t>
            </w:r>
          </w:p>
        </w:tc>
        <w:tc>
          <w:tcPr>
            <w:tcW w:w="1125" w:type="dxa"/>
            <w:vAlign w:val="center"/>
          </w:tcPr>
          <w:p>
            <w:pPr>
              <w:pStyle w:val="30"/>
              <w:spacing w:line="360" w:lineRule="exact"/>
              <w:rPr>
                <w:rFonts w:eastAsiaTheme="minorEastAsia"/>
                <w:color w:val="auto"/>
                <w:szCs w:val="21"/>
              </w:rPr>
            </w:pPr>
            <w:r>
              <w:rPr>
                <w:rFonts w:eastAsiaTheme="minorEastAsia"/>
                <w:color w:val="auto"/>
                <w:szCs w:val="21"/>
              </w:rPr>
              <w:t>生活垃圾</w:t>
            </w:r>
          </w:p>
        </w:tc>
        <w:tc>
          <w:tcPr>
            <w:tcW w:w="2956" w:type="dxa"/>
            <w:vAlign w:val="center"/>
          </w:tcPr>
          <w:p>
            <w:pPr>
              <w:pStyle w:val="30"/>
              <w:spacing w:line="360" w:lineRule="exact"/>
              <w:ind w:firstLine="210" w:firstLineChars="100"/>
              <w:jc w:val="both"/>
              <w:rPr>
                <w:rFonts w:eastAsiaTheme="minorEastAsia"/>
                <w:color w:val="auto"/>
                <w:szCs w:val="24"/>
              </w:rPr>
            </w:pPr>
            <w:r>
              <w:rPr>
                <w:rFonts w:eastAsiaTheme="minorEastAsia"/>
                <w:color w:val="auto"/>
                <w:szCs w:val="24"/>
              </w:rPr>
              <w:t>委托环卫部门定期清运处置。</w:t>
            </w:r>
          </w:p>
        </w:tc>
        <w:tc>
          <w:tcPr>
            <w:tcW w:w="1703" w:type="dxa"/>
            <w:vMerge w:val="restart"/>
            <w:vAlign w:val="center"/>
          </w:tcPr>
          <w:p>
            <w:pPr>
              <w:pStyle w:val="30"/>
              <w:spacing w:line="360" w:lineRule="exact"/>
              <w:ind w:firstLine="210" w:firstLineChars="100"/>
              <w:jc w:val="both"/>
              <w:rPr>
                <w:rFonts w:eastAsiaTheme="minorEastAsia"/>
                <w:color w:val="auto"/>
                <w:szCs w:val="21"/>
              </w:rPr>
            </w:pPr>
            <w:r>
              <w:rPr>
                <w:rFonts w:eastAsiaTheme="minorEastAsia"/>
                <w:color w:val="auto"/>
                <w:szCs w:val="21"/>
              </w:rPr>
              <w:t>处置率为100%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2544" w:type="dxa"/>
            <w:gridSpan w:val="3"/>
            <w:vMerge w:val="continue"/>
            <w:vAlign w:val="center"/>
          </w:tcPr>
          <w:p>
            <w:pPr>
              <w:pStyle w:val="30"/>
              <w:spacing w:line="360" w:lineRule="exact"/>
              <w:rPr>
                <w:color w:val="auto"/>
                <w:szCs w:val="21"/>
              </w:rPr>
            </w:pPr>
          </w:p>
        </w:tc>
        <w:tc>
          <w:tcPr>
            <w:tcW w:w="1125" w:type="dxa"/>
            <w:vAlign w:val="center"/>
          </w:tcPr>
          <w:p>
            <w:pPr>
              <w:pStyle w:val="30"/>
              <w:spacing w:line="360" w:lineRule="exact"/>
              <w:rPr>
                <w:rFonts w:eastAsiaTheme="minorEastAsia"/>
                <w:color w:val="auto"/>
                <w:szCs w:val="21"/>
              </w:rPr>
            </w:pPr>
            <w:r>
              <w:rPr>
                <w:rFonts w:eastAsiaTheme="minorEastAsia"/>
                <w:color w:val="auto"/>
                <w:szCs w:val="21"/>
              </w:rPr>
              <w:t>餐厨废物</w:t>
            </w:r>
          </w:p>
        </w:tc>
        <w:tc>
          <w:tcPr>
            <w:tcW w:w="2956" w:type="dxa"/>
            <w:vAlign w:val="center"/>
          </w:tcPr>
          <w:p>
            <w:pPr>
              <w:pStyle w:val="30"/>
              <w:spacing w:line="360" w:lineRule="exact"/>
              <w:ind w:firstLine="210" w:firstLineChars="100"/>
              <w:jc w:val="both"/>
              <w:rPr>
                <w:rFonts w:eastAsiaTheme="minorEastAsia"/>
                <w:color w:val="auto"/>
                <w:szCs w:val="24"/>
              </w:rPr>
            </w:pPr>
            <w:r>
              <w:rPr>
                <w:rFonts w:eastAsiaTheme="minorEastAsia"/>
                <w:color w:val="auto"/>
                <w:szCs w:val="24"/>
              </w:rPr>
              <w:t>委托环卫部门定期清运处置。</w:t>
            </w:r>
          </w:p>
        </w:tc>
        <w:tc>
          <w:tcPr>
            <w:tcW w:w="1703" w:type="dxa"/>
            <w:vMerge w:val="continue"/>
            <w:vAlign w:val="center"/>
          </w:tcPr>
          <w:p>
            <w:pPr>
              <w:pStyle w:val="30"/>
              <w:spacing w:line="360" w:lineRule="exact"/>
              <w:ind w:firstLine="210" w:firstLineChars="100"/>
              <w:jc w:val="both"/>
              <w:rPr>
                <w:rFonts w:eastAsia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2544" w:type="dxa"/>
            <w:gridSpan w:val="3"/>
            <w:vMerge w:val="continue"/>
            <w:vAlign w:val="center"/>
          </w:tcPr>
          <w:p>
            <w:pPr>
              <w:pStyle w:val="30"/>
              <w:spacing w:line="360" w:lineRule="exact"/>
              <w:rPr>
                <w:color w:val="auto"/>
                <w:szCs w:val="21"/>
              </w:rPr>
            </w:pPr>
          </w:p>
        </w:tc>
        <w:tc>
          <w:tcPr>
            <w:tcW w:w="1125" w:type="dxa"/>
            <w:vAlign w:val="center"/>
          </w:tcPr>
          <w:p>
            <w:pPr>
              <w:pStyle w:val="30"/>
              <w:spacing w:line="360" w:lineRule="exact"/>
              <w:rPr>
                <w:rFonts w:eastAsiaTheme="minorEastAsia"/>
                <w:color w:val="auto"/>
                <w:szCs w:val="21"/>
              </w:rPr>
            </w:pPr>
            <w:r>
              <w:rPr>
                <w:rFonts w:eastAsiaTheme="minorEastAsia"/>
                <w:color w:val="auto"/>
                <w:szCs w:val="21"/>
              </w:rPr>
              <w:t>隔油池浮油</w:t>
            </w:r>
          </w:p>
        </w:tc>
        <w:tc>
          <w:tcPr>
            <w:tcW w:w="2956" w:type="dxa"/>
            <w:vAlign w:val="center"/>
          </w:tcPr>
          <w:p>
            <w:pPr>
              <w:pStyle w:val="30"/>
              <w:spacing w:line="360" w:lineRule="exact"/>
              <w:ind w:firstLine="210" w:firstLineChars="100"/>
              <w:jc w:val="both"/>
              <w:rPr>
                <w:rFonts w:eastAsiaTheme="minorEastAsia"/>
                <w:color w:val="auto"/>
                <w:szCs w:val="24"/>
              </w:rPr>
            </w:pPr>
            <w:r>
              <w:rPr>
                <w:rFonts w:eastAsiaTheme="minorEastAsia"/>
                <w:color w:val="auto"/>
                <w:szCs w:val="24"/>
              </w:rPr>
              <w:t>委托环卫部门定期清运处置。</w:t>
            </w:r>
          </w:p>
        </w:tc>
        <w:tc>
          <w:tcPr>
            <w:tcW w:w="1703" w:type="dxa"/>
            <w:vMerge w:val="continue"/>
            <w:vAlign w:val="center"/>
          </w:tcPr>
          <w:p>
            <w:pPr>
              <w:pStyle w:val="30"/>
              <w:spacing w:line="360" w:lineRule="exact"/>
              <w:ind w:firstLine="210" w:firstLineChars="100"/>
              <w:jc w:val="both"/>
              <w:rPr>
                <w:rFonts w:eastAsia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auto"/>
              </w:rPr>
            </w:pPr>
          </w:p>
        </w:tc>
        <w:tc>
          <w:tcPr>
            <w:tcW w:w="2544" w:type="dxa"/>
            <w:gridSpan w:val="3"/>
            <w:vMerge w:val="continue"/>
            <w:vAlign w:val="center"/>
          </w:tcPr>
          <w:p>
            <w:pPr>
              <w:pStyle w:val="30"/>
              <w:spacing w:line="360" w:lineRule="exact"/>
              <w:rPr>
                <w:color w:val="auto"/>
                <w:szCs w:val="21"/>
              </w:rPr>
            </w:pPr>
          </w:p>
        </w:tc>
        <w:tc>
          <w:tcPr>
            <w:tcW w:w="1125" w:type="dxa"/>
            <w:vAlign w:val="center"/>
          </w:tcPr>
          <w:p>
            <w:pPr>
              <w:pStyle w:val="30"/>
              <w:spacing w:line="360" w:lineRule="exact"/>
              <w:rPr>
                <w:rFonts w:eastAsiaTheme="minorEastAsia"/>
                <w:color w:val="auto"/>
                <w:szCs w:val="21"/>
              </w:rPr>
            </w:pPr>
            <w:r>
              <w:rPr>
                <w:rFonts w:eastAsiaTheme="minorEastAsia"/>
                <w:color w:val="auto"/>
                <w:szCs w:val="21"/>
              </w:rPr>
              <w:t>污水处理设施污泥</w:t>
            </w:r>
          </w:p>
        </w:tc>
        <w:tc>
          <w:tcPr>
            <w:tcW w:w="2956" w:type="dxa"/>
            <w:vAlign w:val="center"/>
          </w:tcPr>
          <w:p>
            <w:pPr>
              <w:pStyle w:val="30"/>
              <w:spacing w:line="360" w:lineRule="exact"/>
              <w:ind w:firstLine="210" w:firstLineChars="100"/>
              <w:jc w:val="both"/>
              <w:rPr>
                <w:rFonts w:eastAsiaTheme="minorEastAsia"/>
                <w:color w:val="auto"/>
                <w:szCs w:val="24"/>
              </w:rPr>
            </w:pPr>
            <w:r>
              <w:rPr>
                <w:rFonts w:eastAsiaTheme="minorEastAsia"/>
                <w:color w:val="auto"/>
                <w:szCs w:val="24"/>
              </w:rPr>
              <w:t>委托环卫部门清运处理。</w:t>
            </w:r>
          </w:p>
        </w:tc>
        <w:tc>
          <w:tcPr>
            <w:tcW w:w="1703" w:type="dxa"/>
            <w:vMerge w:val="continue"/>
            <w:vAlign w:val="center"/>
          </w:tcPr>
          <w:p>
            <w:pPr>
              <w:pStyle w:val="30"/>
              <w:spacing w:line="360" w:lineRule="exact"/>
              <w:ind w:firstLine="210" w:firstLineChars="100"/>
              <w:jc w:val="both"/>
              <w:rPr>
                <w:rFonts w:eastAsia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土壤及地下水污染防治措施</w:t>
            </w:r>
          </w:p>
        </w:tc>
        <w:tc>
          <w:tcPr>
            <w:tcW w:w="8328" w:type="dxa"/>
            <w:gridSpan w:val="6"/>
            <w:vAlign w:val="center"/>
          </w:tcPr>
          <w:p>
            <w:pPr>
              <w:pStyle w:val="30"/>
              <w:spacing w:line="360" w:lineRule="auto"/>
              <w:ind w:firstLine="240" w:firstLineChars="100"/>
              <w:jc w:val="both"/>
              <w:rPr>
                <w:rFonts w:eastAsiaTheme="minorEastAsia"/>
                <w:color w:val="auto"/>
                <w:sz w:val="24"/>
                <w:szCs w:val="21"/>
              </w:rPr>
            </w:pPr>
            <w:r>
              <w:rPr>
                <w:rFonts w:eastAsiaTheme="minorEastAsia"/>
                <w:color w:val="auto"/>
                <w:sz w:val="24"/>
                <w:szCs w:val="21"/>
              </w:rPr>
              <w:fldChar w:fldCharType="begin"/>
            </w:r>
            <w:r>
              <w:rPr>
                <w:rFonts w:eastAsiaTheme="minorEastAsia"/>
                <w:color w:val="auto"/>
                <w:sz w:val="24"/>
                <w:szCs w:val="21"/>
              </w:rPr>
              <w:instrText xml:space="preserve"> = 1 \* GB2 </w:instrText>
            </w:r>
            <w:r>
              <w:rPr>
                <w:rFonts w:eastAsiaTheme="minorEastAsia"/>
                <w:color w:val="auto"/>
                <w:sz w:val="24"/>
                <w:szCs w:val="21"/>
              </w:rPr>
              <w:fldChar w:fldCharType="separate"/>
            </w:r>
            <w:r>
              <w:rPr>
                <w:rFonts w:hint="eastAsia" w:ascii="宋体" w:hAnsi="宋体" w:cs="宋体"/>
                <w:color w:val="auto"/>
                <w:sz w:val="24"/>
                <w:szCs w:val="21"/>
              </w:rPr>
              <w:t>⑴</w:t>
            </w:r>
            <w:r>
              <w:rPr>
                <w:rFonts w:eastAsiaTheme="minorEastAsia"/>
                <w:color w:val="auto"/>
                <w:sz w:val="24"/>
                <w:szCs w:val="21"/>
              </w:rPr>
              <w:fldChar w:fldCharType="end"/>
            </w:r>
            <w:r>
              <w:rPr>
                <w:rFonts w:eastAsiaTheme="minorEastAsia"/>
                <w:color w:val="auto"/>
                <w:sz w:val="24"/>
                <w:szCs w:val="21"/>
              </w:rPr>
              <w:t>重点防渗区</w:t>
            </w:r>
          </w:p>
          <w:p>
            <w:pPr>
              <w:pStyle w:val="30"/>
              <w:spacing w:line="360" w:lineRule="auto"/>
              <w:ind w:firstLine="240" w:firstLineChars="100"/>
              <w:jc w:val="both"/>
              <w:rPr>
                <w:rFonts w:eastAsiaTheme="minorEastAsia"/>
                <w:color w:val="auto"/>
                <w:sz w:val="24"/>
                <w:szCs w:val="21"/>
              </w:rPr>
            </w:pPr>
            <w:r>
              <w:rPr>
                <w:rFonts w:eastAsiaTheme="minorEastAsia"/>
                <w:color w:val="auto"/>
                <w:sz w:val="24"/>
                <w:szCs w:val="21"/>
              </w:rPr>
              <w:t>根据调查，项目重点防渗区为废电路板暂存区、4个危险废物贮存间；其地面和裙墙均已采用环氧树脂等防渗漆进行防渗其渗透系数≤10</w:t>
            </w:r>
            <w:r>
              <w:rPr>
                <w:rFonts w:eastAsiaTheme="minorEastAsia"/>
                <w:color w:val="auto"/>
                <w:sz w:val="24"/>
                <w:szCs w:val="21"/>
                <w:vertAlign w:val="superscript"/>
              </w:rPr>
              <w:t>-10</w:t>
            </w:r>
            <w:r>
              <w:rPr>
                <w:rFonts w:eastAsiaTheme="minorEastAsia"/>
                <w:color w:val="auto"/>
                <w:sz w:val="24"/>
                <w:szCs w:val="21"/>
              </w:rPr>
              <w:t>cm/s；</w:t>
            </w:r>
          </w:p>
          <w:p>
            <w:pPr>
              <w:pStyle w:val="30"/>
              <w:spacing w:line="360" w:lineRule="auto"/>
              <w:ind w:firstLine="240" w:firstLineChars="100"/>
              <w:jc w:val="both"/>
              <w:rPr>
                <w:rFonts w:eastAsiaTheme="minorEastAsia"/>
                <w:color w:val="auto"/>
                <w:sz w:val="24"/>
                <w:szCs w:val="21"/>
              </w:rPr>
            </w:pPr>
            <w:r>
              <w:rPr>
                <w:rFonts w:eastAsiaTheme="minorEastAsia"/>
                <w:color w:val="auto"/>
                <w:sz w:val="24"/>
                <w:szCs w:val="21"/>
              </w:rPr>
              <w:fldChar w:fldCharType="begin"/>
            </w:r>
            <w:r>
              <w:rPr>
                <w:rFonts w:eastAsiaTheme="minorEastAsia"/>
                <w:color w:val="auto"/>
                <w:sz w:val="24"/>
                <w:szCs w:val="21"/>
              </w:rPr>
              <w:instrText xml:space="preserve"> = 2 \* GB2 </w:instrText>
            </w:r>
            <w:r>
              <w:rPr>
                <w:rFonts w:eastAsiaTheme="minorEastAsia"/>
                <w:color w:val="auto"/>
                <w:sz w:val="24"/>
                <w:szCs w:val="21"/>
              </w:rPr>
              <w:fldChar w:fldCharType="separate"/>
            </w:r>
            <w:r>
              <w:rPr>
                <w:rFonts w:hint="eastAsia" w:ascii="宋体" w:hAnsi="宋体" w:cs="宋体"/>
                <w:color w:val="auto"/>
                <w:sz w:val="24"/>
                <w:szCs w:val="21"/>
              </w:rPr>
              <w:t>⑵</w:t>
            </w:r>
            <w:r>
              <w:rPr>
                <w:rFonts w:eastAsiaTheme="minorEastAsia"/>
                <w:color w:val="auto"/>
                <w:sz w:val="24"/>
                <w:szCs w:val="21"/>
              </w:rPr>
              <w:fldChar w:fldCharType="end"/>
            </w:r>
            <w:r>
              <w:rPr>
                <w:rFonts w:eastAsiaTheme="minorEastAsia"/>
                <w:color w:val="auto"/>
                <w:sz w:val="24"/>
                <w:szCs w:val="21"/>
              </w:rPr>
              <w:t>一般防渗区</w:t>
            </w:r>
          </w:p>
          <w:p>
            <w:pPr>
              <w:pStyle w:val="30"/>
              <w:spacing w:line="360" w:lineRule="auto"/>
              <w:ind w:firstLine="240" w:firstLineChars="100"/>
              <w:jc w:val="both"/>
              <w:rPr>
                <w:rFonts w:eastAsiaTheme="minorEastAsia"/>
                <w:color w:val="auto"/>
                <w:sz w:val="24"/>
                <w:szCs w:val="21"/>
              </w:rPr>
            </w:pPr>
            <w:r>
              <w:rPr>
                <w:rFonts w:eastAsiaTheme="minorEastAsia"/>
                <w:color w:val="auto"/>
                <w:sz w:val="24"/>
                <w:szCs w:val="21"/>
              </w:rPr>
              <w:t>根据调查，项目生产车间和仓库均属于一般防渗区，一般防渗区措施地面采取粘土铺底，并在上层铺30cm的混凝土进行硬化。其渗透系数≤1.0×10</w:t>
            </w:r>
            <w:r>
              <w:rPr>
                <w:rFonts w:eastAsiaTheme="minorEastAsia"/>
                <w:color w:val="auto"/>
                <w:sz w:val="24"/>
                <w:szCs w:val="21"/>
                <w:vertAlign w:val="superscript"/>
              </w:rPr>
              <w:t>-7</w:t>
            </w:r>
            <w:r>
              <w:rPr>
                <w:rFonts w:eastAsiaTheme="minorEastAsia"/>
                <w:color w:val="auto"/>
                <w:sz w:val="24"/>
                <w:szCs w:val="21"/>
              </w:rPr>
              <w:t>cm/s。</w:t>
            </w:r>
          </w:p>
          <w:p>
            <w:pPr>
              <w:pStyle w:val="30"/>
              <w:spacing w:line="360" w:lineRule="auto"/>
              <w:ind w:firstLine="240" w:firstLineChars="100"/>
              <w:jc w:val="both"/>
              <w:rPr>
                <w:rFonts w:eastAsiaTheme="minorEastAsia"/>
                <w:color w:val="auto"/>
                <w:sz w:val="24"/>
                <w:szCs w:val="21"/>
              </w:rPr>
            </w:pPr>
            <w:r>
              <w:rPr>
                <w:rFonts w:eastAsiaTheme="minorEastAsia"/>
                <w:color w:val="auto"/>
                <w:sz w:val="24"/>
                <w:szCs w:val="21"/>
              </w:rPr>
              <w:fldChar w:fldCharType="begin"/>
            </w:r>
            <w:r>
              <w:rPr>
                <w:rFonts w:eastAsiaTheme="minorEastAsia"/>
                <w:color w:val="auto"/>
                <w:sz w:val="24"/>
                <w:szCs w:val="21"/>
              </w:rPr>
              <w:instrText xml:space="preserve"> = 3 \* GB2 </w:instrText>
            </w:r>
            <w:r>
              <w:rPr>
                <w:rFonts w:eastAsiaTheme="minorEastAsia"/>
                <w:color w:val="auto"/>
                <w:sz w:val="24"/>
                <w:szCs w:val="21"/>
              </w:rPr>
              <w:fldChar w:fldCharType="separate"/>
            </w:r>
            <w:r>
              <w:rPr>
                <w:rFonts w:hint="eastAsia" w:ascii="宋体" w:hAnsi="宋体" w:cs="宋体"/>
                <w:color w:val="auto"/>
                <w:sz w:val="24"/>
                <w:szCs w:val="21"/>
              </w:rPr>
              <w:t>⑶</w:t>
            </w:r>
            <w:r>
              <w:rPr>
                <w:rFonts w:eastAsiaTheme="minorEastAsia"/>
                <w:color w:val="auto"/>
                <w:sz w:val="24"/>
                <w:szCs w:val="21"/>
              </w:rPr>
              <w:fldChar w:fldCharType="end"/>
            </w:r>
            <w:r>
              <w:rPr>
                <w:rFonts w:eastAsiaTheme="minorEastAsia"/>
                <w:color w:val="auto"/>
                <w:sz w:val="24"/>
                <w:szCs w:val="21"/>
              </w:rPr>
              <w:t>简单防渗区</w:t>
            </w:r>
          </w:p>
          <w:p>
            <w:pPr>
              <w:pStyle w:val="30"/>
              <w:spacing w:line="360" w:lineRule="auto"/>
              <w:ind w:firstLine="240" w:firstLineChars="100"/>
              <w:jc w:val="both"/>
              <w:rPr>
                <w:rFonts w:eastAsiaTheme="minorEastAsia"/>
                <w:color w:val="auto"/>
                <w:sz w:val="24"/>
                <w:szCs w:val="21"/>
              </w:rPr>
            </w:pPr>
            <w:r>
              <w:rPr>
                <w:rFonts w:eastAsiaTheme="minorEastAsia"/>
                <w:color w:val="auto"/>
                <w:sz w:val="24"/>
                <w:szCs w:val="21"/>
              </w:rPr>
              <w:t>对于基本上不产生污染物的简单防渗区，不采取专门针对地下水污染的防治措施。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生态保护措施</w:t>
            </w:r>
          </w:p>
        </w:tc>
        <w:tc>
          <w:tcPr>
            <w:tcW w:w="8328" w:type="dxa"/>
            <w:gridSpan w:val="6"/>
            <w:vAlign w:val="center"/>
          </w:tcPr>
          <w:p>
            <w:pPr>
              <w:pStyle w:val="30"/>
              <w:spacing w:line="360" w:lineRule="auto"/>
              <w:ind w:firstLine="240" w:firstLineChars="100"/>
              <w:jc w:val="both"/>
              <w:rPr>
                <w:rFonts w:eastAsiaTheme="minorEastAsia"/>
                <w:color w:val="auto"/>
                <w:szCs w:val="21"/>
              </w:rPr>
            </w:pPr>
            <w:r>
              <w:rPr>
                <w:rFonts w:eastAsiaTheme="minorEastAsia"/>
                <w:color w:val="auto"/>
                <w:sz w:val="24"/>
                <w:szCs w:val="21"/>
              </w:rPr>
              <w:t>无</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环境风险防范措施</w:t>
            </w:r>
          </w:p>
        </w:tc>
        <w:tc>
          <w:tcPr>
            <w:tcW w:w="8328" w:type="dxa"/>
            <w:gridSpan w:val="6"/>
            <w:vAlign w:val="center"/>
          </w:tcPr>
          <w:p>
            <w:pPr>
              <w:pStyle w:val="30"/>
              <w:spacing w:line="360" w:lineRule="auto"/>
              <w:ind w:firstLine="240" w:firstLineChars="100"/>
              <w:jc w:val="both"/>
              <w:rPr>
                <w:rFonts w:eastAsiaTheme="minorEastAsia"/>
                <w:color w:val="auto"/>
                <w:sz w:val="24"/>
                <w:szCs w:val="21"/>
              </w:rPr>
            </w:pPr>
            <w:r>
              <w:rPr>
                <w:rFonts w:eastAsiaTheme="minorEastAsia"/>
                <w:color w:val="auto"/>
                <w:sz w:val="24"/>
                <w:szCs w:val="21"/>
              </w:rPr>
              <w:t>根据本项目环境影响途经，提出以下风险防范措施：</w:t>
            </w:r>
          </w:p>
          <w:p>
            <w:pPr>
              <w:pStyle w:val="30"/>
              <w:spacing w:line="360" w:lineRule="auto"/>
              <w:ind w:firstLine="240" w:firstLineChars="100"/>
              <w:jc w:val="both"/>
              <w:rPr>
                <w:rFonts w:eastAsiaTheme="minorEastAsia"/>
                <w:color w:val="auto"/>
                <w:sz w:val="24"/>
                <w:szCs w:val="21"/>
              </w:rPr>
            </w:pPr>
            <w:r>
              <w:rPr>
                <w:rFonts w:hint="eastAsia" w:ascii="宋体" w:hAnsi="宋体" w:cs="宋体"/>
                <w:color w:val="auto"/>
                <w:sz w:val="24"/>
                <w:szCs w:val="21"/>
              </w:rPr>
              <w:t>①</w:t>
            </w:r>
            <w:r>
              <w:rPr>
                <w:rFonts w:eastAsiaTheme="minorEastAsia"/>
                <w:color w:val="auto"/>
                <w:sz w:val="24"/>
                <w:szCs w:val="21"/>
              </w:rPr>
              <w:t>R134A和R600A制冷剂均在密闭压力钢瓶中储存。R600a是一种性能优异的新型碳氢制冷剂，压力钢瓶采取防爆措施。</w:t>
            </w:r>
          </w:p>
          <w:p>
            <w:pPr>
              <w:pStyle w:val="30"/>
              <w:spacing w:line="360" w:lineRule="auto"/>
              <w:ind w:firstLine="240" w:firstLineChars="100"/>
              <w:jc w:val="both"/>
              <w:rPr>
                <w:rFonts w:eastAsiaTheme="minorEastAsia"/>
                <w:color w:val="auto"/>
                <w:sz w:val="24"/>
                <w:szCs w:val="21"/>
              </w:rPr>
            </w:pPr>
            <w:r>
              <w:rPr>
                <w:rFonts w:hint="eastAsia" w:ascii="宋体" w:hAnsi="宋体" w:cs="宋体"/>
                <w:color w:val="auto"/>
                <w:sz w:val="24"/>
                <w:szCs w:val="21"/>
              </w:rPr>
              <w:t>②</w:t>
            </w:r>
            <w:r>
              <w:rPr>
                <w:rFonts w:eastAsiaTheme="minorEastAsia"/>
                <w:color w:val="auto"/>
                <w:sz w:val="24"/>
                <w:szCs w:val="21"/>
              </w:rPr>
              <w:t>严禁将各类废物转移给没有相应处理资质及能力的单位。</w:t>
            </w:r>
          </w:p>
          <w:p>
            <w:pPr>
              <w:pStyle w:val="30"/>
              <w:spacing w:line="360" w:lineRule="auto"/>
              <w:ind w:firstLine="240" w:firstLineChars="100"/>
              <w:jc w:val="both"/>
              <w:rPr>
                <w:rFonts w:eastAsiaTheme="minorEastAsia"/>
                <w:color w:val="auto"/>
                <w:sz w:val="24"/>
                <w:szCs w:val="21"/>
              </w:rPr>
            </w:pPr>
            <w:r>
              <w:rPr>
                <w:rFonts w:hint="eastAsia" w:ascii="宋体" w:hAnsi="宋体" w:cs="宋体"/>
                <w:color w:val="auto"/>
                <w:sz w:val="24"/>
                <w:szCs w:val="21"/>
              </w:rPr>
              <w:t>③</w:t>
            </w:r>
            <w:r>
              <w:rPr>
                <w:rFonts w:eastAsiaTheme="minorEastAsia"/>
                <w:color w:val="auto"/>
                <w:sz w:val="24"/>
                <w:szCs w:val="21"/>
              </w:rPr>
              <w:t>强化安全生产管理，必须制订岗位责任制，将责任落实到部门和个人，严格遵守操作规程，严格遵守《危险品化学安全管理条例》及国家、地方关于易燃、易爆、有毒有害物料的储运使用安全规定。</w:t>
            </w:r>
          </w:p>
          <w:p>
            <w:pPr>
              <w:pStyle w:val="30"/>
              <w:spacing w:line="360" w:lineRule="auto"/>
              <w:ind w:firstLine="240" w:firstLineChars="100"/>
              <w:jc w:val="both"/>
              <w:rPr>
                <w:rFonts w:eastAsiaTheme="minorEastAsia"/>
                <w:color w:val="auto"/>
                <w:sz w:val="24"/>
                <w:szCs w:val="21"/>
              </w:rPr>
            </w:pPr>
            <w:r>
              <w:rPr>
                <w:rFonts w:hint="eastAsia" w:ascii="宋体" w:hAnsi="宋体" w:cs="宋体"/>
                <w:color w:val="auto"/>
                <w:sz w:val="24"/>
                <w:szCs w:val="21"/>
              </w:rPr>
              <w:t>④</w:t>
            </w:r>
            <w:r>
              <w:rPr>
                <w:rFonts w:eastAsiaTheme="minorEastAsia"/>
                <w:color w:val="auto"/>
                <w:sz w:val="24"/>
                <w:szCs w:val="21"/>
              </w:rPr>
              <w:t>强化安全生产及环境保护意识的教育，提高职工的素质。</w:t>
            </w:r>
          </w:p>
          <w:p>
            <w:pPr>
              <w:pStyle w:val="30"/>
              <w:spacing w:line="360" w:lineRule="auto"/>
              <w:ind w:firstLine="240" w:firstLineChars="100"/>
              <w:jc w:val="both"/>
              <w:rPr>
                <w:rFonts w:eastAsiaTheme="minorEastAsia"/>
                <w:color w:val="auto"/>
                <w:sz w:val="24"/>
                <w:szCs w:val="21"/>
              </w:rPr>
            </w:pPr>
            <w:r>
              <w:rPr>
                <w:rFonts w:hint="eastAsia" w:ascii="宋体" w:hAnsi="宋体" w:cs="宋体"/>
                <w:color w:val="auto"/>
                <w:sz w:val="24"/>
                <w:szCs w:val="21"/>
              </w:rPr>
              <w:t>⑤</w:t>
            </w:r>
            <w:r>
              <w:rPr>
                <w:rFonts w:eastAsiaTheme="minorEastAsia"/>
                <w:color w:val="auto"/>
                <w:sz w:val="24"/>
                <w:szCs w:val="21"/>
              </w:rPr>
              <w:t>加强个人劳动保护，进入生产区必须穿载防护服及防护手套。</w:t>
            </w:r>
          </w:p>
          <w:p>
            <w:pPr>
              <w:pStyle w:val="30"/>
              <w:spacing w:line="360" w:lineRule="auto"/>
              <w:ind w:firstLine="240" w:firstLineChars="100"/>
              <w:jc w:val="both"/>
              <w:rPr>
                <w:rFonts w:eastAsiaTheme="minorEastAsia"/>
                <w:color w:val="auto"/>
                <w:sz w:val="24"/>
                <w:szCs w:val="21"/>
              </w:rPr>
            </w:pPr>
            <w:r>
              <w:rPr>
                <w:rFonts w:hint="eastAsia" w:ascii="宋体" w:hAnsi="宋体" w:cs="宋体"/>
                <w:color w:val="auto"/>
                <w:sz w:val="24"/>
                <w:szCs w:val="21"/>
              </w:rPr>
              <w:t>⑥</w:t>
            </w:r>
            <w:r>
              <w:rPr>
                <w:rFonts w:eastAsiaTheme="minorEastAsia"/>
                <w:color w:val="auto"/>
                <w:sz w:val="24"/>
                <w:szCs w:val="21"/>
              </w:rPr>
              <w:t>厂房区要加强通风，电气设备须选用防腐、防爆型，电源绝缘良好，防止产生电火花，接地牢靠，防止产生静电。</w:t>
            </w:r>
          </w:p>
          <w:p>
            <w:pPr>
              <w:pStyle w:val="30"/>
              <w:spacing w:line="360" w:lineRule="auto"/>
              <w:ind w:firstLine="240" w:firstLineChars="100"/>
              <w:jc w:val="both"/>
              <w:rPr>
                <w:rFonts w:eastAsiaTheme="minorEastAsia"/>
                <w:color w:val="auto"/>
                <w:sz w:val="24"/>
                <w:szCs w:val="21"/>
              </w:rPr>
            </w:pPr>
            <w:r>
              <w:rPr>
                <w:rFonts w:hint="eastAsia" w:ascii="宋体" w:hAnsi="宋体" w:cs="宋体"/>
                <w:color w:val="auto"/>
                <w:sz w:val="24"/>
                <w:szCs w:val="21"/>
              </w:rPr>
              <w:t>⑦</w:t>
            </w:r>
            <w:r>
              <w:rPr>
                <w:rFonts w:eastAsiaTheme="minorEastAsia"/>
                <w:color w:val="auto"/>
                <w:sz w:val="24"/>
                <w:szCs w:val="21"/>
              </w:rPr>
              <w:t>严格遵守国家有关防火防爆的安全规定，各生产区域装置及建筑物间考虑足够的安全防火距离，并布置相应的消防通道、消防水池以及足够的消防器材等装置，并要有专人负责管理。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42"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其他环境管理要求</w:t>
            </w:r>
          </w:p>
        </w:tc>
        <w:tc>
          <w:tcPr>
            <w:tcW w:w="8328" w:type="dxa"/>
            <w:gridSpan w:val="6"/>
            <w:vAlign w:val="center"/>
          </w:tcPr>
          <w:p>
            <w:pPr>
              <w:pStyle w:val="30"/>
              <w:spacing w:line="360" w:lineRule="auto"/>
              <w:ind w:firstLine="240" w:firstLineChars="100"/>
              <w:jc w:val="both"/>
              <w:rPr>
                <w:rFonts w:eastAsiaTheme="minorEastAsia"/>
                <w:color w:val="auto"/>
                <w:sz w:val="24"/>
                <w:szCs w:val="21"/>
              </w:rPr>
            </w:pPr>
            <w:r>
              <w:rPr>
                <w:rFonts w:hint="eastAsia" w:ascii="宋体" w:hAnsi="宋体" w:cs="宋体"/>
                <w:color w:val="auto"/>
                <w:sz w:val="24"/>
                <w:szCs w:val="21"/>
              </w:rPr>
              <w:t>①</w:t>
            </w:r>
            <w:r>
              <w:rPr>
                <w:rFonts w:eastAsiaTheme="minorEastAsia"/>
                <w:color w:val="auto"/>
                <w:sz w:val="24"/>
                <w:szCs w:val="21"/>
              </w:rPr>
              <w:t>建设单位按照危险废物管理的规范要求，设置危险废物识别标志、环境保护图形标志。</w:t>
            </w:r>
          </w:p>
          <w:p>
            <w:pPr>
              <w:pStyle w:val="30"/>
              <w:spacing w:line="360" w:lineRule="auto"/>
              <w:ind w:firstLine="240" w:firstLineChars="100"/>
              <w:jc w:val="both"/>
              <w:rPr>
                <w:rFonts w:eastAsiaTheme="minorEastAsia"/>
                <w:color w:val="auto"/>
                <w:sz w:val="24"/>
                <w:szCs w:val="21"/>
              </w:rPr>
            </w:pPr>
            <w:r>
              <w:rPr>
                <w:rFonts w:hint="eastAsia" w:ascii="宋体" w:hAnsi="宋体" w:cs="宋体"/>
                <w:color w:val="auto"/>
                <w:sz w:val="24"/>
                <w:szCs w:val="21"/>
              </w:rPr>
              <w:t>②</w:t>
            </w:r>
            <w:r>
              <w:rPr>
                <w:rFonts w:eastAsiaTheme="minorEastAsia"/>
                <w:color w:val="auto"/>
                <w:sz w:val="24"/>
                <w:szCs w:val="21"/>
              </w:rPr>
              <w:t>要求建设单位制定突发环境事件应急预案，报所在地县级以上环境保护行政主管部门备案并按照预案要求每年组织演练。</w:t>
            </w:r>
          </w:p>
          <w:p>
            <w:pPr>
              <w:pStyle w:val="30"/>
              <w:spacing w:line="360" w:lineRule="auto"/>
              <w:ind w:firstLine="240" w:firstLineChars="100"/>
              <w:jc w:val="both"/>
              <w:rPr>
                <w:rFonts w:eastAsiaTheme="minorEastAsia"/>
                <w:color w:val="auto"/>
                <w:sz w:val="24"/>
                <w:szCs w:val="21"/>
              </w:rPr>
            </w:pPr>
            <w:r>
              <w:rPr>
                <w:rFonts w:hint="eastAsia" w:ascii="宋体" w:hAnsi="宋体" w:cs="宋体"/>
                <w:color w:val="auto"/>
                <w:sz w:val="24"/>
                <w:szCs w:val="21"/>
              </w:rPr>
              <w:t>③</w:t>
            </w:r>
            <w:r>
              <w:rPr>
                <w:rFonts w:eastAsiaTheme="minorEastAsia"/>
                <w:color w:val="auto"/>
                <w:sz w:val="24"/>
                <w:szCs w:val="21"/>
              </w:rPr>
              <w:t>变更排污许可证。</w:t>
            </w:r>
          </w:p>
          <w:p>
            <w:pPr>
              <w:pStyle w:val="30"/>
              <w:spacing w:line="360" w:lineRule="auto"/>
              <w:ind w:firstLine="240" w:firstLineChars="100"/>
              <w:jc w:val="both"/>
              <w:rPr>
                <w:rFonts w:eastAsiaTheme="minorEastAsia"/>
                <w:color w:val="auto"/>
                <w:sz w:val="24"/>
                <w:szCs w:val="21"/>
              </w:rPr>
            </w:pPr>
          </w:p>
          <w:p>
            <w:pPr>
              <w:pStyle w:val="30"/>
              <w:spacing w:line="360" w:lineRule="auto"/>
              <w:ind w:firstLine="240" w:firstLineChars="100"/>
              <w:jc w:val="both"/>
              <w:rPr>
                <w:rFonts w:eastAsiaTheme="minorEastAsia"/>
                <w:color w:val="auto"/>
                <w:sz w:val="24"/>
                <w:szCs w:val="21"/>
              </w:rPr>
            </w:pPr>
          </w:p>
          <w:p>
            <w:pPr>
              <w:pStyle w:val="30"/>
              <w:spacing w:line="360" w:lineRule="auto"/>
              <w:ind w:firstLine="240" w:firstLineChars="100"/>
              <w:jc w:val="both"/>
              <w:rPr>
                <w:rFonts w:eastAsiaTheme="minorEastAsia"/>
                <w:color w:val="auto"/>
                <w:sz w:val="24"/>
                <w:szCs w:val="21"/>
              </w:rPr>
            </w:pPr>
          </w:p>
          <w:p>
            <w:pPr>
              <w:pStyle w:val="30"/>
              <w:spacing w:line="360" w:lineRule="auto"/>
              <w:ind w:firstLine="240" w:firstLineChars="100"/>
              <w:jc w:val="both"/>
              <w:rPr>
                <w:rFonts w:eastAsiaTheme="minorEastAsia"/>
                <w:color w:val="auto"/>
                <w:sz w:val="24"/>
                <w:szCs w:val="21"/>
              </w:rPr>
            </w:pPr>
          </w:p>
          <w:p>
            <w:pPr>
              <w:pStyle w:val="30"/>
              <w:spacing w:line="360" w:lineRule="auto"/>
              <w:ind w:firstLine="240" w:firstLineChars="100"/>
              <w:jc w:val="both"/>
              <w:rPr>
                <w:rFonts w:eastAsiaTheme="minorEastAsia"/>
                <w:color w:val="auto"/>
                <w:sz w:val="24"/>
                <w:szCs w:val="21"/>
              </w:rPr>
            </w:pPr>
          </w:p>
          <w:p>
            <w:pPr>
              <w:pStyle w:val="30"/>
              <w:spacing w:line="360" w:lineRule="auto"/>
              <w:ind w:firstLine="240" w:firstLineChars="100"/>
              <w:jc w:val="both"/>
              <w:rPr>
                <w:rFonts w:eastAsiaTheme="minorEastAsia"/>
                <w:color w:val="auto"/>
                <w:sz w:val="24"/>
                <w:szCs w:val="21"/>
              </w:rPr>
            </w:pPr>
          </w:p>
          <w:p>
            <w:pPr>
              <w:pStyle w:val="30"/>
              <w:spacing w:line="360" w:lineRule="auto"/>
              <w:ind w:firstLine="240" w:firstLineChars="100"/>
              <w:jc w:val="both"/>
              <w:rPr>
                <w:rFonts w:eastAsiaTheme="minorEastAsia"/>
                <w:color w:val="auto"/>
                <w:sz w:val="24"/>
                <w:szCs w:val="21"/>
              </w:rPr>
            </w:pPr>
          </w:p>
          <w:p>
            <w:pPr>
              <w:pStyle w:val="30"/>
              <w:spacing w:line="360" w:lineRule="auto"/>
              <w:ind w:firstLine="240" w:firstLineChars="100"/>
              <w:jc w:val="both"/>
              <w:rPr>
                <w:rFonts w:eastAsiaTheme="minorEastAsia"/>
                <w:color w:val="auto"/>
                <w:sz w:val="24"/>
                <w:szCs w:val="21"/>
              </w:rPr>
            </w:pPr>
          </w:p>
          <w:p>
            <w:pPr>
              <w:pStyle w:val="30"/>
              <w:spacing w:line="360" w:lineRule="auto"/>
              <w:ind w:firstLine="240" w:firstLineChars="100"/>
              <w:jc w:val="both"/>
              <w:rPr>
                <w:rFonts w:eastAsiaTheme="minorEastAsia"/>
                <w:color w:val="auto"/>
                <w:sz w:val="24"/>
                <w:szCs w:val="21"/>
              </w:rPr>
            </w:pPr>
          </w:p>
          <w:p>
            <w:pPr>
              <w:pStyle w:val="30"/>
              <w:spacing w:line="360" w:lineRule="auto"/>
              <w:ind w:firstLine="240" w:firstLineChars="100"/>
              <w:jc w:val="both"/>
              <w:rPr>
                <w:rFonts w:eastAsiaTheme="minorEastAsia"/>
                <w:color w:val="auto"/>
                <w:sz w:val="24"/>
                <w:szCs w:val="21"/>
              </w:rPr>
            </w:pPr>
          </w:p>
          <w:p>
            <w:pPr>
              <w:pStyle w:val="30"/>
              <w:spacing w:line="360" w:lineRule="auto"/>
              <w:ind w:firstLine="240" w:firstLineChars="100"/>
              <w:jc w:val="both"/>
              <w:rPr>
                <w:rFonts w:eastAsiaTheme="minorEastAsia"/>
                <w:color w:val="auto"/>
                <w:sz w:val="24"/>
                <w:szCs w:val="21"/>
              </w:rPr>
            </w:pPr>
          </w:p>
          <w:p>
            <w:pPr>
              <w:pStyle w:val="30"/>
              <w:spacing w:line="360" w:lineRule="auto"/>
              <w:ind w:firstLine="240" w:firstLineChars="100"/>
              <w:jc w:val="both"/>
              <w:rPr>
                <w:rFonts w:eastAsiaTheme="minorEastAsia"/>
                <w:color w:val="auto"/>
                <w:sz w:val="24"/>
                <w:szCs w:val="21"/>
              </w:rPr>
            </w:pPr>
          </w:p>
          <w:p>
            <w:pPr>
              <w:pStyle w:val="30"/>
              <w:spacing w:line="360" w:lineRule="auto"/>
              <w:ind w:firstLine="240" w:firstLineChars="100"/>
              <w:jc w:val="both"/>
              <w:rPr>
                <w:rFonts w:eastAsiaTheme="minorEastAsia"/>
                <w:color w:val="auto"/>
                <w:sz w:val="24"/>
                <w:szCs w:val="21"/>
              </w:rPr>
            </w:pPr>
          </w:p>
          <w:p>
            <w:pPr>
              <w:pStyle w:val="30"/>
              <w:spacing w:line="360" w:lineRule="auto"/>
              <w:ind w:firstLine="240" w:firstLineChars="100"/>
              <w:jc w:val="both"/>
              <w:rPr>
                <w:rFonts w:eastAsiaTheme="minorEastAsia"/>
                <w:color w:val="auto"/>
                <w:sz w:val="24"/>
                <w:szCs w:val="21"/>
              </w:rPr>
            </w:pPr>
          </w:p>
          <w:p>
            <w:pPr>
              <w:pStyle w:val="30"/>
              <w:spacing w:line="360" w:lineRule="auto"/>
              <w:ind w:firstLine="240" w:firstLineChars="100"/>
              <w:jc w:val="both"/>
              <w:rPr>
                <w:rFonts w:eastAsiaTheme="minorEastAsia"/>
                <w:color w:val="auto"/>
                <w:sz w:val="24"/>
                <w:szCs w:val="21"/>
              </w:rPr>
            </w:pPr>
          </w:p>
          <w:p>
            <w:pPr>
              <w:pStyle w:val="30"/>
              <w:spacing w:line="360" w:lineRule="auto"/>
              <w:ind w:firstLine="240" w:firstLineChars="100"/>
              <w:jc w:val="both"/>
              <w:rPr>
                <w:rFonts w:eastAsiaTheme="minorEastAsia"/>
                <w:color w:val="auto"/>
                <w:sz w:val="24"/>
                <w:szCs w:val="21"/>
              </w:rPr>
            </w:pPr>
          </w:p>
          <w:p>
            <w:pPr>
              <w:pStyle w:val="30"/>
              <w:spacing w:line="360" w:lineRule="auto"/>
              <w:ind w:firstLine="240" w:firstLineChars="100"/>
              <w:jc w:val="both"/>
              <w:rPr>
                <w:rFonts w:eastAsiaTheme="minorEastAsia"/>
                <w:color w:val="auto"/>
                <w:sz w:val="24"/>
                <w:szCs w:val="21"/>
              </w:rPr>
            </w:pPr>
          </w:p>
          <w:p>
            <w:pPr>
              <w:pStyle w:val="30"/>
              <w:spacing w:line="360" w:lineRule="auto"/>
              <w:ind w:firstLine="240" w:firstLineChars="100"/>
              <w:jc w:val="both"/>
              <w:rPr>
                <w:rFonts w:eastAsiaTheme="minorEastAsia"/>
                <w:color w:val="auto"/>
                <w:sz w:val="24"/>
                <w:szCs w:val="21"/>
              </w:rPr>
            </w:pPr>
          </w:p>
          <w:p>
            <w:pPr>
              <w:pStyle w:val="30"/>
              <w:spacing w:line="360" w:lineRule="auto"/>
              <w:ind w:firstLine="240" w:firstLineChars="100"/>
              <w:jc w:val="both"/>
              <w:rPr>
                <w:rFonts w:eastAsiaTheme="minorEastAsia"/>
                <w:color w:val="auto"/>
                <w:sz w:val="24"/>
                <w:szCs w:val="21"/>
              </w:rPr>
            </w:pPr>
          </w:p>
          <w:p>
            <w:pPr>
              <w:pStyle w:val="30"/>
              <w:spacing w:line="360" w:lineRule="auto"/>
              <w:ind w:firstLine="240" w:firstLineChars="100"/>
              <w:jc w:val="both"/>
              <w:rPr>
                <w:rFonts w:eastAsiaTheme="minorEastAsia"/>
                <w:color w:val="auto"/>
                <w:sz w:val="24"/>
                <w:szCs w:val="21"/>
              </w:rPr>
            </w:pPr>
          </w:p>
          <w:p>
            <w:pPr>
              <w:pStyle w:val="30"/>
              <w:spacing w:line="360" w:lineRule="auto"/>
              <w:ind w:firstLine="240" w:firstLineChars="100"/>
              <w:jc w:val="both"/>
              <w:rPr>
                <w:rFonts w:eastAsiaTheme="minorEastAsia"/>
                <w:color w:val="auto"/>
                <w:sz w:val="24"/>
                <w:szCs w:val="21"/>
              </w:rPr>
            </w:pPr>
          </w:p>
          <w:p>
            <w:pPr>
              <w:pStyle w:val="30"/>
              <w:spacing w:line="360" w:lineRule="auto"/>
              <w:ind w:firstLine="240" w:firstLineChars="100"/>
              <w:jc w:val="both"/>
              <w:rPr>
                <w:rFonts w:eastAsiaTheme="minorEastAsia"/>
                <w:color w:val="auto"/>
                <w:sz w:val="24"/>
                <w:szCs w:val="21"/>
              </w:rPr>
            </w:pPr>
          </w:p>
          <w:p>
            <w:pPr>
              <w:pStyle w:val="30"/>
              <w:spacing w:line="360" w:lineRule="auto"/>
              <w:jc w:val="both"/>
              <w:rPr>
                <w:rFonts w:eastAsiaTheme="minorEastAsia"/>
                <w:color w:val="auto"/>
                <w:szCs w:val="21"/>
              </w:rPr>
            </w:pPr>
          </w:p>
        </w:tc>
      </w:tr>
    </w:tbl>
    <w:p>
      <w:pPr>
        <w:spacing w:line="360" w:lineRule="auto"/>
        <w:jc w:val="left"/>
        <w:outlineLvl w:val="0"/>
        <w:rPr>
          <w:rFonts w:ascii="Times New Roman" w:hAnsi="Times New Roman" w:cs="Times New Roman"/>
          <w:b/>
          <w:color w:val="auto"/>
          <w:sz w:val="28"/>
          <w:szCs w:val="20"/>
        </w:rPr>
      </w:pPr>
      <w:r>
        <w:rPr>
          <w:rFonts w:ascii="Times New Roman" w:hAnsi="Times New Roman" w:cs="Times New Roman"/>
          <w:b/>
          <w:color w:val="auto"/>
          <w:sz w:val="28"/>
          <w:szCs w:val="20"/>
        </w:rPr>
        <w:t>六、结论</w:t>
      </w:r>
    </w:p>
    <w:tbl>
      <w:tblPr>
        <w:tblStyle w:val="20"/>
        <w:tblW w:w="9270"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27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270" w:type="dxa"/>
          </w:tcPr>
          <w:p>
            <w:pPr>
              <w:spacing w:beforeLines="50"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云南华再新源环保产业发展有限公司拟建设的洗衣机、电视机线物理拆解、分类收集改扩建项目的建设符合国家产业政策，符合相关规划，选址合理，项目建设满足“三线一单”的管理要求，项目选址区域环境空气、地表水环境和声环境质量现状均可达到相应的质量标准要求，本项目产生的污染物均可得到合理处置，建设单位在项目运行过程中严格执行环境管理和监测计划，项目对外环境影响较小，环境风险可控；从环境影响的角度分析，项目建设可行。</w:t>
            </w: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p>
            <w:pPr>
              <w:spacing w:line="360" w:lineRule="auto"/>
              <w:ind w:firstLine="480" w:firstLineChars="200"/>
              <w:rPr>
                <w:rFonts w:ascii="Times New Roman" w:hAnsi="Times New Roman" w:cs="Times New Roman"/>
                <w:color w:val="auto"/>
                <w:sz w:val="24"/>
                <w:szCs w:val="24"/>
              </w:rPr>
            </w:pPr>
          </w:p>
        </w:tc>
      </w:tr>
    </w:tbl>
    <w:p>
      <w:pPr>
        <w:spacing w:line="360" w:lineRule="auto"/>
        <w:rPr>
          <w:rFonts w:ascii="Times New Roman" w:hAnsi="Times New Roman" w:cs="Times New Roman"/>
          <w:color w:val="auto"/>
          <w:sz w:val="24"/>
          <w:szCs w:val="24"/>
        </w:rPr>
        <w:sectPr>
          <w:footerReference r:id="rId3" w:type="default"/>
          <w:pgSz w:w="11906" w:h="16838"/>
          <w:pgMar w:top="1440" w:right="1797" w:bottom="1440" w:left="1797" w:header="851" w:footer="992" w:gutter="0"/>
          <w:cols w:space="425" w:num="1"/>
          <w:docGrid w:type="lines" w:linePitch="312" w:charSpace="0"/>
        </w:sectPr>
      </w:pPr>
    </w:p>
    <w:p>
      <w:pPr>
        <w:spacing w:line="360" w:lineRule="auto"/>
        <w:jc w:val="left"/>
        <w:outlineLvl w:val="0"/>
        <w:rPr>
          <w:rFonts w:ascii="Times New Roman" w:hAnsi="Times New Roman" w:cs="Times New Roman"/>
          <w:b/>
          <w:color w:val="auto"/>
          <w:sz w:val="28"/>
          <w:szCs w:val="20"/>
        </w:rPr>
      </w:pPr>
      <w:r>
        <w:rPr>
          <w:rFonts w:ascii="Times New Roman" w:hAnsi="Times New Roman" w:cs="Times New Roman"/>
          <w:b/>
          <w:color w:val="auto"/>
          <w:sz w:val="28"/>
          <w:szCs w:val="20"/>
        </w:rPr>
        <w:t>附表</w:t>
      </w:r>
    </w:p>
    <w:p>
      <w:pPr>
        <w:jc w:val="center"/>
        <w:rPr>
          <w:rFonts w:ascii="Times New Roman" w:hAnsi="Times New Roman" w:cs="Times New Roman"/>
          <w:b/>
          <w:color w:val="auto"/>
        </w:rPr>
      </w:pPr>
      <w:r>
        <w:rPr>
          <w:rFonts w:ascii="Times New Roman" w:hAnsi="Times New Roman" w:cs="Times New Roman"/>
          <w:b/>
          <w:color w:val="auto"/>
        </w:rPr>
        <w:t>建设项目污染物排放量汇总表</w:t>
      </w:r>
    </w:p>
    <w:tbl>
      <w:tblPr>
        <w:tblStyle w:val="20"/>
        <w:tblW w:w="1417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21"/>
        <w:gridCol w:w="747"/>
        <w:gridCol w:w="1603"/>
        <w:gridCol w:w="1521"/>
        <w:gridCol w:w="1388"/>
        <w:gridCol w:w="1625"/>
        <w:gridCol w:w="1777"/>
        <w:gridCol w:w="1508"/>
        <w:gridCol w:w="1790"/>
        <w:gridCol w:w="129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tcBorders>
              <w:tl2br w:val="single" w:color="auto" w:sz="4" w:space="0"/>
            </w:tcBorders>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项目</w:t>
            </w:r>
          </w:p>
          <w:p>
            <w:pPr>
              <w:spacing w:line="360" w:lineRule="exact"/>
              <w:jc w:val="left"/>
              <w:rPr>
                <w:rFonts w:ascii="Times New Roman" w:hAnsi="Times New Roman" w:cs="Times New Roman"/>
                <w:color w:val="auto"/>
              </w:rPr>
            </w:pPr>
            <w:r>
              <w:rPr>
                <w:rFonts w:ascii="Times New Roman" w:hAnsi="Times New Roman" w:cs="Times New Roman"/>
                <w:color w:val="auto"/>
              </w:rPr>
              <w:t>分类</w:t>
            </w:r>
          </w:p>
        </w:tc>
        <w:tc>
          <w:tcPr>
            <w:tcW w:w="2350" w:type="dxa"/>
            <w:gridSpan w:val="2"/>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污染物名称</w:t>
            </w:r>
          </w:p>
        </w:tc>
        <w:tc>
          <w:tcPr>
            <w:tcW w:w="1521"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现有工程排放量（固体废物产生量）</w:t>
            </w:r>
            <w:r>
              <w:rPr>
                <w:rFonts w:ascii="Times New Roman" w:hAnsi="Times New Roman" w:eastAsia="宋体" w:cs="Times New Roman"/>
                <w:color w:val="auto"/>
              </w:rPr>
              <w:t>①</w:t>
            </w:r>
          </w:p>
        </w:tc>
        <w:tc>
          <w:tcPr>
            <w:tcW w:w="1388"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现有工程许可排放量</w:t>
            </w:r>
            <w:r>
              <w:rPr>
                <w:rFonts w:ascii="Times New Roman" w:hAnsi="Times New Roman" w:eastAsia="宋体" w:cs="Times New Roman"/>
                <w:color w:val="auto"/>
              </w:rPr>
              <w:t>②</w:t>
            </w:r>
          </w:p>
        </w:tc>
        <w:tc>
          <w:tcPr>
            <w:tcW w:w="1625"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在建工程排放量（固体废物产生量）</w:t>
            </w:r>
            <w:r>
              <w:rPr>
                <w:rFonts w:ascii="Times New Roman" w:hAnsi="Times New Roman" w:eastAsia="宋体" w:cs="Times New Roman"/>
                <w:color w:val="auto"/>
              </w:rPr>
              <w:t>③</w:t>
            </w:r>
          </w:p>
        </w:tc>
        <w:tc>
          <w:tcPr>
            <w:tcW w:w="1777"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本项目排放量（固体废物产生量）</w:t>
            </w:r>
            <w:r>
              <w:rPr>
                <w:rFonts w:ascii="Times New Roman" w:hAnsi="Times New Roman" w:eastAsia="宋体" w:cs="Times New Roman"/>
                <w:color w:val="auto"/>
              </w:rPr>
              <w:t>④</w:t>
            </w:r>
          </w:p>
        </w:tc>
        <w:tc>
          <w:tcPr>
            <w:tcW w:w="1508"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以新带老削减量（新建项目不填）</w:t>
            </w:r>
            <w:r>
              <w:rPr>
                <w:rFonts w:ascii="Times New Roman" w:hAnsi="Times New Roman" w:eastAsia="宋体" w:cs="Times New Roman"/>
                <w:color w:val="auto"/>
              </w:rPr>
              <w:t>⑤</w:t>
            </w:r>
          </w:p>
        </w:tc>
        <w:tc>
          <w:tcPr>
            <w:tcW w:w="1790"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本项目建成后全厂排放量（固体废物产生量）</w:t>
            </w:r>
            <w:r>
              <w:rPr>
                <w:rFonts w:ascii="Times New Roman" w:hAnsi="Times New Roman" w:eastAsia="宋体" w:cs="Times New Roman"/>
                <w:color w:val="auto"/>
              </w:rPr>
              <w:t>⑥</w:t>
            </w:r>
          </w:p>
        </w:tc>
        <w:tc>
          <w:tcPr>
            <w:tcW w:w="1294"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变化量</w:t>
            </w:r>
            <w:r>
              <w:rPr>
                <w:rFonts w:ascii="Times New Roman" w:hAnsi="Times New Roman" w:eastAsia="宋体" w:cs="Times New Roman"/>
                <w:color w:val="auto"/>
              </w:rPr>
              <w:t>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82" w:hRule="atLeast"/>
        </w:trPr>
        <w:tc>
          <w:tcPr>
            <w:tcW w:w="921" w:type="dxa"/>
            <w:vMerge w:val="restart"/>
            <w:vAlign w:val="center"/>
          </w:tcPr>
          <w:p>
            <w:pPr>
              <w:pStyle w:val="30"/>
              <w:spacing w:line="360" w:lineRule="exact"/>
              <w:rPr>
                <w:rFonts w:eastAsiaTheme="minorEastAsia"/>
                <w:color w:val="auto"/>
                <w:szCs w:val="21"/>
              </w:rPr>
            </w:pPr>
            <w:r>
              <w:rPr>
                <w:rFonts w:eastAsiaTheme="minorEastAsia"/>
                <w:color w:val="auto"/>
                <w:szCs w:val="21"/>
              </w:rPr>
              <w:t>废气</w:t>
            </w:r>
          </w:p>
        </w:tc>
        <w:tc>
          <w:tcPr>
            <w:tcW w:w="2350" w:type="dxa"/>
            <w:gridSpan w:val="2"/>
            <w:vAlign w:val="center"/>
          </w:tcPr>
          <w:p>
            <w:pPr>
              <w:pStyle w:val="30"/>
              <w:spacing w:line="360" w:lineRule="exact"/>
              <w:rPr>
                <w:rFonts w:eastAsiaTheme="minorEastAsia"/>
                <w:color w:val="auto"/>
                <w:szCs w:val="21"/>
              </w:rPr>
            </w:pPr>
            <w:r>
              <w:rPr>
                <w:rFonts w:eastAsiaTheme="minorEastAsia"/>
                <w:color w:val="auto"/>
                <w:szCs w:val="21"/>
              </w:rPr>
              <w:t>粉尘（有组织）</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1.989t/a</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1.989t/a</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pStyle w:val="30"/>
              <w:spacing w:line="360" w:lineRule="exact"/>
              <w:rPr>
                <w:rFonts w:eastAsiaTheme="minorEastAsia"/>
                <w:color w:val="auto"/>
                <w:szCs w:val="21"/>
              </w:rPr>
            </w:pPr>
            <w:r>
              <w:rPr>
                <w:rFonts w:eastAsiaTheme="minorEastAsia"/>
                <w:color w:val="auto"/>
                <w:szCs w:val="21"/>
              </w:rPr>
              <w:t>2.104t/a</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2.104t/a</w:t>
            </w:r>
          </w:p>
        </w:tc>
        <w:tc>
          <w:tcPr>
            <w:tcW w:w="1294" w:type="dxa"/>
            <w:vAlign w:val="center"/>
          </w:tcPr>
          <w:p>
            <w:pPr>
              <w:pStyle w:val="30"/>
              <w:spacing w:line="360" w:lineRule="exact"/>
              <w:rPr>
                <w:rFonts w:eastAsiaTheme="minorEastAsia"/>
                <w:color w:val="auto"/>
                <w:szCs w:val="21"/>
              </w:rPr>
            </w:pPr>
            <w:r>
              <w:rPr>
                <w:rFonts w:eastAsiaTheme="minorEastAsia"/>
                <w:color w:val="auto"/>
                <w:szCs w:val="21"/>
              </w:rPr>
              <w:t>0.115t/a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pStyle w:val="30"/>
              <w:spacing w:line="360" w:lineRule="exact"/>
              <w:rPr>
                <w:rFonts w:eastAsiaTheme="minorEastAsia"/>
                <w:color w:val="auto"/>
                <w:szCs w:val="21"/>
              </w:rPr>
            </w:pPr>
          </w:p>
        </w:tc>
        <w:tc>
          <w:tcPr>
            <w:tcW w:w="2350" w:type="dxa"/>
            <w:gridSpan w:val="2"/>
            <w:vAlign w:val="center"/>
          </w:tcPr>
          <w:p>
            <w:pPr>
              <w:pStyle w:val="30"/>
              <w:spacing w:line="360" w:lineRule="exact"/>
              <w:rPr>
                <w:rFonts w:eastAsiaTheme="minorEastAsia"/>
                <w:color w:val="auto"/>
                <w:szCs w:val="21"/>
              </w:rPr>
            </w:pPr>
            <w:r>
              <w:rPr>
                <w:rFonts w:eastAsiaTheme="minorEastAsia"/>
                <w:color w:val="auto"/>
                <w:szCs w:val="21"/>
              </w:rPr>
              <w:t>粉尘（无组织）</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5.403t/a</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5.403t/a</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pStyle w:val="30"/>
              <w:spacing w:line="360" w:lineRule="exact"/>
              <w:rPr>
                <w:rFonts w:eastAsiaTheme="minorEastAsia"/>
                <w:color w:val="auto"/>
                <w:szCs w:val="21"/>
              </w:rPr>
            </w:pPr>
            <w:r>
              <w:rPr>
                <w:rFonts w:eastAsiaTheme="minorEastAsia"/>
                <w:color w:val="auto"/>
                <w:szCs w:val="21"/>
              </w:rPr>
              <w:t>5.655t/a</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5.655t/a</w:t>
            </w:r>
          </w:p>
        </w:tc>
        <w:tc>
          <w:tcPr>
            <w:tcW w:w="1294" w:type="dxa"/>
            <w:vAlign w:val="center"/>
          </w:tcPr>
          <w:p>
            <w:pPr>
              <w:pStyle w:val="30"/>
              <w:spacing w:line="360" w:lineRule="exact"/>
              <w:rPr>
                <w:rFonts w:eastAsiaTheme="minorEastAsia"/>
                <w:color w:val="auto"/>
                <w:szCs w:val="21"/>
              </w:rPr>
            </w:pPr>
            <w:r>
              <w:rPr>
                <w:rFonts w:eastAsiaTheme="minorEastAsia"/>
                <w:color w:val="auto"/>
                <w:szCs w:val="21"/>
              </w:rPr>
              <w:t>0.252t/a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pStyle w:val="30"/>
              <w:spacing w:line="360" w:lineRule="exact"/>
              <w:rPr>
                <w:rFonts w:eastAsiaTheme="minorEastAsia"/>
                <w:color w:val="auto"/>
                <w:szCs w:val="21"/>
              </w:rPr>
            </w:pPr>
          </w:p>
        </w:tc>
        <w:tc>
          <w:tcPr>
            <w:tcW w:w="2350" w:type="dxa"/>
            <w:gridSpan w:val="2"/>
            <w:vAlign w:val="center"/>
          </w:tcPr>
          <w:p>
            <w:pPr>
              <w:pStyle w:val="30"/>
              <w:spacing w:line="360" w:lineRule="exact"/>
              <w:rPr>
                <w:rFonts w:eastAsiaTheme="minorEastAsia"/>
                <w:color w:val="auto"/>
                <w:szCs w:val="21"/>
              </w:rPr>
            </w:pPr>
            <w:r>
              <w:rPr>
                <w:rFonts w:eastAsiaTheme="minorEastAsia"/>
                <w:color w:val="auto"/>
                <w:szCs w:val="21"/>
              </w:rPr>
              <w:t>非甲烷总烃（有组织）</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0.06t/a</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0.06t/a</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pStyle w:val="30"/>
              <w:spacing w:line="360" w:lineRule="exact"/>
              <w:rPr>
                <w:rFonts w:eastAsiaTheme="minorEastAsia"/>
                <w:color w:val="auto"/>
                <w:szCs w:val="21"/>
              </w:rPr>
            </w:pPr>
            <w:r>
              <w:rPr>
                <w:rFonts w:eastAsiaTheme="minorEastAsia"/>
                <w:color w:val="auto"/>
                <w:szCs w:val="21"/>
              </w:rPr>
              <w:t>0.06t/a</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0.06t/a</w:t>
            </w:r>
          </w:p>
        </w:tc>
        <w:tc>
          <w:tcPr>
            <w:tcW w:w="1294" w:type="dxa"/>
            <w:vAlign w:val="center"/>
          </w:tcPr>
          <w:p>
            <w:pPr>
              <w:pStyle w:val="30"/>
              <w:spacing w:line="360" w:lineRule="exact"/>
              <w:rPr>
                <w:rFonts w:eastAsiaTheme="minorEastAsia"/>
                <w:color w:val="auto"/>
                <w:szCs w:val="21"/>
              </w:rPr>
            </w:pPr>
            <w:r>
              <w:rPr>
                <w:rFonts w:eastAsiaTheme="minorEastAsia"/>
                <w:color w:val="auto"/>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pStyle w:val="30"/>
              <w:spacing w:line="360" w:lineRule="exact"/>
              <w:rPr>
                <w:rFonts w:eastAsiaTheme="minorEastAsia"/>
                <w:color w:val="auto"/>
                <w:szCs w:val="21"/>
              </w:rPr>
            </w:pPr>
          </w:p>
        </w:tc>
        <w:tc>
          <w:tcPr>
            <w:tcW w:w="2350" w:type="dxa"/>
            <w:gridSpan w:val="2"/>
            <w:vAlign w:val="center"/>
          </w:tcPr>
          <w:p>
            <w:pPr>
              <w:pStyle w:val="30"/>
              <w:spacing w:line="360" w:lineRule="exact"/>
              <w:rPr>
                <w:rFonts w:eastAsiaTheme="minorEastAsia"/>
                <w:color w:val="auto"/>
                <w:szCs w:val="21"/>
              </w:rPr>
            </w:pPr>
            <w:r>
              <w:rPr>
                <w:rFonts w:eastAsiaTheme="minorEastAsia"/>
                <w:color w:val="auto"/>
                <w:szCs w:val="21"/>
              </w:rPr>
              <w:t>非甲烷总烃（无组织）</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0.03t/a</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0.03t/a</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pStyle w:val="30"/>
              <w:spacing w:line="360" w:lineRule="exact"/>
              <w:rPr>
                <w:rFonts w:eastAsiaTheme="minorEastAsia"/>
                <w:color w:val="auto"/>
                <w:szCs w:val="21"/>
              </w:rPr>
            </w:pPr>
            <w:r>
              <w:rPr>
                <w:rFonts w:eastAsiaTheme="minorEastAsia"/>
                <w:color w:val="auto"/>
                <w:szCs w:val="21"/>
              </w:rPr>
              <w:t>0.03t/a</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0.03t/a</w:t>
            </w:r>
          </w:p>
        </w:tc>
        <w:tc>
          <w:tcPr>
            <w:tcW w:w="1294" w:type="dxa"/>
            <w:vAlign w:val="center"/>
          </w:tcPr>
          <w:p>
            <w:pPr>
              <w:pStyle w:val="30"/>
              <w:spacing w:line="360" w:lineRule="exact"/>
              <w:rPr>
                <w:rFonts w:eastAsiaTheme="minorEastAsia"/>
                <w:color w:val="auto"/>
                <w:szCs w:val="21"/>
              </w:rPr>
            </w:pPr>
            <w:r>
              <w:rPr>
                <w:rFonts w:eastAsiaTheme="minorEastAsia"/>
                <w:color w:val="auto"/>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pStyle w:val="30"/>
              <w:spacing w:line="360" w:lineRule="exact"/>
              <w:rPr>
                <w:rFonts w:eastAsiaTheme="minorEastAsia"/>
                <w:color w:val="auto"/>
                <w:szCs w:val="21"/>
              </w:rPr>
            </w:pPr>
          </w:p>
        </w:tc>
        <w:tc>
          <w:tcPr>
            <w:tcW w:w="2350" w:type="dxa"/>
            <w:gridSpan w:val="2"/>
            <w:vAlign w:val="center"/>
          </w:tcPr>
          <w:p>
            <w:pPr>
              <w:pStyle w:val="30"/>
              <w:spacing w:line="360" w:lineRule="exact"/>
              <w:rPr>
                <w:rFonts w:eastAsiaTheme="minorEastAsia"/>
                <w:color w:val="auto"/>
                <w:szCs w:val="21"/>
              </w:rPr>
            </w:pPr>
            <w:r>
              <w:rPr>
                <w:rFonts w:eastAsiaTheme="minorEastAsia"/>
                <w:color w:val="auto"/>
                <w:szCs w:val="21"/>
              </w:rPr>
              <w:t>铅及其化合物（有组织）</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0.0009t/a</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0.0009t/a</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pStyle w:val="30"/>
              <w:spacing w:line="360" w:lineRule="exact"/>
              <w:rPr>
                <w:rFonts w:eastAsiaTheme="minorEastAsia"/>
                <w:color w:val="auto"/>
                <w:szCs w:val="21"/>
              </w:rPr>
            </w:pPr>
            <w:r>
              <w:rPr>
                <w:rFonts w:eastAsiaTheme="minorEastAsia"/>
                <w:color w:val="auto"/>
                <w:szCs w:val="21"/>
              </w:rPr>
              <w:t>0.0009t/a</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0.0009t/a</w:t>
            </w:r>
          </w:p>
        </w:tc>
        <w:tc>
          <w:tcPr>
            <w:tcW w:w="1294" w:type="dxa"/>
            <w:vAlign w:val="center"/>
          </w:tcPr>
          <w:p>
            <w:pPr>
              <w:pStyle w:val="30"/>
              <w:spacing w:line="360" w:lineRule="exact"/>
              <w:rPr>
                <w:rFonts w:eastAsiaTheme="minorEastAsia"/>
                <w:color w:val="auto"/>
                <w:szCs w:val="21"/>
              </w:rPr>
            </w:pPr>
            <w:r>
              <w:rPr>
                <w:rFonts w:eastAsiaTheme="minorEastAsia"/>
                <w:color w:val="auto"/>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pStyle w:val="30"/>
              <w:spacing w:line="360" w:lineRule="exact"/>
              <w:rPr>
                <w:rFonts w:eastAsiaTheme="minorEastAsia"/>
                <w:color w:val="auto"/>
                <w:szCs w:val="21"/>
              </w:rPr>
            </w:pPr>
          </w:p>
        </w:tc>
        <w:tc>
          <w:tcPr>
            <w:tcW w:w="2350" w:type="dxa"/>
            <w:gridSpan w:val="2"/>
            <w:vAlign w:val="center"/>
          </w:tcPr>
          <w:p>
            <w:pPr>
              <w:pStyle w:val="30"/>
              <w:spacing w:line="360" w:lineRule="exact"/>
              <w:rPr>
                <w:rFonts w:eastAsiaTheme="minorEastAsia"/>
                <w:color w:val="auto"/>
                <w:szCs w:val="21"/>
              </w:rPr>
            </w:pPr>
            <w:r>
              <w:rPr>
                <w:rFonts w:eastAsiaTheme="minorEastAsia"/>
                <w:color w:val="auto"/>
                <w:szCs w:val="21"/>
              </w:rPr>
              <w:t>铅及其化合物（无组织）</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0.0019t/a</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0.0019t/a</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pStyle w:val="30"/>
              <w:spacing w:line="360" w:lineRule="exact"/>
              <w:rPr>
                <w:rFonts w:eastAsiaTheme="minorEastAsia"/>
                <w:color w:val="auto"/>
                <w:szCs w:val="21"/>
              </w:rPr>
            </w:pPr>
            <w:r>
              <w:rPr>
                <w:rFonts w:eastAsiaTheme="minorEastAsia"/>
                <w:color w:val="auto"/>
                <w:szCs w:val="21"/>
              </w:rPr>
              <w:t>0.0019t/a</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0.0019t/a</w:t>
            </w:r>
          </w:p>
        </w:tc>
        <w:tc>
          <w:tcPr>
            <w:tcW w:w="1294" w:type="dxa"/>
            <w:vAlign w:val="center"/>
          </w:tcPr>
          <w:p>
            <w:pPr>
              <w:pStyle w:val="30"/>
              <w:spacing w:line="360" w:lineRule="exact"/>
              <w:rPr>
                <w:rFonts w:eastAsiaTheme="minorEastAsia"/>
                <w:color w:val="auto"/>
                <w:szCs w:val="21"/>
              </w:rPr>
            </w:pPr>
            <w:r>
              <w:rPr>
                <w:rFonts w:eastAsiaTheme="minorEastAsia"/>
                <w:color w:val="auto"/>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pStyle w:val="30"/>
              <w:spacing w:line="360" w:lineRule="exact"/>
              <w:rPr>
                <w:rFonts w:eastAsiaTheme="minorEastAsia"/>
                <w:color w:val="auto"/>
                <w:szCs w:val="21"/>
              </w:rPr>
            </w:pPr>
          </w:p>
        </w:tc>
        <w:tc>
          <w:tcPr>
            <w:tcW w:w="2350" w:type="dxa"/>
            <w:gridSpan w:val="2"/>
            <w:vAlign w:val="center"/>
          </w:tcPr>
          <w:p>
            <w:pPr>
              <w:pStyle w:val="30"/>
              <w:spacing w:line="360" w:lineRule="exact"/>
              <w:rPr>
                <w:rFonts w:eastAsiaTheme="minorEastAsia"/>
                <w:color w:val="auto"/>
                <w:szCs w:val="21"/>
              </w:rPr>
            </w:pPr>
            <w:r>
              <w:rPr>
                <w:rFonts w:eastAsiaTheme="minorEastAsia"/>
                <w:color w:val="auto"/>
                <w:szCs w:val="21"/>
              </w:rPr>
              <w:t>汞及其化合物</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pStyle w:val="30"/>
              <w:spacing w:line="360" w:lineRule="exact"/>
              <w:rPr>
                <w:rFonts w:eastAsiaTheme="minorEastAsia"/>
                <w:color w:val="auto"/>
                <w:szCs w:val="21"/>
              </w:rPr>
            </w:pPr>
            <w:r>
              <w:rPr>
                <w:rFonts w:eastAsiaTheme="minorEastAsia"/>
                <w:color w:val="auto"/>
                <w:szCs w:val="21"/>
              </w:rPr>
              <w:t>0.00004t/a</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0.00004t/a</w:t>
            </w:r>
          </w:p>
        </w:tc>
        <w:tc>
          <w:tcPr>
            <w:tcW w:w="1294" w:type="dxa"/>
            <w:vAlign w:val="center"/>
          </w:tcPr>
          <w:p>
            <w:pPr>
              <w:pStyle w:val="30"/>
              <w:spacing w:line="360" w:lineRule="exact"/>
              <w:rPr>
                <w:rFonts w:eastAsiaTheme="minorEastAsia"/>
                <w:color w:val="auto"/>
                <w:szCs w:val="21"/>
              </w:rPr>
            </w:pPr>
            <w:r>
              <w:rPr>
                <w:rFonts w:eastAsiaTheme="minorEastAsia"/>
                <w:color w:val="auto"/>
                <w:szCs w:val="21"/>
              </w:rPr>
              <w:t>0.00004t/a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restart"/>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废水</w:t>
            </w:r>
          </w:p>
        </w:tc>
        <w:tc>
          <w:tcPr>
            <w:tcW w:w="747" w:type="dxa"/>
            <w:vMerge w:val="restart"/>
            <w:tcBorders>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生活污水</w:t>
            </w:r>
          </w:p>
        </w:tc>
        <w:tc>
          <w:tcPr>
            <w:tcW w:w="1603" w:type="dxa"/>
            <w:tcBorders>
              <w:lef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废水量</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1488m³/a</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1488m³/a</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294" w:type="dxa"/>
            <w:vAlign w:val="center"/>
          </w:tcPr>
          <w:p>
            <w:pPr>
              <w:pStyle w:val="30"/>
              <w:spacing w:line="360" w:lineRule="exact"/>
              <w:rPr>
                <w:rFonts w:eastAsiaTheme="minorEastAsia"/>
                <w:color w:val="auto"/>
                <w:szCs w:val="21"/>
              </w:rPr>
            </w:pPr>
            <w:r>
              <w:rPr>
                <w:rFonts w:eastAsiaTheme="minorEastAsia"/>
                <w:color w:val="auto"/>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spacing w:line="360" w:lineRule="exact"/>
              <w:jc w:val="center"/>
              <w:rPr>
                <w:rFonts w:ascii="Times New Roman" w:hAnsi="Times New Roman" w:cs="Times New Roman"/>
                <w:color w:val="auto"/>
              </w:rPr>
            </w:pPr>
          </w:p>
        </w:tc>
        <w:tc>
          <w:tcPr>
            <w:tcW w:w="747" w:type="dxa"/>
            <w:vMerge w:val="continue"/>
            <w:tcBorders>
              <w:right w:val="single" w:color="auto" w:sz="4" w:space="0"/>
            </w:tcBorders>
            <w:vAlign w:val="center"/>
          </w:tcPr>
          <w:p>
            <w:pPr>
              <w:pStyle w:val="30"/>
              <w:spacing w:line="360" w:lineRule="exact"/>
              <w:rPr>
                <w:rFonts w:eastAsiaTheme="minorEastAsia"/>
                <w:color w:val="auto"/>
                <w:szCs w:val="21"/>
              </w:rPr>
            </w:pPr>
          </w:p>
        </w:tc>
        <w:tc>
          <w:tcPr>
            <w:tcW w:w="1603" w:type="dxa"/>
            <w:tcBorders>
              <w:lef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pH</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pStyle w:val="30"/>
              <w:spacing w:line="360" w:lineRule="exact"/>
              <w:rPr>
                <w:rFonts w:eastAsiaTheme="minorEastAsia"/>
                <w:color w:val="auto"/>
                <w:szCs w:val="21"/>
              </w:rPr>
            </w:pPr>
            <w:r>
              <w:rPr>
                <w:rFonts w:eastAsiaTheme="minorEastAsia"/>
                <w:color w:val="auto"/>
                <w:szCs w:val="21"/>
              </w:rPr>
              <w:t>--</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w:t>
            </w:r>
          </w:p>
        </w:tc>
        <w:tc>
          <w:tcPr>
            <w:tcW w:w="1294" w:type="dxa"/>
            <w:vAlign w:val="center"/>
          </w:tcPr>
          <w:p>
            <w:pPr>
              <w:pStyle w:val="30"/>
              <w:spacing w:line="360" w:lineRule="exact"/>
              <w:rPr>
                <w:rFonts w:eastAsiaTheme="minorEastAsia"/>
                <w:color w:val="auto"/>
                <w:szCs w:val="21"/>
              </w:rPr>
            </w:pPr>
            <w:r>
              <w:rPr>
                <w:rFonts w:eastAsiaTheme="minorEastAsia"/>
                <w:color w:val="auto"/>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spacing w:line="360" w:lineRule="exact"/>
              <w:jc w:val="center"/>
              <w:rPr>
                <w:rFonts w:ascii="Times New Roman" w:hAnsi="Times New Roman" w:cs="Times New Roman"/>
                <w:color w:val="auto"/>
              </w:rPr>
            </w:pPr>
          </w:p>
        </w:tc>
        <w:tc>
          <w:tcPr>
            <w:tcW w:w="747" w:type="dxa"/>
            <w:vMerge w:val="continue"/>
            <w:tcBorders>
              <w:right w:val="single" w:color="auto" w:sz="4" w:space="0"/>
            </w:tcBorders>
            <w:vAlign w:val="center"/>
          </w:tcPr>
          <w:p>
            <w:pPr>
              <w:pStyle w:val="30"/>
              <w:spacing w:line="360" w:lineRule="exact"/>
              <w:rPr>
                <w:rFonts w:eastAsiaTheme="minorEastAsia"/>
                <w:color w:val="auto"/>
                <w:szCs w:val="21"/>
              </w:rPr>
            </w:pPr>
          </w:p>
        </w:tc>
        <w:tc>
          <w:tcPr>
            <w:tcW w:w="1603" w:type="dxa"/>
            <w:tcBorders>
              <w:lef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CODcr</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0.42</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0.42</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294" w:type="dxa"/>
            <w:vAlign w:val="center"/>
          </w:tcPr>
          <w:p>
            <w:pPr>
              <w:pStyle w:val="30"/>
              <w:spacing w:line="360" w:lineRule="exact"/>
              <w:rPr>
                <w:rFonts w:eastAsiaTheme="minorEastAsia"/>
                <w:color w:val="auto"/>
                <w:szCs w:val="21"/>
              </w:rPr>
            </w:pPr>
            <w:r>
              <w:rPr>
                <w:rFonts w:eastAsiaTheme="minorEastAsia"/>
                <w:color w:val="auto"/>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spacing w:line="360" w:lineRule="exact"/>
              <w:jc w:val="center"/>
              <w:rPr>
                <w:rFonts w:ascii="Times New Roman" w:hAnsi="Times New Roman" w:cs="Times New Roman"/>
                <w:color w:val="auto"/>
              </w:rPr>
            </w:pPr>
          </w:p>
        </w:tc>
        <w:tc>
          <w:tcPr>
            <w:tcW w:w="747" w:type="dxa"/>
            <w:vMerge w:val="continue"/>
            <w:tcBorders>
              <w:right w:val="single" w:color="auto" w:sz="4" w:space="0"/>
            </w:tcBorders>
            <w:vAlign w:val="center"/>
          </w:tcPr>
          <w:p>
            <w:pPr>
              <w:pStyle w:val="30"/>
              <w:spacing w:line="360" w:lineRule="exact"/>
              <w:rPr>
                <w:rFonts w:eastAsiaTheme="minorEastAsia"/>
                <w:color w:val="auto"/>
                <w:szCs w:val="21"/>
              </w:rPr>
            </w:pPr>
          </w:p>
        </w:tc>
        <w:tc>
          <w:tcPr>
            <w:tcW w:w="1603" w:type="dxa"/>
            <w:tcBorders>
              <w:lef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BOD</w:t>
            </w:r>
            <w:r>
              <w:rPr>
                <w:rFonts w:eastAsiaTheme="minorEastAsia"/>
                <w:color w:val="auto"/>
                <w:szCs w:val="21"/>
                <w:vertAlign w:val="subscript"/>
              </w:rPr>
              <w:t>5</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0.28</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0.28</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294" w:type="dxa"/>
            <w:vAlign w:val="center"/>
          </w:tcPr>
          <w:p>
            <w:pPr>
              <w:pStyle w:val="30"/>
              <w:spacing w:line="360" w:lineRule="exact"/>
              <w:rPr>
                <w:rFonts w:eastAsiaTheme="minorEastAsia"/>
                <w:color w:val="auto"/>
                <w:szCs w:val="21"/>
              </w:rPr>
            </w:pPr>
            <w:r>
              <w:rPr>
                <w:rFonts w:eastAsiaTheme="minorEastAsia"/>
                <w:color w:val="auto"/>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spacing w:line="360" w:lineRule="exact"/>
              <w:jc w:val="center"/>
              <w:rPr>
                <w:rFonts w:ascii="Times New Roman" w:hAnsi="Times New Roman" w:cs="Times New Roman"/>
                <w:color w:val="auto"/>
              </w:rPr>
            </w:pPr>
          </w:p>
        </w:tc>
        <w:tc>
          <w:tcPr>
            <w:tcW w:w="747" w:type="dxa"/>
            <w:vMerge w:val="continue"/>
            <w:tcBorders>
              <w:right w:val="single" w:color="auto" w:sz="4" w:space="0"/>
            </w:tcBorders>
            <w:vAlign w:val="center"/>
          </w:tcPr>
          <w:p>
            <w:pPr>
              <w:pStyle w:val="30"/>
              <w:spacing w:line="360" w:lineRule="exact"/>
              <w:rPr>
                <w:rFonts w:eastAsiaTheme="minorEastAsia"/>
                <w:color w:val="auto"/>
                <w:szCs w:val="21"/>
              </w:rPr>
            </w:pPr>
          </w:p>
        </w:tc>
        <w:tc>
          <w:tcPr>
            <w:tcW w:w="1603" w:type="dxa"/>
            <w:tcBorders>
              <w:lef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NH</w:t>
            </w:r>
            <w:r>
              <w:rPr>
                <w:rFonts w:eastAsiaTheme="minorEastAsia"/>
                <w:color w:val="auto"/>
                <w:szCs w:val="21"/>
                <w:vertAlign w:val="subscript"/>
              </w:rPr>
              <w:t>3</w:t>
            </w:r>
            <w:r>
              <w:rPr>
                <w:rFonts w:eastAsiaTheme="minorEastAsia"/>
                <w:color w:val="auto"/>
                <w:szCs w:val="21"/>
              </w:rPr>
              <w:t>-N</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0.05</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0.05</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294" w:type="dxa"/>
            <w:vAlign w:val="center"/>
          </w:tcPr>
          <w:p>
            <w:pPr>
              <w:pStyle w:val="30"/>
              <w:spacing w:line="360" w:lineRule="exact"/>
              <w:rPr>
                <w:rFonts w:eastAsiaTheme="minorEastAsia"/>
                <w:color w:val="auto"/>
                <w:szCs w:val="21"/>
              </w:rPr>
            </w:pPr>
            <w:r>
              <w:rPr>
                <w:rFonts w:eastAsiaTheme="minorEastAsia"/>
                <w:color w:val="auto"/>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spacing w:line="360" w:lineRule="exact"/>
              <w:jc w:val="center"/>
              <w:rPr>
                <w:rFonts w:ascii="Times New Roman" w:hAnsi="Times New Roman" w:cs="Times New Roman"/>
                <w:color w:val="auto"/>
              </w:rPr>
            </w:pPr>
          </w:p>
        </w:tc>
        <w:tc>
          <w:tcPr>
            <w:tcW w:w="747" w:type="dxa"/>
            <w:vMerge w:val="continue"/>
            <w:tcBorders>
              <w:right w:val="single" w:color="auto" w:sz="4" w:space="0"/>
            </w:tcBorders>
            <w:vAlign w:val="center"/>
          </w:tcPr>
          <w:p>
            <w:pPr>
              <w:pStyle w:val="30"/>
              <w:spacing w:line="360" w:lineRule="exact"/>
              <w:rPr>
                <w:rFonts w:eastAsiaTheme="minorEastAsia"/>
                <w:color w:val="auto"/>
                <w:szCs w:val="21"/>
              </w:rPr>
            </w:pPr>
          </w:p>
        </w:tc>
        <w:tc>
          <w:tcPr>
            <w:tcW w:w="1603" w:type="dxa"/>
            <w:tcBorders>
              <w:lef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SS</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0.24</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0.24</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294" w:type="dxa"/>
            <w:vAlign w:val="center"/>
          </w:tcPr>
          <w:p>
            <w:pPr>
              <w:pStyle w:val="30"/>
              <w:spacing w:line="360" w:lineRule="exact"/>
              <w:rPr>
                <w:rFonts w:eastAsiaTheme="minorEastAsia"/>
                <w:color w:val="auto"/>
                <w:szCs w:val="21"/>
              </w:rPr>
            </w:pPr>
            <w:r>
              <w:rPr>
                <w:rFonts w:eastAsiaTheme="minorEastAsia"/>
                <w:color w:val="auto"/>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spacing w:line="360" w:lineRule="exact"/>
              <w:jc w:val="center"/>
              <w:rPr>
                <w:rFonts w:ascii="Times New Roman" w:hAnsi="Times New Roman" w:cs="Times New Roman"/>
                <w:color w:val="auto"/>
              </w:rPr>
            </w:pPr>
          </w:p>
        </w:tc>
        <w:tc>
          <w:tcPr>
            <w:tcW w:w="747" w:type="dxa"/>
            <w:vMerge w:val="continue"/>
            <w:tcBorders>
              <w:right w:val="single" w:color="auto" w:sz="4" w:space="0"/>
            </w:tcBorders>
            <w:vAlign w:val="center"/>
          </w:tcPr>
          <w:p>
            <w:pPr>
              <w:pStyle w:val="30"/>
              <w:spacing w:line="360" w:lineRule="exact"/>
              <w:rPr>
                <w:rFonts w:eastAsiaTheme="minorEastAsia"/>
                <w:color w:val="auto"/>
                <w:szCs w:val="21"/>
              </w:rPr>
            </w:pPr>
          </w:p>
        </w:tc>
        <w:tc>
          <w:tcPr>
            <w:tcW w:w="1603" w:type="dxa"/>
            <w:tcBorders>
              <w:lef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总磷</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0.01</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0.01</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294" w:type="dxa"/>
            <w:vAlign w:val="center"/>
          </w:tcPr>
          <w:p>
            <w:pPr>
              <w:pStyle w:val="30"/>
              <w:spacing w:line="360" w:lineRule="exact"/>
              <w:rPr>
                <w:rFonts w:eastAsiaTheme="minorEastAsia"/>
                <w:color w:val="auto"/>
                <w:szCs w:val="21"/>
              </w:rPr>
            </w:pPr>
            <w:r>
              <w:rPr>
                <w:rFonts w:eastAsiaTheme="minorEastAsia"/>
                <w:color w:val="auto"/>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spacing w:line="360" w:lineRule="exact"/>
              <w:jc w:val="center"/>
              <w:rPr>
                <w:rFonts w:ascii="Times New Roman" w:hAnsi="Times New Roman" w:cs="Times New Roman"/>
                <w:color w:val="auto"/>
              </w:rPr>
            </w:pPr>
          </w:p>
        </w:tc>
        <w:tc>
          <w:tcPr>
            <w:tcW w:w="747" w:type="dxa"/>
            <w:vMerge w:val="continue"/>
            <w:tcBorders>
              <w:right w:val="single" w:color="auto" w:sz="4" w:space="0"/>
            </w:tcBorders>
            <w:vAlign w:val="center"/>
          </w:tcPr>
          <w:p>
            <w:pPr>
              <w:pStyle w:val="30"/>
              <w:spacing w:line="360" w:lineRule="exact"/>
              <w:rPr>
                <w:rFonts w:eastAsiaTheme="minorEastAsia"/>
                <w:color w:val="auto"/>
                <w:szCs w:val="21"/>
              </w:rPr>
            </w:pPr>
          </w:p>
        </w:tc>
        <w:tc>
          <w:tcPr>
            <w:tcW w:w="1603" w:type="dxa"/>
            <w:tcBorders>
              <w:lef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总氮</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0.06</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0.06</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294" w:type="dxa"/>
            <w:vAlign w:val="center"/>
          </w:tcPr>
          <w:p>
            <w:pPr>
              <w:pStyle w:val="30"/>
              <w:spacing w:line="360" w:lineRule="exact"/>
              <w:rPr>
                <w:rFonts w:eastAsiaTheme="minorEastAsia"/>
                <w:color w:val="auto"/>
                <w:szCs w:val="21"/>
              </w:rPr>
            </w:pPr>
            <w:r>
              <w:rPr>
                <w:rFonts w:eastAsiaTheme="minorEastAsia"/>
                <w:color w:val="auto"/>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spacing w:line="360" w:lineRule="exact"/>
              <w:jc w:val="center"/>
              <w:rPr>
                <w:rFonts w:ascii="Times New Roman" w:hAnsi="Times New Roman" w:cs="Times New Roman"/>
                <w:color w:val="auto"/>
              </w:rPr>
            </w:pPr>
          </w:p>
        </w:tc>
        <w:tc>
          <w:tcPr>
            <w:tcW w:w="747" w:type="dxa"/>
            <w:vMerge w:val="continue"/>
            <w:tcBorders>
              <w:right w:val="single" w:color="auto" w:sz="4" w:space="0"/>
            </w:tcBorders>
            <w:vAlign w:val="center"/>
          </w:tcPr>
          <w:p>
            <w:pPr>
              <w:pStyle w:val="30"/>
              <w:spacing w:line="360" w:lineRule="exact"/>
              <w:rPr>
                <w:rFonts w:eastAsiaTheme="minorEastAsia"/>
                <w:color w:val="auto"/>
                <w:szCs w:val="21"/>
              </w:rPr>
            </w:pPr>
          </w:p>
        </w:tc>
        <w:tc>
          <w:tcPr>
            <w:tcW w:w="1603" w:type="dxa"/>
            <w:tcBorders>
              <w:lef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动植物油</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0.09</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0.09</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294" w:type="dxa"/>
            <w:vAlign w:val="center"/>
          </w:tcPr>
          <w:p>
            <w:pPr>
              <w:pStyle w:val="30"/>
              <w:spacing w:line="360" w:lineRule="exact"/>
              <w:rPr>
                <w:rFonts w:eastAsiaTheme="minorEastAsia"/>
                <w:color w:val="auto"/>
                <w:szCs w:val="21"/>
              </w:rPr>
            </w:pPr>
            <w:r>
              <w:rPr>
                <w:rFonts w:eastAsiaTheme="minorEastAsia"/>
                <w:color w:val="auto"/>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spacing w:line="360" w:lineRule="exact"/>
              <w:jc w:val="center"/>
              <w:rPr>
                <w:rFonts w:ascii="Times New Roman" w:hAnsi="Times New Roman" w:cs="Times New Roman"/>
                <w:color w:val="auto"/>
              </w:rPr>
            </w:pPr>
          </w:p>
        </w:tc>
        <w:tc>
          <w:tcPr>
            <w:tcW w:w="747" w:type="dxa"/>
            <w:vMerge w:val="continue"/>
            <w:tcBorders>
              <w:right w:val="single" w:color="auto" w:sz="4" w:space="0"/>
            </w:tcBorders>
            <w:vAlign w:val="center"/>
          </w:tcPr>
          <w:p>
            <w:pPr>
              <w:pStyle w:val="30"/>
              <w:spacing w:line="360" w:lineRule="exact"/>
              <w:rPr>
                <w:rFonts w:eastAsiaTheme="minorEastAsia"/>
                <w:color w:val="auto"/>
                <w:szCs w:val="21"/>
              </w:rPr>
            </w:pPr>
          </w:p>
        </w:tc>
        <w:tc>
          <w:tcPr>
            <w:tcW w:w="1603" w:type="dxa"/>
            <w:tcBorders>
              <w:lef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阴离子表面活性剂</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0.02</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0.02</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294" w:type="dxa"/>
            <w:vAlign w:val="center"/>
          </w:tcPr>
          <w:p>
            <w:pPr>
              <w:pStyle w:val="30"/>
              <w:spacing w:line="360" w:lineRule="exact"/>
              <w:rPr>
                <w:rFonts w:eastAsiaTheme="minorEastAsia"/>
                <w:color w:val="auto"/>
                <w:szCs w:val="21"/>
              </w:rPr>
            </w:pPr>
            <w:r>
              <w:rPr>
                <w:rFonts w:eastAsiaTheme="minorEastAsia"/>
                <w:color w:val="auto"/>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spacing w:line="360" w:lineRule="exact"/>
              <w:jc w:val="center"/>
              <w:rPr>
                <w:rFonts w:ascii="Times New Roman" w:hAnsi="Times New Roman" w:cs="Times New Roman"/>
                <w:color w:val="auto"/>
              </w:rPr>
            </w:pPr>
          </w:p>
        </w:tc>
        <w:tc>
          <w:tcPr>
            <w:tcW w:w="747" w:type="dxa"/>
            <w:vMerge w:val="continue"/>
            <w:tcBorders>
              <w:right w:val="single" w:color="auto" w:sz="4" w:space="0"/>
            </w:tcBorders>
            <w:vAlign w:val="center"/>
          </w:tcPr>
          <w:p>
            <w:pPr>
              <w:pStyle w:val="30"/>
              <w:spacing w:line="360" w:lineRule="exact"/>
              <w:rPr>
                <w:rFonts w:eastAsiaTheme="minorEastAsia"/>
                <w:color w:val="auto"/>
                <w:szCs w:val="21"/>
              </w:rPr>
            </w:pPr>
          </w:p>
        </w:tc>
        <w:tc>
          <w:tcPr>
            <w:tcW w:w="1603" w:type="dxa"/>
            <w:tcBorders>
              <w:lef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粪大肠菌群数（MPN/L）</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pStyle w:val="30"/>
              <w:spacing w:line="360" w:lineRule="exact"/>
              <w:rPr>
                <w:rFonts w:eastAsiaTheme="minorEastAsia"/>
                <w:color w:val="auto"/>
                <w:szCs w:val="21"/>
              </w:rPr>
            </w:pPr>
            <w:r>
              <w:rPr>
                <w:rFonts w:eastAsiaTheme="minorEastAsia"/>
                <w:color w:val="auto"/>
                <w:szCs w:val="21"/>
              </w:rPr>
              <w:t>--</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w:t>
            </w:r>
          </w:p>
        </w:tc>
        <w:tc>
          <w:tcPr>
            <w:tcW w:w="1294" w:type="dxa"/>
            <w:vAlign w:val="center"/>
          </w:tcPr>
          <w:p>
            <w:pPr>
              <w:pStyle w:val="30"/>
              <w:spacing w:line="360" w:lineRule="exact"/>
              <w:rPr>
                <w:rFonts w:eastAsiaTheme="minorEastAsia"/>
                <w:color w:val="auto"/>
                <w:szCs w:val="21"/>
              </w:rPr>
            </w:pPr>
            <w:r>
              <w:rPr>
                <w:rFonts w:eastAsiaTheme="minorEastAsia"/>
                <w:color w:val="auto"/>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spacing w:line="360" w:lineRule="exact"/>
              <w:jc w:val="center"/>
              <w:rPr>
                <w:rFonts w:ascii="Times New Roman" w:hAnsi="Times New Roman" w:cs="Times New Roman"/>
                <w:color w:val="auto"/>
              </w:rPr>
            </w:pPr>
          </w:p>
        </w:tc>
        <w:tc>
          <w:tcPr>
            <w:tcW w:w="747" w:type="dxa"/>
            <w:vMerge w:val="restart"/>
            <w:tcBorders>
              <w:righ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初期雨水</w:t>
            </w:r>
          </w:p>
        </w:tc>
        <w:tc>
          <w:tcPr>
            <w:tcW w:w="1603" w:type="dxa"/>
            <w:tcBorders>
              <w:lef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CODcr</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294" w:type="dxa"/>
            <w:vAlign w:val="center"/>
          </w:tcPr>
          <w:p>
            <w:pPr>
              <w:pStyle w:val="30"/>
              <w:spacing w:line="360" w:lineRule="exact"/>
              <w:rPr>
                <w:rFonts w:eastAsiaTheme="minorEastAsia"/>
                <w:color w:val="auto"/>
                <w:szCs w:val="21"/>
              </w:rPr>
            </w:pPr>
            <w:r>
              <w:rPr>
                <w:rFonts w:eastAsiaTheme="minorEastAsia"/>
                <w:color w:val="auto"/>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spacing w:line="360" w:lineRule="exact"/>
              <w:jc w:val="center"/>
              <w:rPr>
                <w:rFonts w:ascii="Times New Roman" w:hAnsi="Times New Roman" w:cs="Times New Roman"/>
                <w:color w:val="auto"/>
              </w:rPr>
            </w:pPr>
          </w:p>
        </w:tc>
        <w:tc>
          <w:tcPr>
            <w:tcW w:w="747" w:type="dxa"/>
            <w:vMerge w:val="continue"/>
            <w:tcBorders>
              <w:right w:val="single" w:color="auto" w:sz="4" w:space="0"/>
            </w:tcBorders>
            <w:vAlign w:val="center"/>
          </w:tcPr>
          <w:p>
            <w:pPr>
              <w:pStyle w:val="30"/>
              <w:spacing w:line="360" w:lineRule="exact"/>
              <w:rPr>
                <w:rFonts w:eastAsiaTheme="minorEastAsia"/>
                <w:color w:val="auto"/>
                <w:szCs w:val="21"/>
              </w:rPr>
            </w:pPr>
          </w:p>
        </w:tc>
        <w:tc>
          <w:tcPr>
            <w:tcW w:w="1603" w:type="dxa"/>
            <w:tcBorders>
              <w:lef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SS</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294" w:type="dxa"/>
            <w:vAlign w:val="center"/>
          </w:tcPr>
          <w:p>
            <w:pPr>
              <w:pStyle w:val="30"/>
              <w:spacing w:line="360" w:lineRule="exact"/>
              <w:rPr>
                <w:rFonts w:eastAsiaTheme="minorEastAsia"/>
                <w:color w:val="auto"/>
                <w:szCs w:val="21"/>
              </w:rPr>
            </w:pPr>
            <w:r>
              <w:rPr>
                <w:rFonts w:eastAsiaTheme="minorEastAsia"/>
                <w:color w:val="auto"/>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spacing w:line="360" w:lineRule="exact"/>
              <w:jc w:val="center"/>
              <w:rPr>
                <w:rFonts w:ascii="Times New Roman" w:hAnsi="Times New Roman" w:cs="Times New Roman"/>
                <w:color w:val="auto"/>
              </w:rPr>
            </w:pPr>
          </w:p>
        </w:tc>
        <w:tc>
          <w:tcPr>
            <w:tcW w:w="747" w:type="dxa"/>
            <w:vMerge w:val="continue"/>
            <w:tcBorders>
              <w:right w:val="single" w:color="auto" w:sz="4" w:space="0"/>
            </w:tcBorders>
            <w:vAlign w:val="center"/>
          </w:tcPr>
          <w:p>
            <w:pPr>
              <w:pStyle w:val="30"/>
              <w:spacing w:line="360" w:lineRule="exact"/>
              <w:rPr>
                <w:rFonts w:eastAsiaTheme="minorEastAsia"/>
                <w:color w:val="auto"/>
                <w:szCs w:val="21"/>
              </w:rPr>
            </w:pPr>
          </w:p>
        </w:tc>
        <w:tc>
          <w:tcPr>
            <w:tcW w:w="1603" w:type="dxa"/>
            <w:tcBorders>
              <w:left w:val="single" w:color="auto" w:sz="4" w:space="0"/>
            </w:tcBorders>
            <w:vAlign w:val="center"/>
          </w:tcPr>
          <w:p>
            <w:pPr>
              <w:pStyle w:val="30"/>
              <w:spacing w:line="360" w:lineRule="exact"/>
              <w:rPr>
                <w:rFonts w:eastAsiaTheme="minorEastAsia"/>
                <w:color w:val="auto"/>
                <w:szCs w:val="21"/>
              </w:rPr>
            </w:pPr>
            <w:r>
              <w:rPr>
                <w:rFonts w:eastAsiaTheme="minorEastAsia"/>
                <w:color w:val="auto"/>
                <w:szCs w:val="21"/>
              </w:rPr>
              <w:t>石油类</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294" w:type="dxa"/>
            <w:vAlign w:val="center"/>
          </w:tcPr>
          <w:p>
            <w:pPr>
              <w:pStyle w:val="30"/>
              <w:spacing w:line="360" w:lineRule="exact"/>
              <w:rPr>
                <w:rFonts w:eastAsiaTheme="minorEastAsia"/>
                <w:color w:val="auto"/>
                <w:szCs w:val="21"/>
              </w:rPr>
            </w:pPr>
            <w:r>
              <w:rPr>
                <w:rFonts w:eastAsiaTheme="minorEastAsia"/>
                <w:color w:val="auto"/>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restart"/>
            <w:vAlign w:val="center"/>
          </w:tcPr>
          <w:p>
            <w:pPr>
              <w:pStyle w:val="30"/>
              <w:spacing w:line="360" w:lineRule="exact"/>
              <w:rPr>
                <w:rFonts w:eastAsiaTheme="minorEastAsia"/>
                <w:color w:val="auto"/>
                <w:szCs w:val="21"/>
              </w:rPr>
            </w:pPr>
            <w:r>
              <w:rPr>
                <w:rFonts w:eastAsiaTheme="minorEastAsia"/>
                <w:color w:val="auto"/>
                <w:szCs w:val="21"/>
              </w:rPr>
              <w:t>一般工业固废</w:t>
            </w:r>
          </w:p>
        </w:tc>
        <w:tc>
          <w:tcPr>
            <w:tcW w:w="2350" w:type="dxa"/>
            <w:gridSpan w:val="2"/>
            <w:vAlign w:val="center"/>
          </w:tcPr>
          <w:p>
            <w:pPr>
              <w:pStyle w:val="30"/>
              <w:spacing w:line="360" w:lineRule="exact"/>
              <w:rPr>
                <w:color w:val="auto"/>
                <w:szCs w:val="21"/>
              </w:rPr>
            </w:pPr>
            <w:r>
              <w:rPr>
                <w:color w:val="auto"/>
                <w:szCs w:val="21"/>
              </w:rPr>
              <w:t>废塑料</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9013.84</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pStyle w:val="30"/>
              <w:spacing w:line="360" w:lineRule="exact"/>
              <w:rPr>
                <w:rFonts w:eastAsiaTheme="minorEastAsia"/>
                <w:color w:val="auto"/>
                <w:szCs w:val="21"/>
              </w:rPr>
            </w:pPr>
            <w:r>
              <w:rPr>
                <w:rFonts w:eastAsiaTheme="minorEastAsia"/>
                <w:color w:val="auto"/>
                <w:szCs w:val="21"/>
              </w:rPr>
              <w:t>2566.67</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11580.51</w:t>
            </w:r>
          </w:p>
        </w:tc>
        <w:tc>
          <w:tcPr>
            <w:tcW w:w="1294" w:type="dxa"/>
            <w:vAlign w:val="center"/>
          </w:tcPr>
          <w:p>
            <w:pPr>
              <w:pStyle w:val="30"/>
              <w:spacing w:line="360" w:lineRule="exact"/>
              <w:rPr>
                <w:rFonts w:eastAsiaTheme="minorEastAsia"/>
                <w:color w:val="auto"/>
                <w:szCs w:val="21"/>
              </w:rPr>
            </w:pPr>
            <w:r>
              <w:rPr>
                <w:rFonts w:eastAsiaTheme="minorEastAsia"/>
                <w:color w:val="auto"/>
                <w:szCs w:val="21"/>
              </w:rPr>
              <w:t>2566.67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pStyle w:val="30"/>
              <w:spacing w:line="360" w:lineRule="exact"/>
              <w:rPr>
                <w:rFonts w:eastAsiaTheme="minorEastAsia"/>
                <w:color w:val="auto"/>
                <w:szCs w:val="21"/>
              </w:rPr>
            </w:pPr>
          </w:p>
        </w:tc>
        <w:tc>
          <w:tcPr>
            <w:tcW w:w="2350" w:type="dxa"/>
            <w:gridSpan w:val="2"/>
            <w:vAlign w:val="center"/>
          </w:tcPr>
          <w:p>
            <w:pPr>
              <w:pStyle w:val="30"/>
              <w:spacing w:line="360" w:lineRule="exact"/>
              <w:rPr>
                <w:color w:val="auto"/>
                <w:szCs w:val="21"/>
              </w:rPr>
            </w:pPr>
            <w:r>
              <w:rPr>
                <w:color w:val="auto"/>
                <w:szCs w:val="21"/>
              </w:rPr>
              <w:t>废旧有色金属（铜/铝等）</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5041.7</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pStyle w:val="30"/>
              <w:spacing w:line="360" w:lineRule="exact"/>
              <w:rPr>
                <w:rFonts w:eastAsiaTheme="minorEastAsia"/>
                <w:color w:val="auto"/>
                <w:szCs w:val="21"/>
              </w:rPr>
            </w:pPr>
            <w:r>
              <w:rPr>
                <w:rFonts w:eastAsiaTheme="minorEastAsia"/>
                <w:color w:val="auto"/>
                <w:szCs w:val="21"/>
              </w:rPr>
              <w:t>349.33</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5391.03</w:t>
            </w:r>
          </w:p>
        </w:tc>
        <w:tc>
          <w:tcPr>
            <w:tcW w:w="1294" w:type="dxa"/>
            <w:vAlign w:val="center"/>
          </w:tcPr>
          <w:p>
            <w:pPr>
              <w:pStyle w:val="30"/>
              <w:spacing w:line="360" w:lineRule="exact"/>
              <w:rPr>
                <w:rFonts w:eastAsiaTheme="minorEastAsia"/>
                <w:color w:val="auto"/>
                <w:szCs w:val="21"/>
              </w:rPr>
            </w:pPr>
            <w:r>
              <w:rPr>
                <w:rFonts w:eastAsiaTheme="minorEastAsia"/>
                <w:color w:val="auto"/>
                <w:szCs w:val="21"/>
              </w:rPr>
              <w:t>349.33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pStyle w:val="30"/>
              <w:spacing w:line="360" w:lineRule="exact"/>
              <w:rPr>
                <w:rFonts w:eastAsiaTheme="minorEastAsia"/>
                <w:color w:val="auto"/>
                <w:szCs w:val="21"/>
              </w:rPr>
            </w:pPr>
          </w:p>
        </w:tc>
        <w:tc>
          <w:tcPr>
            <w:tcW w:w="2350" w:type="dxa"/>
            <w:gridSpan w:val="2"/>
            <w:vAlign w:val="center"/>
          </w:tcPr>
          <w:p>
            <w:pPr>
              <w:pStyle w:val="30"/>
              <w:spacing w:line="360" w:lineRule="exact"/>
              <w:rPr>
                <w:color w:val="auto"/>
                <w:szCs w:val="21"/>
              </w:rPr>
            </w:pPr>
            <w:r>
              <w:rPr>
                <w:color w:val="auto"/>
                <w:szCs w:val="21"/>
              </w:rPr>
              <w:t>废钢/铁</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24859.77</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pStyle w:val="30"/>
              <w:spacing w:line="360" w:lineRule="exact"/>
              <w:rPr>
                <w:rFonts w:eastAsiaTheme="minorEastAsia"/>
                <w:color w:val="auto"/>
                <w:szCs w:val="21"/>
              </w:rPr>
            </w:pPr>
            <w:r>
              <w:rPr>
                <w:rFonts w:eastAsiaTheme="minorEastAsia"/>
                <w:color w:val="auto"/>
                <w:szCs w:val="21"/>
              </w:rPr>
              <w:t>5280</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30139.77</w:t>
            </w:r>
          </w:p>
        </w:tc>
        <w:tc>
          <w:tcPr>
            <w:tcW w:w="1294" w:type="dxa"/>
            <w:vAlign w:val="center"/>
          </w:tcPr>
          <w:p>
            <w:pPr>
              <w:pStyle w:val="30"/>
              <w:spacing w:line="360" w:lineRule="exact"/>
              <w:rPr>
                <w:rFonts w:eastAsiaTheme="minorEastAsia"/>
                <w:color w:val="auto"/>
                <w:szCs w:val="21"/>
              </w:rPr>
            </w:pPr>
            <w:r>
              <w:rPr>
                <w:rFonts w:eastAsiaTheme="minorEastAsia"/>
                <w:color w:val="auto"/>
                <w:szCs w:val="21"/>
              </w:rPr>
              <w:t>5280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pStyle w:val="30"/>
              <w:spacing w:line="360" w:lineRule="exact"/>
              <w:rPr>
                <w:rFonts w:eastAsiaTheme="minorEastAsia"/>
                <w:color w:val="auto"/>
                <w:szCs w:val="21"/>
              </w:rPr>
            </w:pPr>
          </w:p>
        </w:tc>
        <w:tc>
          <w:tcPr>
            <w:tcW w:w="2350" w:type="dxa"/>
            <w:gridSpan w:val="2"/>
            <w:vAlign w:val="center"/>
          </w:tcPr>
          <w:p>
            <w:pPr>
              <w:pStyle w:val="30"/>
              <w:spacing w:line="360" w:lineRule="exact"/>
              <w:rPr>
                <w:color w:val="auto"/>
                <w:szCs w:val="21"/>
              </w:rPr>
            </w:pPr>
            <w:r>
              <w:rPr>
                <w:color w:val="auto"/>
                <w:szCs w:val="21"/>
              </w:rPr>
              <w:t>废玻璃</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4281.98</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4281.98</w:t>
            </w:r>
          </w:p>
        </w:tc>
        <w:tc>
          <w:tcPr>
            <w:tcW w:w="1294" w:type="dxa"/>
            <w:vAlign w:val="center"/>
          </w:tcPr>
          <w:p>
            <w:pPr>
              <w:pStyle w:val="30"/>
              <w:spacing w:line="360" w:lineRule="exact"/>
              <w:rPr>
                <w:rFonts w:eastAsiaTheme="minorEastAsia"/>
                <w:color w:val="auto"/>
                <w:szCs w:val="21"/>
              </w:rPr>
            </w:pPr>
            <w:r>
              <w:rPr>
                <w:rFonts w:eastAsiaTheme="minorEastAsia"/>
                <w:color w:val="auto"/>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pStyle w:val="30"/>
              <w:spacing w:line="360" w:lineRule="exact"/>
              <w:rPr>
                <w:rFonts w:eastAsiaTheme="minorEastAsia"/>
                <w:color w:val="auto"/>
                <w:szCs w:val="21"/>
              </w:rPr>
            </w:pPr>
          </w:p>
        </w:tc>
        <w:tc>
          <w:tcPr>
            <w:tcW w:w="2350" w:type="dxa"/>
            <w:gridSpan w:val="2"/>
            <w:vAlign w:val="center"/>
          </w:tcPr>
          <w:p>
            <w:pPr>
              <w:pStyle w:val="30"/>
              <w:spacing w:line="360" w:lineRule="exact"/>
              <w:rPr>
                <w:color w:val="auto"/>
                <w:szCs w:val="21"/>
              </w:rPr>
            </w:pPr>
            <w:r>
              <w:rPr>
                <w:color w:val="auto"/>
                <w:szCs w:val="21"/>
              </w:rPr>
              <w:t>泡棉</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2625.92</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2625.92</w:t>
            </w:r>
          </w:p>
        </w:tc>
        <w:tc>
          <w:tcPr>
            <w:tcW w:w="1294" w:type="dxa"/>
            <w:vAlign w:val="center"/>
          </w:tcPr>
          <w:p>
            <w:pPr>
              <w:pStyle w:val="30"/>
              <w:spacing w:line="360" w:lineRule="exact"/>
              <w:rPr>
                <w:rFonts w:eastAsiaTheme="minorEastAsia"/>
                <w:color w:val="auto"/>
                <w:szCs w:val="21"/>
              </w:rPr>
            </w:pPr>
            <w:r>
              <w:rPr>
                <w:rFonts w:eastAsiaTheme="minorEastAsia"/>
                <w:color w:val="auto"/>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pStyle w:val="30"/>
              <w:spacing w:line="360" w:lineRule="exact"/>
              <w:rPr>
                <w:rFonts w:eastAsiaTheme="minorEastAsia"/>
                <w:color w:val="auto"/>
                <w:szCs w:val="21"/>
              </w:rPr>
            </w:pPr>
          </w:p>
        </w:tc>
        <w:tc>
          <w:tcPr>
            <w:tcW w:w="2350" w:type="dxa"/>
            <w:gridSpan w:val="2"/>
            <w:vAlign w:val="center"/>
          </w:tcPr>
          <w:p>
            <w:pPr>
              <w:pStyle w:val="30"/>
              <w:spacing w:line="360" w:lineRule="exact"/>
              <w:rPr>
                <w:color w:val="auto"/>
                <w:szCs w:val="21"/>
              </w:rPr>
            </w:pPr>
            <w:r>
              <w:rPr>
                <w:color w:val="auto"/>
                <w:szCs w:val="21"/>
              </w:rPr>
              <w:t>废电子配件（开关、电容、电源线等）</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658.39</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pStyle w:val="30"/>
              <w:spacing w:line="360" w:lineRule="exact"/>
              <w:rPr>
                <w:rFonts w:eastAsiaTheme="minorEastAsia"/>
                <w:color w:val="auto"/>
                <w:szCs w:val="21"/>
              </w:rPr>
            </w:pPr>
            <w:r>
              <w:rPr>
                <w:rFonts w:eastAsiaTheme="minorEastAsia"/>
                <w:color w:val="auto"/>
                <w:szCs w:val="21"/>
              </w:rPr>
              <w:t>22.26</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680.65</w:t>
            </w:r>
          </w:p>
        </w:tc>
        <w:tc>
          <w:tcPr>
            <w:tcW w:w="1294" w:type="dxa"/>
            <w:vAlign w:val="center"/>
          </w:tcPr>
          <w:p>
            <w:pPr>
              <w:pStyle w:val="30"/>
              <w:spacing w:line="360" w:lineRule="exact"/>
              <w:rPr>
                <w:rFonts w:eastAsiaTheme="minorEastAsia"/>
                <w:color w:val="auto"/>
                <w:szCs w:val="21"/>
              </w:rPr>
            </w:pPr>
            <w:r>
              <w:rPr>
                <w:rFonts w:eastAsiaTheme="minorEastAsia"/>
                <w:color w:val="auto"/>
                <w:szCs w:val="21"/>
              </w:rPr>
              <w:t>22.26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pStyle w:val="30"/>
              <w:spacing w:line="360" w:lineRule="exact"/>
              <w:rPr>
                <w:rFonts w:eastAsiaTheme="minorEastAsia"/>
                <w:color w:val="auto"/>
                <w:szCs w:val="21"/>
              </w:rPr>
            </w:pPr>
          </w:p>
        </w:tc>
        <w:tc>
          <w:tcPr>
            <w:tcW w:w="2350" w:type="dxa"/>
            <w:gridSpan w:val="2"/>
            <w:vAlign w:val="center"/>
          </w:tcPr>
          <w:p>
            <w:pPr>
              <w:pStyle w:val="30"/>
              <w:spacing w:line="360" w:lineRule="exact"/>
              <w:rPr>
                <w:color w:val="auto"/>
                <w:szCs w:val="21"/>
              </w:rPr>
            </w:pPr>
            <w:r>
              <w:rPr>
                <w:color w:val="auto"/>
                <w:szCs w:val="21"/>
              </w:rPr>
              <w:t>制冷剂</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2.49</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2.49</w:t>
            </w:r>
          </w:p>
        </w:tc>
        <w:tc>
          <w:tcPr>
            <w:tcW w:w="1294" w:type="dxa"/>
            <w:vAlign w:val="center"/>
          </w:tcPr>
          <w:p>
            <w:pPr>
              <w:pStyle w:val="30"/>
              <w:spacing w:line="360" w:lineRule="exact"/>
              <w:rPr>
                <w:rFonts w:eastAsiaTheme="minorEastAsia"/>
                <w:color w:val="auto"/>
                <w:szCs w:val="21"/>
              </w:rPr>
            </w:pPr>
            <w:r>
              <w:rPr>
                <w:rFonts w:eastAsiaTheme="minorEastAsia"/>
                <w:color w:val="auto"/>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pStyle w:val="30"/>
              <w:spacing w:line="360" w:lineRule="exact"/>
              <w:rPr>
                <w:rFonts w:eastAsiaTheme="minorEastAsia"/>
                <w:color w:val="auto"/>
                <w:szCs w:val="21"/>
              </w:rPr>
            </w:pPr>
          </w:p>
        </w:tc>
        <w:tc>
          <w:tcPr>
            <w:tcW w:w="2350" w:type="dxa"/>
            <w:gridSpan w:val="2"/>
            <w:vAlign w:val="center"/>
          </w:tcPr>
          <w:p>
            <w:pPr>
              <w:pStyle w:val="30"/>
              <w:spacing w:line="360" w:lineRule="exact"/>
              <w:rPr>
                <w:color w:val="auto"/>
                <w:szCs w:val="21"/>
              </w:rPr>
            </w:pPr>
            <w:r>
              <w:rPr>
                <w:color w:val="auto"/>
                <w:szCs w:val="21"/>
              </w:rPr>
              <w:t>废弃细碎料</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1057.2</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widowControl/>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312</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1369.20</w:t>
            </w:r>
          </w:p>
        </w:tc>
        <w:tc>
          <w:tcPr>
            <w:tcW w:w="1294" w:type="dxa"/>
            <w:vAlign w:val="center"/>
          </w:tcPr>
          <w:p>
            <w:pPr>
              <w:widowControl/>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312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pStyle w:val="30"/>
              <w:spacing w:line="360" w:lineRule="exact"/>
              <w:rPr>
                <w:rFonts w:eastAsiaTheme="minorEastAsia"/>
                <w:color w:val="auto"/>
                <w:szCs w:val="21"/>
              </w:rPr>
            </w:pPr>
          </w:p>
        </w:tc>
        <w:tc>
          <w:tcPr>
            <w:tcW w:w="2350" w:type="dxa"/>
            <w:gridSpan w:val="2"/>
            <w:vAlign w:val="center"/>
          </w:tcPr>
          <w:p>
            <w:pPr>
              <w:pStyle w:val="30"/>
              <w:spacing w:line="360" w:lineRule="exact"/>
              <w:rPr>
                <w:color w:val="auto"/>
                <w:szCs w:val="21"/>
              </w:rPr>
            </w:pPr>
            <w:r>
              <w:rPr>
                <w:color w:val="auto"/>
                <w:szCs w:val="21"/>
              </w:rPr>
              <w:t>废活性炭（吸附有机废气）</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0.06</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widowControl/>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0</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0.06</w:t>
            </w:r>
          </w:p>
        </w:tc>
        <w:tc>
          <w:tcPr>
            <w:tcW w:w="1294" w:type="dxa"/>
            <w:vAlign w:val="center"/>
          </w:tcPr>
          <w:p>
            <w:pPr>
              <w:widowControl/>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pStyle w:val="30"/>
              <w:spacing w:line="360" w:lineRule="exact"/>
              <w:rPr>
                <w:rFonts w:eastAsiaTheme="minorEastAsia"/>
                <w:color w:val="auto"/>
                <w:szCs w:val="21"/>
              </w:rPr>
            </w:pPr>
          </w:p>
        </w:tc>
        <w:tc>
          <w:tcPr>
            <w:tcW w:w="2350" w:type="dxa"/>
            <w:gridSpan w:val="2"/>
            <w:vAlign w:val="center"/>
          </w:tcPr>
          <w:p>
            <w:pPr>
              <w:pStyle w:val="30"/>
              <w:spacing w:line="360" w:lineRule="exact"/>
              <w:rPr>
                <w:color w:val="auto"/>
                <w:szCs w:val="21"/>
              </w:rPr>
            </w:pPr>
            <w:r>
              <w:rPr>
                <w:color w:val="auto"/>
                <w:szCs w:val="21"/>
              </w:rPr>
              <w:t>收集粉尘</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25.12</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widowControl/>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0</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widowControl/>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25.12</w:t>
            </w:r>
          </w:p>
        </w:tc>
        <w:tc>
          <w:tcPr>
            <w:tcW w:w="1294" w:type="dxa"/>
            <w:vAlign w:val="center"/>
          </w:tcPr>
          <w:p>
            <w:pPr>
              <w:widowControl/>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restart"/>
            <w:vAlign w:val="center"/>
          </w:tcPr>
          <w:p>
            <w:pPr>
              <w:pStyle w:val="30"/>
              <w:spacing w:line="360" w:lineRule="exact"/>
              <w:rPr>
                <w:rFonts w:eastAsiaTheme="minorEastAsia"/>
                <w:color w:val="auto"/>
                <w:szCs w:val="21"/>
              </w:rPr>
            </w:pPr>
            <w:r>
              <w:rPr>
                <w:rFonts w:eastAsiaTheme="minorEastAsia"/>
                <w:color w:val="auto"/>
                <w:szCs w:val="21"/>
              </w:rPr>
              <w:t>危险废物</w:t>
            </w:r>
          </w:p>
        </w:tc>
        <w:tc>
          <w:tcPr>
            <w:tcW w:w="2350" w:type="dxa"/>
            <w:gridSpan w:val="2"/>
            <w:vAlign w:val="center"/>
          </w:tcPr>
          <w:p>
            <w:pPr>
              <w:pStyle w:val="30"/>
              <w:spacing w:line="360" w:lineRule="exact"/>
              <w:rPr>
                <w:color w:val="auto"/>
                <w:szCs w:val="21"/>
              </w:rPr>
            </w:pPr>
            <w:r>
              <w:rPr>
                <w:color w:val="auto"/>
                <w:szCs w:val="21"/>
              </w:rPr>
              <w:t>废矿物油</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27.41</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27.41</w:t>
            </w:r>
          </w:p>
        </w:tc>
        <w:tc>
          <w:tcPr>
            <w:tcW w:w="1294" w:type="dxa"/>
            <w:vAlign w:val="center"/>
          </w:tcPr>
          <w:p>
            <w:pPr>
              <w:pStyle w:val="30"/>
              <w:spacing w:line="360" w:lineRule="exact"/>
              <w:rPr>
                <w:rFonts w:eastAsiaTheme="minorEastAsia"/>
                <w:color w:val="auto"/>
                <w:szCs w:val="21"/>
              </w:rPr>
            </w:pPr>
            <w:r>
              <w:rPr>
                <w:rFonts w:eastAsiaTheme="minorEastAsia"/>
                <w:color w:val="auto"/>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pStyle w:val="30"/>
              <w:spacing w:line="360" w:lineRule="exact"/>
              <w:rPr>
                <w:rFonts w:eastAsiaTheme="minorEastAsia"/>
                <w:color w:val="auto"/>
                <w:szCs w:val="21"/>
              </w:rPr>
            </w:pPr>
          </w:p>
        </w:tc>
        <w:tc>
          <w:tcPr>
            <w:tcW w:w="2350" w:type="dxa"/>
            <w:gridSpan w:val="2"/>
            <w:vAlign w:val="center"/>
          </w:tcPr>
          <w:p>
            <w:pPr>
              <w:pStyle w:val="30"/>
              <w:spacing w:line="360" w:lineRule="exact"/>
              <w:rPr>
                <w:color w:val="auto"/>
                <w:szCs w:val="21"/>
              </w:rPr>
            </w:pPr>
            <w:r>
              <w:rPr>
                <w:color w:val="auto"/>
                <w:szCs w:val="21"/>
              </w:rPr>
              <w:t>废电路板</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394.72</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pStyle w:val="30"/>
              <w:spacing w:line="360" w:lineRule="exact"/>
              <w:rPr>
                <w:rFonts w:eastAsiaTheme="minorEastAsia"/>
                <w:color w:val="auto"/>
                <w:szCs w:val="21"/>
              </w:rPr>
            </w:pPr>
            <w:r>
              <w:rPr>
                <w:rFonts w:eastAsiaTheme="minorEastAsia"/>
                <w:color w:val="auto"/>
                <w:szCs w:val="21"/>
              </w:rPr>
              <w:t>192</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586.72</w:t>
            </w:r>
          </w:p>
        </w:tc>
        <w:tc>
          <w:tcPr>
            <w:tcW w:w="1294" w:type="dxa"/>
            <w:vAlign w:val="center"/>
          </w:tcPr>
          <w:p>
            <w:pPr>
              <w:pStyle w:val="30"/>
              <w:spacing w:line="360" w:lineRule="exact"/>
              <w:rPr>
                <w:rFonts w:eastAsiaTheme="minorEastAsia"/>
                <w:color w:val="auto"/>
                <w:szCs w:val="21"/>
              </w:rPr>
            </w:pPr>
            <w:r>
              <w:rPr>
                <w:rFonts w:eastAsiaTheme="minorEastAsia"/>
                <w:color w:val="auto"/>
                <w:szCs w:val="21"/>
              </w:rPr>
              <w:t>192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pStyle w:val="30"/>
              <w:spacing w:line="360" w:lineRule="exact"/>
              <w:rPr>
                <w:rFonts w:eastAsiaTheme="minorEastAsia"/>
                <w:color w:val="auto"/>
                <w:szCs w:val="21"/>
              </w:rPr>
            </w:pPr>
          </w:p>
        </w:tc>
        <w:tc>
          <w:tcPr>
            <w:tcW w:w="2350" w:type="dxa"/>
            <w:gridSpan w:val="2"/>
            <w:vAlign w:val="center"/>
          </w:tcPr>
          <w:p>
            <w:pPr>
              <w:pStyle w:val="30"/>
              <w:spacing w:line="360" w:lineRule="exact"/>
              <w:rPr>
                <w:color w:val="auto"/>
                <w:szCs w:val="21"/>
              </w:rPr>
            </w:pPr>
            <w:r>
              <w:rPr>
                <w:color w:val="auto"/>
                <w:szCs w:val="21"/>
              </w:rPr>
              <w:t>含汞灯管</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11.77</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11.77</w:t>
            </w:r>
          </w:p>
        </w:tc>
        <w:tc>
          <w:tcPr>
            <w:tcW w:w="1294" w:type="dxa"/>
            <w:vAlign w:val="center"/>
          </w:tcPr>
          <w:p>
            <w:pPr>
              <w:pStyle w:val="30"/>
              <w:spacing w:line="360" w:lineRule="exact"/>
              <w:rPr>
                <w:rFonts w:eastAsiaTheme="minorEastAsia"/>
                <w:color w:val="auto"/>
                <w:szCs w:val="21"/>
              </w:rPr>
            </w:pPr>
            <w:r>
              <w:rPr>
                <w:rFonts w:eastAsiaTheme="minorEastAsia"/>
                <w:color w:val="auto"/>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pStyle w:val="30"/>
              <w:spacing w:line="360" w:lineRule="exact"/>
              <w:rPr>
                <w:rFonts w:eastAsiaTheme="minorEastAsia"/>
                <w:color w:val="auto"/>
                <w:szCs w:val="21"/>
              </w:rPr>
            </w:pPr>
          </w:p>
        </w:tc>
        <w:tc>
          <w:tcPr>
            <w:tcW w:w="2350" w:type="dxa"/>
            <w:gridSpan w:val="2"/>
            <w:vAlign w:val="center"/>
          </w:tcPr>
          <w:p>
            <w:pPr>
              <w:pStyle w:val="30"/>
              <w:spacing w:line="360" w:lineRule="exact"/>
              <w:rPr>
                <w:color w:val="auto"/>
                <w:szCs w:val="21"/>
              </w:rPr>
            </w:pPr>
            <w:r>
              <w:rPr>
                <w:color w:val="auto"/>
                <w:szCs w:val="21"/>
              </w:rPr>
              <w:t>背光模组</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15.52</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widowControl/>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0</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widowControl/>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15.52</w:t>
            </w:r>
          </w:p>
        </w:tc>
        <w:tc>
          <w:tcPr>
            <w:tcW w:w="1294" w:type="dxa"/>
            <w:vAlign w:val="center"/>
          </w:tcPr>
          <w:p>
            <w:pPr>
              <w:widowControl/>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pStyle w:val="30"/>
              <w:spacing w:line="360" w:lineRule="exact"/>
              <w:rPr>
                <w:rFonts w:eastAsiaTheme="minorEastAsia"/>
                <w:color w:val="auto"/>
                <w:szCs w:val="21"/>
              </w:rPr>
            </w:pPr>
          </w:p>
        </w:tc>
        <w:tc>
          <w:tcPr>
            <w:tcW w:w="2350" w:type="dxa"/>
            <w:gridSpan w:val="2"/>
            <w:vAlign w:val="center"/>
          </w:tcPr>
          <w:p>
            <w:pPr>
              <w:pStyle w:val="30"/>
              <w:spacing w:line="360" w:lineRule="exact"/>
              <w:rPr>
                <w:color w:val="auto"/>
                <w:szCs w:val="21"/>
              </w:rPr>
            </w:pPr>
            <w:r>
              <w:rPr>
                <w:color w:val="auto"/>
                <w:szCs w:val="21"/>
              </w:rPr>
              <w:t>废弃的阴极射线管（锥玻璃）</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2475</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widowControl/>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0</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widowControl/>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2475</w:t>
            </w:r>
          </w:p>
        </w:tc>
        <w:tc>
          <w:tcPr>
            <w:tcW w:w="1294" w:type="dxa"/>
            <w:vAlign w:val="center"/>
          </w:tcPr>
          <w:p>
            <w:pPr>
              <w:widowControl/>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pStyle w:val="30"/>
              <w:spacing w:line="360" w:lineRule="exact"/>
              <w:rPr>
                <w:rFonts w:eastAsiaTheme="minorEastAsia"/>
                <w:color w:val="auto"/>
                <w:szCs w:val="21"/>
              </w:rPr>
            </w:pPr>
          </w:p>
        </w:tc>
        <w:tc>
          <w:tcPr>
            <w:tcW w:w="2350" w:type="dxa"/>
            <w:gridSpan w:val="2"/>
            <w:vAlign w:val="center"/>
          </w:tcPr>
          <w:p>
            <w:pPr>
              <w:pStyle w:val="30"/>
              <w:spacing w:line="360" w:lineRule="exact"/>
              <w:rPr>
                <w:color w:val="auto"/>
                <w:szCs w:val="21"/>
              </w:rPr>
            </w:pPr>
            <w:r>
              <w:rPr>
                <w:color w:val="auto"/>
                <w:szCs w:val="21"/>
              </w:rPr>
              <w:t>荧光粉</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225</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widowControl/>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0</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widowControl/>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225</w:t>
            </w:r>
          </w:p>
        </w:tc>
        <w:tc>
          <w:tcPr>
            <w:tcW w:w="1294" w:type="dxa"/>
            <w:vAlign w:val="center"/>
          </w:tcPr>
          <w:p>
            <w:pPr>
              <w:widowControl/>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pStyle w:val="30"/>
              <w:spacing w:line="360" w:lineRule="exact"/>
              <w:rPr>
                <w:rFonts w:eastAsiaTheme="minorEastAsia"/>
                <w:color w:val="auto"/>
                <w:szCs w:val="21"/>
              </w:rPr>
            </w:pPr>
          </w:p>
        </w:tc>
        <w:tc>
          <w:tcPr>
            <w:tcW w:w="2350" w:type="dxa"/>
            <w:gridSpan w:val="2"/>
            <w:vAlign w:val="center"/>
          </w:tcPr>
          <w:p>
            <w:pPr>
              <w:pStyle w:val="30"/>
              <w:spacing w:line="360" w:lineRule="exact"/>
              <w:rPr>
                <w:color w:val="auto"/>
                <w:szCs w:val="21"/>
              </w:rPr>
            </w:pPr>
            <w:r>
              <w:rPr>
                <w:color w:val="auto"/>
                <w:szCs w:val="21"/>
              </w:rPr>
              <w:t>废活性炭（吸附汞及其化合物）</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widowControl/>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0.002</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widowControl/>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0.002</w:t>
            </w:r>
          </w:p>
        </w:tc>
        <w:tc>
          <w:tcPr>
            <w:tcW w:w="1294" w:type="dxa"/>
            <w:vAlign w:val="center"/>
          </w:tcPr>
          <w:p>
            <w:pPr>
              <w:widowControl/>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0.002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21" w:type="dxa"/>
            <w:vMerge w:val="continue"/>
            <w:vAlign w:val="center"/>
          </w:tcPr>
          <w:p>
            <w:pPr>
              <w:pStyle w:val="30"/>
              <w:spacing w:line="360" w:lineRule="exact"/>
              <w:rPr>
                <w:rFonts w:eastAsiaTheme="minorEastAsia"/>
                <w:color w:val="auto"/>
                <w:szCs w:val="21"/>
              </w:rPr>
            </w:pPr>
          </w:p>
        </w:tc>
        <w:tc>
          <w:tcPr>
            <w:tcW w:w="2350" w:type="dxa"/>
            <w:gridSpan w:val="2"/>
            <w:vAlign w:val="center"/>
          </w:tcPr>
          <w:p>
            <w:pPr>
              <w:pStyle w:val="30"/>
              <w:spacing w:line="360" w:lineRule="exact"/>
              <w:rPr>
                <w:color w:val="auto"/>
                <w:szCs w:val="21"/>
              </w:rPr>
            </w:pPr>
            <w:r>
              <w:rPr>
                <w:color w:val="auto"/>
                <w:szCs w:val="21"/>
              </w:rPr>
              <w:t>收集含铅粉尘</w:t>
            </w:r>
          </w:p>
        </w:tc>
        <w:tc>
          <w:tcPr>
            <w:tcW w:w="1521" w:type="dxa"/>
            <w:vAlign w:val="center"/>
          </w:tcPr>
          <w:p>
            <w:pPr>
              <w:pStyle w:val="30"/>
              <w:spacing w:line="360" w:lineRule="exact"/>
              <w:rPr>
                <w:rFonts w:eastAsiaTheme="minorEastAsia"/>
                <w:color w:val="auto"/>
                <w:szCs w:val="21"/>
              </w:rPr>
            </w:pPr>
            <w:r>
              <w:rPr>
                <w:rFonts w:eastAsiaTheme="minorEastAsia"/>
                <w:color w:val="auto"/>
                <w:szCs w:val="21"/>
              </w:rPr>
              <w:t>0.65</w:t>
            </w:r>
          </w:p>
        </w:tc>
        <w:tc>
          <w:tcPr>
            <w:tcW w:w="138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625"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77" w:type="dxa"/>
            <w:vAlign w:val="center"/>
          </w:tcPr>
          <w:p>
            <w:pPr>
              <w:widowControl/>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0</w:t>
            </w:r>
          </w:p>
        </w:tc>
        <w:tc>
          <w:tcPr>
            <w:tcW w:w="1508" w:type="dxa"/>
            <w:vAlign w:val="center"/>
          </w:tcPr>
          <w:p>
            <w:pPr>
              <w:pStyle w:val="30"/>
              <w:spacing w:line="360" w:lineRule="exact"/>
              <w:rPr>
                <w:rFonts w:eastAsiaTheme="minorEastAsia"/>
                <w:color w:val="auto"/>
                <w:szCs w:val="21"/>
              </w:rPr>
            </w:pPr>
            <w:r>
              <w:rPr>
                <w:rFonts w:eastAsiaTheme="minorEastAsia"/>
                <w:color w:val="auto"/>
                <w:szCs w:val="21"/>
              </w:rPr>
              <w:t>0</w:t>
            </w:r>
          </w:p>
        </w:tc>
        <w:tc>
          <w:tcPr>
            <w:tcW w:w="1790" w:type="dxa"/>
            <w:vAlign w:val="center"/>
          </w:tcPr>
          <w:p>
            <w:pPr>
              <w:pStyle w:val="30"/>
              <w:spacing w:line="360" w:lineRule="exact"/>
              <w:rPr>
                <w:rFonts w:eastAsiaTheme="minorEastAsia"/>
                <w:color w:val="auto"/>
                <w:szCs w:val="21"/>
              </w:rPr>
            </w:pPr>
            <w:r>
              <w:rPr>
                <w:rFonts w:eastAsiaTheme="minorEastAsia"/>
                <w:color w:val="auto"/>
                <w:szCs w:val="21"/>
              </w:rPr>
              <w:t>0.65</w:t>
            </w:r>
          </w:p>
        </w:tc>
        <w:tc>
          <w:tcPr>
            <w:tcW w:w="1294" w:type="dxa"/>
            <w:vAlign w:val="center"/>
          </w:tcPr>
          <w:p>
            <w:pPr>
              <w:widowControl/>
              <w:jc w:val="center"/>
              <w:rPr>
                <w:rFonts w:ascii="Times New Roman" w:hAnsi="Times New Roman" w:cs="Times New Roman"/>
                <w:bCs/>
                <w:snapToGrid w:val="0"/>
                <w:color w:val="auto"/>
                <w:kern w:val="32"/>
                <w:lang w:val="zh-CN"/>
              </w:rPr>
            </w:pPr>
            <w:r>
              <w:rPr>
                <w:rFonts w:ascii="Times New Roman" w:hAnsi="Times New Roman" w:cs="Times New Roman"/>
                <w:bCs/>
                <w:snapToGrid w:val="0"/>
                <w:color w:val="auto"/>
                <w:kern w:val="32"/>
                <w:lang w:val="zh-CN"/>
              </w:rPr>
              <w:t>0</w:t>
            </w:r>
          </w:p>
        </w:tc>
      </w:tr>
    </w:tbl>
    <w:p>
      <w:pPr>
        <w:ind w:firstLine="420" w:firstLineChars="200"/>
        <w:jc w:val="left"/>
        <w:rPr>
          <w:rFonts w:ascii="Times New Roman" w:hAnsi="Times New Roman" w:cs="Times New Roman"/>
          <w:b/>
          <w:color w:val="auto"/>
        </w:rPr>
      </w:pPr>
      <w:r>
        <w:rPr>
          <w:rFonts w:ascii="Times New Roman" w:hAnsi="Times New Roman" w:cs="Times New Roman"/>
          <w:b/>
          <w:color w:val="auto"/>
        </w:rPr>
        <w:t>注：</w:t>
      </w:r>
      <w:r>
        <w:rPr>
          <w:rFonts w:ascii="Times New Roman" w:hAnsi="Times New Roman" w:eastAsia="宋体" w:cs="Times New Roman"/>
          <w:b/>
          <w:color w:val="auto"/>
        </w:rPr>
        <w:t>⑥</w:t>
      </w:r>
      <w:r>
        <w:rPr>
          <w:rFonts w:ascii="Times New Roman" w:hAnsi="Times New Roman" w:cs="Times New Roman"/>
          <w:b/>
          <w:color w:val="auto"/>
        </w:rPr>
        <w:t>=</w:t>
      </w:r>
      <w:r>
        <w:rPr>
          <w:rFonts w:ascii="Times New Roman" w:hAnsi="Times New Roman" w:eastAsia="宋体" w:cs="Times New Roman"/>
          <w:b/>
          <w:color w:val="auto"/>
        </w:rPr>
        <w:t>①</w:t>
      </w:r>
      <w:r>
        <w:rPr>
          <w:rFonts w:ascii="Times New Roman" w:hAnsi="Times New Roman" w:cs="Times New Roman"/>
          <w:b/>
          <w:color w:val="auto"/>
        </w:rPr>
        <w:t>+</w:t>
      </w:r>
      <w:r>
        <w:rPr>
          <w:rFonts w:ascii="Times New Roman" w:hAnsi="Times New Roman" w:eastAsia="宋体" w:cs="Times New Roman"/>
          <w:b/>
          <w:color w:val="auto"/>
        </w:rPr>
        <w:t>③</w:t>
      </w:r>
      <w:r>
        <w:rPr>
          <w:rFonts w:ascii="Times New Roman" w:hAnsi="Times New Roman" w:cs="Times New Roman"/>
          <w:b/>
          <w:color w:val="auto"/>
        </w:rPr>
        <w:t>+</w:t>
      </w:r>
      <w:r>
        <w:rPr>
          <w:rFonts w:ascii="Times New Roman" w:hAnsi="Times New Roman" w:eastAsia="宋体" w:cs="Times New Roman"/>
          <w:b/>
          <w:color w:val="auto"/>
        </w:rPr>
        <w:t>④</w:t>
      </w:r>
      <w:r>
        <w:rPr>
          <w:rFonts w:ascii="Times New Roman" w:hAnsi="Times New Roman" w:cs="Times New Roman"/>
          <w:b/>
          <w:color w:val="auto"/>
        </w:rPr>
        <w:t>-</w:t>
      </w:r>
      <w:r>
        <w:rPr>
          <w:rFonts w:ascii="Times New Roman" w:hAnsi="Times New Roman" w:eastAsia="宋体" w:cs="Times New Roman"/>
          <w:b/>
          <w:color w:val="auto"/>
        </w:rPr>
        <w:t>⑤</w:t>
      </w:r>
      <w:r>
        <w:rPr>
          <w:rFonts w:ascii="Times New Roman" w:hAnsi="Times New Roman" w:cs="Times New Roman"/>
          <w:b/>
          <w:color w:val="auto"/>
        </w:rPr>
        <w:t>；</w:t>
      </w:r>
      <w:r>
        <w:rPr>
          <w:rFonts w:ascii="Times New Roman" w:hAnsi="Times New Roman" w:eastAsia="宋体" w:cs="Times New Roman"/>
          <w:b/>
          <w:color w:val="auto"/>
        </w:rPr>
        <w:t>⑦</w:t>
      </w:r>
      <w:r>
        <w:rPr>
          <w:rFonts w:ascii="Times New Roman" w:hAnsi="Times New Roman" w:cs="Times New Roman"/>
          <w:b/>
          <w:color w:val="auto"/>
        </w:rPr>
        <w:t>=</w:t>
      </w:r>
      <w:r>
        <w:rPr>
          <w:rFonts w:ascii="Times New Roman" w:hAnsi="Times New Roman" w:eastAsia="宋体" w:cs="Times New Roman"/>
          <w:b/>
          <w:color w:val="auto"/>
        </w:rPr>
        <w:t>⑥</w:t>
      </w:r>
      <w:r>
        <w:rPr>
          <w:rFonts w:ascii="Times New Roman" w:hAnsi="Times New Roman" w:cs="Times New Roman"/>
          <w:b/>
          <w:color w:val="auto"/>
        </w:rPr>
        <w:t>-</w:t>
      </w:r>
      <w:r>
        <w:rPr>
          <w:rFonts w:ascii="Times New Roman" w:hAnsi="Times New Roman" w:eastAsia="宋体" w:cs="Times New Roman"/>
          <w:b/>
          <w:color w:val="auto"/>
        </w:rPr>
        <w:t>①</w:t>
      </w:r>
    </w:p>
    <w:sectPr>
      <w:pgSz w:w="16838" w:h="11906" w:orient="landscape"/>
      <w:pgMar w:top="1797" w:right="1440" w:bottom="1797"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FangSong_GB2312">
    <w:altName w:val="仿宋_GB2312"/>
    <w:panose1 w:val="02010609060101010101"/>
    <w:charset w:val="00"/>
    <w:family w:val="roman"/>
    <w:pitch w:val="default"/>
    <w:sig w:usb0="00000000" w:usb1="00000000" w:usb2="00000000" w:usb3="00000000" w:csb0="00000000" w:csb1="0000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Times New Roman" w:hAnsi="Times New Roman" w:cs="Times New Roman"/>
        <w:sz w:val="20"/>
      </w:rPr>
    </w:pPr>
    <w:r>
      <w:rPr>
        <w:rFonts w:ascii="Times New Roman" w:hAnsi="Times New Roman" w:cs="Times New Roman"/>
        <w:sz w:val="20"/>
      </w:rPr>
      <w:fldChar w:fldCharType="begin"/>
    </w:r>
    <w:r>
      <w:rPr>
        <w:rFonts w:ascii="Times New Roman" w:hAnsi="Times New Roman" w:cs="Times New Roman"/>
        <w:sz w:val="20"/>
      </w:rPr>
      <w:instrText xml:space="preserve"> PAGE   \* MERGEFORMAT </w:instrText>
    </w:r>
    <w:r>
      <w:rPr>
        <w:rFonts w:ascii="Times New Roman" w:hAnsi="Times New Roman" w:cs="Times New Roman"/>
        <w:sz w:val="20"/>
      </w:rPr>
      <w:fldChar w:fldCharType="separate"/>
    </w:r>
    <w:r>
      <w:rPr>
        <w:rFonts w:ascii="Times New Roman" w:hAnsi="Times New Roman" w:cs="Times New Roman"/>
        <w:sz w:val="20"/>
        <w:lang w:val="zh-CN"/>
      </w:rPr>
      <w:t>113</w:t>
    </w:r>
    <w:r>
      <w:rPr>
        <w:rFonts w:ascii="Times New Roman" w:hAnsi="Times New Roman" w:cs="Times New Roman"/>
        <w:sz w:val="20"/>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hideSpellingErrors/>
  <w:documentProtection w:edit="forms" w:enforcement="1" w:cryptProviderType="rsaFull" w:cryptAlgorithmClass="hash" w:cryptAlgorithmType="typeAny" w:cryptAlgorithmSid="4" w:cryptSpinCount="0" w:hash="LaXXdfabcZjPGa1JJyGOd/YaIb4=" w:salt="4EFCiOt4pM5vo8L10MnoHw=="/>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2045F"/>
    <w:rsid w:val="0000037C"/>
    <w:rsid w:val="00001460"/>
    <w:rsid w:val="00001990"/>
    <w:rsid w:val="00001C9A"/>
    <w:rsid w:val="00005EFA"/>
    <w:rsid w:val="00007788"/>
    <w:rsid w:val="0001072D"/>
    <w:rsid w:val="00010A49"/>
    <w:rsid w:val="00010CB7"/>
    <w:rsid w:val="00010E27"/>
    <w:rsid w:val="000110F1"/>
    <w:rsid w:val="00011FCA"/>
    <w:rsid w:val="00012C80"/>
    <w:rsid w:val="00013833"/>
    <w:rsid w:val="00013F70"/>
    <w:rsid w:val="000163E1"/>
    <w:rsid w:val="00020BF9"/>
    <w:rsid w:val="00021721"/>
    <w:rsid w:val="0002285A"/>
    <w:rsid w:val="00031A59"/>
    <w:rsid w:val="0003285B"/>
    <w:rsid w:val="00032B08"/>
    <w:rsid w:val="000344EF"/>
    <w:rsid w:val="00034809"/>
    <w:rsid w:val="00034BCB"/>
    <w:rsid w:val="00035576"/>
    <w:rsid w:val="00035CCD"/>
    <w:rsid w:val="00035E53"/>
    <w:rsid w:val="00040A28"/>
    <w:rsid w:val="00040D99"/>
    <w:rsid w:val="00041162"/>
    <w:rsid w:val="00041527"/>
    <w:rsid w:val="000438F4"/>
    <w:rsid w:val="00046D9B"/>
    <w:rsid w:val="00050973"/>
    <w:rsid w:val="00050E55"/>
    <w:rsid w:val="00053C3A"/>
    <w:rsid w:val="00054F28"/>
    <w:rsid w:val="000556FC"/>
    <w:rsid w:val="00055DB8"/>
    <w:rsid w:val="0005744F"/>
    <w:rsid w:val="00062FAD"/>
    <w:rsid w:val="0006692B"/>
    <w:rsid w:val="00067BF4"/>
    <w:rsid w:val="000709CF"/>
    <w:rsid w:val="00070F66"/>
    <w:rsid w:val="00075FFD"/>
    <w:rsid w:val="000760FE"/>
    <w:rsid w:val="00077A07"/>
    <w:rsid w:val="00082602"/>
    <w:rsid w:val="000954A9"/>
    <w:rsid w:val="000A331B"/>
    <w:rsid w:val="000B04E4"/>
    <w:rsid w:val="000B0A67"/>
    <w:rsid w:val="000B35C4"/>
    <w:rsid w:val="000B48E6"/>
    <w:rsid w:val="000B5F10"/>
    <w:rsid w:val="000B6EE8"/>
    <w:rsid w:val="000B7547"/>
    <w:rsid w:val="000C1A95"/>
    <w:rsid w:val="000C4CAC"/>
    <w:rsid w:val="000D1B94"/>
    <w:rsid w:val="000D1F31"/>
    <w:rsid w:val="000D2C84"/>
    <w:rsid w:val="000D4915"/>
    <w:rsid w:val="000D4A13"/>
    <w:rsid w:val="000D4A25"/>
    <w:rsid w:val="000D4B48"/>
    <w:rsid w:val="000D4D91"/>
    <w:rsid w:val="000D6CBC"/>
    <w:rsid w:val="000E2BC7"/>
    <w:rsid w:val="000E500A"/>
    <w:rsid w:val="000E6F05"/>
    <w:rsid w:val="000F2BCA"/>
    <w:rsid w:val="000F5656"/>
    <w:rsid w:val="000F5DE9"/>
    <w:rsid w:val="000F6FB2"/>
    <w:rsid w:val="0010241D"/>
    <w:rsid w:val="00106BF5"/>
    <w:rsid w:val="00111F14"/>
    <w:rsid w:val="00113083"/>
    <w:rsid w:val="0011528D"/>
    <w:rsid w:val="00116200"/>
    <w:rsid w:val="00121AAE"/>
    <w:rsid w:val="00122036"/>
    <w:rsid w:val="00123E5A"/>
    <w:rsid w:val="001250CA"/>
    <w:rsid w:val="00125B5D"/>
    <w:rsid w:val="00126836"/>
    <w:rsid w:val="001307E7"/>
    <w:rsid w:val="00133378"/>
    <w:rsid w:val="00135ABF"/>
    <w:rsid w:val="00147DBB"/>
    <w:rsid w:val="00150B35"/>
    <w:rsid w:val="00152F2A"/>
    <w:rsid w:val="0015464F"/>
    <w:rsid w:val="0015521E"/>
    <w:rsid w:val="001634F6"/>
    <w:rsid w:val="00164D60"/>
    <w:rsid w:val="00170AF6"/>
    <w:rsid w:val="00170B42"/>
    <w:rsid w:val="0017180C"/>
    <w:rsid w:val="001719D1"/>
    <w:rsid w:val="00171AF4"/>
    <w:rsid w:val="00172750"/>
    <w:rsid w:val="00172D3E"/>
    <w:rsid w:val="001731F9"/>
    <w:rsid w:val="001741B2"/>
    <w:rsid w:val="001750E1"/>
    <w:rsid w:val="0017574F"/>
    <w:rsid w:val="0017745A"/>
    <w:rsid w:val="00177B07"/>
    <w:rsid w:val="0018006A"/>
    <w:rsid w:val="001801DD"/>
    <w:rsid w:val="0018089D"/>
    <w:rsid w:val="00182D5B"/>
    <w:rsid w:val="00182E34"/>
    <w:rsid w:val="00183565"/>
    <w:rsid w:val="00183AD8"/>
    <w:rsid w:val="001864CE"/>
    <w:rsid w:val="00187B44"/>
    <w:rsid w:val="00187D74"/>
    <w:rsid w:val="001964EF"/>
    <w:rsid w:val="00197070"/>
    <w:rsid w:val="001977B7"/>
    <w:rsid w:val="00197C78"/>
    <w:rsid w:val="001A1BFB"/>
    <w:rsid w:val="001A6330"/>
    <w:rsid w:val="001A683F"/>
    <w:rsid w:val="001A6A4D"/>
    <w:rsid w:val="001A70EF"/>
    <w:rsid w:val="001B0D8D"/>
    <w:rsid w:val="001B18C0"/>
    <w:rsid w:val="001B4D27"/>
    <w:rsid w:val="001B5944"/>
    <w:rsid w:val="001B5984"/>
    <w:rsid w:val="001C0A81"/>
    <w:rsid w:val="001C3FC6"/>
    <w:rsid w:val="001C4754"/>
    <w:rsid w:val="001D1DBF"/>
    <w:rsid w:val="001D29FB"/>
    <w:rsid w:val="001D36CB"/>
    <w:rsid w:val="001D3CCB"/>
    <w:rsid w:val="001D510D"/>
    <w:rsid w:val="001E1D94"/>
    <w:rsid w:val="001E29AB"/>
    <w:rsid w:val="001E2D40"/>
    <w:rsid w:val="001E68D7"/>
    <w:rsid w:val="001E6DE2"/>
    <w:rsid w:val="001F03FE"/>
    <w:rsid w:val="001F0A05"/>
    <w:rsid w:val="001F2DED"/>
    <w:rsid w:val="001F348B"/>
    <w:rsid w:val="001F522D"/>
    <w:rsid w:val="001F6029"/>
    <w:rsid w:val="00201F73"/>
    <w:rsid w:val="00203A93"/>
    <w:rsid w:val="00203E7C"/>
    <w:rsid w:val="002044A2"/>
    <w:rsid w:val="00204AAA"/>
    <w:rsid w:val="00204DBF"/>
    <w:rsid w:val="0021020E"/>
    <w:rsid w:val="002126D9"/>
    <w:rsid w:val="002210A0"/>
    <w:rsid w:val="00236AA9"/>
    <w:rsid w:val="00237850"/>
    <w:rsid w:val="0024363B"/>
    <w:rsid w:val="002449EE"/>
    <w:rsid w:val="002452EA"/>
    <w:rsid w:val="00245CA3"/>
    <w:rsid w:val="00252D41"/>
    <w:rsid w:val="00262823"/>
    <w:rsid w:val="00264DB3"/>
    <w:rsid w:val="00265CAF"/>
    <w:rsid w:val="002666BE"/>
    <w:rsid w:val="00271EF2"/>
    <w:rsid w:val="002735A4"/>
    <w:rsid w:val="00275CD2"/>
    <w:rsid w:val="00277862"/>
    <w:rsid w:val="00283568"/>
    <w:rsid w:val="00283E7B"/>
    <w:rsid w:val="002931E6"/>
    <w:rsid w:val="00294F88"/>
    <w:rsid w:val="002963A7"/>
    <w:rsid w:val="00296512"/>
    <w:rsid w:val="002A1028"/>
    <w:rsid w:val="002A17DA"/>
    <w:rsid w:val="002A1BFA"/>
    <w:rsid w:val="002A1DB1"/>
    <w:rsid w:val="002B11FA"/>
    <w:rsid w:val="002B2BE4"/>
    <w:rsid w:val="002B40E5"/>
    <w:rsid w:val="002B4C32"/>
    <w:rsid w:val="002B5B05"/>
    <w:rsid w:val="002C07C0"/>
    <w:rsid w:val="002C2FBC"/>
    <w:rsid w:val="002C3853"/>
    <w:rsid w:val="002D2352"/>
    <w:rsid w:val="002D3D94"/>
    <w:rsid w:val="002D4D58"/>
    <w:rsid w:val="002D6140"/>
    <w:rsid w:val="002E25DE"/>
    <w:rsid w:val="002E3C02"/>
    <w:rsid w:val="002E3E71"/>
    <w:rsid w:val="002E3F5D"/>
    <w:rsid w:val="002E4EE2"/>
    <w:rsid w:val="002E5628"/>
    <w:rsid w:val="002F0AC4"/>
    <w:rsid w:val="002F37F6"/>
    <w:rsid w:val="002F5F7A"/>
    <w:rsid w:val="003012BB"/>
    <w:rsid w:val="003015F8"/>
    <w:rsid w:val="0030385F"/>
    <w:rsid w:val="0031189D"/>
    <w:rsid w:val="003159B0"/>
    <w:rsid w:val="00317F26"/>
    <w:rsid w:val="00322DCE"/>
    <w:rsid w:val="00322E15"/>
    <w:rsid w:val="00323170"/>
    <w:rsid w:val="00324622"/>
    <w:rsid w:val="003251CD"/>
    <w:rsid w:val="00332BCA"/>
    <w:rsid w:val="00332E06"/>
    <w:rsid w:val="00340DCE"/>
    <w:rsid w:val="0034317D"/>
    <w:rsid w:val="00344B4D"/>
    <w:rsid w:val="00354B52"/>
    <w:rsid w:val="00361CF9"/>
    <w:rsid w:val="0036211A"/>
    <w:rsid w:val="00362378"/>
    <w:rsid w:val="00371986"/>
    <w:rsid w:val="00371B13"/>
    <w:rsid w:val="00372641"/>
    <w:rsid w:val="0038061C"/>
    <w:rsid w:val="003852E6"/>
    <w:rsid w:val="00385DE6"/>
    <w:rsid w:val="00387588"/>
    <w:rsid w:val="003879AF"/>
    <w:rsid w:val="00390401"/>
    <w:rsid w:val="003915D2"/>
    <w:rsid w:val="00394E91"/>
    <w:rsid w:val="003A1A97"/>
    <w:rsid w:val="003A2C94"/>
    <w:rsid w:val="003A4F39"/>
    <w:rsid w:val="003A593B"/>
    <w:rsid w:val="003A5BB4"/>
    <w:rsid w:val="003B01B4"/>
    <w:rsid w:val="003B149E"/>
    <w:rsid w:val="003B69D3"/>
    <w:rsid w:val="003B6B9D"/>
    <w:rsid w:val="003C01B9"/>
    <w:rsid w:val="003C0762"/>
    <w:rsid w:val="003C129D"/>
    <w:rsid w:val="003C3CD3"/>
    <w:rsid w:val="003C4D0F"/>
    <w:rsid w:val="003D03A2"/>
    <w:rsid w:val="003D15BD"/>
    <w:rsid w:val="003D25E7"/>
    <w:rsid w:val="003D4831"/>
    <w:rsid w:val="003D7D56"/>
    <w:rsid w:val="003E0E2B"/>
    <w:rsid w:val="003E1314"/>
    <w:rsid w:val="003E1A39"/>
    <w:rsid w:val="003E24A1"/>
    <w:rsid w:val="003E2878"/>
    <w:rsid w:val="003E4647"/>
    <w:rsid w:val="003F03B7"/>
    <w:rsid w:val="003F0CB4"/>
    <w:rsid w:val="003F17D6"/>
    <w:rsid w:val="003F434C"/>
    <w:rsid w:val="003F463A"/>
    <w:rsid w:val="003F4B40"/>
    <w:rsid w:val="003F4FBB"/>
    <w:rsid w:val="003F5310"/>
    <w:rsid w:val="00401868"/>
    <w:rsid w:val="00403659"/>
    <w:rsid w:val="00405722"/>
    <w:rsid w:val="00405DB9"/>
    <w:rsid w:val="00407D01"/>
    <w:rsid w:val="004106C4"/>
    <w:rsid w:val="00412056"/>
    <w:rsid w:val="0041575C"/>
    <w:rsid w:val="00416467"/>
    <w:rsid w:val="00417616"/>
    <w:rsid w:val="0042165D"/>
    <w:rsid w:val="0042483F"/>
    <w:rsid w:val="00427546"/>
    <w:rsid w:val="00427CA1"/>
    <w:rsid w:val="00431BC8"/>
    <w:rsid w:val="004329BC"/>
    <w:rsid w:val="004369B4"/>
    <w:rsid w:val="00442F21"/>
    <w:rsid w:val="004431BA"/>
    <w:rsid w:val="004459AB"/>
    <w:rsid w:val="00445CD5"/>
    <w:rsid w:val="00446771"/>
    <w:rsid w:val="004521CF"/>
    <w:rsid w:val="00452F00"/>
    <w:rsid w:val="00464829"/>
    <w:rsid w:val="00465080"/>
    <w:rsid w:val="004670AB"/>
    <w:rsid w:val="0047050F"/>
    <w:rsid w:val="00476210"/>
    <w:rsid w:val="00477A89"/>
    <w:rsid w:val="004808ED"/>
    <w:rsid w:val="004840C4"/>
    <w:rsid w:val="00484777"/>
    <w:rsid w:val="00490ECA"/>
    <w:rsid w:val="004A0E4C"/>
    <w:rsid w:val="004A1EEA"/>
    <w:rsid w:val="004A2FFF"/>
    <w:rsid w:val="004A37C5"/>
    <w:rsid w:val="004A42F1"/>
    <w:rsid w:val="004A4E36"/>
    <w:rsid w:val="004A5C36"/>
    <w:rsid w:val="004A7486"/>
    <w:rsid w:val="004B47E3"/>
    <w:rsid w:val="004B5370"/>
    <w:rsid w:val="004B58F5"/>
    <w:rsid w:val="004C1654"/>
    <w:rsid w:val="004C7D2E"/>
    <w:rsid w:val="004D004C"/>
    <w:rsid w:val="004D164D"/>
    <w:rsid w:val="004D1AA7"/>
    <w:rsid w:val="004D2751"/>
    <w:rsid w:val="004D3DA8"/>
    <w:rsid w:val="004D5133"/>
    <w:rsid w:val="004E0B6A"/>
    <w:rsid w:val="004F046C"/>
    <w:rsid w:val="004F243F"/>
    <w:rsid w:val="004F4CD6"/>
    <w:rsid w:val="004F5E7C"/>
    <w:rsid w:val="004F79F0"/>
    <w:rsid w:val="004F7D4D"/>
    <w:rsid w:val="004F7ED7"/>
    <w:rsid w:val="00505002"/>
    <w:rsid w:val="00511B6E"/>
    <w:rsid w:val="005123D3"/>
    <w:rsid w:val="005134B5"/>
    <w:rsid w:val="005164B3"/>
    <w:rsid w:val="00516F69"/>
    <w:rsid w:val="005248C9"/>
    <w:rsid w:val="00531AD8"/>
    <w:rsid w:val="00531E5D"/>
    <w:rsid w:val="00533467"/>
    <w:rsid w:val="005340F1"/>
    <w:rsid w:val="005344D8"/>
    <w:rsid w:val="005356B8"/>
    <w:rsid w:val="00535FDC"/>
    <w:rsid w:val="00536A82"/>
    <w:rsid w:val="00540530"/>
    <w:rsid w:val="00540A5A"/>
    <w:rsid w:val="00542078"/>
    <w:rsid w:val="00543C10"/>
    <w:rsid w:val="00544F28"/>
    <w:rsid w:val="00547946"/>
    <w:rsid w:val="00551B30"/>
    <w:rsid w:val="00551E76"/>
    <w:rsid w:val="005528F5"/>
    <w:rsid w:val="0055331A"/>
    <w:rsid w:val="0055687A"/>
    <w:rsid w:val="005568AC"/>
    <w:rsid w:val="005571AA"/>
    <w:rsid w:val="00561BEF"/>
    <w:rsid w:val="00570AC5"/>
    <w:rsid w:val="00570B7C"/>
    <w:rsid w:val="00570F48"/>
    <w:rsid w:val="005719DF"/>
    <w:rsid w:val="00572A09"/>
    <w:rsid w:val="0057365C"/>
    <w:rsid w:val="00586942"/>
    <w:rsid w:val="00595DFB"/>
    <w:rsid w:val="00595DFF"/>
    <w:rsid w:val="005972F5"/>
    <w:rsid w:val="005A040B"/>
    <w:rsid w:val="005A0FC0"/>
    <w:rsid w:val="005A390C"/>
    <w:rsid w:val="005A468F"/>
    <w:rsid w:val="005A7C25"/>
    <w:rsid w:val="005B0477"/>
    <w:rsid w:val="005B19F5"/>
    <w:rsid w:val="005B318B"/>
    <w:rsid w:val="005B5075"/>
    <w:rsid w:val="005B573D"/>
    <w:rsid w:val="005B60E2"/>
    <w:rsid w:val="005C270F"/>
    <w:rsid w:val="005C3240"/>
    <w:rsid w:val="005C358A"/>
    <w:rsid w:val="005C38F9"/>
    <w:rsid w:val="005C5209"/>
    <w:rsid w:val="005C6ECF"/>
    <w:rsid w:val="005C780A"/>
    <w:rsid w:val="005D1BB5"/>
    <w:rsid w:val="005D2878"/>
    <w:rsid w:val="005D2DAC"/>
    <w:rsid w:val="005D40A7"/>
    <w:rsid w:val="005D6D94"/>
    <w:rsid w:val="005E43DF"/>
    <w:rsid w:val="005E7578"/>
    <w:rsid w:val="005F1128"/>
    <w:rsid w:val="005F36DC"/>
    <w:rsid w:val="006002DA"/>
    <w:rsid w:val="00605149"/>
    <w:rsid w:val="00605326"/>
    <w:rsid w:val="006053F7"/>
    <w:rsid w:val="00607B6F"/>
    <w:rsid w:val="006108D2"/>
    <w:rsid w:val="00611305"/>
    <w:rsid w:val="00613C50"/>
    <w:rsid w:val="00616F4F"/>
    <w:rsid w:val="006179D4"/>
    <w:rsid w:val="00617A01"/>
    <w:rsid w:val="0062045F"/>
    <w:rsid w:val="0062070A"/>
    <w:rsid w:val="00623A6B"/>
    <w:rsid w:val="0062653E"/>
    <w:rsid w:val="00627AFC"/>
    <w:rsid w:val="0063045F"/>
    <w:rsid w:val="00634AB7"/>
    <w:rsid w:val="0063583F"/>
    <w:rsid w:val="00636BF7"/>
    <w:rsid w:val="006379C6"/>
    <w:rsid w:val="00642BBC"/>
    <w:rsid w:val="00645F0B"/>
    <w:rsid w:val="0064649D"/>
    <w:rsid w:val="00651784"/>
    <w:rsid w:val="00651A51"/>
    <w:rsid w:val="0065576E"/>
    <w:rsid w:val="00660F6E"/>
    <w:rsid w:val="00662242"/>
    <w:rsid w:val="00663A36"/>
    <w:rsid w:val="00663F4D"/>
    <w:rsid w:val="006641F1"/>
    <w:rsid w:val="00667E93"/>
    <w:rsid w:val="00670600"/>
    <w:rsid w:val="006826DF"/>
    <w:rsid w:val="00685451"/>
    <w:rsid w:val="00686BD4"/>
    <w:rsid w:val="0068738A"/>
    <w:rsid w:val="00687D0A"/>
    <w:rsid w:val="006946BA"/>
    <w:rsid w:val="006952FD"/>
    <w:rsid w:val="006956DC"/>
    <w:rsid w:val="00695C42"/>
    <w:rsid w:val="006A0148"/>
    <w:rsid w:val="006A1718"/>
    <w:rsid w:val="006A2739"/>
    <w:rsid w:val="006A310F"/>
    <w:rsid w:val="006A5256"/>
    <w:rsid w:val="006A7586"/>
    <w:rsid w:val="006B04EF"/>
    <w:rsid w:val="006B104B"/>
    <w:rsid w:val="006B30E2"/>
    <w:rsid w:val="006B6104"/>
    <w:rsid w:val="006C0272"/>
    <w:rsid w:val="006C0B93"/>
    <w:rsid w:val="006C1364"/>
    <w:rsid w:val="006C1666"/>
    <w:rsid w:val="006C1D02"/>
    <w:rsid w:val="006C1F44"/>
    <w:rsid w:val="006C2214"/>
    <w:rsid w:val="006C52A7"/>
    <w:rsid w:val="006C58DC"/>
    <w:rsid w:val="006C640B"/>
    <w:rsid w:val="006C6C7F"/>
    <w:rsid w:val="006D1F47"/>
    <w:rsid w:val="006D449A"/>
    <w:rsid w:val="006D469B"/>
    <w:rsid w:val="006D7038"/>
    <w:rsid w:val="006D705B"/>
    <w:rsid w:val="006E20AC"/>
    <w:rsid w:val="006E20DA"/>
    <w:rsid w:val="006E2C47"/>
    <w:rsid w:val="006E3BBE"/>
    <w:rsid w:val="006E4148"/>
    <w:rsid w:val="006E5033"/>
    <w:rsid w:val="006E69D9"/>
    <w:rsid w:val="006F2742"/>
    <w:rsid w:val="006F31A9"/>
    <w:rsid w:val="006F404F"/>
    <w:rsid w:val="006F6817"/>
    <w:rsid w:val="006F76F0"/>
    <w:rsid w:val="006F7FCE"/>
    <w:rsid w:val="00702658"/>
    <w:rsid w:val="00702A5D"/>
    <w:rsid w:val="00710575"/>
    <w:rsid w:val="00712452"/>
    <w:rsid w:val="00715081"/>
    <w:rsid w:val="007205B9"/>
    <w:rsid w:val="00720B5F"/>
    <w:rsid w:val="00731D46"/>
    <w:rsid w:val="00734F3E"/>
    <w:rsid w:val="00740A4F"/>
    <w:rsid w:val="007431C8"/>
    <w:rsid w:val="00745C1E"/>
    <w:rsid w:val="00745F19"/>
    <w:rsid w:val="00751732"/>
    <w:rsid w:val="00751969"/>
    <w:rsid w:val="0075551E"/>
    <w:rsid w:val="00756F3F"/>
    <w:rsid w:val="00757E7B"/>
    <w:rsid w:val="00760397"/>
    <w:rsid w:val="00760402"/>
    <w:rsid w:val="007620A6"/>
    <w:rsid w:val="00765AF1"/>
    <w:rsid w:val="00766AE0"/>
    <w:rsid w:val="00766D22"/>
    <w:rsid w:val="0077006B"/>
    <w:rsid w:val="00772EBC"/>
    <w:rsid w:val="007752A9"/>
    <w:rsid w:val="00775FC8"/>
    <w:rsid w:val="00776D92"/>
    <w:rsid w:val="007809B0"/>
    <w:rsid w:val="00785FBC"/>
    <w:rsid w:val="00786705"/>
    <w:rsid w:val="0079096A"/>
    <w:rsid w:val="007923CD"/>
    <w:rsid w:val="00793033"/>
    <w:rsid w:val="00793C8B"/>
    <w:rsid w:val="00797D3A"/>
    <w:rsid w:val="007A17E9"/>
    <w:rsid w:val="007A1811"/>
    <w:rsid w:val="007A335A"/>
    <w:rsid w:val="007A4B48"/>
    <w:rsid w:val="007A6586"/>
    <w:rsid w:val="007A66E7"/>
    <w:rsid w:val="007B296B"/>
    <w:rsid w:val="007B3466"/>
    <w:rsid w:val="007B5DB7"/>
    <w:rsid w:val="007B741C"/>
    <w:rsid w:val="007C037E"/>
    <w:rsid w:val="007C0DE2"/>
    <w:rsid w:val="007C13F2"/>
    <w:rsid w:val="007C32DA"/>
    <w:rsid w:val="007C48B8"/>
    <w:rsid w:val="007D01C3"/>
    <w:rsid w:val="007D01EC"/>
    <w:rsid w:val="007D04D8"/>
    <w:rsid w:val="007D440B"/>
    <w:rsid w:val="007D5C90"/>
    <w:rsid w:val="007D6400"/>
    <w:rsid w:val="007D66D8"/>
    <w:rsid w:val="007E0A1C"/>
    <w:rsid w:val="007E3D5B"/>
    <w:rsid w:val="007E58CE"/>
    <w:rsid w:val="007E62B8"/>
    <w:rsid w:val="007E7373"/>
    <w:rsid w:val="007F230A"/>
    <w:rsid w:val="007F4217"/>
    <w:rsid w:val="007F60A3"/>
    <w:rsid w:val="007F7111"/>
    <w:rsid w:val="00800713"/>
    <w:rsid w:val="0080313A"/>
    <w:rsid w:val="008037FF"/>
    <w:rsid w:val="00804005"/>
    <w:rsid w:val="008104AE"/>
    <w:rsid w:val="00811780"/>
    <w:rsid w:val="008122FD"/>
    <w:rsid w:val="00814387"/>
    <w:rsid w:val="00816977"/>
    <w:rsid w:val="00820EEF"/>
    <w:rsid w:val="00824EC0"/>
    <w:rsid w:val="00825A81"/>
    <w:rsid w:val="0082740D"/>
    <w:rsid w:val="008278FC"/>
    <w:rsid w:val="00827D2F"/>
    <w:rsid w:val="00844558"/>
    <w:rsid w:val="008468FB"/>
    <w:rsid w:val="00847A3B"/>
    <w:rsid w:val="00850DAA"/>
    <w:rsid w:val="00853681"/>
    <w:rsid w:val="00854B7E"/>
    <w:rsid w:val="00857DB7"/>
    <w:rsid w:val="00862116"/>
    <w:rsid w:val="00862A78"/>
    <w:rsid w:val="008633A1"/>
    <w:rsid w:val="008700BC"/>
    <w:rsid w:val="00872FEB"/>
    <w:rsid w:val="00874904"/>
    <w:rsid w:val="00876278"/>
    <w:rsid w:val="0087758A"/>
    <w:rsid w:val="00877DC6"/>
    <w:rsid w:val="00884880"/>
    <w:rsid w:val="00884D83"/>
    <w:rsid w:val="008902AE"/>
    <w:rsid w:val="00892FB6"/>
    <w:rsid w:val="008948EB"/>
    <w:rsid w:val="00897E97"/>
    <w:rsid w:val="008A1159"/>
    <w:rsid w:val="008A6FD6"/>
    <w:rsid w:val="008A7883"/>
    <w:rsid w:val="008B21E0"/>
    <w:rsid w:val="008B702B"/>
    <w:rsid w:val="008C08AB"/>
    <w:rsid w:val="008C10CD"/>
    <w:rsid w:val="008C1FB7"/>
    <w:rsid w:val="008C3E55"/>
    <w:rsid w:val="008C50F0"/>
    <w:rsid w:val="008C6990"/>
    <w:rsid w:val="008C7652"/>
    <w:rsid w:val="008D15CE"/>
    <w:rsid w:val="008D164F"/>
    <w:rsid w:val="008D1CB6"/>
    <w:rsid w:val="008D35CB"/>
    <w:rsid w:val="008E150B"/>
    <w:rsid w:val="008E375A"/>
    <w:rsid w:val="008E56A4"/>
    <w:rsid w:val="008F4CE6"/>
    <w:rsid w:val="008F4FE9"/>
    <w:rsid w:val="008F553D"/>
    <w:rsid w:val="008F5F3E"/>
    <w:rsid w:val="008F74C5"/>
    <w:rsid w:val="008F7660"/>
    <w:rsid w:val="008F7AE0"/>
    <w:rsid w:val="009020D0"/>
    <w:rsid w:val="00903A8B"/>
    <w:rsid w:val="009050A1"/>
    <w:rsid w:val="00906171"/>
    <w:rsid w:val="00913BBF"/>
    <w:rsid w:val="00915356"/>
    <w:rsid w:val="009206AC"/>
    <w:rsid w:val="00923FC2"/>
    <w:rsid w:val="009252EF"/>
    <w:rsid w:val="00925E63"/>
    <w:rsid w:val="00927433"/>
    <w:rsid w:val="00927C70"/>
    <w:rsid w:val="00931F67"/>
    <w:rsid w:val="00935E07"/>
    <w:rsid w:val="00936AFA"/>
    <w:rsid w:val="009371D8"/>
    <w:rsid w:val="00943B66"/>
    <w:rsid w:val="009520CC"/>
    <w:rsid w:val="009539F7"/>
    <w:rsid w:val="00953BFC"/>
    <w:rsid w:val="00954268"/>
    <w:rsid w:val="009545F8"/>
    <w:rsid w:val="00955FBB"/>
    <w:rsid w:val="00966221"/>
    <w:rsid w:val="0096793E"/>
    <w:rsid w:val="0097199A"/>
    <w:rsid w:val="00973D1F"/>
    <w:rsid w:val="00973DC5"/>
    <w:rsid w:val="00974646"/>
    <w:rsid w:val="009764AA"/>
    <w:rsid w:val="0097773D"/>
    <w:rsid w:val="009800F5"/>
    <w:rsid w:val="00987D4A"/>
    <w:rsid w:val="00991A40"/>
    <w:rsid w:val="0099505A"/>
    <w:rsid w:val="00997EBB"/>
    <w:rsid w:val="009A28F3"/>
    <w:rsid w:val="009A570D"/>
    <w:rsid w:val="009A6B02"/>
    <w:rsid w:val="009A6B88"/>
    <w:rsid w:val="009A7332"/>
    <w:rsid w:val="009B4A69"/>
    <w:rsid w:val="009B4CB9"/>
    <w:rsid w:val="009B7740"/>
    <w:rsid w:val="009C091A"/>
    <w:rsid w:val="009C166B"/>
    <w:rsid w:val="009C1D04"/>
    <w:rsid w:val="009C5216"/>
    <w:rsid w:val="009C5653"/>
    <w:rsid w:val="009D27CC"/>
    <w:rsid w:val="009D368A"/>
    <w:rsid w:val="009D41A3"/>
    <w:rsid w:val="009D758D"/>
    <w:rsid w:val="009E0D00"/>
    <w:rsid w:val="009E20A5"/>
    <w:rsid w:val="009E33D7"/>
    <w:rsid w:val="009E461F"/>
    <w:rsid w:val="009E4666"/>
    <w:rsid w:val="009E5130"/>
    <w:rsid w:val="009E6F34"/>
    <w:rsid w:val="009F1793"/>
    <w:rsid w:val="009F2273"/>
    <w:rsid w:val="009F2D07"/>
    <w:rsid w:val="009F335E"/>
    <w:rsid w:val="00A0047A"/>
    <w:rsid w:val="00A05998"/>
    <w:rsid w:val="00A05F16"/>
    <w:rsid w:val="00A062D9"/>
    <w:rsid w:val="00A06B38"/>
    <w:rsid w:val="00A12E23"/>
    <w:rsid w:val="00A14CAB"/>
    <w:rsid w:val="00A158CC"/>
    <w:rsid w:val="00A15A1B"/>
    <w:rsid w:val="00A22965"/>
    <w:rsid w:val="00A23BE2"/>
    <w:rsid w:val="00A268CC"/>
    <w:rsid w:val="00A27475"/>
    <w:rsid w:val="00A3685D"/>
    <w:rsid w:val="00A378E7"/>
    <w:rsid w:val="00A37D8D"/>
    <w:rsid w:val="00A4202F"/>
    <w:rsid w:val="00A42C11"/>
    <w:rsid w:val="00A4354F"/>
    <w:rsid w:val="00A43AB3"/>
    <w:rsid w:val="00A457BA"/>
    <w:rsid w:val="00A4616E"/>
    <w:rsid w:val="00A46859"/>
    <w:rsid w:val="00A46F3A"/>
    <w:rsid w:val="00A475BE"/>
    <w:rsid w:val="00A52AFE"/>
    <w:rsid w:val="00A53A9D"/>
    <w:rsid w:val="00A53E67"/>
    <w:rsid w:val="00A707E4"/>
    <w:rsid w:val="00A719DE"/>
    <w:rsid w:val="00A74B4A"/>
    <w:rsid w:val="00A77714"/>
    <w:rsid w:val="00A80A3E"/>
    <w:rsid w:val="00A84AD9"/>
    <w:rsid w:val="00A853F5"/>
    <w:rsid w:val="00A923EE"/>
    <w:rsid w:val="00A92A75"/>
    <w:rsid w:val="00A92F34"/>
    <w:rsid w:val="00A96334"/>
    <w:rsid w:val="00A97D54"/>
    <w:rsid w:val="00AA1A99"/>
    <w:rsid w:val="00AA5A9C"/>
    <w:rsid w:val="00AA7709"/>
    <w:rsid w:val="00AB2C3D"/>
    <w:rsid w:val="00AB571D"/>
    <w:rsid w:val="00AB68A8"/>
    <w:rsid w:val="00AB6D1E"/>
    <w:rsid w:val="00AC07DE"/>
    <w:rsid w:val="00AC39CF"/>
    <w:rsid w:val="00AC5759"/>
    <w:rsid w:val="00AC6D60"/>
    <w:rsid w:val="00AD08C6"/>
    <w:rsid w:val="00AD1B30"/>
    <w:rsid w:val="00AD5A01"/>
    <w:rsid w:val="00AD70C8"/>
    <w:rsid w:val="00AD7371"/>
    <w:rsid w:val="00AD78C5"/>
    <w:rsid w:val="00AD7A54"/>
    <w:rsid w:val="00AE0565"/>
    <w:rsid w:val="00AE1FB4"/>
    <w:rsid w:val="00AE2950"/>
    <w:rsid w:val="00AE343D"/>
    <w:rsid w:val="00AE48A8"/>
    <w:rsid w:val="00AE6373"/>
    <w:rsid w:val="00AF0B0C"/>
    <w:rsid w:val="00AF0DF7"/>
    <w:rsid w:val="00AF12AA"/>
    <w:rsid w:val="00AF7020"/>
    <w:rsid w:val="00AF7529"/>
    <w:rsid w:val="00AF7CC5"/>
    <w:rsid w:val="00B007B5"/>
    <w:rsid w:val="00B01382"/>
    <w:rsid w:val="00B02F03"/>
    <w:rsid w:val="00B11487"/>
    <w:rsid w:val="00B12184"/>
    <w:rsid w:val="00B12430"/>
    <w:rsid w:val="00B13650"/>
    <w:rsid w:val="00B1473D"/>
    <w:rsid w:val="00B1487D"/>
    <w:rsid w:val="00B15497"/>
    <w:rsid w:val="00B1596E"/>
    <w:rsid w:val="00B20232"/>
    <w:rsid w:val="00B21DB0"/>
    <w:rsid w:val="00B26AB9"/>
    <w:rsid w:val="00B27BBD"/>
    <w:rsid w:val="00B3109F"/>
    <w:rsid w:val="00B31882"/>
    <w:rsid w:val="00B32EBF"/>
    <w:rsid w:val="00B33013"/>
    <w:rsid w:val="00B35092"/>
    <w:rsid w:val="00B36D8A"/>
    <w:rsid w:val="00B4575C"/>
    <w:rsid w:val="00B45987"/>
    <w:rsid w:val="00B45CFC"/>
    <w:rsid w:val="00B46E0F"/>
    <w:rsid w:val="00B5125D"/>
    <w:rsid w:val="00B53D4D"/>
    <w:rsid w:val="00B54ACE"/>
    <w:rsid w:val="00B55689"/>
    <w:rsid w:val="00B56333"/>
    <w:rsid w:val="00B60665"/>
    <w:rsid w:val="00B620DD"/>
    <w:rsid w:val="00B62257"/>
    <w:rsid w:val="00B64B8F"/>
    <w:rsid w:val="00B658A9"/>
    <w:rsid w:val="00B72506"/>
    <w:rsid w:val="00B7307D"/>
    <w:rsid w:val="00B75040"/>
    <w:rsid w:val="00B77F51"/>
    <w:rsid w:val="00B80331"/>
    <w:rsid w:val="00B81153"/>
    <w:rsid w:val="00B8415E"/>
    <w:rsid w:val="00B8599C"/>
    <w:rsid w:val="00B863DF"/>
    <w:rsid w:val="00B87833"/>
    <w:rsid w:val="00B9657F"/>
    <w:rsid w:val="00BA0882"/>
    <w:rsid w:val="00BA39DB"/>
    <w:rsid w:val="00BA4DC1"/>
    <w:rsid w:val="00BA5E22"/>
    <w:rsid w:val="00BA79D2"/>
    <w:rsid w:val="00BB5F36"/>
    <w:rsid w:val="00BC42B9"/>
    <w:rsid w:val="00BC4C15"/>
    <w:rsid w:val="00BC5093"/>
    <w:rsid w:val="00BC5C9B"/>
    <w:rsid w:val="00BD0523"/>
    <w:rsid w:val="00BD0FFC"/>
    <w:rsid w:val="00BD317E"/>
    <w:rsid w:val="00BE0032"/>
    <w:rsid w:val="00BE0418"/>
    <w:rsid w:val="00BE1AE9"/>
    <w:rsid w:val="00BE4393"/>
    <w:rsid w:val="00BE716A"/>
    <w:rsid w:val="00BE71C0"/>
    <w:rsid w:val="00BF0309"/>
    <w:rsid w:val="00BF0650"/>
    <w:rsid w:val="00BF117C"/>
    <w:rsid w:val="00BF1357"/>
    <w:rsid w:val="00BF5489"/>
    <w:rsid w:val="00BF592F"/>
    <w:rsid w:val="00BF6BA2"/>
    <w:rsid w:val="00BF739D"/>
    <w:rsid w:val="00BF7C1F"/>
    <w:rsid w:val="00C01A74"/>
    <w:rsid w:val="00C01BFD"/>
    <w:rsid w:val="00C023BF"/>
    <w:rsid w:val="00C110E0"/>
    <w:rsid w:val="00C11A88"/>
    <w:rsid w:val="00C11EC6"/>
    <w:rsid w:val="00C139B6"/>
    <w:rsid w:val="00C15E0E"/>
    <w:rsid w:val="00C21282"/>
    <w:rsid w:val="00C23DA0"/>
    <w:rsid w:val="00C2445F"/>
    <w:rsid w:val="00C31F22"/>
    <w:rsid w:val="00C3278B"/>
    <w:rsid w:val="00C3294A"/>
    <w:rsid w:val="00C337D6"/>
    <w:rsid w:val="00C3621C"/>
    <w:rsid w:val="00C36564"/>
    <w:rsid w:val="00C37163"/>
    <w:rsid w:val="00C37EB4"/>
    <w:rsid w:val="00C416AA"/>
    <w:rsid w:val="00C43DEB"/>
    <w:rsid w:val="00C458C4"/>
    <w:rsid w:val="00C466EA"/>
    <w:rsid w:val="00C46C54"/>
    <w:rsid w:val="00C557EE"/>
    <w:rsid w:val="00C5657F"/>
    <w:rsid w:val="00C56BD4"/>
    <w:rsid w:val="00C5703D"/>
    <w:rsid w:val="00C5732C"/>
    <w:rsid w:val="00C62458"/>
    <w:rsid w:val="00C6321B"/>
    <w:rsid w:val="00C63515"/>
    <w:rsid w:val="00C635BA"/>
    <w:rsid w:val="00C63642"/>
    <w:rsid w:val="00C6386B"/>
    <w:rsid w:val="00C63B71"/>
    <w:rsid w:val="00C64149"/>
    <w:rsid w:val="00C64ECB"/>
    <w:rsid w:val="00C65C2B"/>
    <w:rsid w:val="00C674C0"/>
    <w:rsid w:val="00C71B72"/>
    <w:rsid w:val="00C72737"/>
    <w:rsid w:val="00C72DAD"/>
    <w:rsid w:val="00C73ECB"/>
    <w:rsid w:val="00C74D7A"/>
    <w:rsid w:val="00C77C13"/>
    <w:rsid w:val="00C85CB3"/>
    <w:rsid w:val="00C87811"/>
    <w:rsid w:val="00C92CDF"/>
    <w:rsid w:val="00C9314B"/>
    <w:rsid w:val="00C9616A"/>
    <w:rsid w:val="00CA01A1"/>
    <w:rsid w:val="00CA1213"/>
    <w:rsid w:val="00CA1906"/>
    <w:rsid w:val="00CA2ECA"/>
    <w:rsid w:val="00CA4BB4"/>
    <w:rsid w:val="00CA4DD5"/>
    <w:rsid w:val="00CA6CE9"/>
    <w:rsid w:val="00CB20C7"/>
    <w:rsid w:val="00CB2F29"/>
    <w:rsid w:val="00CB526D"/>
    <w:rsid w:val="00CB7739"/>
    <w:rsid w:val="00CC2BD0"/>
    <w:rsid w:val="00CC3974"/>
    <w:rsid w:val="00CC5962"/>
    <w:rsid w:val="00CC600C"/>
    <w:rsid w:val="00CD04A4"/>
    <w:rsid w:val="00CD10E5"/>
    <w:rsid w:val="00CD42BA"/>
    <w:rsid w:val="00CD485D"/>
    <w:rsid w:val="00CD511C"/>
    <w:rsid w:val="00CE2306"/>
    <w:rsid w:val="00CE3245"/>
    <w:rsid w:val="00CE32C0"/>
    <w:rsid w:val="00CE4D56"/>
    <w:rsid w:val="00CF1AED"/>
    <w:rsid w:val="00CF2AC6"/>
    <w:rsid w:val="00CF31B0"/>
    <w:rsid w:val="00CF3D6D"/>
    <w:rsid w:val="00CF64FE"/>
    <w:rsid w:val="00CF7FB1"/>
    <w:rsid w:val="00D02159"/>
    <w:rsid w:val="00D11CB4"/>
    <w:rsid w:val="00D13852"/>
    <w:rsid w:val="00D13EA8"/>
    <w:rsid w:val="00D1449F"/>
    <w:rsid w:val="00D2157C"/>
    <w:rsid w:val="00D21A6D"/>
    <w:rsid w:val="00D21E22"/>
    <w:rsid w:val="00D23738"/>
    <w:rsid w:val="00D2536F"/>
    <w:rsid w:val="00D2767B"/>
    <w:rsid w:val="00D27F81"/>
    <w:rsid w:val="00D33CC5"/>
    <w:rsid w:val="00D33F3C"/>
    <w:rsid w:val="00D426F0"/>
    <w:rsid w:val="00D47A01"/>
    <w:rsid w:val="00D51EA8"/>
    <w:rsid w:val="00D52226"/>
    <w:rsid w:val="00D54364"/>
    <w:rsid w:val="00D554CF"/>
    <w:rsid w:val="00D56234"/>
    <w:rsid w:val="00D62262"/>
    <w:rsid w:val="00D66938"/>
    <w:rsid w:val="00D66B7D"/>
    <w:rsid w:val="00D707F7"/>
    <w:rsid w:val="00D708CF"/>
    <w:rsid w:val="00D71E9C"/>
    <w:rsid w:val="00D72434"/>
    <w:rsid w:val="00D731D2"/>
    <w:rsid w:val="00D73B45"/>
    <w:rsid w:val="00D74296"/>
    <w:rsid w:val="00D74B89"/>
    <w:rsid w:val="00D77246"/>
    <w:rsid w:val="00D83485"/>
    <w:rsid w:val="00D84A5C"/>
    <w:rsid w:val="00D86B2B"/>
    <w:rsid w:val="00D87F06"/>
    <w:rsid w:val="00D911B2"/>
    <w:rsid w:val="00D965D5"/>
    <w:rsid w:val="00DA1769"/>
    <w:rsid w:val="00DA2FBA"/>
    <w:rsid w:val="00DA43F5"/>
    <w:rsid w:val="00DA4F63"/>
    <w:rsid w:val="00DA6C99"/>
    <w:rsid w:val="00DA707D"/>
    <w:rsid w:val="00DA765E"/>
    <w:rsid w:val="00DB378E"/>
    <w:rsid w:val="00DB4236"/>
    <w:rsid w:val="00DB6353"/>
    <w:rsid w:val="00DB680A"/>
    <w:rsid w:val="00DC06F8"/>
    <w:rsid w:val="00DC671C"/>
    <w:rsid w:val="00DC67B5"/>
    <w:rsid w:val="00DD0426"/>
    <w:rsid w:val="00DD052E"/>
    <w:rsid w:val="00DD29A4"/>
    <w:rsid w:val="00DD3936"/>
    <w:rsid w:val="00DD7A9F"/>
    <w:rsid w:val="00DE200F"/>
    <w:rsid w:val="00DE4B23"/>
    <w:rsid w:val="00DF3F9E"/>
    <w:rsid w:val="00DF42B8"/>
    <w:rsid w:val="00DF5A36"/>
    <w:rsid w:val="00DF7764"/>
    <w:rsid w:val="00E01BE9"/>
    <w:rsid w:val="00E01CDE"/>
    <w:rsid w:val="00E02C02"/>
    <w:rsid w:val="00E049E5"/>
    <w:rsid w:val="00E1063F"/>
    <w:rsid w:val="00E1168B"/>
    <w:rsid w:val="00E16579"/>
    <w:rsid w:val="00E16C03"/>
    <w:rsid w:val="00E2185D"/>
    <w:rsid w:val="00E21F5B"/>
    <w:rsid w:val="00E241A2"/>
    <w:rsid w:val="00E25E37"/>
    <w:rsid w:val="00E27815"/>
    <w:rsid w:val="00E27886"/>
    <w:rsid w:val="00E303D4"/>
    <w:rsid w:val="00E30FB6"/>
    <w:rsid w:val="00E35AAF"/>
    <w:rsid w:val="00E41921"/>
    <w:rsid w:val="00E42EB9"/>
    <w:rsid w:val="00E42FBC"/>
    <w:rsid w:val="00E47DD5"/>
    <w:rsid w:val="00E519CE"/>
    <w:rsid w:val="00E51BFD"/>
    <w:rsid w:val="00E54922"/>
    <w:rsid w:val="00E6029D"/>
    <w:rsid w:val="00E60D48"/>
    <w:rsid w:val="00E60FDC"/>
    <w:rsid w:val="00E63B58"/>
    <w:rsid w:val="00E65710"/>
    <w:rsid w:val="00E66A27"/>
    <w:rsid w:val="00E66D1F"/>
    <w:rsid w:val="00E6708D"/>
    <w:rsid w:val="00E67620"/>
    <w:rsid w:val="00E7474A"/>
    <w:rsid w:val="00E75E2F"/>
    <w:rsid w:val="00E8453C"/>
    <w:rsid w:val="00E8778B"/>
    <w:rsid w:val="00E87BC1"/>
    <w:rsid w:val="00E914AF"/>
    <w:rsid w:val="00E9156B"/>
    <w:rsid w:val="00E91797"/>
    <w:rsid w:val="00E92C24"/>
    <w:rsid w:val="00E964EA"/>
    <w:rsid w:val="00E9735A"/>
    <w:rsid w:val="00EA0CF8"/>
    <w:rsid w:val="00EA1AD9"/>
    <w:rsid w:val="00EA3639"/>
    <w:rsid w:val="00EA3913"/>
    <w:rsid w:val="00EA5A64"/>
    <w:rsid w:val="00EA5BB4"/>
    <w:rsid w:val="00EA7D37"/>
    <w:rsid w:val="00EB0DD5"/>
    <w:rsid w:val="00EB0E32"/>
    <w:rsid w:val="00EB1CB2"/>
    <w:rsid w:val="00EB297D"/>
    <w:rsid w:val="00EB2C43"/>
    <w:rsid w:val="00EB3E82"/>
    <w:rsid w:val="00EB681D"/>
    <w:rsid w:val="00EB6CFB"/>
    <w:rsid w:val="00EC0172"/>
    <w:rsid w:val="00EC0446"/>
    <w:rsid w:val="00ED1DD8"/>
    <w:rsid w:val="00ED2EC4"/>
    <w:rsid w:val="00ED3599"/>
    <w:rsid w:val="00ED35F4"/>
    <w:rsid w:val="00ED3A56"/>
    <w:rsid w:val="00ED4185"/>
    <w:rsid w:val="00ED63B7"/>
    <w:rsid w:val="00ED71D0"/>
    <w:rsid w:val="00EE0C2A"/>
    <w:rsid w:val="00EE14D0"/>
    <w:rsid w:val="00EE44A3"/>
    <w:rsid w:val="00EE66D1"/>
    <w:rsid w:val="00EF36F5"/>
    <w:rsid w:val="00EF3C0E"/>
    <w:rsid w:val="00EF4749"/>
    <w:rsid w:val="00EF62C3"/>
    <w:rsid w:val="00F001DE"/>
    <w:rsid w:val="00F003D2"/>
    <w:rsid w:val="00F02D22"/>
    <w:rsid w:val="00F05B9B"/>
    <w:rsid w:val="00F05E66"/>
    <w:rsid w:val="00F07E2C"/>
    <w:rsid w:val="00F115EF"/>
    <w:rsid w:val="00F12E9C"/>
    <w:rsid w:val="00F1433A"/>
    <w:rsid w:val="00F153FF"/>
    <w:rsid w:val="00F234D9"/>
    <w:rsid w:val="00F249CA"/>
    <w:rsid w:val="00F2526D"/>
    <w:rsid w:val="00F32629"/>
    <w:rsid w:val="00F33608"/>
    <w:rsid w:val="00F344C5"/>
    <w:rsid w:val="00F41DD1"/>
    <w:rsid w:val="00F41EA4"/>
    <w:rsid w:val="00F4268B"/>
    <w:rsid w:val="00F500E4"/>
    <w:rsid w:val="00F53A6F"/>
    <w:rsid w:val="00F55261"/>
    <w:rsid w:val="00F600C0"/>
    <w:rsid w:val="00F60F88"/>
    <w:rsid w:val="00F6192B"/>
    <w:rsid w:val="00F624A7"/>
    <w:rsid w:val="00F63B25"/>
    <w:rsid w:val="00F66265"/>
    <w:rsid w:val="00F66966"/>
    <w:rsid w:val="00F7341A"/>
    <w:rsid w:val="00F772AB"/>
    <w:rsid w:val="00F80C21"/>
    <w:rsid w:val="00F81460"/>
    <w:rsid w:val="00F82262"/>
    <w:rsid w:val="00F827AD"/>
    <w:rsid w:val="00F82C79"/>
    <w:rsid w:val="00F83B32"/>
    <w:rsid w:val="00F83F93"/>
    <w:rsid w:val="00F91ABB"/>
    <w:rsid w:val="00F91AD7"/>
    <w:rsid w:val="00F924C3"/>
    <w:rsid w:val="00F93088"/>
    <w:rsid w:val="00F9576B"/>
    <w:rsid w:val="00FA043F"/>
    <w:rsid w:val="00FA0B2F"/>
    <w:rsid w:val="00FA1481"/>
    <w:rsid w:val="00FA4D76"/>
    <w:rsid w:val="00FA5145"/>
    <w:rsid w:val="00FB01E5"/>
    <w:rsid w:val="00FB1246"/>
    <w:rsid w:val="00FB3858"/>
    <w:rsid w:val="00FB484A"/>
    <w:rsid w:val="00FB5B45"/>
    <w:rsid w:val="00FC09F8"/>
    <w:rsid w:val="00FC5C61"/>
    <w:rsid w:val="00FD2BFA"/>
    <w:rsid w:val="00FD3EDF"/>
    <w:rsid w:val="00FD65C1"/>
    <w:rsid w:val="00FD675C"/>
    <w:rsid w:val="00FD7052"/>
    <w:rsid w:val="00FE1A1E"/>
    <w:rsid w:val="00FE27FD"/>
    <w:rsid w:val="00FE4015"/>
    <w:rsid w:val="00FE596E"/>
    <w:rsid w:val="00FE75B5"/>
    <w:rsid w:val="00FF3D00"/>
    <w:rsid w:val="00FF5308"/>
    <w:rsid w:val="00FF727E"/>
    <w:rsid w:val="0A394117"/>
    <w:rsid w:val="3CAA1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99" w:semiHidden="0" w:name="Normal Indent"/>
    <w:lsdException w:uiPriority="99" w:name="footnote text"/>
    <w:lsdException w:uiPriority="99" w:name="annotation text"/>
    <w:lsdException w:qFormat="1" w:uiPriority="0"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5"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styleId="2">
    <w:name w:val="heading 2"/>
    <w:basedOn w:val="1"/>
    <w:next w:val="1"/>
    <w:link w:val="44"/>
    <w:qFormat/>
    <w:uiPriority w:val="0"/>
    <w:pPr>
      <w:keepNext/>
      <w:keepLines/>
      <w:tabs>
        <w:tab w:val="left" w:pos="2223"/>
        <w:tab w:val="left" w:pos="2558"/>
      </w:tabs>
      <w:spacing w:before="120" w:after="120" w:line="360" w:lineRule="auto"/>
      <w:outlineLvl w:val="1"/>
    </w:pPr>
    <w:rPr>
      <w:rFonts w:ascii="Times New Roman" w:hAnsi="Times New Roman" w:eastAsia="黑体" w:cs="Times New Roman"/>
      <w:color w:val="000000" w:themeColor="text1"/>
      <w:sz w:val="30"/>
      <w:szCs w:val="24"/>
    </w:rPr>
  </w:style>
  <w:style w:type="paragraph" w:styleId="3">
    <w:name w:val="heading 3"/>
    <w:basedOn w:val="1"/>
    <w:next w:val="1"/>
    <w:link w:val="46"/>
    <w:semiHidden/>
    <w:unhideWhenUsed/>
    <w:qFormat/>
    <w:uiPriority w:val="9"/>
    <w:pPr>
      <w:keepNext/>
      <w:keepLines/>
      <w:spacing w:before="260" w:after="260" w:line="416" w:lineRule="auto"/>
      <w:outlineLvl w:val="2"/>
    </w:pPr>
    <w:rPr>
      <w:b/>
      <w:bCs/>
      <w:sz w:val="32"/>
      <w:szCs w:val="32"/>
    </w:rPr>
  </w:style>
  <w:style w:type="paragraph" w:styleId="4">
    <w:name w:val="heading 8"/>
    <w:basedOn w:val="1"/>
    <w:next w:val="1"/>
    <w:link w:val="48"/>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character" w:default="1" w:styleId="21">
    <w:name w:val="Default Paragraph Font"/>
    <w:semiHidden/>
    <w:unhideWhenUsed/>
    <w:uiPriority w:val="1"/>
  </w:style>
  <w:style w:type="table" w:default="1" w:styleId="19">
    <w:name w:val="Normal Table"/>
    <w:semiHidden/>
    <w:unhideWhenUsed/>
    <w:qFormat/>
    <w:uiPriority w:val="99"/>
    <w:tblPr>
      <w:tblLayout w:type="fixed"/>
      <w:tblCellMar>
        <w:top w:w="0" w:type="dxa"/>
        <w:left w:w="108" w:type="dxa"/>
        <w:bottom w:w="0" w:type="dxa"/>
        <w:right w:w="108" w:type="dxa"/>
      </w:tblCellMar>
    </w:tblPr>
  </w:style>
  <w:style w:type="paragraph" w:styleId="5">
    <w:name w:val="Normal Indent"/>
    <w:basedOn w:val="1"/>
    <w:link w:val="50"/>
    <w:uiPriority w:val="99"/>
    <w:pPr>
      <w:widowControl/>
      <w:ind w:firstLine="420" w:firstLineChars="200"/>
      <w:jc w:val="left"/>
    </w:pPr>
    <w:rPr>
      <w:rFonts w:ascii="Calibri" w:hAnsi="Calibri" w:eastAsia="宋体" w:cs="Times New Roman"/>
      <w:sz w:val="28"/>
      <w:szCs w:val="20"/>
    </w:rPr>
  </w:style>
  <w:style w:type="paragraph" w:styleId="6">
    <w:name w:val="Document Map"/>
    <w:basedOn w:val="1"/>
    <w:link w:val="27"/>
    <w:semiHidden/>
    <w:unhideWhenUsed/>
    <w:uiPriority w:val="99"/>
    <w:rPr>
      <w:rFonts w:ascii="宋体" w:eastAsia="宋体"/>
      <w:sz w:val="20"/>
      <w:szCs w:val="18"/>
    </w:rPr>
  </w:style>
  <w:style w:type="paragraph" w:styleId="7">
    <w:name w:val="annotation text"/>
    <w:basedOn w:val="1"/>
    <w:link w:val="34"/>
    <w:semiHidden/>
    <w:unhideWhenUsed/>
    <w:uiPriority w:val="99"/>
    <w:pPr>
      <w:jc w:val="left"/>
    </w:pPr>
  </w:style>
  <w:style w:type="paragraph" w:styleId="8">
    <w:name w:val="Salutation"/>
    <w:basedOn w:val="1"/>
    <w:next w:val="1"/>
    <w:link w:val="56"/>
    <w:semiHidden/>
    <w:unhideWhenUsed/>
    <w:uiPriority w:val="99"/>
  </w:style>
  <w:style w:type="paragraph" w:styleId="9">
    <w:name w:val="Body Text"/>
    <w:basedOn w:val="1"/>
    <w:link w:val="43"/>
    <w:semiHidden/>
    <w:unhideWhenUsed/>
    <w:uiPriority w:val="99"/>
    <w:pPr>
      <w:spacing w:after="120"/>
    </w:pPr>
  </w:style>
  <w:style w:type="paragraph" w:styleId="10">
    <w:name w:val="Body Text Indent"/>
    <w:basedOn w:val="1"/>
    <w:link w:val="65"/>
    <w:semiHidden/>
    <w:unhideWhenUsed/>
    <w:qFormat/>
    <w:uiPriority w:val="99"/>
    <w:pPr>
      <w:spacing w:after="120"/>
      <w:ind w:left="420" w:leftChars="200"/>
    </w:pPr>
  </w:style>
  <w:style w:type="paragraph" w:styleId="11">
    <w:name w:val="Plain Text"/>
    <w:basedOn w:val="1"/>
    <w:next w:val="8"/>
    <w:link w:val="54"/>
    <w:qFormat/>
    <w:uiPriority w:val="5"/>
    <w:pPr>
      <w:spacing w:line="360" w:lineRule="exact"/>
    </w:pPr>
    <w:rPr>
      <w:rFonts w:ascii="宋体" w:hAnsi="Courier New" w:eastAsia="宋体" w:cs="Times New Roman"/>
      <w:szCs w:val="20"/>
    </w:rPr>
  </w:style>
  <w:style w:type="paragraph" w:styleId="12">
    <w:name w:val="Balloon Text"/>
    <w:basedOn w:val="1"/>
    <w:link w:val="26"/>
    <w:unhideWhenUsed/>
    <w:qFormat/>
    <w:uiPriority w:val="99"/>
    <w:rPr>
      <w:sz w:val="18"/>
      <w:szCs w:val="18"/>
    </w:rPr>
  </w:style>
  <w:style w:type="paragraph" w:styleId="13">
    <w:name w:val="footer"/>
    <w:basedOn w:val="1"/>
    <w:link w:val="29"/>
    <w:semiHidden/>
    <w:unhideWhenUsed/>
    <w:qFormat/>
    <w:uiPriority w:val="99"/>
    <w:pPr>
      <w:tabs>
        <w:tab w:val="center" w:pos="4153"/>
        <w:tab w:val="right" w:pos="8306"/>
      </w:tabs>
      <w:snapToGrid w:val="0"/>
      <w:jc w:val="left"/>
    </w:pPr>
    <w:rPr>
      <w:sz w:val="18"/>
      <w:szCs w:val="18"/>
    </w:rPr>
  </w:style>
  <w:style w:type="paragraph" w:styleId="14">
    <w:name w:val="header"/>
    <w:basedOn w:val="1"/>
    <w:link w:val="28"/>
    <w:unhideWhenUsed/>
    <w:qFormat/>
    <w:uiPriority w:val="0"/>
    <w:pPr>
      <w:pBdr>
        <w:bottom w:val="single" w:color="auto" w:sz="6" w:space="1"/>
      </w:pBdr>
      <w:tabs>
        <w:tab w:val="center" w:pos="4153"/>
        <w:tab w:val="right" w:pos="8306"/>
      </w:tabs>
      <w:snapToGrid w:val="0"/>
      <w:jc w:val="center"/>
    </w:pPr>
    <w:rPr>
      <w:sz w:val="18"/>
      <w:szCs w:val="18"/>
    </w:rPr>
  </w:style>
  <w:style w:type="paragraph" w:styleId="15">
    <w:name w:val="Body Text Indent 3"/>
    <w:basedOn w:val="1"/>
    <w:link w:val="31"/>
    <w:qFormat/>
    <w:uiPriority w:val="0"/>
    <w:pPr>
      <w:spacing w:after="120"/>
      <w:ind w:left="420" w:leftChars="200"/>
    </w:pPr>
    <w:rPr>
      <w:rFonts w:ascii="Times New Roman" w:hAnsi="Times New Roman" w:eastAsia="宋体" w:cs="Times New Roman"/>
      <w:sz w:val="16"/>
      <w:szCs w:val="16"/>
    </w:rPr>
  </w:style>
  <w:style w:type="paragraph" w:styleId="16">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paragraph" w:styleId="17">
    <w:name w:val="index 1"/>
    <w:basedOn w:val="1"/>
    <w:next w:val="1"/>
    <w:qFormat/>
    <w:uiPriority w:val="0"/>
    <w:pPr>
      <w:ind w:left="560" w:hanging="560"/>
    </w:pPr>
    <w:rPr>
      <w:rFonts w:ascii="Times New Roman" w:hAnsi="宋体" w:eastAsia="宋体" w:cs="Times New Roman"/>
      <w:spacing w:val="10"/>
      <w:szCs w:val="24"/>
    </w:rPr>
  </w:style>
  <w:style w:type="paragraph" w:styleId="18">
    <w:name w:val="annotation subject"/>
    <w:basedOn w:val="7"/>
    <w:next w:val="7"/>
    <w:link w:val="35"/>
    <w:semiHidden/>
    <w:unhideWhenUsed/>
    <w:uiPriority w:val="99"/>
    <w:rPr>
      <w:b/>
      <w:bCs/>
    </w:rPr>
  </w:style>
  <w:style w:type="table" w:styleId="20">
    <w:name w:val="Table Grid"/>
    <w:basedOn w:val="19"/>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styleId="22">
    <w:name w:val="Strong"/>
    <w:basedOn w:val="21"/>
    <w:qFormat/>
    <w:uiPriority w:val="22"/>
    <w:rPr>
      <w:b/>
      <w:bCs/>
    </w:rPr>
  </w:style>
  <w:style w:type="character" w:styleId="23">
    <w:name w:val="page number"/>
    <w:basedOn w:val="21"/>
    <w:uiPriority w:val="0"/>
  </w:style>
  <w:style w:type="character" w:styleId="24">
    <w:name w:val="Hyperlink"/>
    <w:basedOn w:val="21"/>
    <w:semiHidden/>
    <w:unhideWhenUsed/>
    <w:uiPriority w:val="99"/>
    <w:rPr>
      <w:color w:val="0000FF"/>
      <w:u w:val="single"/>
    </w:rPr>
  </w:style>
  <w:style w:type="character" w:styleId="25">
    <w:name w:val="annotation reference"/>
    <w:basedOn w:val="21"/>
    <w:semiHidden/>
    <w:unhideWhenUsed/>
    <w:qFormat/>
    <w:uiPriority w:val="99"/>
    <w:rPr>
      <w:sz w:val="21"/>
      <w:szCs w:val="21"/>
    </w:rPr>
  </w:style>
  <w:style w:type="character" w:customStyle="1" w:styleId="26">
    <w:name w:val="批注框文本 Char"/>
    <w:basedOn w:val="21"/>
    <w:link w:val="12"/>
    <w:uiPriority w:val="99"/>
    <w:rPr>
      <w:sz w:val="18"/>
      <w:szCs w:val="18"/>
    </w:rPr>
  </w:style>
  <w:style w:type="character" w:customStyle="1" w:styleId="27">
    <w:name w:val="文档结构图 Char"/>
    <w:basedOn w:val="21"/>
    <w:link w:val="6"/>
    <w:semiHidden/>
    <w:qFormat/>
    <w:uiPriority w:val="99"/>
    <w:rPr>
      <w:rFonts w:ascii="宋体" w:eastAsia="宋体"/>
      <w:sz w:val="20"/>
      <w:szCs w:val="18"/>
    </w:rPr>
  </w:style>
  <w:style w:type="character" w:customStyle="1" w:styleId="28">
    <w:name w:val="页眉 Char"/>
    <w:basedOn w:val="21"/>
    <w:link w:val="14"/>
    <w:qFormat/>
    <w:uiPriority w:val="0"/>
    <w:rPr>
      <w:sz w:val="18"/>
      <w:szCs w:val="18"/>
    </w:rPr>
  </w:style>
  <w:style w:type="character" w:customStyle="1" w:styleId="29">
    <w:name w:val="页脚 Char"/>
    <w:basedOn w:val="21"/>
    <w:link w:val="13"/>
    <w:semiHidden/>
    <w:qFormat/>
    <w:uiPriority w:val="99"/>
    <w:rPr>
      <w:sz w:val="18"/>
      <w:szCs w:val="18"/>
    </w:rPr>
  </w:style>
  <w:style w:type="paragraph" w:customStyle="1" w:styleId="30">
    <w:name w:val="表体"/>
    <w:basedOn w:val="1"/>
    <w:link w:val="42"/>
    <w:qFormat/>
    <w:uiPriority w:val="0"/>
    <w:pPr>
      <w:widowControl/>
      <w:tabs>
        <w:tab w:val="left" w:pos="540"/>
        <w:tab w:val="left" w:pos="851"/>
        <w:tab w:val="left" w:pos="994"/>
        <w:tab w:val="left" w:pos="1260"/>
        <w:tab w:val="left" w:pos="3108"/>
        <w:tab w:val="left" w:pos="3150"/>
      </w:tabs>
      <w:overflowPunct w:val="0"/>
      <w:adjustRightInd w:val="0"/>
      <w:spacing w:line="340" w:lineRule="exact"/>
      <w:jc w:val="center"/>
      <w:textAlignment w:val="baseline"/>
    </w:pPr>
    <w:rPr>
      <w:rFonts w:ascii="Times New Roman" w:hAnsi="Times New Roman" w:eastAsia="宋体" w:cs="Times New Roman"/>
      <w:bCs/>
      <w:snapToGrid w:val="0"/>
      <w:color w:val="000000"/>
      <w:kern w:val="32"/>
      <w:szCs w:val="20"/>
      <w:lang w:val="zh-CN"/>
    </w:rPr>
  </w:style>
  <w:style w:type="character" w:customStyle="1" w:styleId="31">
    <w:name w:val="正文文本缩进 3 Char"/>
    <w:basedOn w:val="21"/>
    <w:link w:val="15"/>
    <w:qFormat/>
    <w:uiPriority w:val="0"/>
    <w:rPr>
      <w:rFonts w:ascii="Times New Roman" w:hAnsi="Times New Roman" w:eastAsia="宋体" w:cs="Times New Roman"/>
      <w:sz w:val="16"/>
      <w:szCs w:val="16"/>
    </w:rPr>
  </w:style>
  <w:style w:type="paragraph" w:customStyle="1" w:styleId="32">
    <w:name w:val="表头"/>
    <w:basedOn w:val="1"/>
    <w:link w:val="33"/>
    <w:qFormat/>
    <w:uiPriority w:val="0"/>
    <w:pPr>
      <w:adjustRightInd w:val="0"/>
      <w:snapToGrid w:val="0"/>
      <w:spacing w:beforeLines="25"/>
      <w:jc w:val="center"/>
      <w:textAlignment w:val="baseline"/>
    </w:pPr>
    <w:rPr>
      <w:rFonts w:ascii="Times New Roman" w:hAnsi="宋体" w:eastAsia="FangSong_GB2312" w:cs="Times New Roman"/>
      <w:b/>
      <w:kern w:val="0"/>
      <w:sz w:val="28"/>
      <w:szCs w:val="28"/>
    </w:rPr>
  </w:style>
  <w:style w:type="character" w:customStyle="1" w:styleId="33">
    <w:name w:val="表头 Char Char"/>
    <w:link w:val="32"/>
    <w:qFormat/>
    <w:uiPriority w:val="0"/>
    <w:rPr>
      <w:rFonts w:ascii="Times New Roman" w:hAnsi="宋体" w:eastAsia="FangSong_GB2312" w:cs="Times New Roman"/>
      <w:b/>
      <w:kern w:val="0"/>
      <w:sz w:val="28"/>
      <w:szCs w:val="28"/>
    </w:rPr>
  </w:style>
  <w:style w:type="character" w:customStyle="1" w:styleId="34">
    <w:name w:val="批注文字 Char"/>
    <w:basedOn w:val="21"/>
    <w:link w:val="7"/>
    <w:semiHidden/>
    <w:qFormat/>
    <w:uiPriority w:val="99"/>
  </w:style>
  <w:style w:type="character" w:customStyle="1" w:styleId="35">
    <w:name w:val="批注主题 Char"/>
    <w:basedOn w:val="34"/>
    <w:link w:val="18"/>
    <w:semiHidden/>
    <w:qFormat/>
    <w:uiPriority w:val="99"/>
    <w:rPr>
      <w:b/>
      <w:bCs/>
    </w:rPr>
  </w:style>
  <w:style w:type="character" w:customStyle="1" w:styleId="36">
    <w:name w:val="题注1 Char"/>
    <w:link w:val="37"/>
    <w:qFormat/>
    <w:uiPriority w:val="0"/>
    <w:rPr>
      <w:rFonts w:cs="宋体"/>
      <w:b/>
      <w:bCs/>
      <w:spacing w:val="10"/>
      <w:szCs w:val="24"/>
    </w:rPr>
  </w:style>
  <w:style w:type="paragraph" w:customStyle="1" w:styleId="37">
    <w:name w:val="题注1"/>
    <w:basedOn w:val="1"/>
    <w:link w:val="36"/>
    <w:qFormat/>
    <w:uiPriority w:val="0"/>
    <w:pPr>
      <w:spacing w:beforeLines="20" w:afterLines="20"/>
      <w:jc w:val="center"/>
    </w:pPr>
    <w:rPr>
      <w:rFonts w:cs="宋体"/>
      <w:b/>
      <w:bCs/>
      <w:spacing w:val="10"/>
      <w:szCs w:val="24"/>
    </w:rPr>
  </w:style>
  <w:style w:type="paragraph" w:customStyle="1" w:styleId="38">
    <w:name w:val="赵"/>
    <w:basedOn w:val="1"/>
    <w:link w:val="39"/>
    <w:qFormat/>
    <w:uiPriority w:val="0"/>
    <w:pPr>
      <w:spacing w:line="360" w:lineRule="auto"/>
      <w:ind w:firstLine="200" w:firstLineChars="200"/>
    </w:pPr>
    <w:rPr>
      <w:rFonts w:ascii="Times New Roman" w:hAnsi="Times New Roman" w:eastAsia="宋体" w:cs="Times New Roman"/>
      <w:sz w:val="24"/>
      <w:szCs w:val="30"/>
    </w:rPr>
  </w:style>
  <w:style w:type="character" w:customStyle="1" w:styleId="39">
    <w:name w:val="赵 Char"/>
    <w:basedOn w:val="21"/>
    <w:link w:val="38"/>
    <w:qFormat/>
    <w:uiPriority w:val="0"/>
    <w:rPr>
      <w:rFonts w:ascii="Times New Roman" w:hAnsi="Times New Roman" w:eastAsia="宋体" w:cs="Times New Roman"/>
      <w:sz w:val="24"/>
      <w:szCs w:val="30"/>
    </w:rPr>
  </w:style>
  <w:style w:type="paragraph" w:customStyle="1" w:styleId="40">
    <w:name w:val="【表头】"/>
    <w:basedOn w:val="1"/>
    <w:link w:val="41"/>
    <w:qFormat/>
    <w:uiPriority w:val="0"/>
    <w:pPr>
      <w:jc w:val="center"/>
    </w:pPr>
    <w:rPr>
      <w:rFonts w:ascii="Times New Roman" w:hAnsi="Times New Roman" w:eastAsia="宋体" w:cs="Times New Roman"/>
      <w:b/>
      <w:szCs w:val="24"/>
    </w:rPr>
  </w:style>
  <w:style w:type="character" w:customStyle="1" w:styleId="41">
    <w:name w:val="【表头】 Char"/>
    <w:link w:val="40"/>
    <w:qFormat/>
    <w:uiPriority w:val="0"/>
    <w:rPr>
      <w:rFonts w:ascii="Times New Roman" w:hAnsi="Times New Roman" w:eastAsia="宋体" w:cs="Times New Roman"/>
      <w:b/>
      <w:szCs w:val="24"/>
    </w:rPr>
  </w:style>
  <w:style w:type="character" w:customStyle="1" w:styleId="42">
    <w:name w:val="表体 Char Char"/>
    <w:link w:val="30"/>
    <w:qFormat/>
    <w:locked/>
    <w:uiPriority w:val="0"/>
    <w:rPr>
      <w:rFonts w:ascii="Times New Roman" w:hAnsi="Times New Roman" w:eastAsia="宋体" w:cs="Times New Roman"/>
      <w:bCs/>
      <w:snapToGrid w:val="0"/>
      <w:color w:val="000000"/>
      <w:kern w:val="32"/>
      <w:szCs w:val="20"/>
      <w:lang w:val="zh-CN"/>
    </w:rPr>
  </w:style>
  <w:style w:type="character" w:customStyle="1" w:styleId="43">
    <w:name w:val="正文文本 Char"/>
    <w:basedOn w:val="21"/>
    <w:link w:val="9"/>
    <w:semiHidden/>
    <w:qFormat/>
    <w:uiPriority w:val="99"/>
  </w:style>
  <w:style w:type="character" w:customStyle="1" w:styleId="44">
    <w:name w:val="标题 2 Char"/>
    <w:basedOn w:val="21"/>
    <w:link w:val="2"/>
    <w:qFormat/>
    <w:uiPriority w:val="0"/>
    <w:rPr>
      <w:rFonts w:ascii="Times New Roman" w:hAnsi="Times New Roman" w:eastAsia="黑体" w:cs="Times New Roman"/>
      <w:color w:val="000000" w:themeColor="text1"/>
      <w:sz w:val="30"/>
      <w:szCs w:val="24"/>
    </w:rPr>
  </w:style>
  <w:style w:type="character" w:customStyle="1" w:styleId="45">
    <w:name w:val="表头 Char1"/>
    <w:basedOn w:val="21"/>
    <w:qFormat/>
    <w:uiPriority w:val="0"/>
    <w:rPr>
      <w:rFonts w:ascii="Times New Roman" w:hAnsi="Times New Roman" w:eastAsia="宋体" w:cs="Times New Roman"/>
      <w:b/>
      <w:bCs/>
      <w:kern w:val="0"/>
      <w:szCs w:val="28"/>
    </w:rPr>
  </w:style>
  <w:style w:type="character" w:customStyle="1" w:styleId="46">
    <w:name w:val="标题 3 Char"/>
    <w:basedOn w:val="21"/>
    <w:link w:val="3"/>
    <w:semiHidden/>
    <w:qFormat/>
    <w:uiPriority w:val="9"/>
    <w:rPr>
      <w:b/>
      <w:bCs/>
      <w:sz w:val="32"/>
      <w:szCs w:val="32"/>
    </w:rPr>
  </w:style>
  <w:style w:type="table" w:customStyle="1" w:styleId="47">
    <w:name w:val="Table Normal"/>
    <w:semiHidden/>
    <w:unhideWhenUsed/>
    <w:qFormat/>
    <w:uiPriority w:val="2"/>
    <w:pPr>
      <w:widowControl w:val="0"/>
    </w:pPr>
    <w:rPr>
      <w:kern w:val="0"/>
      <w:sz w:val="22"/>
      <w:szCs w:val="20"/>
      <w:lang w:eastAsia="en-US"/>
    </w:rPr>
    <w:tblPr>
      <w:tblLayout w:type="fixed"/>
      <w:tblCellMar>
        <w:top w:w="0" w:type="dxa"/>
        <w:left w:w="0" w:type="dxa"/>
        <w:bottom w:w="0" w:type="dxa"/>
        <w:right w:w="0" w:type="dxa"/>
      </w:tblCellMar>
    </w:tblPr>
  </w:style>
  <w:style w:type="character" w:customStyle="1" w:styleId="48">
    <w:name w:val="标题 8 Char"/>
    <w:basedOn w:val="21"/>
    <w:link w:val="4"/>
    <w:qFormat/>
    <w:uiPriority w:val="99"/>
    <w:rPr>
      <w:rFonts w:asciiTheme="majorHAnsi" w:hAnsiTheme="majorHAnsi" w:eastAsiaTheme="majorEastAsia" w:cstheme="majorBidi"/>
      <w:sz w:val="24"/>
      <w:szCs w:val="24"/>
    </w:rPr>
  </w:style>
  <w:style w:type="paragraph" w:customStyle="1" w:styleId="49">
    <w:name w:val="表格正文"/>
    <w:basedOn w:val="1"/>
    <w:qFormat/>
    <w:uiPriority w:val="0"/>
    <w:pPr>
      <w:adjustRightInd w:val="0"/>
      <w:spacing w:line="0" w:lineRule="atLeast"/>
      <w:textAlignment w:val="baseline"/>
    </w:pPr>
    <w:rPr>
      <w:rFonts w:ascii="Times New Roman" w:hAnsi="Times New Roman" w:eastAsia="宋体" w:cs="Times New Roman"/>
      <w:szCs w:val="20"/>
    </w:rPr>
  </w:style>
  <w:style w:type="character" w:customStyle="1" w:styleId="50">
    <w:name w:val="正文缩进 Char1"/>
    <w:link w:val="5"/>
    <w:qFormat/>
    <w:uiPriority w:val="99"/>
    <w:rPr>
      <w:rFonts w:ascii="Calibri" w:hAnsi="Calibri" w:eastAsia="宋体" w:cs="Times New Roman"/>
      <w:sz w:val="28"/>
      <w:szCs w:val="20"/>
    </w:rPr>
  </w:style>
  <w:style w:type="paragraph" w:customStyle="1" w:styleId="51">
    <w:name w:val="样式1"/>
    <w:basedOn w:val="1"/>
    <w:link w:val="52"/>
    <w:qFormat/>
    <w:uiPriority w:val="0"/>
    <w:pPr>
      <w:spacing w:line="360" w:lineRule="auto"/>
      <w:ind w:firstLine="510"/>
    </w:pPr>
    <w:rPr>
      <w:rFonts w:ascii="Times New Roman" w:hAnsi="Times New Roman" w:eastAsia="宋体" w:cs="Times New Roman"/>
      <w:sz w:val="24"/>
      <w:szCs w:val="20"/>
    </w:rPr>
  </w:style>
  <w:style w:type="character" w:customStyle="1" w:styleId="52">
    <w:name w:val="样式1 Char"/>
    <w:link w:val="51"/>
    <w:qFormat/>
    <w:locked/>
    <w:uiPriority w:val="0"/>
    <w:rPr>
      <w:rFonts w:ascii="Times New Roman" w:hAnsi="Times New Roman" w:eastAsia="宋体" w:cs="Times New Roman"/>
      <w:sz w:val="24"/>
      <w:szCs w:val="20"/>
    </w:rPr>
  </w:style>
  <w:style w:type="paragraph" w:customStyle="1" w:styleId="53">
    <w:name w:val="Table Paragraph"/>
    <w:basedOn w:val="1"/>
    <w:qFormat/>
    <w:uiPriority w:val="1"/>
    <w:pPr>
      <w:autoSpaceDE w:val="0"/>
      <w:autoSpaceDN w:val="0"/>
      <w:adjustRightInd w:val="0"/>
      <w:jc w:val="left"/>
    </w:pPr>
    <w:rPr>
      <w:rFonts w:ascii="Times New Roman" w:hAnsi="Times New Roman" w:cs="Times New Roman"/>
      <w:kern w:val="0"/>
      <w:sz w:val="24"/>
      <w:szCs w:val="24"/>
    </w:rPr>
  </w:style>
  <w:style w:type="character" w:customStyle="1" w:styleId="54">
    <w:name w:val="纯文本 Char"/>
    <w:basedOn w:val="21"/>
    <w:link w:val="11"/>
    <w:qFormat/>
    <w:uiPriority w:val="5"/>
    <w:rPr>
      <w:rFonts w:ascii="宋体" w:hAnsi="Courier New" w:eastAsia="宋体" w:cs="Times New Roman"/>
      <w:szCs w:val="20"/>
    </w:rPr>
  </w:style>
  <w:style w:type="character" w:customStyle="1" w:styleId="55">
    <w:name w:val="15"/>
    <w:qFormat/>
    <w:uiPriority w:val="0"/>
    <w:rPr>
      <w:rFonts w:hint="default" w:ascii="Calibri" w:hAnsi="Calibri"/>
      <w:sz w:val="21"/>
      <w:szCs w:val="21"/>
    </w:rPr>
  </w:style>
  <w:style w:type="character" w:customStyle="1" w:styleId="56">
    <w:name w:val="称呼 Char"/>
    <w:basedOn w:val="21"/>
    <w:link w:val="8"/>
    <w:semiHidden/>
    <w:qFormat/>
    <w:uiPriority w:val="99"/>
  </w:style>
  <w:style w:type="paragraph" w:customStyle="1" w:styleId="57">
    <w:name w:val="Default"/>
    <w:qFormat/>
    <w:uiPriority w:val="0"/>
    <w:pPr>
      <w:widowControl w:val="0"/>
      <w:autoSpaceDE w:val="0"/>
      <w:autoSpaceDN w:val="0"/>
      <w:adjustRightInd w:val="0"/>
    </w:pPr>
    <w:rPr>
      <w:rFonts w:ascii="Arial Unicode MS" w:eastAsia="Arial Unicode MS" w:cs="Arial Unicode MS" w:hAnsiTheme="minorHAnsi"/>
      <w:color w:val="000000"/>
      <w:kern w:val="0"/>
      <w:sz w:val="24"/>
      <w:szCs w:val="24"/>
      <w:lang w:val="en-US" w:eastAsia="zh-CN" w:bidi="ar-SA"/>
    </w:rPr>
  </w:style>
  <w:style w:type="paragraph" w:customStyle="1" w:styleId="58">
    <w:name w:val="正文1"/>
    <w:basedOn w:val="1"/>
    <w:qFormat/>
    <w:uiPriority w:val="0"/>
    <w:pPr>
      <w:widowControl/>
    </w:pPr>
    <w:rPr>
      <w:rFonts w:ascii="Calibri" w:hAnsi="Calibri" w:eastAsia="宋体" w:cs="宋体"/>
    </w:rPr>
  </w:style>
  <w:style w:type="paragraph" w:customStyle="1" w:styleId="59">
    <w:name w:val="表格内容"/>
    <w:basedOn w:val="5"/>
    <w:qFormat/>
    <w:uiPriority w:val="0"/>
    <w:pPr>
      <w:widowControl w:val="0"/>
      <w:ind w:firstLine="0" w:firstLineChars="0"/>
      <w:jc w:val="center"/>
    </w:pPr>
    <w:rPr>
      <w:rFonts w:ascii="Times New Roman" w:hAnsi="Times New Roman"/>
      <w:sz w:val="21"/>
      <w:szCs w:val="18"/>
    </w:rPr>
  </w:style>
  <w:style w:type="character" w:customStyle="1" w:styleId="60">
    <w:name w:val="表格文字 Char"/>
    <w:basedOn w:val="21"/>
    <w:link w:val="61"/>
    <w:qFormat/>
    <w:uiPriority w:val="0"/>
    <w:rPr>
      <w:rFonts w:eastAsia="宋体"/>
      <w:kern w:val="24"/>
      <w:sz w:val="24"/>
    </w:rPr>
  </w:style>
  <w:style w:type="paragraph" w:customStyle="1" w:styleId="61">
    <w:name w:val="表格文字"/>
    <w:basedOn w:val="1"/>
    <w:link w:val="60"/>
    <w:qFormat/>
    <w:uiPriority w:val="0"/>
    <w:pPr>
      <w:adjustRightInd w:val="0"/>
      <w:spacing w:line="400" w:lineRule="atLeast"/>
      <w:jc w:val="center"/>
    </w:pPr>
    <w:rPr>
      <w:rFonts w:eastAsia="宋体"/>
      <w:kern w:val="24"/>
      <w:sz w:val="24"/>
    </w:rPr>
  </w:style>
  <w:style w:type="character" w:customStyle="1" w:styleId="62">
    <w:name w:val="表格 Char Char"/>
    <w:basedOn w:val="21"/>
    <w:qFormat/>
    <w:uiPriority w:val="0"/>
    <w:rPr>
      <w:sz w:val="21"/>
      <w:szCs w:val="21"/>
      <w:lang w:bidi="ar-SA"/>
    </w:rPr>
  </w:style>
  <w:style w:type="character" w:customStyle="1" w:styleId="63">
    <w:name w:val="cucd-0 Char Char"/>
    <w:link w:val="64"/>
    <w:qFormat/>
    <w:uiPriority w:val="0"/>
    <w:rPr>
      <w:sz w:val="24"/>
      <w:szCs w:val="24"/>
    </w:rPr>
  </w:style>
  <w:style w:type="paragraph" w:customStyle="1" w:styleId="64">
    <w:name w:val="cucd-0"/>
    <w:link w:val="63"/>
    <w:qFormat/>
    <w:uiPriority w:val="0"/>
    <w:pPr>
      <w:spacing w:line="360" w:lineRule="auto"/>
      <w:ind w:firstLine="480" w:firstLineChars="200"/>
    </w:pPr>
    <w:rPr>
      <w:rFonts w:asciiTheme="minorHAnsi" w:hAnsiTheme="minorHAnsi" w:eastAsiaTheme="minorEastAsia" w:cstheme="minorBidi"/>
      <w:kern w:val="2"/>
      <w:sz w:val="24"/>
      <w:szCs w:val="24"/>
      <w:lang w:val="en-US" w:eastAsia="zh-CN" w:bidi="ar-SA"/>
    </w:rPr>
  </w:style>
  <w:style w:type="character" w:customStyle="1" w:styleId="65">
    <w:name w:val="正文文本缩进 Char"/>
    <w:basedOn w:val="21"/>
    <w:link w:val="10"/>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customXml" Target="../customXml/item1.xml"/><Relationship Id="rId44" Type="http://schemas.openxmlformats.org/officeDocument/2006/relationships/image" Target="media/image29.wmf"/><Relationship Id="rId43" Type="http://schemas.openxmlformats.org/officeDocument/2006/relationships/oleObject" Target="embeddings/oleObject11.bin"/><Relationship Id="rId42" Type="http://schemas.openxmlformats.org/officeDocument/2006/relationships/image" Target="media/image28.wmf"/><Relationship Id="rId41" Type="http://schemas.openxmlformats.org/officeDocument/2006/relationships/oleObject" Target="embeddings/oleObject10.bin"/><Relationship Id="rId40" Type="http://schemas.openxmlformats.org/officeDocument/2006/relationships/image" Target="media/image27.wmf"/><Relationship Id="rId4" Type="http://schemas.openxmlformats.org/officeDocument/2006/relationships/theme" Target="theme/theme1.xml"/><Relationship Id="rId39" Type="http://schemas.openxmlformats.org/officeDocument/2006/relationships/oleObject" Target="embeddings/oleObject9.bin"/><Relationship Id="rId38" Type="http://schemas.openxmlformats.org/officeDocument/2006/relationships/image" Target="media/image26.emf"/><Relationship Id="rId37" Type="http://schemas.openxmlformats.org/officeDocument/2006/relationships/oleObject" Target="embeddings/oleObject8.bin"/><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emf"/><Relationship Id="rId17" Type="http://schemas.openxmlformats.org/officeDocument/2006/relationships/oleObject" Target="embeddings/oleObject7.bin"/><Relationship Id="rId16" Type="http://schemas.openxmlformats.org/officeDocument/2006/relationships/image" Target="media/image6.emf"/><Relationship Id="rId15" Type="http://schemas.openxmlformats.org/officeDocument/2006/relationships/oleObject" Target="embeddings/oleObject6.bin"/><Relationship Id="rId14" Type="http://schemas.openxmlformats.org/officeDocument/2006/relationships/image" Target="media/image5.emf"/><Relationship Id="rId13" Type="http://schemas.openxmlformats.org/officeDocument/2006/relationships/oleObject" Target="embeddings/oleObject5.bin"/><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1FC1BA-DA7C-4F33-9ADB-81A87407AE6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113</Pages>
  <Words>12975</Words>
  <Characters>73961</Characters>
  <Lines>616</Lines>
  <Paragraphs>173</Paragraphs>
  <TotalTime>15022</TotalTime>
  <ScaleCrop>false</ScaleCrop>
  <LinksUpToDate>false</LinksUpToDate>
  <CharactersWithSpaces>86763</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2021-01-08T02:43:00Z</dcterms:created>
  <dc:creator>微软用户</dc:creator>
  <cp:lastModifiedBy>admin</cp:lastModifiedBy>
  <cp:lastPrinted>2021-08-10T03:45:00Z</cp:lastPrinted>
  <dcterms:modified xsi:type="dcterms:W3CDTF">2022-04-06T00:35:21Z</dcterms:modified>
  <cp:revision>241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