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23" w:name="_GoBack"/>
      <w:bookmarkEnd w:id="23"/>
      <w:r>
        <w:rPr>
          <w:rFonts w:ascii="Times New Roman" w:hAnsi="Times New Roman" w:cs="Times New Roman"/>
          <w:b/>
          <w:color w:val="000000" w:themeColor="text1"/>
          <w:sz w:val="28"/>
          <w:szCs w:val="20"/>
        </w:rPr>
        <w:t>一、建设项目基本情况</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993"/>
        <w:gridCol w:w="3827"/>
        <w:gridCol w:w="1417"/>
        <w:gridCol w:w="25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昆明市东川金水矿业有限责任公司牛厂坪资源综合利用生产建设项目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昆明市东川金水矿业有限责任公司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2106-530113-89-01-960499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3827"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ascii="Times New Roman" w:hAnsi="Times New Roman" w:cs="Times New Roman"/>
                <w:color w:val="000000" w:themeColor="text1"/>
                <w:sz w:val="24"/>
                <w:szCs w:val="24"/>
              </w:rPr>
              <w:t>司</w:t>
            </w:r>
            <w:r>
              <w:rPr>
                <w:rFonts w:hint="eastAsia" w:ascii="Times New Roman" w:hAnsi="Times New Roman" w:cs="Times New Roman"/>
                <w:color w:val="000000" w:themeColor="text1"/>
                <w:sz w:val="24"/>
                <w:szCs w:val="24"/>
                <w:lang w:val="en-US" w:eastAsia="zh-CN"/>
              </w:rPr>
              <w:t>*</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2597"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188</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昆明市东川区因民镇牛厂坪村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东经102°56'14.049"，北纬26°19'30.525"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3827" w:type="dxa"/>
            <w:tcBorders>
              <w:right w:val="single" w:color="auto" w:sz="4" w:space="0"/>
            </w:tcBorders>
            <w:vAlign w:val="center"/>
          </w:tcPr>
          <w:p>
            <w:pPr>
              <w:spacing w:line="360" w:lineRule="auto"/>
              <w:ind w:firstLine="120" w:firstLineChars="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项目产品包括砂石骨料和水泥砖。</w:t>
            </w:r>
          </w:p>
          <w:p>
            <w:pPr>
              <w:spacing w:line="360" w:lineRule="auto"/>
              <w:ind w:firstLine="120" w:firstLineChars="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①项目利用废石生产砂石骨料可属于“C4220 非金属废料和碎屑加工处理”、“C3099 其他非金属矿物制品制造”和“C3039 其他建筑材料制造”；环评依据《2017年国民经济行业分类注释》将砂石骨料判定为C3039 其他建筑材料制造。</w:t>
            </w:r>
          </w:p>
          <w:p>
            <w:pPr>
              <w:spacing w:line="360" w:lineRule="auto"/>
              <w:ind w:firstLine="120" w:firstLineChars="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②水泥砖可属于“C3031 粘土砖瓦及建筑砌块制造”和“C3021 水泥制品制造”；环评依据《2017年国民经济行业分类注释》将水泥砖判定为C3021 水泥制品制造。</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2597" w:type="dxa"/>
            <w:tcBorders>
              <w:left w:val="single" w:color="auto" w:sz="4" w:space="0"/>
            </w:tcBorders>
            <w:vAlign w:val="center"/>
          </w:tcPr>
          <w:p>
            <w:pPr>
              <w:spacing w:line="360" w:lineRule="auto"/>
              <w:ind w:firstLine="120" w:firstLineChars="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①砂石骨料：第“二十七、非金属矿物制品业30”下 “砖瓦、石材等建筑材料制造303”中的“其他建筑材料制造”；</w:t>
            </w:r>
          </w:p>
          <w:p>
            <w:pPr>
              <w:spacing w:line="360" w:lineRule="auto"/>
              <w:ind w:firstLine="120" w:firstLineChars="5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水泥砖：第“二十七、非金属矿物制品业30”下“石膏、水泥制品及类似制品制造302” 中的“水泥制品制造”</w:t>
            </w:r>
            <w:r>
              <w:rPr>
                <w:rFonts w:hint="eastAsia"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3827"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2597" w:type="dxa"/>
            <w:tcBorders>
              <w:lef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3827"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259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投资项目备案证（项目代码：2106-530113-89-01-960499）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3827"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5256</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259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3827"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3.33%</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259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3827"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☑否</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w:t>
            </w:r>
            <w:r>
              <w:rPr>
                <w:rFonts w:ascii="Times New Roman" w:hAnsi="Times New Roman" w:cs="Times New Roman"/>
                <w:color w:val="000000" w:themeColor="text1"/>
                <w:sz w:val="24"/>
                <w:szCs w:val="24"/>
                <w:u w:val="single"/>
              </w:rPr>
              <w:t xml:space="preserve">             </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259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18113.33m²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根据《建设项目环境影响报告表编制技术指南》（污染影响类）（试行）“表1 专项评价设置原则表”的要求，该项目专项评价设置情况具体如下表所示。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 专项评价设置情况分析表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环境影响因素</w:t>
                  </w:r>
                </w:p>
              </w:tc>
              <w:tc>
                <w:tcPr>
                  <w:tcW w:w="337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专项设置原则</w:t>
                  </w:r>
                </w:p>
              </w:tc>
              <w:tc>
                <w:tcPr>
                  <w:tcW w:w="36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该项目情况</w:t>
                  </w:r>
                </w:p>
              </w:tc>
              <w:tc>
                <w:tcPr>
                  <w:tcW w:w="7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大气</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排放废气含有《有毒有害大气污染物名录》的污染物（不包括无排放标准的污染物）、二噁英、苯并[a]芘、氰化物、氯气且厂界外500 米范围内有环境空气保护目标的建设项目。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该项目排放的大气污染物主要为扬粉尘；不含上述需设置大气专项评价的排放因子，因此不设置大气专项评价。</w:t>
                  </w:r>
                </w:p>
              </w:tc>
              <w:tc>
                <w:tcPr>
                  <w:tcW w:w="725"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地表水</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新增工业废水直排建设项目（槽罐车外送污水处理厂的除外）；新增废水直排的污水集中处理厂。</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该项目产生的废水类型包括砂石骨料生产废水、水泥砖养护废水、生活污水和初期雨水，砂石骨料生产废水经三级沉淀后清水回用于砂石骨料生产线，含水污泥依托建设单位建设的昆明市东川金水矿业有限责任公司牛厂坪尾矿充填环境综合治理项目进行处置；而水泥砖养护废水、生活污水和初期雨水，均各经配套的设施处理后回用，不外排；因此不设置地表水专项评价。</w:t>
                  </w:r>
                </w:p>
              </w:tc>
              <w:tc>
                <w:tcPr>
                  <w:tcW w:w="7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环境风险</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有毒有害和易燃易爆危险物质存储量超过临界量的建设项目。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该项目涉及的危险物质包括暂存的废机油，其中废机油最大储存量为0.08t（临界量为2500t）、次氯酸钠最大储存量为0.05t（临界量为5t），则未超过临界量，因此不需设置环境风险评价等级。</w:t>
                  </w:r>
                </w:p>
              </w:tc>
              <w:tc>
                <w:tcPr>
                  <w:tcW w:w="7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生态</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取水口下游500 米范围内有重要水生生物的自然产卵场、索饵场、越冬场和洄游通道的新增河道取水的污染类建设项目。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该项目用水使用建设单位旗下的</w:t>
                  </w:r>
                  <w:r>
                    <w:rPr>
                      <w:rFonts w:hint="eastAsia"/>
                      <w:color w:val="000000" w:themeColor="text1"/>
                      <w:szCs w:val="21"/>
                    </w:rPr>
                    <w:t>三分厂供水管网进行供水，</w:t>
                  </w:r>
                  <w:r>
                    <w:rPr>
                      <w:color w:val="000000" w:themeColor="text1"/>
                      <w:szCs w:val="21"/>
                    </w:rPr>
                    <w:t>且项目取水点大水沟下游500 米范围内无重要水生生物的自然产卵场、索饵场、越冬场和洄游通道，因此不设置生态专项评价。</w:t>
                  </w:r>
                </w:p>
              </w:tc>
              <w:tc>
                <w:tcPr>
                  <w:tcW w:w="725"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海洋</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该项目不涉及海洋，因此不设置海洋专项评价。</w:t>
                  </w:r>
                </w:p>
              </w:tc>
              <w:tc>
                <w:tcPr>
                  <w:tcW w:w="725"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规划情况</w:t>
            </w:r>
          </w:p>
        </w:tc>
        <w:tc>
          <w:tcPr>
            <w:tcW w:w="7841" w:type="dxa"/>
            <w:gridSpan w:val="3"/>
            <w:tcBorders>
              <w:left w:val="single" w:color="auto" w:sz="4" w:space="0"/>
            </w:tcBorders>
            <w:vAlign w:val="center"/>
          </w:tcPr>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该项目位于昆明市东川区因民镇牛厂坪村，根据调查，该区域未规划为工业园区。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7841" w:type="dxa"/>
            <w:gridSpan w:val="3"/>
            <w:tcBorders>
              <w:left w:val="single" w:color="auto" w:sz="4" w:space="0"/>
            </w:tcBorders>
            <w:vAlign w:val="center"/>
          </w:tcPr>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1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规划及规划环境影响评价符合性分析</w:t>
            </w:r>
          </w:p>
        </w:tc>
        <w:tc>
          <w:tcPr>
            <w:tcW w:w="7841" w:type="dxa"/>
            <w:gridSpan w:val="3"/>
            <w:tcBorders>
              <w:left w:val="single" w:color="auto" w:sz="4" w:space="0"/>
            </w:tcBorders>
            <w:vAlign w:val="center"/>
          </w:tcPr>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昆明市人民政府已发布《昆明市人民政府关于昆明市“三线一单” 生态环境分区管控的实施意见》，该项目符合性分析具体如下：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①生态保护红线和一般生态空间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昆明市东川区因民镇牛厂坪村的原昆明东川众誉矿业有限责任公司砂厂厂区范围内，2021年6月18日昆明市东川区自然资源局出具的相关证明，明确项目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根据调查，该项目位于该项目位于昆明市东川区因民镇牛厂坪村，项目所在地属于东川区矿产资源重点管控单元，因此项目不属于优先保护单元。</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生态环境分区管控的实施意见》对环境质量底线设定了2025年和2035年两个目标，该项目位于昆明市东川区因民镇牛厂坪村，环境质量底线和该项目相关的要求及符合性分析如下：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1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⑴</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生态环境质量底线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2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⑵</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环境空气环境质量底线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“实施意见”要求：到2025年，全市环境空气质量总体保持优良，主城建成区空气质量优良天数占比达99%以上，二氧化硫（SO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）和氮氧化物（NOx）排放总量控制在省下达的目标以内，主城区空气中颗粒物（PM</w:t>
            </w:r>
            <w:r>
              <w:rPr>
                <w:rFonts w:ascii="Times New Roman" w:hAnsi="Times New Roman" w:cs="Times New Roman"/>
                <w:color w:val="000000" w:themeColor="text1"/>
                <w:sz w:val="24"/>
                <w:vertAlign w:val="subscript"/>
              </w:rPr>
              <w:t>10</w:t>
            </w:r>
            <w:r>
              <w:rPr>
                <w:rFonts w:ascii="Times New Roman" w:hAnsi="Times New Roman" w:cs="Times New Roman"/>
                <w:color w:val="000000" w:themeColor="text1"/>
                <w:sz w:val="24"/>
              </w:rPr>
              <w:t>、PM</w:t>
            </w:r>
            <w:r>
              <w:rPr>
                <w:rFonts w:ascii="Times New Roman" w:hAnsi="Times New Roman" w:cs="Times New Roman"/>
                <w:color w:val="000000" w:themeColor="text1"/>
                <w:sz w:val="24"/>
                <w:vertAlign w:val="subscript"/>
              </w:rPr>
              <w:t>2.5</w:t>
            </w:r>
            <w:r>
              <w:rPr>
                <w:rFonts w:ascii="Times New Roman" w:hAnsi="Times New Roman" w:cs="Times New Roman"/>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根据调查，项目选址区域空气环境可达到《环境空气质量标准》（GB3095-2012）二级标准，属于空气达标区，且该项目的建设不会改变区域环境空气质量功能要求。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⑶</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地表水环境质量底线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“实施意见”要求：到2025年，纳入国家和省级考核的地表水监测断面水质优良率稳步提升，滇池流域、阳宗海流域水环境质量明显改善，水生态系统功能逐步恢复，滇池草海水质达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滇池外海水质达IV类（化学需氧量≤40毫克/升），阳宗海水质达III类，集中式饮用水源水质巩固改善。到2035年，地表水体水质优良率全面提升，各监测断面水质达到水环境功能要求，消除劣V类水体，集中式饮用水水源水质稳定达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根据调查，该项目地表水大水沟水质可达到《地表水环境质量标准》（GB3838-2002）III类标准。且项目运行期间无废水直接排入环境，不会改变区域地表水环境质量功能要求。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4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⑷</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土壤环境质量底线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根据调查，项目建设对土壤环境影响较小，只要严格执行相应的土壤环境保护措施，项目建设不会改变区域土壤环境质量功能要求。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cs="Times New Roman" w:hAnsiTheme="minorEastAsia"/>
                <w:b/>
                <w:color w:val="000000" w:themeColor="text1"/>
                <w:sz w:val="24"/>
                <w:szCs w:val="24"/>
              </w:rPr>
              <w:t>③</w:t>
            </w:r>
            <w:r>
              <w:rPr>
                <w:rFonts w:ascii="Times New Roman" w:hAnsi="Times New Roman" w:cs="Times New Roman"/>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w:t>
            </w:r>
            <w:r>
              <w:rPr>
                <w:rFonts w:hint="eastAsia" w:ascii="Times New Roman" w:hAnsi="Times New Roman" w:cs="Times New Roman"/>
                <w:color w:val="000000" w:themeColor="text1"/>
                <w:sz w:val="24"/>
              </w:rPr>
              <w:t>水平衡</w:t>
            </w:r>
            <w:r>
              <w:rPr>
                <w:rFonts w:ascii="Times New Roman" w:hAnsi="Times New Roman" w:cs="Times New Roman"/>
                <w:color w:val="000000" w:themeColor="text1"/>
                <w:sz w:val="24"/>
              </w:rPr>
              <w:t>，项目</w:t>
            </w:r>
            <w:r>
              <w:rPr>
                <w:rFonts w:hint="eastAsia" w:ascii="Times New Roman" w:hAnsi="Times New Roman" w:cs="Times New Roman"/>
                <w:color w:val="000000" w:themeColor="text1"/>
                <w:sz w:val="24"/>
              </w:rPr>
              <w:t>新鲜</w:t>
            </w:r>
            <w:r>
              <w:rPr>
                <w:rFonts w:ascii="Times New Roman" w:hAnsi="Times New Roman" w:cs="Times New Roman"/>
                <w:color w:val="000000" w:themeColor="text1"/>
                <w:sz w:val="24"/>
              </w:rPr>
              <w:t>用水量为</w:t>
            </w:r>
            <w:r>
              <w:rPr>
                <w:rFonts w:hint="eastAsia" w:ascii="Times New Roman" w:hAnsi="Times New Roman" w:cs="Times New Roman"/>
                <w:color w:val="000000" w:themeColor="text1"/>
                <w:sz w:val="24"/>
              </w:rPr>
              <w:t>18686.4m³/a（其中非雨天64.16</w:t>
            </w:r>
            <w:r>
              <w:rPr>
                <w:rFonts w:ascii="Times New Roman" w:hAnsi="Times New Roman" w:cs="Times New Roman"/>
                <w:color w:val="000000" w:themeColor="text1"/>
                <w:sz w:val="24"/>
              </w:rPr>
              <w:t>m³/d</w:t>
            </w:r>
            <w:r>
              <w:rPr>
                <w:rFonts w:hint="eastAsia" w:ascii="Times New Roman" w:hAnsi="Times New Roman" w:cs="Times New Roman"/>
                <w:color w:val="000000" w:themeColor="text1"/>
                <w:sz w:val="24"/>
              </w:rPr>
              <w:t>、雨天51.68</w:t>
            </w:r>
            <w:r>
              <w:rPr>
                <w:rFonts w:ascii="Times New Roman" w:hAnsi="Times New Roman" w:cs="Times New Roman"/>
                <w:color w:val="000000" w:themeColor="text1"/>
                <w:sz w:val="24"/>
              </w:rPr>
              <w:t>m³/d</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用水量较全市工业用水量占比极小；该项目购买原昆明东川众誉矿业有限责任公司砂厂范围内建设，不新增其他用地；项目不使用燃煤等能源，使用先进设备，其能耗较低；因此项目资源利用符合国家相关要求。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hAnsi="Times New Roman" w:cs="Times New Roman"/>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该项目位于该项目位于昆明市东川区因民镇牛厂坪村，项目所在地属于东川区矿产资源重点管控单元，根据东川区环境管控单元生态环境准入清单的管理要求，该项目环境准入负面清单符合性具体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 与东川区环境管控单元生态环境准入清单符合性分析一览表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625"/>
              <w:gridCol w:w="4358"/>
              <w:gridCol w:w="2197"/>
              <w:gridCol w:w="7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单元名称</w:t>
                  </w:r>
                </w:p>
              </w:tc>
              <w:tc>
                <w:tcPr>
                  <w:tcW w:w="4983"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管控要求</w:t>
                  </w:r>
                </w:p>
              </w:tc>
              <w:tc>
                <w:tcPr>
                  <w:tcW w:w="219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71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东川区矿产资源重点管控单元</w:t>
                  </w:r>
                </w:p>
              </w:tc>
              <w:tc>
                <w:tcPr>
                  <w:tcW w:w="6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空间布局约束</w:t>
                  </w:r>
                </w:p>
              </w:tc>
              <w:tc>
                <w:tcPr>
                  <w:tcW w:w="4358" w:type="dxa"/>
                  <w:vAlign w:val="center"/>
                </w:tcPr>
                <w:p>
                  <w:pPr>
                    <w:pStyle w:val="32"/>
                    <w:spacing w:line="360" w:lineRule="exact"/>
                    <w:ind w:firstLine="210" w:firstLineChars="100"/>
                    <w:jc w:val="both"/>
                    <w:rPr>
                      <w:color w:val="000000" w:themeColor="text1"/>
                    </w:rPr>
                  </w:pPr>
                  <w:r>
                    <w:rPr>
                      <w:color w:val="000000" w:themeColor="text1"/>
                    </w:rPr>
                    <w:t>落实《云南省矿产资源总体规划》禁止开采区规定，禁止开采区内不得新设采矿权。</w:t>
                  </w:r>
                </w:p>
              </w:tc>
              <w:tc>
                <w:tcPr>
                  <w:tcW w:w="2197" w:type="dxa"/>
                  <w:vAlign w:val="center"/>
                </w:tcPr>
                <w:p>
                  <w:pPr>
                    <w:pStyle w:val="32"/>
                    <w:spacing w:line="360" w:lineRule="exact"/>
                    <w:ind w:firstLine="210" w:firstLineChars="100"/>
                    <w:jc w:val="both"/>
                    <w:rPr>
                      <w:color w:val="000000" w:themeColor="text1"/>
                    </w:rPr>
                  </w:pPr>
                  <w:r>
                    <w:rPr>
                      <w:color w:val="000000" w:themeColor="text1"/>
                    </w:rPr>
                    <w:t>项目利用废石生产砂石骨料和水泥砖，不涉及采矿。</w:t>
                  </w:r>
                </w:p>
              </w:tc>
              <w:tc>
                <w:tcPr>
                  <w:tcW w:w="71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eastAsiaTheme="minorEastAsia"/>
                      <w:color w:val="000000" w:themeColor="text1"/>
                      <w:szCs w:val="21"/>
                    </w:rPr>
                  </w:pPr>
                </w:p>
              </w:tc>
              <w:tc>
                <w:tcPr>
                  <w:tcW w:w="6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污染物排放管控</w:t>
                  </w:r>
                </w:p>
              </w:tc>
              <w:tc>
                <w:tcPr>
                  <w:tcW w:w="4358" w:type="dxa"/>
                  <w:vAlign w:val="center"/>
                </w:tcPr>
                <w:p>
                  <w:pPr>
                    <w:pStyle w:val="32"/>
                    <w:spacing w:line="360" w:lineRule="exact"/>
                    <w:ind w:firstLine="210" w:firstLineChars="100"/>
                    <w:jc w:val="both"/>
                    <w:rPr>
                      <w:color w:val="000000" w:themeColor="text1"/>
                    </w:rPr>
                  </w:pPr>
                  <w:r>
                    <w:rPr>
                      <w:color w:val="000000" w:themeColor="text1"/>
                    </w:rPr>
                    <w:t>1、贯彻“边开采、边治理、边恢复”的原则，及时治理恢复矿山地质环境，复垦矿山占用土地和损毁土地。</w:t>
                  </w:r>
                </w:p>
                <w:p>
                  <w:pPr>
                    <w:pStyle w:val="32"/>
                    <w:spacing w:line="360" w:lineRule="exact"/>
                    <w:ind w:firstLine="210" w:firstLineChars="100"/>
                    <w:jc w:val="both"/>
                    <w:rPr>
                      <w:color w:val="000000" w:themeColor="text1"/>
                    </w:rPr>
                  </w:pPr>
                  <w:r>
                    <w:rPr>
                      <w:color w:val="000000" w:themeColor="text1"/>
                    </w:rPr>
                    <w:t>2、实施“矿山复绿”行动。重点加强历史遗留矿山矿区土地复垦，实施矿山地质环境治理恢复及矿区土地复垦工程。</w:t>
                  </w:r>
                </w:p>
                <w:p>
                  <w:pPr>
                    <w:pStyle w:val="32"/>
                    <w:spacing w:line="360" w:lineRule="exact"/>
                    <w:ind w:firstLine="210" w:firstLineChars="100"/>
                    <w:jc w:val="both"/>
                    <w:rPr>
                      <w:color w:val="000000" w:themeColor="text1"/>
                    </w:rPr>
                  </w:pPr>
                  <w:r>
                    <w:rPr>
                      <w:color w:val="000000" w:themeColor="text1"/>
                    </w:rPr>
                    <w:t>3、加强尾矿、废石等资源的再利用与资源综合利用，对尾矿库、废石堆通过平整、覆土、种植等措施开展复垦还绿，严防重金属污染。</w:t>
                  </w:r>
                </w:p>
              </w:tc>
              <w:tc>
                <w:tcPr>
                  <w:tcW w:w="2197" w:type="dxa"/>
                  <w:vAlign w:val="center"/>
                </w:tcPr>
                <w:p>
                  <w:pPr>
                    <w:pStyle w:val="32"/>
                    <w:spacing w:line="360" w:lineRule="exact"/>
                    <w:ind w:firstLine="210" w:firstLineChars="100"/>
                    <w:jc w:val="both"/>
                    <w:rPr>
                      <w:color w:val="000000" w:themeColor="text1"/>
                    </w:rPr>
                  </w:pPr>
                  <w:r>
                    <w:rPr>
                      <w:color w:val="000000" w:themeColor="text1"/>
                    </w:rPr>
                    <w:t>项目利用废石生产砂石骨料和水泥砖，属于污染物排放管控中“加强尾矿、废石等资源的再利用与资源综合利用”的重要措施。</w:t>
                  </w:r>
                </w:p>
              </w:tc>
              <w:tc>
                <w:tcPr>
                  <w:tcW w:w="71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eastAsiaTheme="minorEastAsia"/>
                      <w:color w:val="000000" w:themeColor="text1"/>
                      <w:szCs w:val="21"/>
                    </w:rPr>
                  </w:pPr>
                </w:p>
              </w:tc>
              <w:tc>
                <w:tcPr>
                  <w:tcW w:w="625" w:type="dxa"/>
                  <w:vAlign w:val="center"/>
                </w:tcPr>
                <w:p>
                  <w:pPr>
                    <w:pStyle w:val="32"/>
                    <w:spacing w:line="360" w:lineRule="exact"/>
                    <w:rPr>
                      <w:rFonts w:eastAsiaTheme="minorEastAsia"/>
                      <w:color w:val="000000" w:themeColor="text1"/>
                    </w:rPr>
                  </w:pPr>
                  <w:r>
                    <w:rPr>
                      <w:rFonts w:eastAsiaTheme="minorEastAsia"/>
                      <w:color w:val="000000" w:themeColor="text1"/>
                    </w:rPr>
                    <w:t>资源利用效率</w:t>
                  </w:r>
                </w:p>
              </w:tc>
              <w:tc>
                <w:tcPr>
                  <w:tcW w:w="4358" w:type="dxa"/>
                  <w:vAlign w:val="center"/>
                </w:tcPr>
                <w:p>
                  <w:pPr>
                    <w:pStyle w:val="32"/>
                    <w:spacing w:line="360" w:lineRule="exact"/>
                    <w:ind w:firstLine="210" w:firstLineChars="100"/>
                    <w:jc w:val="both"/>
                    <w:rPr>
                      <w:color w:val="000000" w:themeColor="text1"/>
                    </w:rPr>
                  </w:pPr>
                  <w:r>
                    <w:rPr>
                      <w:color w:val="000000" w:themeColor="text1"/>
                    </w:rPr>
                    <w:t>1、积极推进矿产资源开发规模化、集约化，落实云南省关于煤矿转型升级、非煤矿山转型升级、煤炭行业化解过剩产能有关要求。</w:t>
                  </w:r>
                </w:p>
                <w:p>
                  <w:pPr>
                    <w:pStyle w:val="32"/>
                    <w:spacing w:line="360" w:lineRule="exact"/>
                    <w:ind w:firstLine="210" w:firstLineChars="100"/>
                    <w:jc w:val="both"/>
                    <w:rPr>
                      <w:color w:val="000000" w:themeColor="text1"/>
                    </w:rPr>
                  </w:pPr>
                  <w:r>
                    <w:rPr>
                      <w:color w:val="000000" w:themeColor="text1"/>
                    </w:rPr>
                    <w:t xml:space="preserve">2、对原有大中型矿业进行技术改造，淘汰污染严重、资源利用率低的落后设备与工艺。加强绿色勘查开采新技术、新方法和新工艺研发与推广，积极推进绿色勘查与开发。构建绿色勘查开采新模式，因地制宜推广充填开采、保水开采、减沉开采等技术方法，推广区域矿山建矿模式和边开采边复垦边归还采矿用地模式，推广节能减排绿色采选冶技术。 </w:t>
                  </w:r>
                </w:p>
                <w:p>
                  <w:pPr>
                    <w:pStyle w:val="32"/>
                    <w:spacing w:line="360" w:lineRule="exact"/>
                    <w:ind w:firstLine="210" w:firstLineChars="100"/>
                    <w:jc w:val="both"/>
                    <w:rPr>
                      <w:color w:val="000000" w:themeColor="text1"/>
                    </w:rPr>
                  </w:pPr>
                  <w:r>
                    <w:rPr>
                      <w:color w:val="000000" w:themeColor="text1"/>
                    </w:rPr>
                    <w:t>3、应从源头减少废水产生，实施清污分流，应充分利用矿井水、循环利用选矿水。</w:t>
                  </w:r>
                </w:p>
                <w:p>
                  <w:pPr>
                    <w:pStyle w:val="32"/>
                    <w:spacing w:line="360" w:lineRule="exact"/>
                    <w:ind w:firstLine="210" w:firstLineChars="100"/>
                    <w:jc w:val="both"/>
                    <w:rPr>
                      <w:color w:val="000000" w:themeColor="text1"/>
                    </w:rPr>
                  </w:pPr>
                  <w:r>
                    <w:rPr>
                      <w:color w:val="000000" w:themeColor="text1"/>
                    </w:rPr>
                    <w:t>4、加快老矿山改造升级，建设绿色矿山，提高矿产资源回采率和综合回收率，大力开展粉煤灰、磷石膏、炉渣、冶炼废渣、尾矿等资源化利用。</w:t>
                  </w:r>
                </w:p>
              </w:tc>
              <w:tc>
                <w:tcPr>
                  <w:tcW w:w="2197" w:type="dxa"/>
                  <w:vAlign w:val="center"/>
                </w:tcPr>
                <w:p>
                  <w:pPr>
                    <w:pStyle w:val="32"/>
                    <w:spacing w:line="360" w:lineRule="exact"/>
                    <w:ind w:firstLine="210" w:firstLineChars="100"/>
                    <w:jc w:val="both"/>
                    <w:rPr>
                      <w:color w:val="000000" w:themeColor="text1"/>
                    </w:rPr>
                  </w:pPr>
                  <w:r>
                    <w:rPr>
                      <w:color w:val="000000" w:themeColor="text1"/>
                    </w:rPr>
                    <w:t>项目不涉及采矿、选矿工程。</w:t>
                  </w:r>
                </w:p>
              </w:tc>
              <w:tc>
                <w:tcPr>
                  <w:tcW w:w="71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由上表可知，项目建设满足东川区环境管控单元生态环境准入清单的相关要求。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表1-2 与《中华人民共和国长江保护法》符合性分析一览表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1"/>
              <w:gridCol w:w="4308"/>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color w:val="000000" w:themeColor="text1"/>
                      <w:kern w:val="0"/>
                      <w:szCs w:val="21"/>
                    </w:rPr>
                  </w:pPr>
                  <w:r>
                    <w:rPr>
                      <w:color w:val="000000" w:themeColor="text1"/>
                      <w:kern w:val="0"/>
                      <w:szCs w:val="21"/>
                    </w:rPr>
                    <w:t>序号</w:t>
                  </w:r>
                </w:p>
              </w:tc>
              <w:tc>
                <w:tcPr>
                  <w:tcW w:w="3021" w:type="dxa"/>
                  <w:vAlign w:val="center"/>
                </w:tcPr>
                <w:p>
                  <w:pPr>
                    <w:pStyle w:val="32"/>
                    <w:spacing w:line="360" w:lineRule="exact"/>
                    <w:rPr>
                      <w:color w:val="000000" w:themeColor="text1"/>
                      <w:kern w:val="0"/>
                      <w:szCs w:val="21"/>
                    </w:rPr>
                  </w:pPr>
                  <w:r>
                    <w:rPr>
                      <w:color w:val="000000" w:themeColor="text1"/>
                      <w:kern w:val="0"/>
                      <w:szCs w:val="21"/>
                    </w:rPr>
                    <w:t>中华人民共和国长江保护法要求</w:t>
                  </w:r>
                </w:p>
              </w:tc>
              <w:tc>
                <w:tcPr>
                  <w:tcW w:w="4308" w:type="dxa"/>
                  <w:vAlign w:val="center"/>
                </w:tcPr>
                <w:p>
                  <w:pPr>
                    <w:pStyle w:val="32"/>
                    <w:spacing w:line="360" w:lineRule="exact"/>
                    <w:rPr>
                      <w:color w:val="000000" w:themeColor="text1"/>
                      <w:kern w:val="0"/>
                      <w:szCs w:val="21"/>
                    </w:rPr>
                  </w:pPr>
                  <w:r>
                    <w:rPr>
                      <w:color w:val="000000" w:themeColor="text1"/>
                      <w:kern w:val="0"/>
                      <w:szCs w:val="21"/>
                    </w:rPr>
                    <w:t>该项目实际情况</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color w:val="000000" w:themeColor="text1"/>
                      <w:kern w:val="0"/>
                      <w:szCs w:val="21"/>
                    </w:rPr>
                  </w:pPr>
                  <w:r>
                    <w:rPr>
                      <w:color w:val="000000" w:themeColor="text1"/>
                      <w:kern w:val="0"/>
                      <w:szCs w:val="21"/>
                    </w:rPr>
                    <w:t>1</w:t>
                  </w:r>
                </w:p>
              </w:tc>
              <w:tc>
                <w:tcPr>
                  <w:tcW w:w="302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禁止在长江干支流岸线一公里范围内新建、扩建化工园区和化工项目。</w:t>
                  </w:r>
                </w:p>
              </w:tc>
              <w:tc>
                <w:tcPr>
                  <w:tcW w:w="4308"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项目利用废石生产砂石骨料和水泥砖，不属于化工项目。</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color w:val="000000" w:themeColor="text1"/>
                      <w:kern w:val="0"/>
                      <w:szCs w:val="21"/>
                    </w:rPr>
                  </w:pPr>
                  <w:r>
                    <w:rPr>
                      <w:color w:val="000000" w:themeColor="text1"/>
                      <w:kern w:val="0"/>
                      <w:szCs w:val="21"/>
                    </w:rPr>
                    <w:t>2</w:t>
                  </w:r>
                </w:p>
              </w:tc>
              <w:tc>
                <w:tcPr>
                  <w:tcW w:w="302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严格控制高耗水项目建设。</w:t>
                  </w:r>
                </w:p>
              </w:tc>
              <w:tc>
                <w:tcPr>
                  <w:tcW w:w="4308" w:type="dxa"/>
                  <w:vAlign w:val="center"/>
                </w:tcPr>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该项目利用废石生产砂石骨料和水泥砖，不属于水利部发布18项传统高耗水行业。</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color w:val="000000" w:themeColor="text1"/>
                      <w:kern w:val="0"/>
                      <w:szCs w:val="21"/>
                    </w:rPr>
                  </w:pPr>
                  <w:r>
                    <w:rPr>
                      <w:color w:val="000000" w:themeColor="text1"/>
                      <w:kern w:val="0"/>
                      <w:szCs w:val="21"/>
                    </w:rPr>
                    <w:t>3</w:t>
                  </w:r>
                </w:p>
              </w:tc>
              <w:tc>
                <w:tcPr>
                  <w:tcW w:w="302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4308"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该项目位于昆明市东川区因民镇牛厂坪村，该区域不属于长江流域河湖管理范围。</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由上表可知，项目建设符合《中华人民共和国长江保护法》的相关要求。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该项目位于昆明市东川区因民镇牛厂坪村，项目所在地的纳污水体为大水沟，大水沟汇入金沙江。因此，本环评须分析该项目与《长江经济带发展负面清单指南（试行）》的符合性。具体分析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16"/>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表1-3 与《长江经济带发展负面清单指南（试行）》符合性分析一览表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596"/>
              <w:gridCol w:w="366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59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665"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该项目实际情况</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该项目位于昆明市东川区因民镇牛厂坪村，不涉及码头及过江通道。</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该项目位于昆明市东川区因民镇牛厂坪村，不涉及自然保护区核心区、风景名胜区等特殊敏感区。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该项目位于昆明市东川区因民镇牛厂坪村，</w:t>
                  </w:r>
                  <w:r>
                    <w:rPr>
                      <w:color w:val="000000" w:themeColor="text1"/>
                      <w:kern w:val="0"/>
                      <w:szCs w:val="21"/>
                    </w:rPr>
                    <w:t>不涉及到饮用水水源地的一级保护区或二级保护区。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w:t>
                  </w:r>
                  <w:r>
                    <w:rPr>
                      <w:color w:val="000000" w:themeColor="text1"/>
                      <w:kern w:val="0"/>
                      <w:szCs w:val="21"/>
                    </w:rPr>
                    <w:t>利用废石生产砂石骨料和水泥砖，项目建设</w:t>
                  </w:r>
                  <w:r>
                    <w:rPr>
                      <w:rFonts w:eastAsiaTheme="minorEastAsia"/>
                      <w:color w:val="000000" w:themeColor="text1"/>
                      <w:kern w:val="0"/>
                      <w:szCs w:val="21"/>
                    </w:rPr>
                    <w:t>符合主体功能定位，项目所在地的纳污水体为</w:t>
                  </w:r>
                  <w:r>
                    <w:rPr>
                      <w:color w:val="000000" w:themeColor="text1"/>
                      <w:szCs w:val="24"/>
                    </w:rPr>
                    <w:t>大水沟</w:t>
                  </w:r>
                  <w:r>
                    <w:rPr>
                      <w:rFonts w:eastAsiaTheme="minorEastAsia"/>
                      <w:color w:val="000000" w:themeColor="text1"/>
                      <w:kern w:val="0"/>
                      <w:szCs w:val="21"/>
                    </w:rPr>
                    <w:t>，不属于水产种植资源保护区的岸线和河段范围。</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该项目位于昆明市东川区因民镇牛厂坪村，项目所在地的纳污水体为</w:t>
                  </w:r>
                  <w:r>
                    <w:rPr>
                      <w:color w:val="000000" w:themeColor="text1"/>
                      <w:szCs w:val="24"/>
                    </w:rPr>
                    <w:t>大水沟</w:t>
                  </w:r>
                  <w:r>
                    <w:rPr>
                      <w:rFonts w:eastAsiaTheme="minorEastAsia"/>
                      <w:color w:val="000000" w:themeColor="text1"/>
                      <w:kern w:val="0"/>
                      <w:szCs w:val="21"/>
                    </w:rPr>
                    <w:t>，该河段不属于《长江岸线保护和开发利用总体规划》划定的岸线保护区，也不属于全国重要江河湖泊水功能区划》划定的河段保护区、保留区。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w:t>
                  </w:r>
                  <w:r>
                    <w:rPr>
                      <w:rFonts w:eastAsiaTheme="minorEastAsia"/>
                      <w:color w:val="000000" w:themeColor="text1"/>
                      <w:szCs w:val="21"/>
                    </w:rPr>
                    <w:t>位于</w:t>
                  </w:r>
                  <w:r>
                    <w:rPr>
                      <w:rFonts w:eastAsiaTheme="minorEastAsia"/>
                      <w:color w:val="000000" w:themeColor="text1"/>
                      <w:kern w:val="0"/>
                      <w:szCs w:val="21"/>
                    </w:rPr>
                    <w:t>昆明市东川区因民镇牛厂坪村，</w:t>
                  </w:r>
                  <w:r>
                    <w:rPr>
                      <w:rFonts w:eastAsiaTheme="minorEastAsia"/>
                      <w:color w:val="000000" w:themeColor="text1"/>
                      <w:szCs w:val="21"/>
                    </w:rPr>
                    <w:t>项目建设</w:t>
                  </w:r>
                  <w:r>
                    <w:rPr>
                      <w:rFonts w:eastAsiaTheme="minorEastAsia"/>
                      <w:color w:val="000000" w:themeColor="text1"/>
                      <w:kern w:val="0"/>
                      <w:szCs w:val="21"/>
                    </w:rPr>
                    <w:t>不涉及生态保护红线和永久基本农田。</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（1）该项目利用废石生产砂石骨料和水泥砖，不属于化工项目。</w:t>
                  </w:r>
                </w:p>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（2）《长江经济带发展负面清单指南（试行）》第三条规定 各省（市）人民政府作为监管责任主体，要结合自身实际制定具体、详细的实施细则，作为长江经济带发展负面清单管理制度的重要组成部分，实施更严格的管控措施。2021年9月13日中共昆明市委  昆明市人民政府发布《关于加快开发区及产业园区高质量发展的意见》（昆发【2021】12号），该文件第二十四条规定：“凡新建、引进的制造业项目和企业必须入园选址发展，园区外原则上不再安排工业项目。对达不到入园条件和标准的农副产品加工、一般加工制造类项目或预拌混凝土搅拌站等不宜入园的特殊行业，须经所在地县（市）区政府、开发区管委会审核同意并报市工高办备案后方可办理其他有关审批手续。”</w:t>
                  </w:r>
                </w:p>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建设单位将该项目选址意见报送昆明市东川区工业和科技信息化局，昆明市东川区工业和科技信息化局又将拟同意项目在产业园区外选址的意见报请昆明市东川区人民政府，昆明市东川区人民政府对项目基本情况进行认真审核，明确同意该项目选址。</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该项目利用废石生产砂石骨料和水泥砖</w:t>
                  </w:r>
                  <w:r>
                    <w:rPr>
                      <w:color w:val="000000" w:themeColor="text1"/>
                      <w:kern w:val="0"/>
                      <w:szCs w:val="21"/>
                    </w:rPr>
                    <w:t>，</w:t>
                  </w:r>
                  <w:r>
                    <w:rPr>
                      <w:rFonts w:eastAsiaTheme="minorEastAsia"/>
                      <w:color w:val="000000" w:themeColor="text1"/>
                      <w:kern w:val="0"/>
                      <w:szCs w:val="21"/>
                    </w:rPr>
                    <w:t>不属于不符合国家石化、现代煤化工等产业布局规划的项目。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该项目利用废石生产砂石骨料和水泥砖，根据《产业结构调整指导目录》（2019年本），该项目不属于鼓励类、淘汰类和限制类项目，属于允许类项目。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该项目利用废石生产砂石骨料和水泥砖，该项目不属于国家产能置换要求的严重过剩产能行业的项目。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该项目利用废石生产砂石骨料和水泥砖，该项目的建设与《长江经济带生态环境保护规划》的相关要求不相冲突。</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（5）与《</w:t>
            </w:r>
            <w:r>
              <w:rPr>
                <w:rFonts w:ascii="Times New Roman" w:hAnsi="Times New Roman" w:eastAsia="宋体" w:cs="Times New Roman"/>
                <w:b/>
                <w:color w:val="000000" w:themeColor="text1"/>
                <w:sz w:val="24"/>
                <w:szCs w:val="24"/>
              </w:rPr>
              <w:t>中共昆明市委  昆明市人民政府关于加快开发区及产业园区高质量发展的意见</w:t>
            </w:r>
            <w:r>
              <w:rPr>
                <w:rFonts w:ascii="Times New Roman" w:hAnsi="Times New Roman" w:cs="Times New Roman"/>
                <w:b/>
                <w:color w:val="000000" w:themeColor="text1"/>
                <w:sz w:val="24"/>
                <w:szCs w:val="24"/>
              </w:rPr>
              <w:t>》（</w:t>
            </w:r>
            <w:r>
              <w:rPr>
                <w:rFonts w:ascii="Times New Roman" w:hAnsi="Times New Roman" w:eastAsia="宋体" w:cs="Times New Roman"/>
                <w:b/>
                <w:color w:val="000000" w:themeColor="text1"/>
                <w:sz w:val="24"/>
                <w:szCs w:val="24"/>
              </w:rPr>
              <w:t>昆发</w:t>
            </w:r>
            <w:r>
              <w:rPr>
                <w:rFonts w:ascii="Times New Roman" w:hAnsi="Times New Roman" w:cs="Times New Roman"/>
                <w:b/>
                <w:color w:val="000000" w:themeColor="text1"/>
                <w:sz w:val="24"/>
                <w:szCs w:val="24"/>
              </w:rPr>
              <w:t>【</w:t>
            </w:r>
            <w:r>
              <w:rPr>
                <w:rFonts w:ascii="Times New Roman" w:hAnsi="Times New Roman" w:eastAsia="宋体" w:cs="Times New Roman"/>
                <w:b/>
                <w:color w:val="000000" w:themeColor="text1"/>
                <w:sz w:val="24"/>
                <w:szCs w:val="24"/>
              </w:rPr>
              <w:t>2021</w:t>
            </w:r>
            <w:r>
              <w:rPr>
                <w:rFonts w:ascii="Times New Roman" w:hAnsi="Times New Roman" w:cs="Times New Roman"/>
                <w:b/>
                <w:color w:val="000000" w:themeColor="text1"/>
                <w:sz w:val="24"/>
                <w:szCs w:val="24"/>
              </w:rPr>
              <w:t>】</w:t>
            </w:r>
            <w:r>
              <w:rPr>
                <w:rFonts w:ascii="Times New Roman" w:hAnsi="Times New Roman" w:eastAsia="宋体" w:cs="Times New Roman"/>
                <w:b/>
                <w:color w:val="000000" w:themeColor="text1"/>
                <w:sz w:val="24"/>
                <w:szCs w:val="24"/>
              </w:rPr>
              <w:t>12号</w:t>
            </w:r>
            <w:r>
              <w:rPr>
                <w:rFonts w:ascii="Times New Roman" w:hAnsi="Times New Roman" w:cs="Times New Roman"/>
                <w:b/>
                <w:color w:val="000000" w:themeColor="text1"/>
                <w:sz w:val="24"/>
                <w:szCs w:val="24"/>
              </w:rPr>
              <w:t>）符合性分析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根据《中共昆明市委  昆明市人民政府关于加快开发区及产业园区高质量发展的意见》（昆发【2021】12号）第二十四条规定：“凡新建、引进的制造业项目和企业必须入园选址发展，园区外原则上不再安排工业项目。对达不到入园条件和标准的农副产品加工、一般加工制造类项目或预拌混凝土搅拌站等不宜入园的特殊行业，须经所在地县（市）区政府、开发区管委会审核同意并报市工高办备案后方可办理其他有关审批手续。”</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建设单位将该项目选址意见报送昆明市东川区工业和科技信息化局，昆明市东川区工业和科技信息化局又将拟同意项目在产业园区外选址的意见报请昆明市东川区人民政府，昆明市东川区人民政府对项目基本情况进行认真审核，明确同意该项目选址。因此项目建设符合《中共昆明市委  昆明市人民政府关于加快开发区及产业园区高质量发展的意见》（昆发【2021】12号）要求。</w:t>
            </w: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昆明市东川金水矿业有限责任公司</w:t>
            </w:r>
            <w:r>
              <w:rPr>
                <w:rFonts w:hint="eastAsia" w:ascii="Times New Roman" w:hAnsi="Times New Roman" w:cs="Times New Roman"/>
                <w:color w:val="000000" w:themeColor="text1"/>
                <w:sz w:val="24"/>
                <w:szCs w:val="24"/>
              </w:rPr>
              <w:t>旗下铜矿山</w:t>
            </w:r>
            <w:r>
              <w:rPr>
                <w:rFonts w:ascii="Times New Roman" w:hAnsi="Times New Roman" w:cs="Times New Roman"/>
                <w:color w:val="000000" w:themeColor="text1"/>
                <w:sz w:val="24"/>
                <w:szCs w:val="24"/>
              </w:rPr>
              <w:t>在开采过程中产生大量的废石，为解决废石处置不当对环境的影响，昆明市东川金水矿业有限责任公司拟投资5256万元在昆明市东川区牛厂坪村建设昆明市东川金水矿业有限责任公司牛厂坪资源综合利用生产建设项目，该项目就地利用矿山</w:t>
            </w:r>
            <w:r>
              <w:rPr>
                <w:rFonts w:hint="eastAsia" w:ascii="Times New Roman" w:hAnsi="Times New Roman" w:cs="Times New Roman"/>
                <w:color w:val="000000" w:themeColor="text1"/>
                <w:sz w:val="24"/>
                <w:szCs w:val="24"/>
              </w:rPr>
              <w:t>开采</w:t>
            </w:r>
            <w:r>
              <w:rPr>
                <w:rFonts w:ascii="Times New Roman" w:hAnsi="Times New Roman" w:cs="Times New Roman"/>
                <w:color w:val="000000" w:themeColor="text1"/>
                <w:sz w:val="24"/>
                <w:szCs w:val="24"/>
              </w:rPr>
              <w:t>产生的废石生产砂石骨料和水泥砖。</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项目分两期建设，其中一期工程</w:t>
            </w:r>
            <w:r>
              <w:rPr>
                <w:rFonts w:ascii="Times New Roman" w:hAnsi="Times New Roman" w:cs="Times New Roman"/>
                <w:color w:val="000000" w:themeColor="text1"/>
                <w:sz w:val="24"/>
                <w:szCs w:val="24"/>
              </w:rPr>
              <w:t>建成后，砂石骨料年产量为90万t/a，</w:t>
            </w:r>
            <w:r>
              <w:rPr>
                <w:rFonts w:hint="eastAsia" w:ascii="Times New Roman" w:hAnsi="Times New Roman" w:cs="Times New Roman"/>
                <w:color w:val="000000" w:themeColor="text1"/>
                <w:sz w:val="24"/>
                <w:szCs w:val="24"/>
              </w:rPr>
              <w:t>二期工程利用一期工程产品作为原料，生产</w:t>
            </w:r>
            <w:r>
              <w:rPr>
                <w:rFonts w:ascii="Times New Roman" w:hAnsi="Times New Roman" w:cs="Times New Roman"/>
                <w:color w:val="000000" w:themeColor="text1"/>
                <w:sz w:val="24"/>
                <w:szCs w:val="24"/>
              </w:rPr>
              <w:t>水泥混凝土免烧砖21.6万m²/a。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该项目占地面积为18113.33m²（27.2亩），建设内容包括废石堆场、生产车间、产品堆场、办公生活区、高位水池及相关配套设施等。</w:t>
            </w:r>
            <w:r>
              <w:rPr>
                <w:rFonts w:hint="eastAsia" w:ascii="Times New Roman" w:hAnsi="Times New Roman" w:cs="Times New Roman"/>
                <w:color w:val="000000" w:themeColor="text1"/>
                <w:sz w:val="24"/>
                <w:szCs w:val="24"/>
              </w:rPr>
              <w:t>项目分两期建设，其中一期工程建设</w:t>
            </w:r>
            <w:r>
              <w:rPr>
                <w:rFonts w:ascii="Times New Roman" w:hAnsi="Times New Roman" w:cs="Times New Roman"/>
                <w:color w:val="000000" w:themeColor="text1"/>
                <w:sz w:val="24"/>
                <w:szCs w:val="24"/>
              </w:rPr>
              <w:t>砂石骨料生产线</w:t>
            </w:r>
            <w:r>
              <w:rPr>
                <w:rFonts w:hint="eastAsia" w:ascii="Times New Roman" w:hAnsi="Times New Roman" w:cs="Times New Roman"/>
                <w:color w:val="000000" w:themeColor="text1"/>
                <w:sz w:val="24"/>
                <w:szCs w:val="24"/>
              </w:rPr>
              <w:t>及相关辅助工程，二期工程建设</w:t>
            </w:r>
            <w:r>
              <w:rPr>
                <w:rFonts w:ascii="Times New Roman" w:hAnsi="Times New Roman" w:cs="Times New Roman"/>
                <w:color w:val="000000" w:themeColor="text1"/>
                <w:sz w:val="24"/>
                <w:szCs w:val="24"/>
              </w:rPr>
              <w:t>混凝土砖生产线</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①一期工程建设内容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主要工程内容如下表所示。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 xml:space="preserve">表2.1-1 </w:t>
            </w:r>
            <w:r>
              <w:rPr>
                <w:rFonts w:hint="eastAsia" w:hAnsi="Times New Roman" w:eastAsiaTheme="minorEastAsia"/>
                <w:bCs/>
                <w:snapToGrid w:val="0"/>
                <w:color w:val="000000" w:themeColor="text1"/>
                <w:sz w:val="21"/>
                <w:szCs w:val="21"/>
              </w:rPr>
              <w:t>一期工程</w:t>
            </w:r>
            <w:r>
              <w:rPr>
                <w:rFonts w:hAnsi="Times New Roman" w:eastAsiaTheme="minorEastAsia"/>
                <w:bCs/>
                <w:snapToGrid w:val="0"/>
                <w:color w:val="000000" w:themeColor="text1"/>
                <w:sz w:val="21"/>
                <w:szCs w:val="21"/>
              </w:rPr>
              <w:t>建设内容组成一览表</w:t>
            </w:r>
          </w:p>
          <w:tbl>
            <w:tblPr>
              <w:tblStyle w:val="20"/>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21"/>
              <w:gridCol w:w="1070"/>
              <w:gridCol w:w="50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pStyle w:val="32"/>
                    <w:spacing w:line="360" w:lineRule="exact"/>
                    <w:rPr>
                      <w:color w:val="000000" w:themeColor="text1"/>
                      <w:szCs w:val="21"/>
                    </w:rPr>
                  </w:pPr>
                  <w:r>
                    <w:rPr>
                      <w:color w:val="000000" w:themeColor="text1"/>
                      <w:szCs w:val="21"/>
                    </w:rPr>
                    <w:t>类别</w:t>
                  </w:r>
                </w:p>
              </w:tc>
              <w:tc>
                <w:tcPr>
                  <w:tcW w:w="1791" w:type="dxa"/>
                  <w:gridSpan w:val="2"/>
                  <w:vAlign w:val="center"/>
                </w:tcPr>
                <w:p>
                  <w:pPr>
                    <w:pStyle w:val="32"/>
                    <w:spacing w:line="360" w:lineRule="exact"/>
                    <w:rPr>
                      <w:color w:val="000000" w:themeColor="text1"/>
                      <w:szCs w:val="21"/>
                    </w:rPr>
                  </w:pPr>
                  <w:r>
                    <w:rPr>
                      <w:color w:val="000000" w:themeColor="text1"/>
                      <w:szCs w:val="21"/>
                    </w:rPr>
                    <w:t>工程内容</w:t>
                  </w:r>
                </w:p>
              </w:tc>
              <w:tc>
                <w:tcPr>
                  <w:tcW w:w="5015" w:type="dxa"/>
                  <w:vAlign w:val="center"/>
                </w:tcPr>
                <w:p>
                  <w:pPr>
                    <w:pStyle w:val="32"/>
                    <w:spacing w:line="360" w:lineRule="exact"/>
                    <w:rPr>
                      <w:color w:val="000000" w:themeColor="text1"/>
                      <w:szCs w:val="21"/>
                    </w:rPr>
                  </w:pPr>
                  <w:r>
                    <w:rPr>
                      <w:color w:val="000000" w:themeColor="text1"/>
                      <w:szCs w:val="21"/>
                    </w:rPr>
                    <w:t>建筑内容及规模</w:t>
                  </w:r>
                </w:p>
              </w:tc>
              <w:tc>
                <w:tcPr>
                  <w:tcW w:w="1065"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主体工程</w:t>
                  </w:r>
                </w:p>
              </w:tc>
              <w:tc>
                <w:tcPr>
                  <w:tcW w:w="721" w:type="dxa"/>
                  <w:vMerge w:val="restart"/>
                  <w:vAlign w:val="center"/>
                </w:tcPr>
                <w:p>
                  <w:pPr>
                    <w:pStyle w:val="32"/>
                    <w:spacing w:line="360" w:lineRule="exact"/>
                    <w:rPr>
                      <w:color w:val="000000" w:themeColor="text1"/>
                      <w:szCs w:val="21"/>
                    </w:rPr>
                  </w:pPr>
                  <w:r>
                    <w:rPr>
                      <w:color w:val="000000" w:themeColor="text1"/>
                      <w:szCs w:val="21"/>
                    </w:rPr>
                    <w:t>砂石骨料生产线</w:t>
                  </w:r>
                </w:p>
              </w:tc>
              <w:tc>
                <w:tcPr>
                  <w:tcW w:w="1070" w:type="dxa"/>
                  <w:vAlign w:val="center"/>
                </w:tcPr>
                <w:p>
                  <w:pPr>
                    <w:pStyle w:val="32"/>
                    <w:spacing w:line="360" w:lineRule="exact"/>
                    <w:rPr>
                      <w:color w:val="000000" w:themeColor="text1"/>
                      <w:szCs w:val="21"/>
                    </w:rPr>
                  </w:pPr>
                  <w:r>
                    <w:rPr>
                      <w:color w:val="000000" w:themeColor="text1"/>
                      <w:szCs w:val="21"/>
                    </w:rPr>
                    <w:t>破碎筛分车间</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一期工程</w:t>
                  </w:r>
                  <w:r>
                    <w:rPr>
                      <w:color w:val="000000" w:themeColor="text1"/>
                      <w:szCs w:val="21"/>
                    </w:rPr>
                    <w:t>拟设置1个建筑面积约为980m²的破碎筛分车间，该车间内配套设置1台板式给料机、1台颚式破碎机、1台反击破碎机、2台圆振筛、2台立轴制砂机和2台球磨机等设备对废石进行破碎筛分从而得到Φ0-7mm、Φ0-5mm的Φ20-30mm砂石骨料。</w:t>
                  </w:r>
                </w:p>
              </w:tc>
              <w:tc>
                <w:tcPr>
                  <w:tcW w:w="1065"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洗砂车间</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一期工程</w:t>
                  </w:r>
                  <w:r>
                    <w:rPr>
                      <w:color w:val="000000" w:themeColor="text1"/>
                      <w:szCs w:val="21"/>
                    </w:rPr>
                    <w:t>拟设置1个建筑面积约为660m²的洗砂车间，该车间内配套设置4台轮式洗砂机、2台立体式细砂回收机和2台高频振脱水筛，对破碎筛分得到的Φ0-7mm、Φ0-5mm的砂石骨料进行清洗和脱水，从而得到洁净的Φ0-7mm、Φ0-5mm砂石骨料产品。</w:t>
                  </w:r>
                </w:p>
              </w:tc>
              <w:tc>
                <w:tcPr>
                  <w:tcW w:w="1065"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32"/>
                    <w:spacing w:line="360" w:lineRule="exact"/>
                    <w:rPr>
                      <w:color w:val="000000" w:themeColor="text1"/>
                      <w:szCs w:val="21"/>
                    </w:rPr>
                  </w:pPr>
                  <w:r>
                    <w:rPr>
                      <w:color w:val="000000" w:themeColor="text1"/>
                      <w:szCs w:val="21"/>
                    </w:rPr>
                    <w:t>储运工程</w:t>
                  </w:r>
                </w:p>
              </w:tc>
              <w:tc>
                <w:tcPr>
                  <w:tcW w:w="1791" w:type="dxa"/>
                  <w:gridSpan w:val="2"/>
                  <w:vAlign w:val="center"/>
                </w:tcPr>
                <w:p>
                  <w:pPr>
                    <w:pStyle w:val="32"/>
                    <w:spacing w:line="360" w:lineRule="exact"/>
                    <w:rPr>
                      <w:color w:val="000000" w:themeColor="text1"/>
                      <w:szCs w:val="21"/>
                    </w:rPr>
                  </w:pPr>
                  <w:r>
                    <w:rPr>
                      <w:color w:val="000000" w:themeColor="text1"/>
                      <w:szCs w:val="21"/>
                    </w:rPr>
                    <w:t>废石堆场</w:t>
                  </w:r>
                </w:p>
              </w:tc>
              <w:tc>
                <w:tcPr>
                  <w:tcW w:w="5015"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一期工程</w:t>
                  </w:r>
                  <w:r>
                    <w:rPr>
                      <w:color w:val="000000" w:themeColor="text1"/>
                      <w:szCs w:val="21"/>
                    </w:rPr>
                    <w:t>区拟设置</w:t>
                  </w:r>
                  <w:r>
                    <w:rPr>
                      <w:rFonts w:hint="eastAsia"/>
                      <w:color w:val="000000" w:themeColor="text1"/>
                      <w:szCs w:val="21"/>
                    </w:rPr>
                    <w:t>1</w:t>
                  </w:r>
                  <w:r>
                    <w:rPr>
                      <w:color w:val="000000" w:themeColor="text1"/>
                      <w:szCs w:val="21"/>
                    </w:rPr>
                    <w:t>个废石堆场，对拟用于生产的废石进行暂存；根据设计，废石堆场建筑面积约为500m²，废石堆场为不规则的多边形结构，除车辆进出区域，其他区域均需设置围挡和顶棚，进行地面硬化。</w:t>
                  </w:r>
                </w:p>
                <w:p>
                  <w:pPr>
                    <w:pStyle w:val="32"/>
                    <w:spacing w:line="360" w:lineRule="exact"/>
                    <w:ind w:firstLine="210" w:firstLineChars="100"/>
                    <w:jc w:val="both"/>
                    <w:rPr>
                      <w:color w:val="000000" w:themeColor="text1"/>
                      <w:szCs w:val="21"/>
                    </w:rPr>
                  </w:pPr>
                  <w:r>
                    <w:rPr>
                      <w:color w:val="000000" w:themeColor="text1"/>
                      <w:szCs w:val="21"/>
                    </w:rPr>
                    <w:t>项目拟设置1台雾炮机对厂区内废石采装、卸料及运输过程扬尘进行洒水抑尘。</w:t>
                  </w:r>
                </w:p>
              </w:tc>
              <w:tc>
                <w:tcPr>
                  <w:tcW w:w="1065" w:type="dxa"/>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2"/>
                    <w:spacing w:line="360" w:lineRule="exact"/>
                    <w:rPr>
                      <w:color w:val="000000" w:themeColor="text1"/>
                      <w:szCs w:val="21"/>
                    </w:rPr>
                  </w:pPr>
                </w:p>
              </w:tc>
              <w:tc>
                <w:tcPr>
                  <w:tcW w:w="1791" w:type="dxa"/>
                  <w:gridSpan w:val="2"/>
                  <w:vAlign w:val="center"/>
                </w:tcPr>
                <w:p>
                  <w:pPr>
                    <w:pStyle w:val="32"/>
                    <w:spacing w:line="360" w:lineRule="exact"/>
                    <w:rPr>
                      <w:color w:val="000000" w:themeColor="text1"/>
                      <w:szCs w:val="21"/>
                    </w:rPr>
                  </w:pPr>
                  <w:r>
                    <w:rPr>
                      <w:color w:val="000000" w:themeColor="text1"/>
                      <w:szCs w:val="21"/>
                    </w:rPr>
                    <w:t>产品堆场</w:t>
                  </w:r>
                </w:p>
              </w:tc>
              <w:tc>
                <w:tcPr>
                  <w:tcW w:w="5015"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一期工程</w:t>
                  </w:r>
                  <w:r>
                    <w:rPr>
                      <w:color w:val="000000" w:themeColor="text1"/>
                      <w:szCs w:val="21"/>
                    </w:rPr>
                    <w:t>拟设置建筑面积为1790m²的产品堆场分别对项目三种砂石骨料产品进行暂存，分别命名为1#料场、2#料场和3#料场；具体如下。</w:t>
                  </w:r>
                </w:p>
                <w:p>
                  <w:pPr>
                    <w:pStyle w:val="32"/>
                    <w:spacing w:line="360" w:lineRule="exact"/>
                    <w:ind w:firstLine="210" w:firstLineChars="100"/>
                    <w:jc w:val="both"/>
                    <w:rPr>
                      <w:color w:val="000000" w:themeColor="text1"/>
                      <w:szCs w:val="21"/>
                    </w:rPr>
                  </w:pPr>
                  <w:r>
                    <w:rPr>
                      <w:rFonts w:ascii="宋体"/>
                      <w:color w:val="000000" w:themeColor="text1"/>
                      <w:szCs w:val="21"/>
                    </w:rPr>
                    <w:t>①</w:t>
                  </w:r>
                  <w:r>
                    <w:rPr>
                      <w:color w:val="000000" w:themeColor="text1"/>
                      <w:szCs w:val="21"/>
                    </w:rPr>
                    <w:t>1#料场：项目1#料场建筑面积约为600m²，拟对Φ0-5mm的砂石骨料产品进行暂存。</w:t>
                  </w:r>
                </w:p>
                <w:p>
                  <w:pPr>
                    <w:pStyle w:val="32"/>
                    <w:spacing w:line="360" w:lineRule="exact"/>
                    <w:ind w:firstLine="210" w:firstLineChars="100"/>
                    <w:jc w:val="both"/>
                    <w:rPr>
                      <w:color w:val="000000" w:themeColor="text1"/>
                      <w:szCs w:val="21"/>
                    </w:rPr>
                  </w:pPr>
                  <w:r>
                    <w:rPr>
                      <w:rFonts w:ascii="宋体"/>
                      <w:color w:val="000000" w:themeColor="text1"/>
                      <w:szCs w:val="21"/>
                    </w:rPr>
                    <w:t>②</w:t>
                  </w:r>
                  <w:r>
                    <w:rPr>
                      <w:color w:val="000000" w:themeColor="text1"/>
                      <w:szCs w:val="21"/>
                    </w:rPr>
                    <w:t>2#料场：项目2#料场建筑面积约为600m²，拟对Φ0-7mm的砂石骨料产品进行暂存。</w:t>
                  </w:r>
                </w:p>
                <w:p>
                  <w:pPr>
                    <w:pStyle w:val="32"/>
                    <w:spacing w:line="360" w:lineRule="exact"/>
                    <w:ind w:firstLine="210" w:firstLineChars="100"/>
                    <w:jc w:val="both"/>
                    <w:rPr>
                      <w:color w:val="000000" w:themeColor="text1"/>
                      <w:szCs w:val="21"/>
                    </w:rPr>
                  </w:pPr>
                  <w:r>
                    <w:rPr>
                      <w:rFonts w:ascii="宋体"/>
                      <w:color w:val="000000" w:themeColor="text1"/>
                      <w:szCs w:val="21"/>
                    </w:rPr>
                    <w:t>③</w:t>
                  </w:r>
                  <w:r>
                    <w:rPr>
                      <w:color w:val="000000" w:themeColor="text1"/>
                      <w:szCs w:val="21"/>
                    </w:rPr>
                    <w:t>3#料场：项目3#料场建筑面积约为590m²，拟对Φ20-30mm的砂石骨料产品进行暂存。</w:t>
                  </w:r>
                </w:p>
                <w:p>
                  <w:pPr>
                    <w:pStyle w:val="32"/>
                    <w:spacing w:line="360" w:lineRule="exact"/>
                    <w:ind w:firstLine="210" w:firstLineChars="100"/>
                    <w:jc w:val="both"/>
                    <w:rPr>
                      <w:color w:val="000000" w:themeColor="text1"/>
                      <w:szCs w:val="21"/>
                    </w:rPr>
                  </w:pPr>
                  <w:r>
                    <w:rPr>
                      <w:color w:val="000000" w:themeColor="text1"/>
                      <w:szCs w:val="21"/>
                    </w:rPr>
                    <w:t>产品堆场除车辆进出区域，其他区域设置围挡和顶棚，进行地面硬化。</w:t>
                  </w:r>
                </w:p>
              </w:tc>
              <w:tc>
                <w:tcPr>
                  <w:tcW w:w="1065" w:type="dxa"/>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shd w:val="clear" w:color="auto" w:fill="auto"/>
                  <w:vAlign w:val="center"/>
                </w:tcPr>
                <w:p>
                  <w:pPr>
                    <w:pStyle w:val="32"/>
                    <w:spacing w:line="360" w:lineRule="exact"/>
                    <w:rPr>
                      <w:color w:val="000000" w:themeColor="text1"/>
                      <w:szCs w:val="21"/>
                    </w:rPr>
                  </w:pPr>
                  <w:r>
                    <w:rPr>
                      <w:color w:val="000000" w:themeColor="text1"/>
                      <w:szCs w:val="21"/>
                    </w:rPr>
                    <w:t>辅助工程</w:t>
                  </w:r>
                </w:p>
              </w:tc>
              <w:tc>
                <w:tcPr>
                  <w:tcW w:w="1791" w:type="dxa"/>
                  <w:gridSpan w:val="2"/>
                  <w:vAlign w:val="center"/>
                </w:tcPr>
                <w:p>
                  <w:pPr>
                    <w:pStyle w:val="32"/>
                    <w:spacing w:line="360" w:lineRule="exact"/>
                    <w:rPr>
                      <w:color w:val="000000" w:themeColor="text1"/>
                      <w:szCs w:val="21"/>
                    </w:rPr>
                  </w:pPr>
                  <w:r>
                    <w:rPr>
                      <w:color w:val="000000" w:themeColor="text1"/>
                      <w:szCs w:val="21"/>
                    </w:rPr>
                    <w:t>办公生活区</w:t>
                  </w:r>
                </w:p>
              </w:tc>
              <w:tc>
                <w:tcPr>
                  <w:tcW w:w="5015"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根据调查，建设单位购买原昆明东川众誉矿业有限责任公司砂厂的原办公区保留，项目建成过程中，将其装修改造后，作为</w:t>
                  </w:r>
                  <w:r>
                    <w:rPr>
                      <w:rFonts w:hint="eastAsia"/>
                      <w:color w:val="000000" w:themeColor="text1"/>
                      <w:szCs w:val="21"/>
                    </w:rPr>
                    <w:t>两期</w:t>
                  </w:r>
                  <w:r>
                    <w:rPr>
                      <w:color w:val="000000" w:themeColor="text1"/>
                      <w:szCs w:val="21"/>
                    </w:rPr>
                    <w:t>项目办公生活区使用，</w:t>
                  </w:r>
                  <w:r>
                    <w:rPr>
                      <w:rFonts w:hint="eastAsia"/>
                      <w:color w:val="000000" w:themeColor="text1"/>
                      <w:szCs w:val="21"/>
                    </w:rPr>
                    <w:t>项目员工主要为附近居民，不在项目区食宿，</w:t>
                  </w:r>
                  <w:r>
                    <w:rPr>
                      <w:color w:val="000000" w:themeColor="text1"/>
                      <w:szCs w:val="21"/>
                    </w:rPr>
                    <w:t>办公生活区配套设置办公室、</w:t>
                  </w:r>
                  <w:r>
                    <w:rPr>
                      <w:rFonts w:hint="eastAsia"/>
                      <w:color w:val="000000" w:themeColor="text1"/>
                      <w:szCs w:val="21"/>
                    </w:rPr>
                    <w:t>值班室</w:t>
                  </w:r>
                  <w:r>
                    <w:rPr>
                      <w:color w:val="000000" w:themeColor="text1"/>
                      <w:szCs w:val="21"/>
                    </w:rPr>
                    <w:t>等设施。</w:t>
                  </w:r>
                </w:p>
              </w:tc>
              <w:tc>
                <w:tcPr>
                  <w:tcW w:w="1065" w:type="dxa"/>
                  <w:vAlign w:val="center"/>
                </w:tcPr>
                <w:p>
                  <w:pPr>
                    <w:pStyle w:val="32"/>
                    <w:spacing w:line="360" w:lineRule="exact"/>
                    <w:rPr>
                      <w:color w:val="000000" w:themeColor="text1"/>
                      <w:szCs w:val="21"/>
                    </w:rPr>
                  </w:pPr>
                  <w:r>
                    <w:rPr>
                      <w:color w:val="000000" w:themeColor="text1"/>
                      <w:szCs w:val="21"/>
                    </w:rPr>
                    <w:t>改造后使用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公用工程</w:t>
                  </w:r>
                </w:p>
              </w:tc>
              <w:tc>
                <w:tcPr>
                  <w:tcW w:w="1791" w:type="dxa"/>
                  <w:gridSpan w:val="2"/>
                  <w:vAlign w:val="center"/>
                </w:tcPr>
                <w:p>
                  <w:pPr>
                    <w:pStyle w:val="32"/>
                    <w:spacing w:line="360" w:lineRule="exact"/>
                    <w:rPr>
                      <w:color w:val="000000" w:themeColor="text1"/>
                      <w:szCs w:val="21"/>
                    </w:rPr>
                  </w:pPr>
                  <w:r>
                    <w:rPr>
                      <w:color w:val="000000" w:themeColor="text1"/>
                      <w:szCs w:val="21"/>
                    </w:rPr>
                    <w:t>供电</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项目供电由建设单位内部供电系统供给，昆明市东川金水矿业有限责任公司降压站即位于项目区旁。</w:t>
                  </w:r>
                </w:p>
              </w:tc>
              <w:tc>
                <w:tcPr>
                  <w:tcW w:w="1065"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1" w:type="dxa"/>
                  <w:gridSpan w:val="2"/>
                  <w:vAlign w:val="center"/>
                </w:tcPr>
                <w:p>
                  <w:pPr>
                    <w:pStyle w:val="32"/>
                    <w:spacing w:line="360" w:lineRule="exact"/>
                    <w:rPr>
                      <w:color w:val="000000" w:themeColor="text1"/>
                      <w:szCs w:val="21"/>
                    </w:rPr>
                  </w:pPr>
                  <w:r>
                    <w:rPr>
                      <w:color w:val="000000" w:themeColor="text1"/>
                      <w:szCs w:val="21"/>
                    </w:rPr>
                    <w:t>给水</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①生产用水</w:t>
                  </w:r>
                </w:p>
                <w:p>
                  <w:pPr>
                    <w:pStyle w:val="32"/>
                    <w:spacing w:line="360" w:lineRule="exact"/>
                    <w:ind w:firstLine="210" w:firstLineChars="100"/>
                    <w:jc w:val="both"/>
                    <w:rPr>
                      <w:color w:val="000000" w:themeColor="text1"/>
                      <w:szCs w:val="21"/>
                    </w:rPr>
                  </w:pPr>
                  <w:r>
                    <w:rPr>
                      <w:color w:val="000000" w:themeColor="text1"/>
                      <w:szCs w:val="21"/>
                    </w:rPr>
                    <w:t>该项目用水主要使用建设单位旗下的</w:t>
                  </w:r>
                  <w:r>
                    <w:rPr>
                      <w:rFonts w:hint="eastAsia"/>
                      <w:color w:val="000000" w:themeColor="text1"/>
                      <w:szCs w:val="21"/>
                    </w:rPr>
                    <w:t>三分厂供水管网进行供水，</w:t>
                  </w:r>
                  <w:r>
                    <w:rPr>
                      <w:color w:val="000000" w:themeColor="text1"/>
                      <w:szCs w:val="21"/>
                    </w:rPr>
                    <w:t>可满足项目生产用水需求。</w:t>
                  </w:r>
                </w:p>
                <w:p>
                  <w:pPr>
                    <w:pStyle w:val="32"/>
                    <w:spacing w:line="360" w:lineRule="exact"/>
                    <w:ind w:firstLine="210" w:firstLineChars="100"/>
                    <w:jc w:val="both"/>
                    <w:rPr>
                      <w:color w:val="000000" w:themeColor="text1"/>
                      <w:szCs w:val="21"/>
                    </w:rPr>
                  </w:pPr>
                  <w:r>
                    <w:rPr>
                      <w:color w:val="000000" w:themeColor="text1"/>
                      <w:szCs w:val="21"/>
                    </w:rPr>
                    <w:t>②生活用水</w:t>
                  </w:r>
                </w:p>
                <w:p>
                  <w:pPr>
                    <w:pStyle w:val="32"/>
                    <w:spacing w:line="360" w:lineRule="exact"/>
                    <w:ind w:firstLine="210" w:firstLineChars="100"/>
                    <w:jc w:val="both"/>
                    <w:rPr>
                      <w:color w:val="000000" w:themeColor="text1"/>
                      <w:szCs w:val="21"/>
                    </w:rPr>
                  </w:pPr>
                  <w:r>
                    <w:rPr>
                      <w:color w:val="000000" w:themeColor="text1"/>
                      <w:szCs w:val="21"/>
                    </w:rPr>
                    <w:t>生活用水主要工作人员饮用水，该项目使用桶装纯净水。</w:t>
                  </w:r>
                </w:p>
              </w:tc>
              <w:tc>
                <w:tcPr>
                  <w:tcW w:w="1065"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1" w:type="dxa"/>
                  <w:gridSpan w:val="2"/>
                  <w:vAlign w:val="center"/>
                </w:tcPr>
                <w:p>
                  <w:pPr>
                    <w:pStyle w:val="32"/>
                    <w:spacing w:line="360" w:lineRule="exact"/>
                    <w:rPr>
                      <w:color w:val="000000" w:themeColor="text1"/>
                      <w:szCs w:val="21"/>
                    </w:rPr>
                  </w:pPr>
                  <w:r>
                    <w:rPr>
                      <w:color w:val="000000" w:themeColor="text1"/>
                      <w:szCs w:val="21"/>
                    </w:rPr>
                    <w:t>排水</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根据项目特点，该</w:t>
                  </w:r>
                  <w:r>
                    <w:rPr>
                      <w:rFonts w:hint="eastAsia"/>
                      <w:color w:val="000000" w:themeColor="text1"/>
                      <w:szCs w:val="21"/>
                    </w:rPr>
                    <w:t>一期工程</w:t>
                  </w:r>
                  <w:r>
                    <w:rPr>
                      <w:color w:val="000000" w:themeColor="text1"/>
                      <w:szCs w:val="21"/>
                    </w:rPr>
                    <w:t>废水主要为砂石骨料生产废水、初期雨水和生活污水。</w:t>
                  </w:r>
                </w:p>
                <w:p>
                  <w:pPr>
                    <w:pStyle w:val="32"/>
                    <w:spacing w:line="360" w:lineRule="exact"/>
                    <w:ind w:firstLine="210" w:firstLineChars="100"/>
                    <w:jc w:val="both"/>
                    <w:rPr>
                      <w:color w:val="000000" w:themeColor="text1"/>
                      <w:szCs w:val="21"/>
                    </w:rPr>
                  </w:pPr>
                  <w:r>
                    <w:rPr>
                      <w:color w:val="000000" w:themeColor="text1"/>
                      <w:szCs w:val="21"/>
                    </w:rPr>
                    <w:t>①砂石骨料生产废水</w:t>
                  </w:r>
                </w:p>
                <w:p>
                  <w:pPr>
                    <w:pStyle w:val="32"/>
                    <w:spacing w:line="360" w:lineRule="exact"/>
                    <w:ind w:firstLine="210" w:firstLineChars="100"/>
                    <w:jc w:val="both"/>
                    <w:rPr>
                      <w:color w:val="000000" w:themeColor="text1"/>
                      <w:szCs w:val="21"/>
                    </w:rPr>
                  </w:pPr>
                  <w:r>
                    <w:rPr>
                      <w:color w:val="000000" w:themeColor="text1"/>
                      <w:szCs w:val="21"/>
                    </w:rPr>
                    <w:t>项目砂石骨料生产废水主要污染物为CODcr、SS和石油类，项目拟配套设置1套砂石骨料生产废水处理系统对其进行处理；首先砂石骨料生产废水进入三级沉淀池进行沉淀，沉淀后，约90%的上层清水进入回水池回用于骨料生产系统，而三级沉淀池产生的含水污泥则进入建设单位建设的昆明市东川金水矿业有限责任公司牛厂坪尾矿充填环境综合治理项目进行井下充填处理；不直接排入环境。</w:t>
                  </w:r>
                </w:p>
                <w:p>
                  <w:pPr>
                    <w:pStyle w:val="32"/>
                    <w:spacing w:line="360" w:lineRule="exact"/>
                    <w:ind w:firstLine="210" w:firstLineChars="100"/>
                    <w:jc w:val="both"/>
                    <w:rPr>
                      <w:color w:val="000000" w:themeColor="text1"/>
                      <w:szCs w:val="21"/>
                    </w:rPr>
                  </w:pPr>
                  <w:r>
                    <w:rPr>
                      <w:color w:val="000000" w:themeColor="text1"/>
                      <w:szCs w:val="21"/>
                    </w:rPr>
                    <w:t>②初期雨水</w:t>
                  </w:r>
                </w:p>
                <w:p>
                  <w:pPr>
                    <w:pStyle w:val="32"/>
                    <w:spacing w:line="360" w:lineRule="exact"/>
                    <w:ind w:firstLine="210" w:firstLineChars="100"/>
                    <w:jc w:val="both"/>
                    <w:rPr>
                      <w:color w:val="000000" w:themeColor="text1"/>
                      <w:szCs w:val="21"/>
                    </w:rPr>
                  </w:pPr>
                  <w:r>
                    <w:rPr>
                      <w:color w:val="000000" w:themeColor="text1"/>
                      <w:szCs w:val="21"/>
                    </w:rPr>
                    <w:t>项目拟采取雨污分流，因此</w:t>
                  </w:r>
                  <w:r>
                    <w:rPr>
                      <w:rFonts w:hint="eastAsia"/>
                      <w:color w:val="000000" w:themeColor="text1"/>
                      <w:szCs w:val="21"/>
                    </w:rPr>
                    <w:t>一期工程拟配套设置1个有效容积为9m³的初期雨水收集池对厂区一期工程范围初期雨水进行收集</w:t>
                  </w:r>
                  <w:r>
                    <w:rPr>
                      <w:color w:val="000000" w:themeColor="text1"/>
                      <w:szCs w:val="21"/>
                    </w:rPr>
                    <w:t>；收集后用于该项目生产，不外排。</w:t>
                  </w:r>
                </w:p>
                <w:p>
                  <w:pPr>
                    <w:pStyle w:val="32"/>
                    <w:spacing w:line="360" w:lineRule="exact"/>
                    <w:ind w:firstLine="210" w:firstLineChars="100"/>
                    <w:jc w:val="both"/>
                    <w:rPr>
                      <w:color w:val="000000" w:themeColor="text1"/>
                      <w:szCs w:val="21"/>
                    </w:rPr>
                  </w:pPr>
                  <w:r>
                    <w:rPr>
                      <w:color w:val="000000" w:themeColor="text1"/>
                      <w:szCs w:val="21"/>
                    </w:rPr>
                    <w:t>③生活污水</w:t>
                  </w:r>
                </w:p>
                <w:p>
                  <w:pPr>
                    <w:pStyle w:val="32"/>
                    <w:spacing w:line="360" w:lineRule="exact"/>
                    <w:ind w:firstLine="210" w:firstLineChars="100"/>
                    <w:jc w:val="both"/>
                    <w:rPr>
                      <w:color w:val="000000" w:themeColor="text1"/>
                      <w:szCs w:val="21"/>
                    </w:rPr>
                  </w:pPr>
                  <w:r>
                    <w:rPr>
                      <w:color w:val="000000" w:themeColor="text1"/>
                      <w:szCs w:val="21"/>
                    </w:rPr>
                    <w:t>根据调查，项目区域未配套建设污水管网，不具备排水条件，项目拟配套设置化粪池和一体化污水处理设施对</w:t>
                  </w:r>
                  <w:r>
                    <w:rPr>
                      <w:rFonts w:hint="eastAsia"/>
                      <w:color w:val="000000" w:themeColor="text1"/>
                      <w:szCs w:val="21"/>
                    </w:rPr>
                    <w:t>两期</w:t>
                  </w:r>
                  <w:r>
                    <w:rPr>
                      <w:color w:val="000000" w:themeColor="text1"/>
                      <w:szCs w:val="21"/>
                    </w:rPr>
                    <w:t>生活污水进行处理达到《城市污水再生利用 城市杂用水水质》（GB/T18920-2020）城市绿化标准后，回用于项目区绿化，不外排。</w:t>
                  </w:r>
                </w:p>
              </w:tc>
              <w:tc>
                <w:tcPr>
                  <w:tcW w:w="1065"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环保工程</w:t>
                  </w:r>
                </w:p>
              </w:tc>
              <w:tc>
                <w:tcPr>
                  <w:tcW w:w="721" w:type="dxa"/>
                  <w:vMerge w:val="restart"/>
                  <w:vAlign w:val="center"/>
                </w:tcPr>
                <w:p>
                  <w:pPr>
                    <w:pStyle w:val="32"/>
                    <w:spacing w:line="360" w:lineRule="exact"/>
                    <w:rPr>
                      <w:color w:val="000000" w:themeColor="text1"/>
                      <w:szCs w:val="21"/>
                    </w:rPr>
                  </w:pPr>
                  <w:r>
                    <w:rPr>
                      <w:color w:val="000000" w:themeColor="text1"/>
                      <w:szCs w:val="21"/>
                    </w:rPr>
                    <w:t>废气</w:t>
                  </w:r>
                </w:p>
              </w:tc>
              <w:tc>
                <w:tcPr>
                  <w:tcW w:w="1070" w:type="dxa"/>
                  <w:vAlign w:val="center"/>
                </w:tcPr>
                <w:p>
                  <w:pPr>
                    <w:pStyle w:val="32"/>
                    <w:spacing w:line="360" w:lineRule="exact"/>
                    <w:rPr>
                      <w:color w:val="000000" w:themeColor="text1"/>
                      <w:szCs w:val="21"/>
                    </w:rPr>
                  </w:pPr>
                  <w:r>
                    <w:rPr>
                      <w:color w:val="000000" w:themeColor="text1"/>
                      <w:szCs w:val="21"/>
                    </w:rPr>
                    <w:t>围挡和顶棚</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根据设计，项目</w:t>
                  </w:r>
                  <w:r>
                    <w:rPr>
                      <w:rFonts w:hint="eastAsia"/>
                      <w:color w:val="000000" w:themeColor="text1"/>
                      <w:szCs w:val="21"/>
                    </w:rPr>
                    <w:t>一期工程</w:t>
                  </w:r>
                  <w:r>
                    <w:rPr>
                      <w:color w:val="000000" w:themeColor="text1"/>
                      <w:szCs w:val="21"/>
                    </w:rPr>
                    <w:t>废石堆场和产品堆场（1#料场、2#料场和3#料场）均会产生扬尘，为防止扬尘产生，项目拟对废石堆场和产品堆场（1#料场、2#料场和3#料场）除车辆进出区域，其他区域均分别设置不低于物料堆存高度围挡和顶棚。使其满足“防扬散、防雨、防流失”的三防要求。</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雾炮机</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一期工程</w:t>
                  </w:r>
                  <w:r>
                    <w:rPr>
                      <w:color w:val="000000" w:themeColor="text1"/>
                      <w:szCs w:val="21"/>
                    </w:rPr>
                    <w:t>拟设置1台雾炮机对厂区内废石采装、卸料及运输过程扬尘进行洒水抑尘。</w:t>
                  </w:r>
                </w:p>
              </w:tc>
              <w:tc>
                <w:tcPr>
                  <w:tcW w:w="1065" w:type="dxa"/>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破碎筛分系统加水作业</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一期工程</w:t>
                  </w:r>
                  <w:r>
                    <w:rPr>
                      <w:color w:val="000000" w:themeColor="text1"/>
                      <w:szCs w:val="21"/>
                    </w:rPr>
                    <w:t>砂石骨料生产线整个破碎筛分系统均采用加水作业，可有效降低该系统扬尘。</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密闭运输</w:t>
                  </w:r>
                </w:p>
              </w:tc>
              <w:tc>
                <w:tcPr>
                  <w:tcW w:w="5015" w:type="dxa"/>
                  <w:vAlign w:val="center"/>
                </w:tcPr>
                <w:p>
                  <w:pPr>
                    <w:pStyle w:val="32"/>
                    <w:spacing w:line="360" w:lineRule="exact"/>
                    <w:ind w:firstLine="210" w:firstLineChars="100"/>
                    <w:jc w:val="both"/>
                    <w:rPr>
                      <w:color w:val="000000" w:themeColor="text1"/>
                      <w:szCs w:val="21"/>
                      <w:highlight w:val="yellow"/>
                    </w:rPr>
                  </w:pPr>
                  <w:r>
                    <w:rPr>
                      <w:color w:val="000000" w:themeColor="text1"/>
                      <w:szCs w:val="21"/>
                    </w:rPr>
                    <w:t>根据设计，为降低扬尘对环境的影响，</w:t>
                  </w:r>
                  <w:r>
                    <w:rPr>
                      <w:rFonts w:hint="eastAsia"/>
                      <w:color w:val="000000" w:themeColor="text1"/>
                      <w:szCs w:val="21"/>
                    </w:rPr>
                    <w:t>一期工程</w:t>
                  </w:r>
                  <w:r>
                    <w:rPr>
                      <w:color w:val="000000" w:themeColor="text1"/>
                      <w:szCs w:val="21"/>
                    </w:rPr>
                    <w:t>砂石骨料生产线各工段之间的粉料运输均采用皮带机密闭运输。</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1" w:type="dxa"/>
                  <w:gridSpan w:val="2"/>
                  <w:vAlign w:val="center"/>
                </w:tcPr>
                <w:p>
                  <w:pPr>
                    <w:pStyle w:val="32"/>
                    <w:spacing w:line="360" w:lineRule="exact"/>
                    <w:rPr>
                      <w:color w:val="000000" w:themeColor="text1"/>
                      <w:szCs w:val="21"/>
                    </w:rPr>
                  </w:pPr>
                  <w:r>
                    <w:rPr>
                      <w:color w:val="000000" w:themeColor="text1"/>
                      <w:szCs w:val="21"/>
                    </w:rPr>
                    <w:t>雨污分流</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根据调查，项目区已设置了雨污分流设施。</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restart"/>
                  <w:vAlign w:val="center"/>
                </w:tcPr>
                <w:p>
                  <w:pPr>
                    <w:pStyle w:val="32"/>
                    <w:spacing w:line="360" w:lineRule="exact"/>
                    <w:rPr>
                      <w:color w:val="000000" w:themeColor="text1"/>
                      <w:szCs w:val="21"/>
                    </w:rPr>
                  </w:pPr>
                  <w:r>
                    <w:rPr>
                      <w:color w:val="000000" w:themeColor="text1"/>
                      <w:szCs w:val="21"/>
                    </w:rPr>
                    <w:t>废水</w:t>
                  </w:r>
                </w:p>
              </w:tc>
              <w:tc>
                <w:tcPr>
                  <w:tcW w:w="1070" w:type="dxa"/>
                  <w:vAlign w:val="center"/>
                </w:tcPr>
                <w:p>
                  <w:pPr>
                    <w:pStyle w:val="32"/>
                    <w:spacing w:line="360" w:lineRule="exact"/>
                    <w:rPr>
                      <w:color w:val="000000" w:themeColor="text1"/>
                      <w:szCs w:val="21"/>
                    </w:rPr>
                  </w:pPr>
                  <w:r>
                    <w:rPr>
                      <w:color w:val="000000" w:themeColor="text1"/>
                      <w:szCs w:val="21"/>
                    </w:rPr>
                    <w:t>砂石骨料生产废水处理系统</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根据设计，项目拟设置1套砂石骨料生产废水处理系统对生产废水进行处理，该系统由1组有效容积为60m³的三级沉淀池、1个10m³回水池和回水管道组成。</w:t>
                  </w:r>
                </w:p>
                <w:p>
                  <w:pPr>
                    <w:pStyle w:val="32"/>
                    <w:spacing w:line="360" w:lineRule="exact"/>
                    <w:ind w:firstLine="210" w:firstLineChars="100"/>
                    <w:jc w:val="both"/>
                    <w:rPr>
                      <w:color w:val="000000" w:themeColor="text1"/>
                      <w:szCs w:val="21"/>
                    </w:rPr>
                  </w:pPr>
                  <w:r>
                    <w:rPr>
                      <w:color w:val="000000" w:themeColor="text1"/>
                      <w:szCs w:val="21"/>
                    </w:rPr>
                    <w:t>砂石骨料生产废水主要污染物为CODcr、SS和石油类，首先进入三级沉淀池进行沉淀，沉淀后，约90%的上层清水进入回水池回用于骨料生产系统，而三级沉淀池产生的含水污泥则进入建设单位建设的昆明市东川金水矿业有限责任公司牛厂坪尾矿充填环境综合治理项目进行井下充填处理。</w:t>
                  </w:r>
                </w:p>
              </w:tc>
              <w:tc>
                <w:tcPr>
                  <w:tcW w:w="1065" w:type="dxa"/>
                  <w:vAlign w:val="center"/>
                </w:tcPr>
                <w:p>
                  <w:pPr>
                    <w:pStyle w:val="32"/>
                    <w:spacing w:line="360" w:lineRule="exact"/>
                    <w:rPr>
                      <w:color w:val="000000" w:themeColor="text1"/>
                      <w:szCs w:val="21"/>
                      <w:highlight w:val="yellow"/>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rFonts w:hint="eastAsia"/>
                      <w:color w:val="000000" w:themeColor="text1"/>
                      <w:szCs w:val="21"/>
                    </w:rPr>
                    <w:t>一期工程</w:t>
                  </w:r>
                  <w:r>
                    <w:rPr>
                      <w:color w:val="000000" w:themeColor="text1"/>
                      <w:szCs w:val="21"/>
                    </w:rPr>
                    <w:t>初期雨水收集系统</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根据设计，项目</w:t>
                  </w:r>
                  <w:r>
                    <w:rPr>
                      <w:rFonts w:hint="eastAsia"/>
                      <w:color w:val="000000" w:themeColor="text1"/>
                      <w:szCs w:val="21"/>
                    </w:rPr>
                    <w:t>一期工程</w:t>
                  </w:r>
                  <w:r>
                    <w:rPr>
                      <w:color w:val="000000" w:themeColor="text1"/>
                      <w:szCs w:val="21"/>
                    </w:rPr>
                    <w:t>拟设置初期雨水处理系统对初期雨水进行处理，该系统由截排水沟和初期雨水收集池组成，具体如下：</w:t>
                  </w:r>
                </w:p>
                <w:p>
                  <w:pPr>
                    <w:pStyle w:val="32"/>
                    <w:spacing w:line="360" w:lineRule="exact"/>
                    <w:ind w:firstLine="210" w:firstLineChars="100"/>
                    <w:jc w:val="both"/>
                    <w:rPr>
                      <w:color w:val="000000" w:themeColor="text1"/>
                      <w:szCs w:val="21"/>
                    </w:rPr>
                  </w:pPr>
                  <w:r>
                    <w:rPr>
                      <w:color w:val="000000" w:themeColor="text1"/>
                      <w:szCs w:val="21"/>
                    </w:rPr>
                    <w:t>①截排水沟</w:t>
                  </w:r>
                </w:p>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一期工程</w:t>
                  </w:r>
                  <w:r>
                    <w:rPr>
                      <w:color w:val="000000" w:themeColor="text1"/>
                      <w:szCs w:val="21"/>
                    </w:rPr>
                    <w:t>为了防止雨天地表径流进入废石堆场、产品堆场及生产区，使项目区域砂石料流失，造成环境污染，项目</w:t>
                  </w:r>
                  <w:r>
                    <w:rPr>
                      <w:rFonts w:hint="eastAsia"/>
                      <w:color w:val="000000" w:themeColor="text1"/>
                      <w:szCs w:val="21"/>
                    </w:rPr>
                    <w:t>一期工程</w:t>
                  </w:r>
                  <w:r>
                    <w:rPr>
                      <w:color w:val="000000" w:themeColor="text1"/>
                      <w:szCs w:val="21"/>
                    </w:rPr>
                    <w:t>拟在厂房外围及厂区周围设置截排水沟对雨天厂区产生的初期雨水及地表径流进行疏导。</w:t>
                  </w:r>
                </w:p>
                <w:p>
                  <w:pPr>
                    <w:pStyle w:val="32"/>
                    <w:spacing w:line="360" w:lineRule="exact"/>
                    <w:ind w:firstLine="210" w:firstLineChars="100"/>
                    <w:jc w:val="both"/>
                    <w:rPr>
                      <w:color w:val="000000" w:themeColor="text1"/>
                      <w:szCs w:val="21"/>
                    </w:rPr>
                  </w:pPr>
                  <w:r>
                    <w:rPr>
                      <w:color w:val="000000" w:themeColor="text1"/>
                      <w:szCs w:val="21"/>
                    </w:rPr>
                    <w:t>②初期雨水收集池</w:t>
                  </w:r>
                </w:p>
                <w:p>
                  <w:pPr>
                    <w:pStyle w:val="32"/>
                    <w:spacing w:line="360" w:lineRule="exact"/>
                    <w:ind w:firstLine="210" w:firstLineChars="100"/>
                    <w:jc w:val="both"/>
                    <w:rPr>
                      <w:color w:val="000000" w:themeColor="text1"/>
                      <w:szCs w:val="21"/>
                    </w:rPr>
                  </w:pPr>
                  <w:r>
                    <w:rPr>
                      <w:color w:val="000000" w:themeColor="text1"/>
                      <w:szCs w:val="21"/>
                    </w:rPr>
                    <w:t>该项目</w:t>
                  </w:r>
                  <w:r>
                    <w:rPr>
                      <w:rFonts w:hint="eastAsia"/>
                      <w:color w:val="000000" w:themeColor="text1"/>
                      <w:szCs w:val="21"/>
                    </w:rPr>
                    <w:t>一期工程</w:t>
                  </w:r>
                  <w:r>
                    <w:rPr>
                      <w:color w:val="000000" w:themeColor="text1"/>
                      <w:szCs w:val="21"/>
                    </w:rPr>
                    <w:t>拟配套设置1个有效容积为</w:t>
                  </w:r>
                  <w:r>
                    <w:rPr>
                      <w:rFonts w:hint="eastAsia"/>
                      <w:color w:val="000000" w:themeColor="text1"/>
                      <w:szCs w:val="21"/>
                    </w:rPr>
                    <w:t>9</w:t>
                  </w:r>
                  <w:r>
                    <w:rPr>
                      <w:color w:val="000000" w:themeColor="text1"/>
                      <w:szCs w:val="21"/>
                    </w:rPr>
                    <w:t>m³的初期雨水收集池对厂区</w:t>
                  </w:r>
                  <w:r>
                    <w:rPr>
                      <w:rFonts w:hint="eastAsia"/>
                      <w:color w:val="000000" w:themeColor="text1"/>
                      <w:szCs w:val="21"/>
                    </w:rPr>
                    <w:t>一期工程范围</w:t>
                  </w:r>
                  <w:r>
                    <w:rPr>
                      <w:color w:val="000000" w:themeColor="text1"/>
                      <w:szCs w:val="21"/>
                    </w:rPr>
                    <w:t>的初期雨水进行收集</w:t>
                  </w:r>
                  <w:r>
                    <w:rPr>
                      <w:rFonts w:hint="eastAsia"/>
                      <w:color w:val="000000" w:themeColor="text1"/>
                      <w:szCs w:val="21"/>
                    </w:rPr>
                    <w:t>，</w:t>
                  </w:r>
                  <w:r>
                    <w:rPr>
                      <w:color w:val="000000" w:themeColor="text1"/>
                      <w:szCs w:val="21"/>
                    </w:rPr>
                    <w:t>收集后用于该项目生产用水，不外排。</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rFonts w:eastAsiaTheme="minorEastAsia"/>
                      <w:color w:val="000000" w:themeColor="text1"/>
                      <w:szCs w:val="21"/>
                    </w:rPr>
                    <w:t>生活污水处理系统</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根据设计，项目生活污水处理系统有化粪池、一体化污水处理设施和清水池组成。具体如下：</w:t>
                  </w:r>
                </w:p>
                <w:p>
                  <w:pPr>
                    <w:pStyle w:val="32"/>
                    <w:spacing w:line="360" w:lineRule="exact"/>
                    <w:ind w:firstLine="210" w:firstLineChars="100"/>
                    <w:jc w:val="both"/>
                    <w:rPr>
                      <w:color w:val="000000" w:themeColor="text1"/>
                      <w:szCs w:val="21"/>
                    </w:rPr>
                  </w:pPr>
                  <w:r>
                    <w:rPr>
                      <w:color w:val="000000" w:themeColor="text1"/>
                      <w:szCs w:val="21"/>
                    </w:rPr>
                    <w:t>①化粪池</w:t>
                  </w:r>
                </w:p>
                <w:p>
                  <w:pPr>
                    <w:pStyle w:val="32"/>
                    <w:spacing w:line="360" w:lineRule="exact"/>
                    <w:ind w:firstLine="210" w:firstLineChars="100"/>
                    <w:jc w:val="both"/>
                    <w:rPr>
                      <w:color w:val="000000" w:themeColor="text1"/>
                      <w:szCs w:val="21"/>
                    </w:rPr>
                  </w:pPr>
                  <w:r>
                    <w:rPr>
                      <w:color w:val="000000" w:themeColor="text1"/>
                      <w:szCs w:val="21"/>
                    </w:rPr>
                    <w:t>环评要求，针对项目生活污水，拟建设1个有效容积为3m³的化粪池，对生活污水进行预处理。</w:t>
                  </w:r>
                </w:p>
                <w:p>
                  <w:pPr>
                    <w:pStyle w:val="32"/>
                    <w:spacing w:line="360" w:lineRule="exact"/>
                    <w:ind w:firstLine="210" w:firstLineChars="100"/>
                    <w:jc w:val="both"/>
                    <w:rPr>
                      <w:color w:val="000000" w:themeColor="text1"/>
                      <w:szCs w:val="21"/>
                    </w:rPr>
                  </w:pPr>
                  <w:r>
                    <w:rPr>
                      <w:color w:val="000000" w:themeColor="text1"/>
                      <w:szCs w:val="21"/>
                    </w:rPr>
                    <w:t>②一体化污水处理设施</w:t>
                  </w:r>
                </w:p>
                <w:p>
                  <w:pPr>
                    <w:pStyle w:val="32"/>
                    <w:spacing w:line="360" w:lineRule="exact"/>
                    <w:ind w:firstLine="210" w:firstLineChars="100"/>
                    <w:jc w:val="both"/>
                    <w:rPr>
                      <w:color w:val="000000" w:themeColor="text1"/>
                      <w:szCs w:val="21"/>
                    </w:rPr>
                  </w:pPr>
                  <w:r>
                    <w:rPr>
                      <w:color w:val="000000" w:themeColor="text1"/>
                      <w:szCs w:val="21"/>
                    </w:rPr>
                    <w:t>环评要求，项目区域未配套建设污水管网，不具备排水条件，因此项目拟配套设置1套处理能力为3m³/d的一体化污水处理设施对生活污水进行处理达到《城市污水再生利用 城市杂用水水质》（GB/T18920-2020）城市绿化标准后，回用于项目区绿化，不外排。</w:t>
                  </w:r>
                </w:p>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③</w:t>
                  </w:r>
                  <w:r>
                    <w:rPr>
                      <w:color w:val="000000" w:themeColor="text1"/>
                      <w:szCs w:val="21"/>
                    </w:rPr>
                    <w:t>清水池</w:t>
                  </w:r>
                </w:p>
                <w:p>
                  <w:pPr>
                    <w:pStyle w:val="32"/>
                    <w:spacing w:line="360" w:lineRule="exact"/>
                    <w:ind w:firstLine="210" w:firstLineChars="100"/>
                    <w:jc w:val="both"/>
                    <w:rPr>
                      <w:color w:val="000000" w:themeColor="text1"/>
                      <w:szCs w:val="21"/>
                    </w:rPr>
                  </w:pPr>
                  <w:r>
                    <w:rPr>
                      <w:color w:val="000000" w:themeColor="text1"/>
                      <w:szCs w:val="21"/>
                    </w:rPr>
                    <w:t>生活污水经处理后将回用于绿化，为满足雨天等特殊情况，处理后生活污水的暂存要求，项目拟配套设置1个有效容积为10m³的清水池对处理后的生活污水进行暂存。</w:t>
                  </w:r>
                </w:p>
              </w:tc>
              <w:tc>
                <w:tcPr>
                  <w:tcW w:w="1065" w:type="dxa"/>
                  <w:vAlign w:val="center"/>
                </w:tcPr>
                <w:p>
                  <w:pPr>
                    <w:pStyle w:val="32"/>
                    <w:spacing w:line="360" w:lineRule="exact"/>
                    <w:rPr>
                      <w:color w:val="000000" w:themeColor="text1"/>
                      <w:szCs w:val="21"/>
                    </w:rPr>
                  </w:pPr>
                  <w:r>
                    <w:rPr>
                      <w:rFonts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地下水防渗</w:t>
                  </w:r>
                </w:p>
              </w:tc>
              <w:tc>
                <w:tcPr>
                  <w:tcW w:w="10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重点防渗区</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1065" w:type="dxa"/>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rFonts w:eastAsiaTheme="minorEastAsia"/>
                      <w:color w:val="000000" w:themeColor="text1"/>
                      <w:szCs w:val="21"/>
                    </w:rPr>
                  </w:pPr>
                </w:p>
              </w:tc>
              <w:tc>
                <w:tcPr>
                  <w:tcW w:w="10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一般防渗区</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根据分区防渗规范要求，项目</w:t>
                  </w:r>
                  <w:r>
                    <w:rPr>
                      <w:rFonts w:hint="eastAsia"/>
                      <w:color w:val="000000" w:themeColor="text1"/>
                      <w:szCs w:val="21"/>
                    </w:rPr>
                    <w:t>一期工程</w:t>
                  </w:r>
                  <w:r>
                    <w:rPr>
                      <w:color w:val="000000" w:themeColor="text1"/>
                      <w:szCs w:val="21"/>
                    </w:rPr>
                    <w:t>生产区、砂石骨料生产废水处理系统、</w:t>
                  </w:r>
                  <w:r>
                    <w:rPr>
                      <w:rFonts w:hint="eastAsia"/>
                      <w:color w:val="000000" w:themeColor="text1"/>
                      <w:szCs w:val="21"/>
                    </w:rPr>
                    <w:t>一期工程</w:t>
                  </w:r>
                  <w:r>
                    <w:rPr>
                      <w:color w:val="000000" w:themeColor="text1"/>
                      <w:szCs w:val="21"/>
                    </w:rPr>
                    <w:t>初期雨水收集系统和生活污水处理系统区域划定为一般防渗区，一般防渗区措施在地面采取粘土铺底，并在上层铺30cm的混凝土进行硬化。确保防渗性能，使其渗透系数≤1.0×10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Align w:val="center"/>
                </w:tcPr>
                <w:p>
                  <w:pPr>
                    <w:pStyle w:val="32"/>
                    <w:spacing w:line="360" w:lineRule="exact"/>
                    <w:rPr>
                      <w:color w:val="000000" w:themeColor="text1"/>
                      <w:szCs w:val="21"/>
                    </w:rPr>
                  </w:pPr>
                  <w:r>
                    <w:rPr>
                      <w:color w:val="000000" w:themeColor="text1"/>
                      <w:szCs w:val="21"/>
                    </w:rPr>
                    <w:t>噪声</w:t>
                  </w:r>
                </w:p>
              </w:tc>
              <w:tc>
                <w:tcPr>
                  <w:tcW w:w="1070" w:type="dxa"/>
                  <w:vAlign w:val="center"/>
                </w:tcPr>
                <w:p>
                  <w:pPr>
                    <w:pStyle w:val="32"/>
                    <w:spacing w:line="360" w:lineRule="exact"/>
                    <w:rPr>
                      <w:color w:val="000000" w:themeColor="text1"/>
                      <w:szCs w:val="21"/>
                    </w:rPr>
                  </w:pPr>
                  <w:r>
                    <w:rPr>
                      <w:color w:val="000000" w:themeColor="text1"/>
                      <w:szCs w:val="21"/>
                    </w:rPr>
                    <w:t>设备噪声</w:t>
                  </w:r>
                </w:p>
              </w:tc>
              <w:tc>
                <w:tcPr>
                  <w:tcW w:w="5015"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一期工程</w:t>
                  </w:r>
                  <w:r>
                    <w:rPr>
                      <w:color w:val="000000" w:themeColor="text1"/>
                      <w:szCs w:val="21"/>
                    </w:rPr>
                    <w:t>设备基础加装减震垫、消声器等。</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restart"/>
                  <w:vAlign w:val="center"/>
                </w:tcPr>
                <w:p>
                  <w:pPr>
                    <w:pStyle w:val="32"/>
                    <w:spacing w:line="360" w:lineRule="exact"/>
                    <w:rPr>
                      <w:color w:val="000000" w:themeColor="text1"/>
                      <w:szCs w:val="21"/>
                    </w:rPr>
                  </w:pPr>
                  <w:r>
                    <w:rPr>
                      <w:color w:val="000000" w:themeColor="text1"/>
                      <w:szCs w:val="21"/>
                    </w:rPr>
                    <w:t>固废</w:t>
                  </w:r>
                </w:p>
              </w:tc>
              <w:tc>
                <w:tcPr>
                  <w:tcW w:w="1070" w:type="dxa"/>
                  <w:vAlign w:val="center"/>
                </w:tcPr>
                <w:p>
                  <w:pPr>
                    <w:pStyle w:val="32"/>
                    <w:spacing w:line="360" w:lineRule="exact"/>
                    <w:rPr>
                      <w:color w:val="000000" w:themeColor="text1"/>
                      <w:szCs w:val="21"/>
                    </w:rPr>
                  </w:pPr>
                  <w:r>
                    <w:rPr>
                      <w:color w:val="000000" w:themeColor="text1"/>
                      <w:szCs w:val="21"/>
                    </w:rPr>
                    <w:t>危险废物贮存间</w:t>
                  </w:r>
                </w:p>
              </w:tc>
              <w:tc>
                <w:tcPr>
                  <w:tcW w:w="5015" w:type="dxa"/>
                  <w:vAlign w:val="center"/>
                </w:tcPr>
                <w:p>
                  <w:pPr>
                    <w:pStyle w:val="32"/>
                    <w:spacing w:line="360" w:lineRule="exact"/>
                    <w:ind w:firstLine="210" w:firstLineChars="100"/>
                    <w:jc w:val="both"/>
                    <w:rPr>
                      <w:color w:val="000000" w:themeColor="text1"/>
                    </w:rPr>
                  </w:pPr>
                  <w:r>
                    <w:rPr>
                      <w:color w:val="000000" w:themeColor="text1"/>
                    </w:rPr>
                    <w:t>针对项目产生的废机油和废弃沾油抹布，厂区拟建设了1个10m²的危险废物贮存间对项目区产生的危险废物进行分类暂存。废机油部分用于生产设备润滑使用，无法使用部分委托有资质的单位处置。</w:t>
                  </w:r>
                </w:p>
              </w:tc>
              <w:tc>
                <w:tcPr>
                  <w:tcW w:w="1065" w:type="dxa"/>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生活垃圾桶</w:t>
                  </w:r>
                </w:p>
              </w:tc>
              <w:tc>
                <w:tcPr>
                  <w:tcW w:w="5015" w:type="dxa"/>
                  <w:vAlign w:val="center"/>
                </w:tcPr>
                <w:p>
                  <w:pPr>
                    <w:pStyle w:val="32"/>
                    <w:spacing w:line="360" w:lineRule="exact"/>
                    <w:ind w:firstLine="210" w:firstLineChars="100"/>
                    <w:jc w:val="both"/>
                    <w:rPr>
                      <w:color w:val="000000" w:themeColor="text1"/>
                    </w:rPr>
                  </w:pPr>
                  <w:r>
                    <w:rPr>
                      <w:color w:val="000000" w:themeColor="text1"/>
                    </w:rPr>
                    <w:t>项目拟设置生活垃圾桶，对生活垃圾收集后委托环卫部门进行处理。</w:t>
                  </w:r>
                </w:p>
              </w:tc>
              <w:tc>
                <w:tcPr>
                  <w:tcW w:w="1065" w:type="dxa"/>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restart"/>
                  <w:vAlign w:val="center"/>
                </w:tcPr>
                <w:p>
                  <w:pPr>
                    <w:pStyle w:val="32"/>
                    <w:spacing w:line="360" w:lineRule="exact"/>
                    <w:rPr>
                      <w:color w:val="000000" w:themeColor="text1"/>
                      <w:szCs w:val="21"/>
                    </w:rPr>
                  </w:pPr>
                  <w:r>
                    <w:rPr>
                      <w:color w:val="000000" w:themeColor="text1"/>
                      <w:szCs w:val="21"/>
                    </w:rPr>
                    <w:t>其他</w:t>
                  </w:r>
                </w:p>
              </w:tc>
              <w:tc>
                <w:tcPr>
                  <w:tcW w:w="1070" w:type="dxa"/>
                  <w:vAlign w:val="center"/>
                </w:tcPr>
                <w:p>
                  <w:pPr>
                    <w:pStyle w:val="32"/>
                    <w:spacing w:line="360" w:lineRule="exact"/>
                    <w:rPr>
                      <w:color w:val="000000" w:themeColor="text1"/>
                      <w:szCs w:val="21"/>
                    </w:rPr>
                  </w:pPr>
                  <w:r>
                    <w:rPr>
                      <w:color w:val="000000" w:themeColor="text1"/>
                      <w:szCs w:val="21"/>
                    </w:rPr>
                    <w:t>标识牌</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1065" w:type="dxa"/>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绿化</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根据设计，项目区将设置1500</w:t>
                  </w:r>
                  <w:r>
                    <w:rPr>
                      <w:color w:val="000000" w:themeColor="text1"/>
                    </w:rPr>
                    <w:t>m²的绿化区域。</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bl>
          <w:p>
            <w:pPr>
              <w:spacing w:beforeLines="50" w:line="360" w:lineRule="auto"/>
              <w:ind w:firstLine="482" w:firstLineChars="200"/>
              <w:rPr>
                <w:rFonts w:ascii="Times New Roman" w:hAnsi="Times New Roman" w:cs="Times New Roman"/>
                <w:b/>
                <w:color w:val="000000" w:themeColor="text1"/>
                <w:sz w:val="24"/>
                <w:szCs w:val="24"/>
              </w:rPr>
            </w:pPr>
            <w:bookmarkStart w:id="0" w:name="_Toc433544969"/>
            <w:bookmarkStart w:id="1" w:name="_Toc493693536"/>
            <w:r>
              <w:rPr>
                <w:rFonts w:hint="eastAsia" w:ascii="Times New Roman" w:hAnsi="Times New Roman" w:cs="Times New Roman"/>
                <w:b/>
                <w:color w:val="000000" w:themeColor="text1"/>
                <w:sz w:val="24"/>
                <w:szCs w:val="24"/>
              </w:rPr>
              <w:t>②二期工程建设内容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主要工程内容如下表所示。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 xml:space="preserve"> </w:t>
            </w:r>
            <w:r>
              <w:rPr>
                <w:rFonts w:hint="eastAsia" w:hAnsi="Times New Roman" w:eastAsiaTheme="minorEastAsia"/>
                <w:bCs/>
                <w:snapToGrid w:val="0"/>
                <w:color w:val="000000" w:themeColor="text1"/>
                <w:sz w:val="21"/>
                <w:szCs w:val="21"/>
              </w:rPr>
              <w:t>二期工程</w:t>
            </w:r>
            <w:r>
              <w:rPr>
                <w:rFonts w:hAnsi="Times New Roman" w:eastAsiaTheme="minorEastAsia"/>
                <w:bCs/>
                <w:snapToGrid w:val="0"/>
                <w:color w:val="000000" w:themeColor="text1"/>
                <w:sz w:val="21"/>
                <w:szCs w:val="21"/>
              </w:rPr>
              <w:t>建设内容组成一览表</w:t>
            </w:r>
          </w:p>
          <w:tbl>
            <w:tblPr>
              <w:tblStyle w:val="20"/>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21"/>
              <w:gridCol w:w="1070"/>
              <w:gridCol w:w="50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pStyle w:val="32"/>
                    <w:spacing w:line="360" w:lineRule="exact"/>
                    <w:rPr>
                      <w:color w:val="000000" w:themeColor="text1"/>
                      <w:szCs w:val="21"/>
                    </w:rPr>
                  </w:pPr>
                  <w:r>
                    <w:rPr>
                      <w:color w:val="000000" w:themeColor="text1"/>
                      <w:szCs w:val="21"/>
                    </w:rPr>
                    <w:t>类别</w:t>
                  </w:r>
                </w:p>
              </w:tc>
              <w:tc>
                <w:tcPr>
                  <w:tcW w:w="1791" w:type="dxa"/>
                  <w:gridSpan w:val="2"/>
                  <w:vAlign w:val="center"/>
                </w:tcPr>
                <w:p>
                  <w:pPr>
                    <w:pStyle w:val="32"/>
                    <w:spacing w:line="360" w:lineRule="exact"/>
                    <w:rPr>
                      <w:color w:val="000000" w:themeColor="text1"/>
                      <w:szCs w:val="21"/>
                    </w:rPr>
                  </w:pPr>
                  <w:r>
                    <w:rPr>
                      <w:color w:val="000000" w:themeColor="text1"/>
                      <w:szCs w:val="21"/>
                    </w:rPr>
                    <w:t>工程内容</w:t>
                  </w:r>
                </w:p>
              </w:tc>
              <w:tc>
                <w:tcPr>
                  <w:tcW w:w="5015" w:type="dxa"/>
                  <w:vAlign w:val="center"/>
                </w:tcPr>
                <w:p>
                  <w:pPr>
                    <w:pStyle w:val="32"/>
                    <w:spacing w:line="360" w:lineRule="exact"/>
                    <w:rPr>
                      <w:color w:val="000000" w:themeColor="text1"/>
                      <w:szCs w:val="21"/>
                    </w:rPr>
                  </w:pPr>
                  <w:r>
                    <w:rPr>
                      <w:color w:val="000000" w:themeColor="text1"/>
                      <w:szCs w:val="21"/>
                    </w:rPr>
                    <w:t>建筑内容及规模</w:t>
                  </w:r>
                </w:p>
              </w:tc>
              <w:tc>
                <w:tcPr>
                  <w:tcW w:w="1065"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主体工程</w:t>
                  </w:r>
                </w:p>
              </w:tc>
              <w:tc>
                <w:tcPr>
                  <w:tcW w:w="721" w:type="dxa"/>
                  <w:vMerge w:val="restart"/>
                  <w:vAlign w:val="center"/>
                </w:tcPr>
                <w:p>
                  <w:pPr>
                    <w:pStyle w:val="32"/>
                    <w:spacing w:line="360" w:lineRule="exact"/>
                    <w:rPr>
                      <w:color w:val="000000" w:themeColor="text1"/>
                      <w:szCs w:val="21"/>
                    </w:rPr>
                  </w:pPr>
                  <w:r>
                    <w:rPr>
                      <w:color w:val="000000" w:themeColor="text1"/>
                      <w:szCs w:val="21"/>
                    </w:rPr>
                    <w:t>混凝土砖生产线</w:t>
                  </w:r>
                </w:p>
              </w:tc>
              <w:tc>
                <w:tcPr>
                  <w:tcW w:w="1070" w:type="dxa"/>
                  <w:vAlign w:val="center"/>
                </w:tcPr>
                <w:p>
                  <w:pPr>
                    <w:pStyle w:val="32"/>
                    <w:spacing w:line="360" w:lineRule="exact"/>
                    <w:rPr>
                      <w:color w:val="000000" w:themeColor="text1"/>
                      <w:szCs w:val="21"/>
                    </w:rPr>
                  </w:pPr>
                  <w:r>
                    <w:rPr>
                      <w:color w:val="000000" w:themeColor="text1"/>
                      <w:szCs w:val="21"/>
                    </w:rPr>
                    <w:t>搅拌混合车间</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拟设置1个建筑面积约为120m²的搅拌混合车间，该车间内配套设置1台提升斗、2台配料仓和1台搅拌机，将水泥、砂石骨料（Φ0-7mm）和砂石骨料（Φ0-5mm）按照4:15:10的比例进行混合，并加水搅拌，使其充分混合，搅拌后的物料含水率约为20%。</w:t>
                  </w:r>
                </w:p>
              </w:tc>
              <w:tc>
                <w:tcPr>
                  <w:tcW w:w="1065"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成型车间</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拟设置1个建筑面积约为180m²的成型车间，该车间内配套设置1台QT18-18型砌块成型机和模板架，对搅拌均匀的物料进行砌块成型。</w:t>
                  </w:r>
                </w:p>
              </w:tc>
              <w:tc>
                <w:tcPr>
                  <w:tcW w:w="1065"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养护区</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拟设置1个建筑面积约为800m²的养护区，对成型后的水泥砖进行养护；养护区分为养护棚和养护场，其中养护棚的面积约为100m²，为单层彩钢瓦结构，而养护场地为室外，面积约为700m²。</w:t>
                  </w:r>
                </w:p>
              </w:tc>
              <w:tc>
                <w:tcPr>
                  <w:tcW w:w="1065"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32"/>
                    <w:spacing w:line="360" w:lineRule="exact"/>
                    <w:rPr>
                      <w:color w:val="000000" w:themeColor="text1"/>
                      <w:szCs w:val="21"/>
                    </w:rPr>
                  </w:pPr>
                  <w:r>
                    <w:rPr>
                      <w:color w:val="000000" w:themeColor="text1"/>
                      <w:szCs w:val="21"/>
                    </w:rPr>
                    <w:t>储运工程</w:t>
                  </w:r>
                </w:p>
              </w:tc>
              <w:tc>
                <w:tcPr>
                  <w:tcW w:w="1791" w:type="dxa"/>
                  <w:gridSpan w:val="2"/>
                  <w:vAlign w:val="center"/>
                </w:tcPr>
                <w:p>
                  <w:pPr>
                    <w:pStyle w:val="32"/>
                    <w:spacing w:line="360" w:lineRule="exact"/>
                    <w:rPr>
                      <w:color w:val="000000" w:themeColor="text1"/>
                      <w:szCs w:val="21"/>
                    </w:rPr>
                  </w:pPr>
                  <w:r>
                    <w:rPr>
                      <w:color w:val="000000" w:themeColor="text1"/>
                      <w:szCs w:val="21"/>
                    </w:rPr>
                    <w:t>水泥仓</w:t>
                  </w:r>
                </w:p>
              </w:tc>
              <w:tc>
                <w:tcPr>
                  <w:tcW w:w="5015"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区拟设置1个100t水泥仓对水泥砖生产用水泥进行罐装。</w:t>
                  </w:r>
                </w:p>
              </w:tc>
              <w:tc>
                <w:tcPr>
                  <w:tcW w:w="1065" w:type="dxa"/>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2"/>
                    <w:spacing w:line="360" w:lineRule="exact"/>
                    <w:rPr>
                      <w:color w:val="000000" w:themeColor="text1"/>
                      <w:szCs w:val="21"/>
                    </w:rPr>
                  </w:pPr>
                </w:p>
              </w:tc>
              <w:tc>
                <w:tcPr>
                  <w:tcW w:w="1791" w:type="dxa"/>
                  <w:gridSpan w:val="2"/>
                  <w:vAlign w:val="center"/>
                </w:tcPr>
                <w:p>
                  <w:pPr>
                    <w:pStyle w:val="32"/>
                    <w:spacing w:line="360" w:lineRule="exact"/>
                    <w:rPr>
                      <w:color w:val="000000" w:themeColor="text1"/>
                      <w:szCs w:val="21"/>
                    </w:rPr>
                  </w:pPr>
                  <w:r>
                    <w:rPr>
                      <w:color w:val="000000" w:themeColor="text1"/>
                      <w:szCs w:val="21"/>
                    </w:rPr>
                    <w:t>产品堆场</w:t>
                  </w:r>
                </w:p>
              </w:tc>
              <w:tc>
                <w:tcPr>
                  <w:tcW w:w="5015" w:type="dxa"/>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水泥砖直接养护后外运，不单独设置产品堆场</w:t>
                  </w:r>
                  <w:r>
                    <w:rPr>
                      <w:rFonts w:hint="eastAsia"/>
                      <w:color w:val="000000" w:themeColor="text1"/>
                      <w:szCs w:val="21"/>
                    </w:rPr>
                    <w:t>。</w:t>
                  </w:r>
                </w:p>
              </w:tc>
              <w:tc>
                <w:tcPr>
                  <w:tcW w:w="1065" w:type="dxa"/>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shd w:val="clear" w:color="auto" w:fill="auto"/>
                  <w:vAlign w:val="center"/>
                </w:tcPr>
                <w:p>
                  <w:pPr>
                    <w:pStyle w:val="32"/>
                    <w:spacing w:line="360" w:lineRule="exact"/>
                    <w:rPr>
                      <w:color w:val="000000" w:themeColor="text1"/>
                      <w:szCs w:val="21"/>
                    </w:rPr>
                  </w:pPr>
                  <w:r>
                    <w:rPr>
                      <w:color w:val="000000" w:themeColor="text1"/>
                      <w:szCs w:val="21"/>
                    </w:rPr>
                    <w:t>辅助工程</w:t>
                  </w:r>
                </w:p>
              </w:tc>
              <w:tc>
                <w:tcPr>
                  <w:tcW w:w="1791" w:type="dxa"/>
                  <w:gridSpan w:val="2"/>
                  <w:vAlign w:val="center"/>
                </w:tcPr>
                <w:p>
                  <w:pPr>
                    <w:pStyle w:val="32"/>
                    <w:spacing w:line="360" w:lineRule="exact"/>
                    <w:rPr>
                      <w:color w:val="000000" w:themeColor="text1"/>
                      <w:szCs w:val="21"/>
                    </w:rPr>
                  </w:pPr>
                  <w:r>
                    <w:rPr>
                      <w:color w:val="000000" w:themeColor="text1"/>
                      <w:szCs w:val="21"/>
                    </w:rPr>
                    <w:t>办公生活区</w:t>
                  </w:r>
                </w:p>
              </w:tc>
              <w:tc>
                <w:tcPr>
                  <w:tcW w:w="5015" w:type="dxa"/>
                  <w:shd w:val="clear" w:color="auto" w:fill="auto"/>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1065" w:type="dxa"/>
                  <w:vAlign w:val="center"/>
                </w:tcPr>
                <w:p>
                  <w:pPr>
                    <w:pStyle w:val="32"/>
                    <w:spacing w:line="360" w:lineRule="exact"/>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公用工程</w:t>
                  </w:r>
                </w:p>
              </w:tc>
              <w:tc>
                <w:tcPr>
                  <w:tcW w:w="1791" w:type="dxa"/>
                  <w:gridSpan w:val="2"/>
                  <w:vAlign w:val="center"/>
                </w:tcPr>
                <w:p>
                  <w:pPr>
                    <w:pStyle w:val="32"/>
                    <w:spacing w:line="360" w:lineRule="exact"/>
                    <w:rPr>
                      <w:color w:val="000000" w:themeColor="text1"/>
                      <w:szCs w:val="21"/>
                    </w:rPr>
                  </w:pPr>
                  <w:r>
                    <w:rPr>
                      <w:color w:val="000000" w:themeColor="text1"/>
                      <w:szCs w:val="21"/>
                    </w:rPr>
                    <w:t>供电</w:t>
                  </w:r>
                </w:p>
              </w:tc>
              <w:tc>
                <w:tcPr>
                  <w:tcW w:w="5015"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1065"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1" w:type="dxa"/>
                  <w:gridSpan w:val="2"/>
                  <w:vAlign w:val="center"/>
                </w:tcPr>
                <w:p>
                  <w:pPr>
                    <w:pStyle w:val="32"/>
                    <w:spacing w:line="360" w:lineRule="exact"/>
                    <w:rPr>
                      <w:color w:val="000000" w:themeColor="text1"/>
                      <w:szCs w:val="21"/>
                    </w:rPr>
                  </w:pPr>
                  <w:r>
                    <w:rPr>
                      <w:color w:val="000000" w:themeColor="text1"/>
                      <w:szCs w:val="21"/>
                    </w:rPr>
                    <w:t>给水</w:t>
                  </w:r>
                </w:p>
              </w:tc>
              <w:tc>
                <w:tcPr>
                  <w:tcW w:w="5015"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1065"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1" w:type="dxa"/>
                  <w:gridSpan w:val="2"/>
                  <w:vAlign w:val="center"/>
                </w:tcPr>
                <w:p>
                  <w:pPr>
                    <w:pStyle w:val="32"/>
                    <w:spacing w:line="360" w:lineRule="exact"/>
                    <w:rPr>
                      <w:color w:val="000000" w:themeColor="text1"/>
                      <w:szCs w:val="21"/>
                    </w:rPr>
                  </w:pPr>
                  <w:r>
                    <w:rPr>
                      <w:color w:val="000000" w:themeColor="text1"/>
                      <w:szCs w:val="21"/>
                    </w:rPr>
                    <w:t>排水</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根据项目特点，该项目二期工程废水主要为养护废水、初期雨水和生活污水。</w:t>
                  </w:r>
                </w:p>
                <w:p>
                  <w:pPr>
                    <w:pStyle w:val="32"/>
                    <w:spacing w:line="360" w:lineRule="exact"/>
                    <w:ind w:firstLine="210" w:firstLineChars="100"/>
                    <w:jc w:val="both"/>
                    <w:rPr>
                      <w:color w:val="000000" w:themeColor="text1"/>
                      <w:szCs w:val="21"/>
                    </w:rPr>
                  </w:pPr>
                  <w:r>
                    <w:rPr>
                      <w:rFonts w:hint="eastAsia"/>
                      <w:color w:val="000000" w:themeColor="text1"/>
                      <w:szCs w:val="21"/>
                    </w:rPr>
                    <w:t>①</w:t>
                  </w:r>
                  <w:r>
                    <w:rPr>
                      <w:color w:val="000000" w:themeColor="text1"/>
                      <w:szCs w:val="21"/>
                    </w:rPr>
                    <w:t>养护废水</w:t>
                  </w:r>
                </w:p>
                <w:p>
                  <w:pPr>
                    <w:pStyle w:val="32"/>
                    <w:spacing w:line="360" w:lineRule="exact"/>
                    <w:ind w:firstLine="210" w:firstLineChars="100"/>
                    <w:jc w:val="both"/>
                    <w:rPr>
                      <w:color w:val="000000" w:themeColor="text1"/>
                      <w:szCs w:val="21"/>
                    </w:rPr>
                  </w:pPr>
                  <w:r>
                    <w:rPr>
                      <w:color w:val="000000" w:themeColor="text1"/>
                      <w:szCs w:val="21"/>
                    </w:rPr>
                    <w:t>针对养护废水，项目拟设置一个有效容积不低于6m³的养护废水收集池，沉淀后回用于养护场养护，不外排。</w:t>
                  </w:r>
                </w:p>
                <w:p>
                  <w:pPr>
                    <w:pStyle w:val="32"/>
                    <w:spacing w:line="360" w:lineRule="exact"/>
                    <w:ind w:firstLine="210" w:firstLineChars="100"/>
                    <w:jc w:val="both"/>
                    <w:rPr>
                      <w:color w:val="000000" w:themeColor="text1"/>
                      <w:szCs w:val="21"/>
                    </w:rPr>
                  </w:pPr>
                  <w:r>
                    <w:rPr>
                      <w:color w:val="000000" w:themeColor="text1"/>
                      <w:szCs w:val="21"/>
                    </w:rPr>
                    <w:t>②初期雨水</w:t>
                  </w:r>
                </w:p>
                <w:p>
                  <w:pPr>
                    <w:pStyle w:val="32"/>
                    <w:spacing w:line="360" w:lineRule="exact"/>
                    <w:ind w:firstLine="210" w:firstLineChars="100"/>
                    <w:jc w:val="both"/>
                    <w:rPr>
                      <w:color w:val="000000" w:themeColor="text1"/>
                      <w:szCs w:val="21"/>
                    </w:rPr>
                  </w:pPr>
                  <w:r>
                    <w:rPr>
                      <w:color w:val="000000" w:themeColor="text1"/>
                      <w:szCs w:val="21"/>
                    </w:rPr>
                    <w:t>项目拟采取雨污分流，因此</w:t>
                  </w:r>
                  <w:r>
                    <w:rPr>
                      <w:rFonts w:hint="eastAsia"/>
                      <w:color w:val="000000" w:themeColor="text1"/>
                      <w:szCs w:val="21"/>
                    </w:rPr>
                    <w:t>二期工程拟配套设置1个有效容积为5m³的初期雨水收集池对厂区二期范围初期雨水进行收集</w:t>
                  </w:r>
                  <w:r>
                    <w:rPr>
                      <w:color w:val="000000" w:themeColor="text1"/>
                      <w:szCs w:val="21"/>
                    </w:rPr>
                    <w:t>；收集后用于该项目生产</w:t>
                  </w:r>
                  <w:r>
                    <w:rPr>
                      <w:rFonts w:hint="eastAsia"/>
                      <w:color w:val="000000" w:themeColor="text1"/>
                      <w:szCs w:val="21"/>
                    </w:rPr>
                    <w:t>，</w:t>
                  </w:r>
                  <w:r>
                    <w:rPr>
                      <w:color w:val="000000" w:themeColor="text1"/>
                      <w:szCs w:val="21"/>
                    </w:rPr>
                    <w:t>不外排。</w:t>
                  </w:r>
                </w:p>
                <w:p>
                  <w:pPr>
                    <w:pStyle w:val="32"/>
                    <w:spacing w:line="360" w:lineRule="exact"/>
                    <w:ind w:firstLine="210" w:firstLineChars="100"/>
                    <w:jc w:val="both"/>
                    <w:rPr>
                      <w:color w:val="000000" w:themeColor="text1"/>
                      <w:szCs w:val="21"/>
                    </w:rPr>
                  </w:pPr>
                  <w:r>
                    <w:rPr>
                      <w:color w:val="000000" w:themeColor="text1"/>
                      <w:szCs w:val="21"/>
                    </w:rPr>
                    <w:t>③生活污水</w:t>
                  </w:r>
                </w:p>
                <w:p>
                  <w:pPr>
                    <w:pStyle w:val="32"/>
                    <w:spacing w:line="360" w:lineRule="exact"/>
                    <w:ind w:firstLine="210" w:firstLineChars="100"/>
                    <w:jc w:val="both"/>
                    <w:rPr>
                      <w:color w:val="000000" w:themeColor="text1"/>
                      <w:szCs w:val="21"/>
                    </w:rPr>
                  </w:pPr>
                  <w:r>
                    <w:rPr>
                      <w:color w:val="000000" w:themeColor="text1"/>
                      <w:szCs w:val="21"/>
                    </w:rPr>
                    <w:t>根据调查，项目区域未配套建设污水管网，不具备排水条件，项目拟配套设置化粪池和一体化污水处理设施对生活污水进行处理达到《城市污水再生利用 城市杂用水水质》（GB/T18920-2020）城市绿化标准后，回用于项目区绿化，不外排。</w:t>
                  </w:r>
                </w:p>
              </w:tc>
              <w:tc>
                <w:tcPr>
                  <w:tcW w:w="1065" w:type="dxa"/>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2"/>
                    <w:spacing w:line="360" w:lineRule="exact"/>
                    <w:rPr>
                      <w:color w:val="000000" w:themeColor="text1"/>
                      <w:szCs w:val="21"/>
                    </w:rPr>
                  </w:pPr>
                  <w:r>
                    <w:rPr>
                      <w:color w:val="000000" w:themeColor="text1"/>
                      <w:szCs w:val="21"/>
                    </w:rPr>
                    <w:t>环保工程</w:t>
                  </w:r>
                </w:p>
              </w:tc>
              <w:tc>
                <w:tcPr>
                  <w:tcW w:w="721" w:type="dxa"/>
                  <w:vMerge w:val="restart"/>
                  <w:vAlign w:val="center"/>
                </w:tcPr>
                <w:p>
                  <w:pPr>
                    <w:pStyle w:val="32"/>
                    <w:spacing w:line="360" w:lineRule="exact"/>
                    <w:rPr>
                      <w:color w:val="000000" w:themeColor="text1"/>
                      <w:szCs w:val="21"/>
                    </w:rPr>
                  </w:pPr>
                  <w:r>
                    <w:rPr>
                      <w:color w:val="000000" w:themeColor="text1"/>
                      <w:szCs w:val="21"/>
                    </w:rPr>
                    <w:t>废气</w:t>
                  </w:r>
                </w:p>
              </w:tc>
              <w:tc>
                <w:tcPr>
                  <w:tcW w:w="1070" w:type="dxa"/>
                  <w:vAlign w:val="center"/>
                </w:tcPr>
                <w:p>
                  <w:pPr>
                    <w:pStyle w:val="32"/>
                    <w:spacing w:line="360" w:lineRule="exact"/>
                    <w:rPr>
                      <w:color w:val="000000" w:themeColor="text1"/>
                      <w:szCs w:val="21"/>
                    </w:rPr>
                  </w:pPr>
                  <w:r>
                    <w:rPr>
                      <w:color w:val="000000" w:themeColor="text1"/>
                      <w:szCs w:val="21"/>
                    </w:rPr>
                    <w:t>集气罩</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水泥砖生产线搅拌混合过程中会产生粉尘，因此项目拟对该工序产尘点进行密闭，并设置集气罩，将粉尘进行有效收集。</w:t>
                  </w:r>
                </w:p>
                <w:p>
                  <w:pPr>
                    <w:pStyle w:val="32"/>
                    <w:spacing w:line="360" w:lineRule="exact"/>
                    <w:ind w:firstLine="210" w:firstLineChars="100"/>
                    <w:jc w:val="both"/>
                    <w:rPr>
                      <w:color w:val="000000" w:themeColor="text1"/>
                      <w:szCs w:val="21"/>
                    </w:rPr>
                  </w:pPr>
                  <w:r>
                    <w:rPr>
                      <w:color w:val="000000" w:themeColor="text1"/>
                      <w:szCs w:val="21"/>
                    </w:rPr>
                    <w:t>项目共设置1个集气罩，集气效率不低于90%，集气罩风量为5000m³/h。</w:t>
                  </w:r>
                </w:p>
              </w:tc>
              <w:tc>
                <w:tcPr>
                  <w:tcW w:w="1065" w:type="dxa"/>
                  <w:vAlign w:val="center"/>
                </w:tcPr>
                <w:p>
                  <w:pPr>
                    <w:pStyle w:val="32"/>
                    <w:spacing w:line="360" w:lineRule="exact"/>
                    <w:rPr>
                      <w:color w:val="000000" w:themeColor="text1"/>
                      <w:szCs w:val="21"/>
                      <w:highlight w:val="yellow"/>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袋式除尘器</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二期工程</w:t>
                  </w:r>
                  <w:r>
                    <w:rPr>
                      <w:color w:val="000000" w:themeColor="text1"/>
                      <w:szCs w:val="21"/>
                    </w:rPr>
                    <w:t>袋式除尘器设置于水泥砖生产线水泥仓和搅拌混合两工段。</w:t>
                  </w:r>
                </w:p>
                <w:p>
                  <w:pPr>
                    <w:pStyle w:val="32"/>
                    <w:spacing w:line="360" w:lineRule="exact"/>
                    <w:ind w:firstLine="210" w:firstLineChars="100"/>
                    <w:jc w:val="both"/>
                    <w:rPr>
                      <w:color w:val="000000" w:themeColor="text1"/>
                      <w:szCs w:val="21"/>
                    </w:rPr>
                  </w:pPr>
                  <w:r>
                    <w:rPr>
                      <w:color w:val="000000" w:themeColor="text1"/>
                      <w:szCs w:val="21"/>
                    </w:rPr>
                    <w:t>①1#袋式除尘器</w:t>
                  </w:r>
                </w:p>
                <w:p>
                  <w:pPr>
                    <w:pStyle w:val="32"/>
                    <w:spacing w:line="360" w:lineRule="exact"/>
                    <w:ind w:firstLine="210" w:firstLineChars="100"/>
                    <w:jc w:val="both"/>
                    <w:rPr>
                      <w:color w:val="000000" w:themeColor="text1"/>
                      <w:szCs w:val="21"/>
                    </w:rPr>
                  </w:pPr>
                  <w:r>
                    <w:rPr>
                      <w:color w:val="000000" w:themeColor="text1"/>
                      <w:szCs w:val="21"/>
                    </w:rPr>
                    <w:t>根据设计，水泥在装卸、储存、输送过程会产生一定量粉尘，水泥仓顶端设置1#袋式除尘器对其处理后通过（DA001）外排。</w:t>
                  </w:r>
                </w:p>
                <w:p>
                  <w:pPr>
                    <w:pStyle w:val="32"/>
                    <w:spacing w:line="360" w:lineRule="exact"/>
                    <w:ind w:firstLine="210" w:firstLineChars="100"/>
                    <w:jc w:val="both"/>
                    <w:rPr>
                      <w:color w:val="000000" w:themeColor="text1"/>
                      <w:szCs w:val="21"/>
                    </w:rPr>
                  </w:pPr>
                  <w:r>
                    <w:rPr>
                      <w:color w:val="000000" w:themeColor="text1"/>
                      <w:szCs w:val="21"/>
                    </w:rPr>
                    <w:t>②2#袋式除尘器</w:t>
                  </w:r>
                </w:p>
                <w:p>
                  <w:pPr>
                    <w:pStyle w:val="32"/>
                    <w:spacing w:line="360" w:lineRule="exact"/>
                    <w:ind w:firstLine="210" w:firstLineChars="100"/>
                    <w:jc w:val="both"/>
                    <w:rPr>
                      <w:color w:val="000000" w:themeColor="text1"/>
                      <w:szCs w:val="21"/>
                    </w:rPr>
                  </w:pPr>
                  <w:r>
                    <w:rPr>
                      <w:color w:val="000000" w:themeColor="text1"/>
                      <w:szCs w:val="21"/>
                    </w:rPr>
                    <w:t>根据设计，针对搅拌混合工序的粉尘，项目拟对该工序产尘点配套设置了集气罩，将其有效统一收集后，通过1台2#袋式除尘器进行处理，处理后通过1根15m高排气筒（DA002）外排。</w:t>
                  </w:r>
                </w:p>
                <w:p>
                  <w:pPr>
                    <w:pStyle w:val="32"/>
                    <w:spacing w:line="360" w:lineRule="exact"/>
                    <w:ind w:firstLine="210" w:firstLineChars="100"/>
                    <w:jc w:val="both"/>
                    <w:rPr>
                      <w:color w:val="000000" w:themeColor="text1"/>
                      <w:szCs w:val="21"/>
                    </w:rPr>
                  </w:pPr>
                  <w:r>
                    <w:rPr>
                      <w:color w:val="000000" w:themeColor="text1"/>
                      <w:szCs w:val="21"/>
                    </w:rPr>
                    <w:t>根据《排放源统计调查产排污核算方法和系数手册》中“3021水泥制品制造行业系数手册”，上述两工序袋式除尘器的平均除尘效率为99.7%。</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排气筒</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根据设计，项目</w:t>
                  </w:r>
                  <w:r>
                    <w:rPr>
                      <w:rFonts w:hint="eastAsia"/>
                      <w:color w:val="000000" w:themeColor="text1"/>
                      <w:szCs w:val="21"/>
                    </w:rPr>
                    <w:t>二期工程</w:t>
                  </w:r>
                  <w:r>
                    <w:rPr>
                      <w:color w:val="000000" w:themeColor="text1"/>
                      <w:szCs w:val="21"/>
                    </w:rPr>
                    <w:t>拟配套设置1个排气口和1根排气筒，具体如下：</w:t>
                  </w:r>
                </w:p>
                <w:p>
                  <w:pPr>
                    <w:pStyle w:val="32"/>
                    <w:spacing w:line="360" w:lineRule="exact"/>
                    <w:ind w:firstLine="210" w:firstLineChars="100"/>
                    <w:jc w:val="both"/>
                    <w:rPr>
                      <w:color w:val="000000" w:themeColor="text1"/>
                      <w:szCs w:val="21"/>
                    </w:rPr>
                  </w:pPr>
                  <w:r>
                    <w:rPr>
                      <w:color w:val="000000" w:themeColor="text1"/>
                      <w:szCs w:val="21"/>
                    </w:rPr>
                    <w:t>①排气口编号为：DA001，为水泥仓</w:t>
                  </w:r>
                  <w:r>
                    <w:rPr>
                      <w:rFonts w:hint="eastAsia"/>
                      <w:color w:val="000000" w:themeColor="text1"/>
                      <w:szCs w:val="21"/>
                    </w:rPr>
                    <w:t>1#</w:t>
                  </w:r>
                  <w:r>
                    <w:rPr>
                      <w:color w:val="000000" w:themeColor="text1"/>
                      <w:szCs w:val="21"/>
                    </w:rPr>
                    <w:t>袋式除尘器处理后的排气口，该排气口Φ0.2m、离地高为15m，排放水泥仓经袋式除尘器处理后的粉尘。</w:t>
                  </w:r>
                </w:p>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②</w:t>
                  </w:r>
                  <w:r>
                    <w:rPr>
                      <w:color w:val="000000" w:themeColor="text1"/>
                      <w:szCs w:val="21"/>
                    </w:rPr>
                    <w:t>排气筒编号为：DA002，排气筒Φ0.4m，高15m，</w:t>
                  </w:r>
                  <w:r>
                    <w:rPr>
                      <w:rFonts w:hint="eastAsia"/>
                      <w:color w:val="000000" w:themeColor="text1"/>
                      <w:szCs w:val="21"/>
                    </w:rPr>
                    <w:t>排放2#</w:t>
                  </w:r>
                  <w:r>
                    <w:rPr>
                      <w:color w:val="000000" w:themeColor="text1"/>
                      <w:szCs w:val="21"/>
                    </w:rPr>
                    <w:t>袋式除尘器处理后的</w:t>
                  </w:r>
                  <w:r>
                    <w:rPr>
                      <w:rFonts w:hint="eastAsia"/>
                      <w:color w:val="000000" w:themeColor="text1"/>
                      <w:szCs w:val="21"/>
                    </w:rPr>
                    <w:t>粉尘</w:t>
                  </w:r>
                  <w:r>
                    <w:rPr>
                      <w:color w:val="000000" w:themeColor="text1"/>
                      <w:szCs w:val="21"/>
                    </w:rPr>
                    <w:t>。</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1791" w:type="dxa"/>
                  <w:gridSpan w:val="2"/>
                  <w:vAlign w:val="center"/>
                </w:tcPr>
                <w:p>
                  <w:pPr>
                    <w:pStyle w:val="32"/>
                    <w:spacing w:line="360" w:lineRule="exact"/>
                    <w:rPr>
                      <w:color w:val="000000" w:themeColor="text1"/>
                      <w:szCs w:val="21"/>
                    </w:rPr>
                  </w:pPr>
                  <w:r>
                    <w:rPr>
                      <w:color w:val="000000" w:themeColor="text1"/>
                      <w:szCs w:val="21"/>
                    </w:rPr>
                    <w:t>雨污分流</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根据调查，项目区已设置了雨污分流设施。</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restart"/>
                  <w:vAlign w:val="center"/>
                </w:tcPr>
                <w:p>
                  <w:pPr>
                    <w:pStyle w:val="32"/>
                    <w:spacing w:line="360" w:lineRule="exact"/>
                    <w:rPr>
                      <w:color w:val="000000" w:themeColor="text1"/>
                      <w:szCs w:val="21"/>
                    </w:rPr>
                  </w:pPr>
                  <w:r>
                    <w:rPr>
                      <w:color w:val="000000" w:themeColor="text1"/>
                      <w:szCs w:val="21"/>
                    </w:rPr>
                    <w:t>废水</w:t>
                  </w:r>
                </w:p>
              </w:tc>
              <w:tc>
                <w:tcPr>
                  <w:tcW w:w="1070" w:type="dxa"/>
                  <w:vAlign w:val="center"/>
                </w:tcPr>
                <w:p>
                  <w:pPr>
                    <w:pStyle w:val="32"/>
                    <w:spacing w:line="360" w:lineRule="exact"/>
                    <w:rPr>
                      <w:color w:val="000000" w:themeColor="text1"/>
                      <w:szCs w:val="21"/>
                    </w:rPr>
                  </w:pPr>
                  <w:r>
                    <w:rPr>
                      <w:color w:val="000000" w:themeColor="text1"/>
                      <w:szCs w:val="21"/>
                    </w:rPr>
                    <w:t>养护废水处理系统</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养护废水处理系统由养护废水收集池和回水管道组成。</w:t>
                  </w:r>
                </w:p>
                <w:p>
                  <w:pPr>
                    <w:pStyle w:val="32"/>
                    <w:spacing w:line="360" w:lineRule="exact"/>
                    <w:ind w:firstLine="210" w:firstLineChars="100"/>
                    <w:jc w:val="both"/>
                    <w:rPr>
                      <w:color w:val="000000" w:themeColor="text1"/>
                      <w:szCs w:val="21"/>
                    </w:rPr>
                  </w:pPr>
                  <w:r>
                    <w:rPr>
                      <w:color w:val="000000" w:themeColor="text1"/>
                      <w:szCs w:val="21"/>
                    </w:rPr>
                    <w:t>该项目拟设置1个有效容积为6m³的养护废水收集池对其进行收集后，返回养护工序使用，不外排。</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rFonts w:hint="eastAsia"/>
                      <w:color w:val="000000" w:themeColor="text1"/>
                      <w:szCs w:val="21"/>
                    </w:rPr>
                    <w:t>二期工程</w:t>
                  </w:r>
                  <w:r>
                    <w:rPr>
                      <w:color w:val="000000" w:themeColor="text1"/>
                      <w:szCs w:val="21"/>
                    </w:rPr>
                    <w:t>初期雨水收集系统</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根据设计，项目</w:t>
                  </w:r>
                  <w:r>
                    <w:rPr>
                      <w:rFonts w:hint="eastAsia"/>
                      <w:color w:val="000000" w:themeColor="text1"/>
                      <w:szCs w:val="21"/>
                    </w:rPr>
                    <w:t>二期工程</w:t>
                  </w:r>
                  <w:r>
                    <w:rPr>
                      <w:color w:val="000000" w:themeColor="text1"/>
                      <w:szCs w:val="21"/>
                    </w:rPr>
                    <w:t>拟设置初期雨水处理系统对初期雨水进行处理，该系统由截排水沟和初期雨水收集池组成，具体如下：</w:t>
                  </w:r>
                </w:p>
                <w:p>
                  <w:pPr>
                    <w:pStyle w:val="32"/>
                    <w:spacing w:line="360" w:lineRule="exact"/>
                    <w:ind w:firstLine="210" w:firstLineChars="100"/>
                    <w:jc w:val="both"/>
                    <w:rPr>
                      <w:color w:val="000000" w:themeColor="text1"/>
                      <w:szCs w:val="21"/>
                    </w:rPr>
                  </w:pPr>
                  <w:r>
                    <w:rPr>
                      <w:color w:val="000000" w:themeColor="text1"/>
                      <w:szCs w:val="21"/>
                    </w:rPr>
                    <w:t>①截排水沟</w:t>
                  </w:r>
                </w:p>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二期工程</w:t>
                  </w:r>
                  <w:r>
                    <w:rPr>
                      <w:color w:val="000000" w:themeColor="text1"/>
                      <w:szCs w:val="21"/>
                    </w:rPr>
                    <w:t>为了防止雨天地表径流进入生产区，使项目区域砂石料流失，造成环境污染，项目拟在厂房外围及厂区周围设置截排水沟对雨天厂区产生的初期雨水及地表径流进行疏导。</w:t>
                  </w:r>
                </w:p>
                <w:p>
                  <w:pPr>
                    <w:pStyle w:val="32"/>
                    <w:spacing w:line="360" w:lineRule="exact"/>
                    <w:ind w:firstLine="210" w:firstLineChars="100"/>
                    <w:jc w:val="both"/>
                    <w:rPr>
                      <w:color w:val="000000" w:themeColor="text1"/>
                      <w:szCs w:val="21"/>
                    </w:rPr>
                  </w:pPr>
                  <w:r>
                    <w:rPr>
                      <w:color w:val="000000" w:themeColor="text1"/>
                      <w:szCs w:val="21"/>
                    </w:rPr>
                    <w:t>②初期雨水收集池</w:t>
                  </w:r>
                </w:p>
                <w:p>
                  <w:pPr>
                    <w:pStyle w:val="32"/>
                    <w:spacing w:line="360" w:lineRule="exact"/>
                    <w:ind w:firstLine="210" w:firstLineChars="100"/>
                    <w:jc w:val="both"/>
                    <w:rPr>
                      <w:color w:val="000000" w:themeColor="text1"/>
                      <w:szCs w:val="21"/>
                    </w:rPr>
                  </w:pPr>
                  <w:r>
                    <w:rPr>
                      <w:color w:val="000000" w:themeColor="text1"/>
                      <w:szCs w:val="21"/>
                    </w:rPr>
                    <w:t>该项目</w:t>
                  </w:r>
                  <w:r>
                    <w:rPr>
                      <w:rFonts w:hint="eastAsia"/>
                      <w:color w:val="000000" w:themeColor="text1"/>
                      <w:szCs w:val="21"/>
                    </w:rPr>
                    <w:t>二期工程</w:t>
                  </w:r>
                  <w:r>
                    <w:rPr>
                      <w:color w:val="000000" w:themeColor="text1"/>
                      <w:szCs w:val="21"/>
                    </w:rPr>
                    <w:t>拟配套设置1个有效容积为</w:t>
                  </w:r>
                  <w:r>
                    <w:rPr>
                      <w:rFonts w:hint="eastAsia"/>
                      <w:color w:val="000000" w:themeColor="text1"/>
                      <w:szCs w:val="21"/>
                    </w:rPr>
                    <w:t>5</w:t>
                  </w:r>
                  <w:r>
                    <w:rPr>
                      <w:color w:val="000000" w:themeColor="text1"/>
                      <w:szCs w:val="21"/>
                    </w:rPr>
                    <w:t>m³的初期雨水收集池对厂区</w:t>
                  </w:r>
                  <w:r>
                    <w:rPr>
                      <w:rFonts w:hint="eastAsia"/>
                      <w:color w:val="000000" w:themeColor="text1"/>
                      <w:szCs w:val="21"/>
                    </w:rPr>
                    <w:t>二期工程范围</w:t>
                  </w:r>
                  <w:r>
                    <w:rPr>
                      <w:color w:val="000000" w:themeColor="text1"/>
                      <w:szCs w:val="21"/>
                    </w:rPr>
                    <w:t>的初期雨水进行收集</w:t>
                  </w:r>
                  <w:r>
                    <w:rPr>
                      <w:rFonts w:hint="eastAsia"/>
                      <w:color w:val="000000" w:themeColor="text1"/>
                      <w:szCs w:val="21"/>
                    </w:rPr>
                    <w:t>，</w:t>
                  </w:r>
                  <w:r>
                    <w:rPr>
                      <w:color w:val="000000" w:themeColor="text1"/>
                      <w:szCs w:val="21"/>
                    </w:rPr>
                    <w:t>收集后用于该项目生产用水，不外排。</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地下水防渗</w:t>
                  </w:r>
                </w:p>
              </w:tc>
              <w:tc>
                <w:tcPr>
                  <w:tcW w:w="10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重点防渗区</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项目重点防渗区为危险废物贮存间</w:t>
                  </w: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1065" w:type="dxa"/>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rFonts w:eastAsiaTheme="minorEastAsia"/>
                      <w:color w:val="000000" w:themeColor="text1"/>
                      <w:szCs w:val="21"/>
                    </w:rPr>
                  </w:pPr>
                </w:p>
              </w:tc>
              <w:tc>
                <w:tcPr>
                  <w:tcW w:w="10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一般防渗区</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根据分区防渗规范要求，项目</w:t>
                  </w:r>
                  <w:r>
                    <w:rPr>
                      <w:rFonts w:hint="eastAsia"/>
                      <w:color w:val="000000" w:themeColor="text1"/>
                      <w:szCs w:val="21"/>
                    </w:rPr>
                    <w:t>二期工程</w:t>
                  </w:r>
                  <w:r>
                    <w:rPr>
                      <w:color w:val="000000" w:themeColor="text1"/>
                      <w:szCs w:val="21"/>
                    </w:rPr>
                    <w:t>生产区、养护废水处理系统、</w:t>
                  </w:r>
                  <w:r>
                    <w:rPr>
                      <w:rFonts w:hint="eastAsia"/>
                      <w:color w:val="000000" w:themeColor="text1"/>
                      <w:szCs w:val="21"/>
                    </w:rPr>
                    <w:t>二期工程</w:t>
                  </w:r>
                  <w:r>
                    <w:rPr>
                      <w:color w:val="000000" w:themeColor="text1"/>
                      <w:szCs w:val="21"/>
                    </w:rPr>
                    <w:t>初期雨水收集系统区域划定为一般防渗区，一般防渗区措施在地面采取粘土铺底，并在上层铺30cm的混凝土进行硬化。确保防渗性能，使其渗透系数≤1.0×10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Align w:val="center"/>
                </w:tcPr>
                <w:p>
                  <w:pPr>
                    <w:pStyle w:val="32"/>
                    <w:spacing w:line="360" w:lineRule="exact"/>
                    <w:rPr>
                      <w:color w:val="000000" w:themeColor="text1"/>
                      <w:szCs w:val="21"/>
                    </w:rPr>
                  </w:pPr>
                  <w:r>
                    <w:rPr>
                      <w:color w:val="000000" w:themeColor="text1"/>
                      <w:szCs w:val="21"/>
                    </w:rPr>
                    <w:t>噪声</w:t>
                  </w:r>
                </w:p>
              </w:tc>
              <w:tc>
                <w:tcPr>
                  <w:tcW w:w="1070" w:type="dxa"/>
                  <w:vAlign w:val="center"/>
                </w:tcPr>
                <w:p>
                  <w:pPr>
                    <w:pStyle w:val="32"/>
                    <w:spacing w:line="360" w:lineRule="exact"/>
                    <w:rPr>
                      <w:color w:val="000000" w:themeColor="text1"/>
                      <w:szCs w:val="21"/>
                    </w:rPr>
                  </w:pPr>
                  <w:r>
                    <w:rPr>
                      <w:color w:val="000000" w:themeColor="text1"/>
                      <w:szCs w:val="21"/>
                    </w:rPr>
                    <w:t>设备噪声</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restart"/>
                  <w:vAlign w:val="center"/>
                </w:tcPr>
                <w:p>
                  <w:pPr>
                    <w:pStyle w:val="32"/>
                    <w:spacing w:line="360" w:lineRule="exact"/>
                    <w:rPr>
                      <w:color w:val="000000" w:themeColor="text1"/>
                      <w:szCs w:val="21"/>
                    </w:rPr>
                  </w:pPr>
                  <w:r>
                    <w:rPr>
                      <w:color w:val="000000" w:themeColor="text1"/>
                      <w:szCs w:val="21"/>
                    </w:rPr>
                    <w:t>固废</w:t>
                  </w:r>
                </w:p>
              </w:tc>
              <w:tc>
                <w:tcPr>
                  <w:tcW w:w="1070" w:type="dxa"/>
                  <w:vAlign w:val="center"/>
                </w:tcPr>
                <w:p>
                  <w:pPr>
                    <w:pStyle w:val="32"/>
                    <w:spacing w:line="360" w:lineRule="exact"/>
                    <w:rPr>
                      <w:color w:val="000000" w:themeColor="text1"/>
                      <w:szCs w:val="21"/>
                    </w:rPr>
                  </w:pPr>
                  <w:r>
                    <w:rPr>
                      <w:color w:val="000000" w:themeColor="text1"/>
                      <w:szCs w:val="21"/>
                    </w:rPr>
                    <w:t>危险废物贮存间</w:t>
                  </w:r>
                </w:p>
              </w:tc>
              <w:tc>
                <w:tcPr>
                  <w:tcW w:w="5015" w:type="dxa"/>
                  <w:vAlign w:val="center"/>
                </w:tcPr>
                <w:p>
                  <w:pPr>
                    <w:pStyle w:val="32"/>
                    <w:spacing w:line="360" w:lineRule="exact"/>
                    <w:ind w:firstLine="210" w:firstLineChars="100"/>
                    <w:jc w:val="both"/>
                    <w:rPr>
                      <w:color w:val="000000" w:themeColor="text1"/>
                    </w:rPr>
                  </w:pPr>
                  <w:r>
                    <w:rPr>
                      <w:color w:val="000000" w:themeColor="text1"/>
                      <w:szCs w:val="21"/>
                    </w:rPr>
                    <w:t>危险废物贮存间</w:t>
                  </w: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1065" w:type="dxa"/>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生活垃圾桶</w:t>
                  </w:r>
                </w:p>
              </w:tc>
              <w:tc>
                <w:tcPr>
                  <w:tcW w:w="5015" w:type="dxa"/>
                  <w:vAlign w:val="center"/>
                </w:tcPr>
                <w:p>
                  <w:pPr>
                    <w:pStyle w:val="32"/>
                    <w:spacing w:line="360" w:lineRule="exact"/>
                    <w:ind w:firstLine="210" w:firstLineChars="100"/>
                    <w:jc w:val="both"/>
                    <w:rPr>
                      <w:color w:val="000000" w:themeColor="text1"/>
                    </w:rPr>
                  </w:pPr>
                  <w:r>
                    <w:rPr>
                      <w:color w:val="000000" w:themeColor="text1"/>
                      <w:szCs w:val="21"/>
                    </w:rPr>
                    <w:t>生活垃圾桶</w:t>
                  </w: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1065" w:type="dxa"/>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restart"/>
                  <w:vAlign w:val="center"/>
                </w:tcPr>
                <w:p>
                  <w:pPr>
                    <w:pStyle w:val="32"/>
                    <w:spacing w:line="360" w:lineRule="exact"/>
                    <w:rPr>
                      <w:color w:val="000000" w:themeColor="text1"/>
                      <w:szCs w:val="21"/>
                    </w:rPr>
                  </w:pPr>
                  <w:r>
                    <w:rPr>
                      <w:color w:val="000000" w:themeColor="text1"/>
                      <w:szCs w:val="21"/>
                    </w:rPr>
                    <w:t>其他</w:t>
                  </w:r>
                </w:p>
              </w:tc>
              <w:tc>
                <w:tcPr>
                  <w:tcW w:w="1070" w:type="dxa"/>
                  <w:vAlign w:val="center"/>
                </w:tcPr>
                <w:p>
                  <w:pPr>
                    <w:pStyle w:val="32"/>
                    <w:spacing w:line="360" w:lineRule="exact"/>
                    <w:rPr>
                      <w:color w:val="000000" w:themeColor="text1"/>
                      <w:szCs w:val="21"/>
                    </w:rPr>
                  </w:pPr>
                  <w:r>
                    <w:rPr>
                      <w:color w:val="000000" w:themeColor="text1"/>
                      <w:szCs w:val="21"/>
                    </w:rPr>
                    <w:t>标识牌</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1065" w:type="dxa"/>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2"/>
                    <w:spacing w:line="360" w:lineRule="exact"/>
                    <w:rPr>
                      <w:color w:val="000000" w:themeColor="text1"/>
                      <w:szCs w:val="21"/>
                    </w:rPr>
                  </w:pPr>
                </w:p>
              </w:tc>
              <w:tc>
                <w:tcPr>
                  <w:tcW w:w="721" w:type="dxa"/>
                  <w:vMerge w:val="continue"/>
                  <w:vAlign w:val="center"/>
                </w:tcPr>
                <w:p>
                  <w:pPr>
                    <w:pStyle w:val="32"/>
                    <w:spacing w:line="360" w:lineRule="exact"/>
                    <w:rPr>
                      <w:color w:val="000000" w:themeColor="text1"/>
                      <w:szCs w:val="21"/>
                    </w:rPr>
                  </w:pPr>
                </w:p>
              </w:tc>
              <w:tc>
                <w:tcPr>
                  <w:tcW w:w="1070" w:type="dxa"/>
                  <w:vAlign w:val="center"/>
                </w:tcPr>
                <w:p>
                  <w:pPr>
                    <w:pStyle w:val="32"/>
                    <w:spacing w:line="360" w:lineRule="exact"/>
                    <w:rPr>
                      <w:color w:val="000000" w:themeColor="text1"/>
                      <w:szCs w:val="21"/>
                    </w:rPr>
                  </w:pPr>
                  <w:r>
                    <w:rPr>
                      <w:color w:val="000000" w:themeColor="text1"/>
                      <w:szCs w:val="21"/>
                    </w:rPr>
                    <w:t>绿化</w:t>
                  </w:r>
                </w:p>
              </w:tc>
              <w:tc>
                <w:tcPr>
                  <w:tcW w:w="5015" w:type="dxa"/>
                  <w:vAlign w:val="center"/>
                </w:tcPr>
                <w:p>
                  <w:pPr>
                    <w:pStyle w:val="32"/>
                    <w:spacing w:line="360" w:lineRule="exact"/>
                    <w:ind w:firstLine="210" w:firstLineChars="100"/>
                    <w:jc w:val="both"/>
                    <w:rPr>
                      <w:color w:val="000000" w:themeColor="text1"/>
                      <w:szCs w:val="21"/>
                    </w:rPr>
                  </w:pPr>
                  <w:r>
                    <w:rPr>
                      <w:color w:val="000000" w:themeColor="text1"/>
                      <w:szCs w:val="21"/>
                    </w:rPr>
                    <w:t>绿化</w:t>
                  </w: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1065" w:type="dxa"/>
                  <w:vAlign w:val="center"/>
                </w:tcPr>
                <w:p>
                  <w:pPr>
                    <w:pStyle w:val="32"/>
                    <w:spacing w:line="360" w:lineRule="exact"/>
                    <w:rPr>
                      <w:color w:val="000000" w:themeColor="text1"/>
                      <w:szCs w:val="21"/>
                    </w:rPr>
                  </w:pPr>
                  <w:r>
                    <w:rPr>
                      <w:color w:val="000000" w:themeColor="text1"/>
                      <w:szCs w:val="21"/>
                    </w:rPr>
                    <w:t>设计提出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根据设计，项目共设置两条生产线</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砂石骨料生产线和水泥砖生产线</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分两期建设，</w:t>
            </w:r>
            <w:r>
              <w:rPr>
                <w:rFonts w:ascii="Times New Roman" w:hAnsi="Times New Roman" w:cs="Times New Roman"/>
                <w:color w:val="000000" w:themeColor="text1"/>
                <w:sz w:val="24"/>
                <w:szCs w:val="24"/>
              </w:rPr>
              <w:t>按照场地的结构进行布置，</w:t>
            </w:r>
            <w:r>
              <w:rPr>
                <w:rFonts w:hint="eastAsia" w:ascii="Times New Roman" w:hAnsi="Times New Roman" w:cs="Times New Roman"/>
                <w:color w:val="000000" w:themeColor="text1"/>
                <w:sz w:val="24"/>
                <w:szCs w:val="24"/>
              </w:rPr>
              <w:t>具体如下：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2.2.1 一期工程平面布置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一期工程建设</w:t>
            </w:r>
            <w:r>
              <w:rPr>
                <w:rFonts w:ascii="Times New Roman" w:hAnsi="Times New Roman" w:cs="Times New Roman"/>
                <w:color w:val="000000" w:themeColor="text1"/>
                <w:sz w:val="24"/>
                <w:szCs w:val="24"/>
              </w:rPr>
              <w:t>砂石骨料生产线位于项目区南侧、办公生活区位于项目区西侧。在砂石骨料生产线中废石堆场、破碎筛分车间、洗砂车间和产品堆场（1#料场、2#料场和3#料场）由南向北布设，项目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配套的环保设施均位于相应主体或辅助工程旁。根据项目特点可知，该项目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生产工艺的平面布置对环境影响不大，因此项目平面布置合理。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2.2.2 二期工程平面布置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二期工程建设</w:t>
            </w:r>
            <w:r>
              <w:rPr>
                <w:rFonts w:ascii="Times New Roman" w:hAnsi="Times New Roman" w:cs="Times New Roman"/>
                <w:color w:val="000000" w:themeColor="text1"/>
                <w:sz w:val="24"/>
                <w:szCs w:val="24"/>
              </w:rPr>
              <w:t>水泥砖生产线位于项目区北侧，而水泥砖生产线中水泥仓、搅拌混合车间、成型车间和养护区由西向东布设。项目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配套的环保设施均位于相应主体工程旁。根据项目特点可知，该项目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生产工艺的平面布置对环境影响不大，因此项目平面布置合理。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项目生产车间平面布置详见附图2  项目区平面布置示意图。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2.3.1 一期工程产品</w:t>
            </w:r>
            <w:r>
              <w:rPr>
                <w:rFonts w:ascii="Times New Roman" w:hAnsi="Times New Roman" w:cs="Times New Roman"/>
                <w:b/>
                <w:color w:val="000000" w:themeColor="text1"/>
                <w:sz w:val="24"/>
                <w:szCs w:val="24"/>
              </w:rPr>
              <w:t>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主要产品包括砂石骨料。根据设计，项目生产砂石骨料90万t/a（包括制砖砂（Φ0-5mm）20万t/a、制砖砂（Φ0-7mm）20万t/a和公分石（Φ20-30mm）50万t/a）；项目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主要产品及产能具体如下表所示。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表2.3</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-1 项目</w:t>
            </w:r>
            <w:r>
              <w:rPr>
                <w:rFonts w:hint="eastAsia" w:hAnsi="Times New Roman" w:eastAsiaTheme="minorEastAsia"/>
                <w:bCs/>
                <w:snapToGrid w:val="0"/>
                <w:color w:val="000000" w:themeColor="text1"/>
                <w:sz w:val="21"/>
                <w:szCs w:val="21"/>
              </w:rPr>
              <w:t>一期工程</w:t>
            </w:r>
            <w:r>
              <w:rPr>
                <w:rFonts w:hAnsi="Times New Roman" w:eastAsiaTheme="minorEastAsia"/>
                <w:bCs/>
                <w:snapToGrid w:val="0"/>
                <w:color w:val="000000" w:themeColor="text1"/>
                <w:sz w:val="21"/>
                <w:szCs w:val="21"/>
              </w:rPr>
              <w:t>主要产品及产能一览表</w:t>
            </w:r>
          </w:p>
          <w:tbl>
            <w:tblPr>
              <w:tblStyle w:val="20"/>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87"/>
              <w:gridCol w:w="1224"/>
              <w:gridCol w:w="275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主要产品</w:t>
                  </w:r>
                </w:p>
              </w:tc>
              <w:tc>
                <w:tcPr>
                  <w:tcW w:w="198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产品规格</w:t>
                  </w:r>
                </w:p>
              </w:tc>
              <w:tc>
                <w:tcPr>
                  <w:tcW w:w="122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重量</w:t>
                  </w:r>
                </w:p>
              </w:tc>
              <w:tc>
                <w:tcPr>
                  <w:tcW w:w="275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产能</w:t>
                  </w:r>
                </w:p>
              </w:tc>
              <w:tc>
                <w:tcPr>
                  <w:tcW w:w="176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砂石骨料</w:t>
                  </w:r>
                </w:p>
              </w:tc>
              <w:tc>
                <w:tcPr>
                  <w:tcW w:w="198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Φ0-5mm</w:t>
                  </w:r>
                </w:p>
              </w:tc>
              <w:tc>
                <w:tcPr>
                  <w:tcW w:w="122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275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20万t/a（12.2万m³/a）</w:t>
                  </w:r>
                </w:p>
              </w:tc>
              <w:tc>
                <w:tcPr>
                  <w:tcW w:w="1762"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制砖砂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Φ0-7mm</w:t>
                  </w:r>
                </w:p>
              </w:tc>
              <w:tc>
                <w:tcPr>
                  <w:tcW w:w="122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275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20万t/a（12.1万m³/a）</w:t>
                  </w:r>
                </w:p>
              </w:tc>
              <w:tc>
                <w:tcPr>
                  <w:tcW w:w="176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Φ20-30mm</w:t>
                  </w:r>
                </w:p>
              </w:tc>
              <w:tc>
                <w:tcPr>
                  <w:tcW w:w="122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275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50万t/a</w:t>
                  </w:r>
                </w:p>
              </w:tc>
              <w:tc>
                <w:tcPr>
                  <w:tcW w:w="176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公分石</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2.3.2 二期工程产品</w:t>
            </w:r>
            <w:r>
              <w:rPr>
                <w:rFonts w:ascii="Times New Roman" w:hAnsi="Times New Roman" w:cs="Times New Roman"/>
                <w:b/>
                <w:color w:val="000000" w:themeColor="text1"/>
                <w:sz w:val="24"/>
                <w:szCs w:val="24"/>
              </w:rPr>
              <w:t>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主要产品包括水泥砖。根据设计，项目生产水泥砖21.6万m²/a，水泥标砖尺寸为240mm×115mm×53mm</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重量为2.45kg/块，则水泥砖约为782.6万块/a·标砖（约19173.7t/a）。项目主要产品及产能具体如下表所示。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表2.3</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 xml:space="preserve"> 项目主要产品及产能一览表</w:t>
            </w:r>
          </w:p>
          <w:tbl>
            <w:tblPr>
              <w:tblStyle w:val="20"/>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88"/>
              <w:gridCol w:w="1224"/>
              <w:gridCol w:w="2459"/>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主要产品</w:t>
                  </w:r>
                </w:p>
              </w:tc>
              <w:tc>
                <w:tcPr>
                  <w:tcW w:w="19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产品规格</w:t>
                  </w:r>
                </w:p>
              </w:tc>
              <w:tc>
                <w:tcPr>
                  <w:tcW w:w="122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重量</w:t>
                  </w:r>
                </w:p>
              </w:tc>
              <w:tc>
                <w:tcPr>
                  <w:tcW w:w="245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产能</w:t>
                  </w:r>
                </w:p>
              </w:tc>
              <w:tc>
                <w:tcPr>
                  <w:tcW w:w="205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水泥砖</w:t>
                  </w:r>
                </w:p>
              </w:tc>
              <w:tc>
                <w:tcPr>
                  <w:tcW w:w="19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240mm×115mm×53mm</w:t>
                  </w:r>
                </w:p>
              </w:tc>
              <w:tc>
                <w:tcPr>
                  <w:tcW w:w="122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2.45kg/块</w:t>
                  </w:r>
                </w:p>
              </w:tc>
              <w:tc>
                <w:tcPr>
                  <w:tcW w:w="245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782.6万块/a·标砖（约19173.7t/a）</w:t>
                  </w:r>
                </w:p>
              </w:tc>
              <w:tc>
                <w:tcPr>
                  <w:tcW w:w="2057" w:type="dxa"/>
                  <w:vAlign w:val="center"/>
                </w:tcPr>
                <w:p>
                  <w:pPr>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《普通混凝土小型砌块》（GB/T8239-2014）</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2.4.1 一期工程</w:t>
            </w:r>
            <w:r>
              <w:rPr>
                <w:rFonts w:ascii="Times New Roman" w:hAnsi="Times New Roman" w:cs="Times New Roman"/>
                <w:b/>
                <w:color w:val="000000" w:themeColor="text1"/>
                <w:sz w:val="24"/>
                <w:szCs w:val="24"/>
              </w:rPr>
              <w:t>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w:t>
            </w:r>
            <w:r>
              <w:rPr>
                <w:rFonts w:hint="eastAsia" w:ascii="Times New Roman" w:hAnsi="Times New Roman" w:cs="Times New Roman"/>
                <w:bCs/>
                <w:color w:val="000000" w:themeColor="text1"/>
                <w:sz w:val="24"/>
                <w:szCs w:val="24"/>
              </w:rPr>
              <w:t>一期工程</w:t>
            </w:r>
            <w:r>
              <w:rPr>
                <w:rFonts w:ascii="Times New Roman" w:hAnsi="Times New Roman" w:cs="Times New Roman"/>
                <w:bCs/>
                <w:color w:val="000000" w:themeColor="text1"/>
                <w:sz w:val="24"/>
                <w:szCs w:val="24"/>
              </w:rPr>
              <w:t>主要生产单元、主要工艺、生产设施及设施参数如下表所示。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w:t>
            </w:r>
            <w:r>
              <w:rPr>
                <w:rFonts w:hint="eastAsia" w:hAnsi="Times New Roman" w:eastAsiaTheme="minorEastAsia"/>
                <w:bCs/>
                <w:snapToGrid w:val="0"/>
                <w:color w:val="000000" w:themeColor="text1"/>
                <w:sz w:val="21"/>
                <w:szCs w:val="21"/>
              </w:rPr>
              <w:t>.1</w:t>
            </w:r>
            <w:r>
              <w:rPr>
                <w:rFonts w:hAnsi="Times New Roman" w:eastAsiaTheme="minorEastAsia"/>
                <w:bCs/>
                <w:snapToGrid w:val="0"/>
                <w:color w:val="000000" w:themeColor="text1"/>
                <w:sz w:val="21"/>
                <w:szCs w:val="21"/>
              </w:rPr>
              <w:t xml:space="preserve">-1 </w:t>
            </w:r>
            <w:r>
              <w:rPr>
                <w:rFonts w:hint="eastAsia" w:hAnsi="Times New Roman" w:eastAsiaTheme="minorEastAsia"/>
                <w:bCs/>
                <w:snapToGrid w:val="0"/>
                <w:color w:val="000000" w:themeColor="text1"/>
                <w:sz w:val="21"/>
                <w:szCs w:val="21"/>
              </w:rPr>
              <w:t>一期工程</w:t>
            </w:r>
            <w:r>
              <w:rPr>
                <w:rFonts w:hAnsi="Times New Roman" w:eastAsiaTheme="minorEastAsia"/>
                <w:bCs/>
                <w:snapToGrid w:val="0"/>
                <w:color w:val="000000" w:themeColor="text1"/>
                <w:sz w:val="21"/>
                <w:szCs w:val="21"/>
              </w:rPr>
              <w:t>主要生产单元、主要工艺、生产设施及设施参数表</w:t>
            </w:r>
          </w:p>
          <w:tbl>
            <w:tblPr>
              <w:tblStyle w:val="21"/>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9"/>
              <w:gridCol w:w="971"/>
              <w:gridCol w:w="1578"/>
              <w:gridCol w:w="1485"/>
              <w:gridCol w:w="1638"/>
              <w:gridCol w:w="1083"/>
              <w:gridCol w:w="9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3063"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规格型号</w:t>
                  </w:r>
                </w:p>
              </w:tc>
              <w:tc>
                <w:tcPr>
                  <w:tcW w:w="108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97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砂石骨料生产线</w:t>
                  </w:r>
                </w:p>
              </w:tc>
              <w:tc>
                <w:tcPr>
                  <w:tcW w:w="157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破碎筛分车间</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板式给料机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GBZ1000×6000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187.5t/h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颚式破碎机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MC1000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187.5t/h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反击破碎机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H3800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187.5t/h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圆振筛</w:t>
                  </w:r>
                </w:p>
              </w:tc>
              <w:tc>
                <w:tcPr>
                  <w:tcW w:w="1638" w:type="dxa"/>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3YKR2460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93.8t/h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立轴制砂机</w:t>
                  </w:r>
                </w:p>
              </w:tc>
              <w:tc>
                <w:tcPr>
                  <w:tcW w:w="1638" w:type="dxa"/>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1750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93.8t/h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球磨机</w:t>
                  </w:r>
                </w:p>
              </w:tc>
              <w:tc>
                <w:tcPr>
                  <w:tcW w:w="1638" w:type="dxa"/>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QM2836</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93.8t/h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皮带运输机</w:t>
                  </w:r>
                </w:p>
              </w:tc>
              <w:tc>
                <w:tcPr>
                  <w:tcW w:w="1638" w:type="dxa"/>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0.80m</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20.9t/h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洗沙车间</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轮式洗砂机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46.9t/h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细砂回收机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立体式</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93.8t/h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高频振脱水筛</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1836</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93.8t/h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储运工程</w:t>
                  </w:r>
                </w:p>
              </w:tc>
              <w:tc>
                <w:tcPr>
                  <w:tcW w:w="97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w:t>
                  </w:r>
                </w:p>
              </w:tc>
              <w:tc>
                <w:tcPr>
                  <w:tcW w:w="1578"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废石堆场</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履带式挖掘机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产品堆场</w:t>
                  </w:r>
                </w:p>
              </w:tc>
              <w:tc>
                <w:tcPr>
                  <w:tcW w:w="1485" w:type="dxa"/>
                  <w:tcBorders>
                    <w:left w:val="single" w:color="auto" w:sz="4" w:space="0"/>
                    <w:righ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轮式装载机</w:t>
                  </w:r>
                </w:p>
              </w:tc>
              <w:tc>
                <w:tcPr>
                  <w:tcW w:w="1638" w:type="dxa"/>
                  <w:tcBorders>
                    <w:lef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LG870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4台</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2.4.2 二期工程</w:t>
            </w:r>
            <w:r>
              <w:rPr>
                <w:rFonts w:ascii="Times New Roman" w:hAnsi="Times New Roman" w:cs="Times New Roman"/>
                <w:b/>
                <w:color w:val="000000" w:themeColor="text1"/>
                <w:sz w:val="24"/>
                <w:szCs w:val="24"/>
              </w:rPr>
              <w:t>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w:t>
            </w:r>
            <w:r>
              <w:rPr>
                <w:rFonts w:hint="eastAsia" w:ascii="Times New Roman" w:hAnsi="Times New Roman" w:cs="Times New Roman"/>
                <w:bCs/>
                <w:color w:val="000000" w:themeColor="text1"/>
                <w:sz w:val="24"/>
                <w:szCs w:val="24"/>
              </w:rPr>
              <w:t>二期工程</w:t>
            </w:r>
            <w:r>
              <w:rPr>
                <w:rFonts w:ascii="Times New Roman" w:hAnsi="Times New Roman" w:cs="Times New Roman"/>
                <w:bCs/>
                <w:color w:val="000000" w:themeColor="text1"/>
                <w:sz w:val="24"/>
                <w:szCs w:val="24"/>
              </w:rPr>
              <w:t>主要生产单元、主要工艺、生产设施及设施参数如下表所示。</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 xml:space="preserve">-1 </w:t>
            </w:r>
            <w:r>
              <w:rPr>
                <w:rFonts w:hint="eastAsia" w:hAnsi="Times New Roman" w:eastAsiaTheme="minorEastAsia"/>
                <w:bCs/>
                <w:snapToGrid w:val="0"/>
                <w:color w:val="000000" w:themeColor="text1"/>
                <w:sz w:val="21"/>
                <w:szCs w:val="21"/>
              </w:rPr>
              <w:t>二期工程</w:t>
            </w:r>
            <w:r>
              <w:rPr>
                <w:rFonts w:hAnsi="Times New Roman" w:eastAsiaTheme="minorEastAsia"/>
                <w:bCs/>
                <w:snapToGrid w:val="0"/>
                <w:color w:val="000000" w:themeColor="text1"/>
                <w:sz w:val="21"/>
                <w:szCs w:val="21"/>
              </w:rPr>
              <w:t>主要生产单元、主要工艺、生产设施及设施参数表</w:t>
            </w:r>
          </w:p>
          <w:tbl>
            <w:tblPr>
              <w:tblStyle w:val="21"/>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9"/>
              <w:gridCol w:w="971"/>
              <w:gridCol w:w="1578"/>
              <w:gridCol w:w="1485"/>
              <w:gridCol w:w="1638"/>
              <w:gridCol w:w="1083"/>
              <w:gridCol w:w="9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3063"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规格型号</w:t>
                  </w:r>
                </w:p>
              </w:tc>
              <w:tc>
                <w:tcPr>
                  <w:tcW w:w="108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971"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混凝土砖生产线</w:t>
                  </w:r>
                </w:p>
              </w:tc>
              <w:tc>
                <w:tcPr>
                  <w:tcW w:w="157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搅拌混合车间</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提升斗</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水泥仓</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100t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配料仓</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1.93t/h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QT750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成型车间</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砌块成型机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QT18-18</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模板架</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200个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养护区</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叠砖机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widowControl/>
                    <w:jc w:val="center"/>
                    <w:textAlignment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合力叉车</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3.5t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原辅料来源及性质</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原辅料</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（1）生产用原辅料的用量及来源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①一期工程原辅料用量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主要利用昆明市东川金水矿业有限责任公司</w:t>
            </w:r>
            <w:r>
              <w:rPr>
                <w:rFonts w:hint="eastAsia" w:ascii="Times New Roman" w:hAnsi="Times New Roman" w:cs="Times New Roman"/>
                <w:color w:val="000000" w:themeColor="text1"/>
                <w:sz w:val="24"/>
                <w:szCs w:val="24"/>
              </w:rPr>
              <w:t>旗下铜矿山</w:t>
            </w:r>
            <w:r>
              <w:rPr>
                <w:rFonts w:ascii="Times New Roman" w:hAnsi="Times New Roman" w:cs="Times New Roman"/>
                <w:color w:val="000000" w:themeColor="text1"/>
                <w:sz w:val="24"/>
                <w:szCs w:val="24"/>
              </w:rPr>
              <w:t>在开采过程中产生大量的废石，生产砂石骨料。砂石骨料的主要原料为废石。</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主要原辅料用量如下表所示。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表2.5.1-1  项目</w:t>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Cs w:val="24"/>
              </w:rPr>
              <w:t>原辅量消耗表</w:t>
            </w:r>
          </w:p>
          <w:tbl>
            <w:tblPr>
              <w:tblStyle w:val="20"/>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08"/>
              <w:gridCol w:w="1337"/>
              <w:gridCol w:w="1204"/>
              <w:gridCol w:w="1205"/>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序号</w:t>
                  </w:r>
                </w:p>
              </w:tc>
              <w:tc>
                <w:tcPr>
                  <w:tcW w:w="808"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类型</w:t>
                  </w:r>
                </w:p>
              </w:tc>
              <w:tc>
                <w:tcPr>
                  <w:tcW w:w="1337"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名称</w:t>
                  </w:r>
                </w:p>
              </w:tc>
              <w:tc>
                <w:tcPr>
                  <w:tcW w:w="2409" w:type="dxa"/>
                  <w:gridSpan w:val="2"/>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用量</w:t>
                  </w:r>
                </w:p>
              </w:tc>
              <w:tc>
                <w:tcPr>
                  <w:tcW w:w="3468"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808"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337"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204"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m³/a</w:t>
                  </w:r>
                </w:p>
              </w:tc>
              <w:tc>
                <w:tcPr>
                  <w:tcW w:w="120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t/a</w:t>
                  </w:r>
                </w:p>
              </w:tc>
              <w:tc>
                <w:tcPr>
                  <w:tcW w:w="3468"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1</w:t>
                  </w:r>
                </w:p>
              </w:tc>
              <w:tc>
                <w:tcPr>
                  <w:tcW w:w="80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原料</w:t>
                  </w:r>
                </w:p>
              </w:tc>
              <w:tc>
                <w:tcPr>
                  <w:tcW w:w="1337"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废石</w:t>
                  </w:r>
                </w:p>
              </w:tc>
              <w:tc>
                <w:tcPr>
                  <w:tcW w:w="1204"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约54.5万</w:t>
                  </w:r>
                </w:p>
              </w:tc>
              <w:tc>
                <w:tcPr>
                  <w:tcW w:w="120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约90万</w:t>
                  </w:r>
                </w:p>
              </w:tc>
              <w:tc>
                <w:tcPr>
                  <w:tcW w:w="3468"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昆明市东川金水矿业有限责任公司</w:t>
                  </w:r>
                  <w:r>
                    <w:rPr>
                      <w:rFonts w:hint="eastAsia" w:ascii="Times New Roman" w:hAnsi="Times New Roman" w:eastAsia="宋体" w:cs="Times New Roman"/>
                      <w:bCs/>
                      <w:snapToGrid w:val="0"/>
                      <w:color w:val="000000" w:themeColor="text1"/>
                      <w:kern w:val="32"/>
                      <w:lang w:val="zh-CN"/>
                    </w:rPr>
                    <w:t>旗下铜矿山</w:t>
                  </w:r>
                  <w:r>
                    <w:rPr>
                      <w:rFonts w:ascii="Times New Roman" w:hAnsi="Times New Roman" w:eastAsia="宋体" w:cs="Times New Roman"/>
                      <w:bCs/>
                      <w:snapToGrid w:val="0"/>
                      <w:color w:val="000000" w:themeColor="text1"/>
                      <w:kern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3</w:t>
                  </w:r>
                </w:p>
              </w:tc>
              <w:tc>
                <w:tcPr>
                  <w:tcW w:w="80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辅料</w:t>
                  </w:r>
                </w:p>
              </w:tc>
              <w:tc>
                <w:tcPr>
                  <w:tcW w:w="1337"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新鲜水</w:t>
                  </w:r>
                </w:p>
              </w:tc>
              <w:tc>
                <w:tcPr>
                  <w:tcW w:w="2409" w:type="dxa"/>
                  <w:gridSpan w:val="2"/>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1</w:t>
                  </w:r>
                  <w:r>
                    <w:rPr>
                      <w:rFonts w:hint="eastAsia" w:ascii="Times New Roman" w:hAnsi="Times New Roman" w:eastAsia="宋体" w:cs="Times New Roman"/>
                      <w:bCs/>
                      <w:snapToGrid w:val="0"/>
                      <w:color w:val="000000" w:themeColor="text1"/>
                      <w:kern w:val="32"/>
                    </w:rPr>
                    <w:t>4851.66</w:t>
                  </w:r>
                  <w:r>
                    <w:rPr>
                      <w:rFonts w:ascii="Times New Roman" w:hAnsi="Times New Roman" w:eastAsia="宋体" w:cs="Times New Roman"/>
                      <w:bCs/>
                      <w:snapToGrid w:val="0"/>
                      <w:color w:val="000000" w:themeColor="text1"/>
                      <w:kern w:val="32"/>
                    </w:rPr>
                    <w:t>m³/a</w:t>
                  </w:r>
                </w:p>
              </w:tc>
              <w:tc>
                <w:tcPr>
                  <w:tcW w:w="3468"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color w:val="000000" w:themeColor="text1"/>
                    </w:rPr>
                    <w:t>建设单位旗下的</w:t>
                  </w:r>
                  <w:r>
                    <w:rPr>
                      <w:rFonts w:hint="eastAsia" w:ascii="Times New Roman" w:hAnsi="Times New Roman" w:cs="Times New Roman"/>
                      <w:color w:val="000000" w:themeColor="text1"/>
                    </w:rPr>
                    <w:t>三分厂</w:t>
                  </w:r>
                  <w:r>
                    <w:rPr>
                      <w:rFonts w:hint="eastAsia"/>
                      <w:color w:val="000000" w:themeColor="text1"/>
                    </w:rPr>
                    <w:t>供水管网进行供水。</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②二期工程原辅料用量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水泥砖的主要原料为项目骨料生产线生产的砂石骨料（Φ0-5mm、Φ0-7mm）和水泥。</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主要原辅料用量如下表所示。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表2.5.1-</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项目</w:t>
            </w:r>
            <w:r>
              <w:rPr>
                <w:rFonts w:hint="eastAsia" w:ascii="Times New Roman" w:hAnsi="Times New Roman" w:cs="Times New Roman"/>
                <w:b/>
                <w:color w:val="000000" w:themeColor="text1"/>
                <w:szCs w:val="24"/>
              </w:rPr>
              <w:t>二期工程</w:t>
            </w:r>
            <w:r>
              <w:rPr>
                <w:rFonts w:ascii="Times New Roman" w:hAnsi="Times New Roman" w:cs="Times New Roman"/>
                <w:b/>
                <w:color w:val="000000" w:themeColor="text1"/>
                <w:szCs w:val="24"/>
              </w:rPr>
              <w:t>原辅量消耗表</w:t>
            </w:r>
          </w:p>
          <w:tbl>
            <w:tblPr>
              <w:tblStyle w:val="20"/>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08"/>
              <w:gridCol w:w="1895"/>
              <w:gridCol w:w="1418"/>
              <w:gridCol w:w="9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序号</w:t>
                  </w:r>
                </w:p>
              </w:tc>
              <w:tc>
                <w:tcPr>
                  <w:tcW w:w="808"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类型</w:t>
                  </w:r>
                </w:p>
              </w:tc>
              <w:tc>
                <w:tcPr>
                  <w:tcW w:w="1895"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名称</w:t>
                  </w:r>
                </w:p>
              </w:tc>
              <w:tc>
                <w:tcPr>
                  <w:tcW w:w="2410" w:type="dxa"/>
                  <w:gridSpan w:val="2"/>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用量</w:t>
                  </w:r>
                </w:p>
              </w:tc>
              <w:tc>
                <w:tcPr>
                  <w:tcW w:w="2909"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583"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808"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895"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41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m³/a</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t/a</w:t>
                  </w:r>
                </w:p>
              </w:tc>
              <w:tc>
                <w:tcPr>
                  <w:tcW w:w="2909"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1</w:t>
                  </w:r>
                </w:p>
              </w:tc>
              <w:tc>
                <w:tcPr>
                  <w:tcW w:w="808"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原料</w:t>
                  </w:r>
                </w:p>
              </w:tc>
              <w:tc>
                <w:tcPr>
                  <w:tcW w:w="189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Φ0-5mm砂石骨料</w:t>
                  </w:r>
                </w:p>
              </w:tc>
              <w:tc>
                <w:tcPr>
                  <w:tcW w:w="141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4003.71</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6611.63</w:t>
                  </w:r>
                </w:p>
              </w:tc>
              <w:tc>
                <w:tcPr>
                  <w:tcW w:w="2909"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一期工程生产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808"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89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Φ0-7mm砂石骨料</w:t>
                  </w:r>
                </w:p>
              </w:tc>
              <w:tc>
                <w:tcPr>
                  <w:tcW w:w="141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6005.56</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9917.44</w:t>
                  </w:r>
                </w:p>
              </w:tc>
              <w:tc>
                <w:tcPr>
                  <w:tcW w:w="2909"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一期工程生产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808"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89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水泥</w:t>
                  </w:r>
                </w:p>
              </w:tc>
              <w:tc>
                <w:tcPr>
                  <w:tcW w:w="141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2644.65</w:t>
                  </w:r>
                </w:p>
              </w:tc>
              <w:tc>
                <w:tcPr>
                  <w:tcW w:w="2909"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3</w:t>
                  </w:r>
                </w:p>
              </w:tc>
              <w:tc>
                <w:tcPr>
                  <w:tcW w:w="80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辅料</w:t>
                  </w:r>
                </w:p>
              </w:tc>
              <w:tc>
                <w:tcPr>
                  <w:tcW w:w="189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新鲜水</w:t>
                  </w:r>
                </w:p>
              </w:tc>
              <w:tc>
                <w:tcPr>
                  <w:tcW w:w="2410" w:type="dxa"/>
                  <w:gridSpan w:val="2"/>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3834.7</w:t>
                  </w:r>
                  <w:r>
                    <w:rPr>
                      <w:rFonts w:ascii="Times New Roman" w:hAnsi="Times New Roman" w:eastAsia="宋体" w:cs="Times New Roman"/>
                      <w:bCs/>
                      <w:snapToGrid w:val="0"/>
                      <w:color w:val="000000" w:themeColor="text1"/>
                      <w:kern w:val="32"/>
                    </w:rPr>
                    <w:t>4m³/a</w:t>
                  </w:r>
                </w:p>
              </w:tc>
              <w:tc>
                <w:tcPr>
                  <w:tcW w:w="2909"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color w:val="000000" w:themeColor="text1"/>
                    </w:rPr>
                    <w:t>建设单位旗下的</w:t>
                  </w:r>
                  <w:r>
                    <w:rPr>
                      <w:rFonts w:hint="eastAsia" w:ascii="Times New Roman" w:hAnsi="Times New Roman" w:cs="Times New Roman"/>
                      <w:color w:val="000000" w:themeColor="text1"/>
                    </w:rPr>
                    <w:t>三分厂</w:t>
                  </w:r>
                  <w:r>
                    <w:rPr>
                      <w:rFonts w:hint="eastAsia"/>
                      <w:color w:val="000000" w:themeColor="text1"/>
                    </w:rPr>
                    <w:t>供水管网进行供水。</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（2）废石的属性鉴别</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为确定昆明市东川金水矿业有限责任公司</w:t>
            </w:r>
            <w:r>
              <w:rPr>
                <w:rFonts w:hint="eastAsia" w:ascii="Times New Roman" w:hAnsi="Times New Roman" w:cs="Times New Roman"/>
                <w:color w:val="000000" w:themeColor="text1"/>
                <w:sz w:val="24"/>
                <w:szCs w:val="24"/>
              </w:rPr>
              <w:t>旗下铜矿山</w:t>
            </w:r>
            <w:r>
              <w:rPr>
                <w:rFonts w:ascii="Times New Roman" w:hAnsi="Times New Roman" w:cs="Times New Roman"/>
                <w:color w:val="000000" w:themeColor="text1"/>
                <w:sz w:val="24"/>
                <w:szCs w:val="24"/>
              </w:rPr>
              <w:t>产生的废石的固体废物属性，建设单位委托云南道达沣环境科技有限公司对废石进行了属性鉴别。</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①</w:t>
            </w:r>
            <w:r>
              <w:rPr>
                <w:rFonts w:hint="eastAsia" w:ascii="Times New Roman" w:hAnsi="Times New Roman" w:eastAsia="宋体" w:cs="Times New Roman"/>
                <w:b/>
                <w:color w:val="000000" w:themeColor="text1"/>
                <w:sz w:val="24"/>
                <w:szCs w:val="24"/>
              </w:rPr>
              <w:t>腐蚀性</w:t>
            </w:r>
            <w:r>
              <w:rPr>
                <w:rFonts w:ascii="Times New Roman" w:hAnsi="Times New Roman" w:eastAsia="宋体" w:cs="Times New Roman"/>
                <w:b/>
                <w:color w:val="000000" w:themeColor="text1"/>
                <w:sz w:val="24"/>
                <w:szCs w:val="24"/>
              </w:rPr>
              <w:t>鉴别结果</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根据监测报告，废石渣通过腐蚀性鉴别结果见下表。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表2.5.1-</w:t>
            </w:r>
            <w:r>
              <w:rPr>
                <w:rFonts w:hint="eastAsia" w:ascii="Times New Roman" w:hAnsi="Times New Roman" w:eastAsia="宋体" w:cs="Times New Roman"/>
                <w:b/>
                <w:color w:val="000000" w:themeColor="text1"/>
              </w:rPr>
              <w:t>3</w:t>
            </w:r>
            <w:r>
              <w:rPr>
                <w:rFonts w:ascii="Times New Roman" w:hAnsi="Times New Roman" w:eastAsia="宋体" w:cs="Times New Roman"/>
                <w:b/>
                <w:color w:val="000000" w:themeColor="text1"/>
              </w:rPr>
              <w:t xml:space="preserve"> 废石渣腐蚀性检测结果一览表   单位：mg/L</w:t>
            </w:r>
          </w:p>
          <w:tbl>
            <w:tblPr>
              <w:tblStyle w:val="21"/>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3"/>
              <w:gridCol w:w="2972"/>
              <w:gridCol w:w="2034"/>
              <w:gridCol w:w="26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0" w:hRule="atLeast"/>
                <w:jc w:val="center"/>
              </w:trPr>
              <w:tc>
                <w:tcPr>
                  <w:tcW w:w="953" w:type="dxa"/>
                  <w:vAlign w:val="center"/>
                </w:tcPr>
                <w:p>
                  <w:pPr>
                    <w:pStyle w:val="32"/>
                    <w:spacing w:line="360" w:lineRule="exact"/>
                    <w:rPr>
                      <w:color w:val="000000" w:themeColor="text1"/>
                      <w:szCs w:val="21"/>
                    </w:rPr>
                  </w:pPr>
                  <w:r>
                    <w:rPr>
                      <w:color w:val="000000" w:themeColor="text1"/>
                      <w:szCs w:val="21"/>
                    </w:rPr>
                    <w:t>序号</w:t>
                  </w:r>
                </w:p>
              </w:tc>
              <w:tc>
                <w:tcPr>
                  <w:tcW w:w="2972" w:type="dxa"/>
                  <w:vAlign w:val="center"/>
                </w:tcPr>
                <w:p>
                  <w:pPr>
                    <w:pStyle w:val="32"/>
                    <w:spacing w:line="360" w:lineRule="exact"/>
                    <w:rPr>
                      <w:color w:val="000000" w:themeColor="text1"/>
                      <w:szCs w:val="21"/>
                    </w:rPr>
                  </w:pPr>
                  <w:r>
                    <w:rPr>
                      <w:color w:val="000000" w:themeColor="text1"/>
                      <w:szCs w:val="21"/>
                    </w:rPr>
                    <w:t>污染因子</w:t>
                  </w:r>
                </w:p>
              </w:tc>
              <w:tc>
                <w:tcPr>
                  <w:tcW w:w="203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检出值</w:t>
                  </w:r>
                </w:p>
              </w:tc>
              <w:tc>
                <w:tcPr>
                  <w:tcW w:w="2646" w:type="dxa"/>
                  <w:vAlign w:val="center"/>
                </w:tcPr>
                <w:p>
                  <w:pPr>
                    <w:pStyle w:val="32"/>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color w:val="000000" w:themeColor="text1"/>
                      <w:szCs w:val="21"/>
                    </w:rPr>
                    <w:t>1</w:t>
                  </w:r>
                </w:p>
              </w:tc>
              <w:tc>
                <w:tcPr>
                  <w:tcW w:w="2972" w:type="dxa"/>
                  <w:vAlign w:val="center"/>
                </w:tcPr>
                <w:p>
                  <w:pPr>
                    <w:pStyle w:val="32"/>
                    <w:spacing w:line="360" w:lineRule="exact"/>
                    <w:rPr>
                      <w:color w:val="000000" w:themeColor="text1"/>
                      <w:szCs w:val="21"/>
                    </w:rPr>
                  </w:pPr>
                  <w:r>
                    <w:rPr>
                      <w:color w:val="000000" w:themeColor="text1"/>
                      <w:szCs w:val="21"/>
                    </w:rPr>
                    <w:t>pH值</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8.07</w:t>
                  </w:r>
                </w:p>
              </w:tc>
              <w:tc>
                <w:tcPr>
                  <w:tcW w:w="2646" w:type="dxa"/>
                  <w:vAlign w:val="center"/>
                </w:tcPr>
                <w:p>
                  <w:pPr>
                    <w:pStyle w:val="32"/>
                    <w:spacing w:line="360" w:lineRule="exact"/>
                    <w:rPr>
                      <w:color w:val="000000" w:themeColor="text1"/>
                      <w:szCs w:val="21"/>
                    </w:rPr>
                  </w:pPr>
                  <w:r>
                    <w:rPr>
                      <w:color w:val="000000" w:themeColor="text1"/>
                      <w:szCs w:val="21"/>
                    </w:rPr>
                    <w:t>≥12.5或≤2</w:t>
                  </w:r>
                </w:p>
              </w:tc>
            </w:tr>
          </w:tbl>
          <w:p>
            <w:pPr>
              <w:spacing w:beforeLines="50"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eastAsia="宋体" w:cs="Times New Roman"/>
                <w:b/>
                <w:color w:val="000000" w:themeColor="text1"/>
                <w:sz w:val="24"/>
                <w:szCs w:val="24"/>
              </w:rPr>
              <w:t>酸浸鉴别结果</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根据监测报告，废石渣通过酸浸后，其浸出毒性鉴别结果见下表。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表2.5.1-</w:t>
            </w:r>
            <w:r>
              <w:rPr>
                <w:rFonts w:hint="eastAsia" w:ascii="Times New Roman" w:hAnsi="Times New Roman" w:eastAsia="宋体" w:cs="Times New Roman"/>
                <w:b/>
                <w:color w:val="000000" w:themeColor="text1"/>
              </w:rPr>
              <w:t>4</w:t>
            </w:r>
            <w:r>
              <w:rPr>
                <w:rFonts w:ascii="Times New Roman" w:hAnsi="Times New Roman" w:eastAsia="宋体" w:cs="Times New Roman"/>
                <w:b/>
                <w:color w:val="000000" w:themeColor="text1"/>
              </w:rPr>
              <w:t xml:space="preserve"> 废石渣浸出毒性检测结果一览表   单位：mg/L</w:t>
            </w:r>
          </w:p>
          <w:tbl>
            <w:tblPr>
              <w:tblStyle w:val="21"/>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3"/>
              <w:gridCol w:w="1341"/>
              <w:gridCol w:w="1631"/>
              <w:gridCol w:w="2034"/>
              <w:gridCol w:w="26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0" w:hRule="atLeast"/>
                <w:jc w:val="center"/>
              </w:trPr>
              <w:tc>
                <w:tcPr>
                  <w:tcW w:w="953" w:type="dxa"/>
                  <w:vAlign w:val="center"/>
                </w:tcPr>
                <w:p>
                  <w:pPr>
                    <w:pStyle w:val="32"/>
                    <w:spacing w:line="360" w:lineRule="exact"/>
                    <w:rPr>
                      <w:color w:val="000000" w:themeColor="text1"/>
                      <w:szCs w:val="21"/>
                    </w:rPr>
                  </w:pPr>
                  <w:r>
                    <w:rPr>
                      <w:color w:val="000000" w:themeColor="text1"/>
                      <w:szCs w:val="21"/>
                    </w:rPr>
                    <w:t>序号</w:t>
                  </w:r>
                </w:p>
              </w:tc>
              <w:tc>
                <w:tcPr>
                  <w:tcW w:w="2972" w:type="dxa"/>
                  <w:gridSpan w:val="2"/>
                  <w:vAlign w:val="center"/>
                </w:tcPr>
                <w:p>
                  <w:pPr>
                    <w:pStyle w:val="32"/>
                    <w:spacing w:line="360" w:lineRule="exact"/>
                    <w:rPr>
                      <w:color w:val="000000" w:themeColor="text1"/>
                      <w:szCs w:val="21"/>
                    </w:rPr>
                  </w:pPr>
                  <w:r>
                    <w:rPr>
                      <w:color w:val="000000" w:themeColor="text1"/>
                      <w:szCs w:val="21"/>
                    </w:rPr>
                    <w:t>污染因子</w:t>
                  </w:r>
                </w:p>
              </w:tc>
              <w:tc>
                <w:tcPr>
                  <w:tcW w:w="203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检出值</w:t>
                  </w:r>
                </w:p>
              </w:tc>
              <w:tc>
                <w:tcPr>
                  <w:tcW w:w="2646" w:type="dxa"/>
                  <w:vAlign w:val="center"/>
                </w:tcPr>
                <w:p>
                  <w:pPr>
                    <w:pStyle w:val="32"/>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1</w:t>
                  </w:r>
                </w:p>
              </w:tc>
              <w:tc>
                <w:tcPr>
                  <w:tcW w:w="2972" w:type="dxa"/>
                  <w:gridSpan w:val="2"/>
                  <w:vAlign w:val="center"/>
                </w:tcPr>
                <w:p>
                  <w:pPr>
                    <w:pStyle w:val="32"/>
                    <w:spacing w:line="360" w:lineRule="exact"/>
                    <w:rPr>
                      <w:color w:val="000000" w:themeColor="text1"/>
                      <w:szCs w:val="21"/>
                    </w:rPr>
                  </w:pPr>
                  <w:r>
                    <w:rPr>
                      <w:color w:val="000000" w:themeColor="text1"/>
                      <w:szCs w:val="21"/>
                    </w:rPr>
                    <w:t>铜</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0.02L</w:t>
                  </w:r>
                </w:p>
              </w:tc>
              <w:tc>
                <w:tcPr>
                  <w:tcW w:w="2646"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2</w:t>
                  </w:r>
                </w:p>
              </w:tc>
              <w:tc>
                <w:tcPr>
                  <w:tcW w:w="2972" w:type="dxa"/>
                  <w:gridSpan w:val="2"/>
                  <w:vAlign w:val="center"/>
                </w:tcPr>
                <w:p>
                  <w:pPr>
                    <w:pStyle w:val="32"/>
                    <w:spacing w:line="360" w:lineRule="exact"/>
                    <w:rPr>
                      <w:color w:val="000000" w:themeColor="text1"/>
                      <w:szCs w:val="21"/>
                    </w:rPr>
                  </w:pPr>
                  <w:r>
                    <w:rPr>
                      <w:color w:val="000000" w:themeColor="text1"/>
                      <w:szCs w:val="21"/>
                    </w:rPr>
                    <w:t>锌</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0.048</w:t>
                  </w:r>
                </w:p>
              </w:tc>
              <w:tc>
                <w:tcPr>
                  <w:tcW w:w="2646"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3</w:t>
                  </w:r>
                </w:p>
              </w:tc>
              <w:tc>
                <w:tcPr>
                  <w:tcW w:w="2972" w:type="dxa"/>
                  <w:gridSpan w:val="2"/>
                  <w:vAlign w:val="center"/>
                </w:tcPr>
                <w:p>
                  <w:pPr>
                    <w:pStyle w:val="32"/>
                    <w:spacing w:line="360" w:lineRule="exact"/>
                    <w:rPr>
                      <w:color w:val="000000" w:themeColor="text1"/>
                      <w:szCs w:val="21"/>
                    </w:rPr>
                  </w:pPr>
                  <w:r>
                    <w:rPr>
                      <w:color w:val="000000" w:themeColor="text1"/>
                      <w:szCs w:val="21"/>
                    </w:rPr>
                    <w:t>镉</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0.071</w:t>
                  </w:r>
                </w:p>
              </w:tc>
              <w:tc>
                <w:tcPr>
                  <w:tcW w:w="2646" w:type="dxa"/>
                  <w:vAlign w:val="center"/>
                </w:tcPr>
                <w:p>
                  <w:pPr>
                    <w:pStyle w:val="32"/>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4</w:t>
                  </w:r>
                </w:p>
              </w:tc>
              <w:tc>
                <w:tcPr>
                  <w:tcW w:w="2972" w:type="dxa"/>
                  <w:gridSpan w:val="2"/>
                  <w:vAlign w:val="center"/>
                </w:tcPr>
                <w:p>
                  <w:pPr>
                    <w:pStyle w:val="32"/>
                    <w:spacing w:line="360" w:lineRule="exact"/>
                    <w:rPr>
                      <w:color w:val="000000" w:themeColor="text1"/>
                      <w:szCs w:val="21"/>
                    </w:rPr>
                  </w:pPr>
                  <w:r>
                    <w:rPr>
                      <w:color w:val="000000" w:themeColor="text1"/>
                      <w:szCs w:val="21"/>
                    </w:rPr>
                    <w:t>铅</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0.264</w:t>
                  </w:r>
                </w:p>
              </w:tc>
              <w:tc>
                <w:tcPr>
                  <w:tcW w:w="2646"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5</w:t>
                  </w:r>
                </w:p>
              </w:tc>
              <w:tc>
                <w:tcPr>
                  <w:tcW w:w="2972" w:type="dxa"/>
                  <w:gridSpan w:val="2"/>
                  <w:vAlign w:val="center"/>
                </w:tcPr>
                <w:p>
                  <w:pPr>
                    <w:pStyle w:val="32"/>
                    <w:spacing w:line="360" w:lineRule="exact"/>
                    <w:rPr>
                      <w:color w:val="000000" w:themeColor="text1"/>
                      <w:szCs w:val="21"/>
                    </w:rPr>
                  </w:pPr>
                  <w:r>
                    <w:rPr>
                      <w:color w:val="000000" w:themeColor="text1"/>
                      <w:szCs w:val="21"/>
                    </w:rPr>
                    <w:t>总铬</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0.321</w:t>
                  </w:r>
                </w:p>
              </w:tc>
              <w:tc>
                <w:tcPr>
                  <w:tcW w:w="2646" w:type="dxa"/>
                  <w:vAlign w:val="center"/>
                </w:tcPr>
                <w:p>
                  <w:pPr>
                    <w:pStyle w:val="32"/>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 w:hRule="atLeast"/>
                <w:jc w:val="center"/>
              </w:trPr>
              <w:tc>
                <w:tcPr>
                  <w:tcW w:w="953" w:type="dxa"/>
                  <w:vMerge w:val="restart"/>
                  <w:vAlign w:val="center"/>
                </w:tcPr>
                <w:p>
                  <w:pPr>
                    <w:pStyle w:val="32"/>
                    <w:spacing w:line="360" w:lineRule="exact"/>
                    <w:rPr>
                      <w:color w:val="000000" w:themeColor="text1"/>
                      <w:szCs w:val="21"/>
                    </w:rPr>
                  </w:pPr>
                  <w:r>
                    <w:rPr>
                      <w:rFonts w:hint="eastAsia"/>
                      <w:color w:val="000000" w:themeColor="text1"/>
                      <w:szCs w:val="21"/>
                    </w:rPr>
                    <w:t>6</w:t>
                  </w:r>
                </w:p>
              </w:tc>
              <w:tc>
                <w:tcPr>
                  <w:tcW w:w="1341" w:type="dxa"/>
                  <w:vMerge w:val="restart"/>
                  <w:vAlign w:val="center"/>
                </w:tcPr>
                <w:p>
                  <w:pPr>
                    <w:pStyle w:val="32"/>
                    <w:spacing w:line="360" w:lineRule="exact"/>
                    <w:rPr>
                      <w:color w:val="000000" w:themeColor="text1"/>
                      <w:szCs w:val="21"/>
                    </w:rPr>
                  </w:pPr>
                  <w:r>
                    <w:rPr>
                      <w:color w:val="000000" w:themeColor="text1"/>
                      <w:szCs w:val="21"/>
                    </w:rPr>
                    <w:t>烷基汞</w:t>
                  </w:r>
                </w:p>
              </w:tc>
              <w:tc>
                <w:tcPr>
                  <w:tcW w:w="1631" w:type="dxa"/>
                  <w:vAlign w:val="center"/>
                </w:tcPr>
                <w:p>
                  <w:pPr>
                    <w:pStyle w:val="32"/>
                    <w:spacing w:line="360" w:lineRule="exact"/>
                    <w:rPr>
                      <w:color w:val="000000" w:themeColor="text1"/>
                      <w:szCs w:val="21"/>
                    </w:rPr>
                  </w:pPr>
                  <w:r>
                    <w:rPr>
                      <w:color w:val="000000" w:themeColor="text1"/>
                      <w:szCs w:val="21"/>
                    </w:rPr>
                    <w:t>甲基汞</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w:t>
                  </w:r>
                </w:p>
              </w:tc>
              <w:tc>
                <w:tcPr>
                  <w:tcW w:w="2646" w:type="dxa"/>
                  <w:vMerge w:val="restart"/>
                  <w:vAlign w:val="center"/>
                </w:tcPr>
                <w:p>
                  <w:pPr>
                    <w:pStyle w:val="32"/>
                    <w:spacing w:line="360" w:lineRule="exact"/>
                    <w:rPr>
                      <w:color w:val="000000" w:themeColor="text1"/>
                      <w:szCs w:val="21"/>
                    </w:rPr>
                  </w:pPr>
                  <w:r>
                    <w:rPr>
                      <w:color w:val="000000" w:themeColor="text1"/>
                      <w:szCs w:val="21"/>
                    </w:rPr>
                    <w:t>不得检出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 w:hRule="atLeast"/>
                <w:jc w:val="center"/>
              </w:trPr>
              <w:tc>
                <w:tcPr>
                  <w:tcW w:w="953" w:type="dxa"/>
                  <w:vMerge w:val="continue"/>
                  <w:vAlign w:val="center"/>
                </w:tcPr>
                <w:p>
                  <w:pPr>
                    <w:pStyle w:val="32"/>
                    <w:spacing w:line="360" w:lineRule="exact"/>
                    <w:rPr>
                      <w:color w:val="000000" w:themeColor="text1"/>
                      <w:szCs w:val="21"/>
                    </w:rPr>
                  </w:pPr>
                </w:p>
              </w:tc>
              <w:tc>
                <w:tcPr>
                  <w:tcW w:w="1341" w:type="dxa"/>
                  <w:vMerge w:val="continue"/>
                  <w:vAlign w:val="center"/>
                </w:tcPr>
                <w:p>
                  <w:pPr>
                    <w:pStyle w:val="32"/>
                    <w:spacing w:line="360" w:lineRule="exact"/>
                    <w:rPr>
                      <w:color w:val="000000" w:themeColor="text1"/>
                      <w:szCs w:val="21"/>
                    </w:rPr>
                  </w:pPr>
                </w:p>
              </w:tc>
              <w:tc>
                <w:tcPr>
                  <w:tcW w:w="1631" w:type="dxa"/>
                  <w:vAlign w:val="center"/>
                </w:tcPr>
                <w:p>
                  <w:pPr>
                    <w:pStyle w:val="32"/>
                    <w:spacing w:line="360" w:lineRule="exact"/>
                    <w:rPr>
                      <w:color w:val="000000" w:themeColor="text1"/>
                      <w:szCs w:val="21"/>
                    </w:rPr>
                  </w:pPr>
                  <w:r>
                    <w:rPr>
                      <w:color w:val="000000" w:themeColor="text1"/>
                      <w:szCs w:val="21"/>
                    </w:rPr>
                    <w:t>乙基汞</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w:t>
                  </w:r>
                </w:p>
              </w:tc>
              <w:tc>
                <w:tcPr>
                  <w:tcW w:w="2646" w:type="dxa"/>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7</w:t>
                  </w:r>
                </w:p>
              </w:tc>
              <w:tc>
                <w:tcPr>
                  <w:tcW w:w="2972" w:type="dxa"/>
                  <w:gridSpan w:val="2"/>
                  <w:vAlign w:val="center"/>
                </w:tcPr>
                <w:p>
                  <w:pPr>
                    <w:pStyle w:val="32"/>
                    <w:spacing w:line="360" w:lineRule="exact"/>
                    <w:rPr>
                      <w:color w:val="000000" w:themeColor="text1"/>
                      <w:szCs w:val="21"/>
                    </w:rPr>
                  </w:pPr>
                  <w:r>
                    <w:rPr>
                      <w:color w:val="000000" w:themeColor="text1"/>
                      <w:szCs w:val="21"/>
                    </w:rPr>
                    <w:t>六价铬</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0.008</w:t>
                  </w:r>
                </w:p>
              </w:tc>
              <w:tc>
                <w:tcPr>
                  <w:tcW w:w="2646"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8</w:t>
                  </w:r>
                </w:p>
              </w:tc>
              <w:tc>
                <w:tcPr>
                  <w:tcW w:w="2972" w:type="dxa"/>
                  <w:gridSpan w:val="2"/>
                  <w:vAlign w:val="center"/>
                </w:tcPr>
                <w:p>
                  <w:pPr>
                    <w:pStyle w:val="32"/>
                    <w:spacing w:line="360" w:lineRule="exact"/>
                    <w:rPr>
                      <w:color w:val="000000" w:themeColor="text1"/>
                      <w:szCs w:val="21"/>
                    </w:rPr>
                  </w:pPr>
                  <w:r>
                    <w:rPr>
                      <w:color w:val="000000" w:themeColor="text1"/>
                      <w:szCs w:val="21"/>
                    </w:rPr>
                    <w:t>汞</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0.010</w:t>
                  </w:r>
                </w:p>
              </w:tc>
              <w:tc>
                <w:tcPr>
                  <w:tcW w:w="2646" w:type="dxa"/>
                  <w:vAlign w:val="center"/>
                </w:tcPr>
                <w:p>
                  <w:pPr>
                    <w:pStyle w:val="32"/>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9</w:t>
                  </w:r>
                </w:p>
              </w:tc>
              <w:tc>
                <w:tcPr>
                  <w:tcW w:w="2972" w:type="dxa"/>
                  <w:gridSpan w:val="2"/>
                  <w:vAlign w:val="center"/>
                </w:tcPr>
                <w:p>
                  <w:pPr>
                    <w:pStyle w:val="32"/>
                    <w:spacing w:line="360" w:lineRule="exact"/>
                    <w:rPr>
                      <w:color w:val="000000" w:themeColor="text1"/>
                      <w:szCs w:val="21"/>
                    </w:rPr>
                  </w:pPr>
                  <w:r>
                    <w:rPr>
                      <w:color w:val="000000" w:themeColor="text1"/>
                      <w:szCs w:val="21"/>
                    </w:rPr>
                    <w:t>铍</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0.0020</w:t>
                  </w:r>
                </w:p>
              </w:tc>
              <w:tc>
                <w:tcPr>
                  <w:tcW w:w="2646" w:type="dxa"/>
                  <w:vAlign w:val="center"/>
                </w:tcPr>
                <w:p>
                  <w:pPr>
                    <w:pStyle w:val="32"/>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10</w:t>
                  </w:r>
                </w:p>
              </w:tc>
              <w:tc>
                <w:tcPr>
                  <w:tcW w:w="2972" w:type="dxa"/>
                  <w:gridSpan w:val="2"/>
                  <w:vAlign w:val="center"/>
                </w:tcPr>
                <w:p>
                  <w:pPr>
                    <w:pStyle w:val="32"/>
                    <w:spacing w:line="360" w:lineRule="exact"/>
                    <w:rPr>
                      <w:color w:val="000000" w:themeColor="text1"/>
                      <w:szCs w:val="21"/>
                    </w:rPr>
                  </w:pPr>
                  <w:r>
                    <w:rPr>
                      <w:color w:val="000000" w:themeColor="text1"/>
                      <w:szCs w:val="21"/>
                    </w:rPr>
                    <w:t>钡</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0.136</w:t>
                  </w:r>
                </w:p>
              </w:tc>
              <w:tc>
                <w:tcPr>
                  <w:tcW w:w="2646"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11</w:t>
                  </w:r>
                </w:p>
              </w:tc>
              <w:tc>
                <w:tcPr>
                  <w:tcW w:w="2972" w:type="dxa"/>
                  <w:gridSpan w:val="2"/>
                  <w:vAlign w:val="center"/>
                </w:tcPr>
                <w:p>
                  <w:pPr>
                    <w:pStyle w:val="32"/>
                    <w:spacing w:line="360" w:lineRule="exact"/>
                    <w:rPr>
                      <w:color w:val="000000" w:themeColor="text1"/>
                      <w:szCs w:val="21"/>
                    </w:rPr>
                  </w:pPr>
                  <w:r>
                    <w:rPr>
                      <w:color w:val="000000" w:themeColor="text1"/>
                      <w:szCs w:val="21"/>
                    </w:rPr>
                    <w:t>镍</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0.04L</w:t>
                  </w:r>
                </w:p>
              </w:tc>
              <w:tc>
                <w:tcPr>
                  <w:tcW w:w="2646"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12</w:t>
                  </w:r>
                </w:p>
              </w:tc>
              <w:tc>
                <w:tcPr>
                  <w:tcW w:w="2972" w:type="dxa"/>
                  <w:gridSpan w:val="2"/>
                  <w:vAlign w:val="center"/>
                </w:tcPr>
                <w:p>
                  <w:pPr>
                    <w:pStyle w:val="32"/>
                    <w:spacing w:line="360" w:lineRule="exact"/>
                    <w:rPr>
                      <w:color w:val="000000" w:themeColor="text1"/>
                      <w:szCs w:val="21"/>
                    </w:rPr>
                  </w:pPr>
                  <w:r>
                    <w:rPr>
                      <w:color w:val="000000" w:themeColor="text1"/>
                      <w:szCs w:val="21"/>
                    </w:rPr>
                    <w:t>总银</w:t>
                  </w:r>
                </w:p>
              </w:tc>
              <w:tc>
                <w:tcPr>
                  <w:tcW w:w="203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0.01L</w:t>
                  </w:r>
                </w:p>
              </w:tc>
              <w:tc>
                <w:tcPr>
                  <w:tcW w:w="2646"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13</w:t>
                  </w:r>
                </w:p>
              </w:tc>
              <w:tc>
                <w:tcPr>
                  <w:tcW w:w="2972" w:type="dxa"/>
                  <w:gridSpan w:val="2"/>
                  <w:vAlign w:val="center"/>
                </w:tcPr>
                <w:p>
                  <w:pPr>
                    <w:pStyle w:val="32"/>
                    <w:spacing w:line="360" w:lineRule="exact"/>
                    <w:rPr>
                      <w:color w:val="000000" w:themeColor="text1"/>
                      <w:szCs w:val="21"/>
                    </w:rPr>
                  </w:pPr>
                  <w:r>
                    <w:rPr>
                      <w:color w:val="000000" w:themeColor="text1"/>
                      <w:szCs w:val="21"/>
                    </w:rPr>
                    <w:t>砷</w:t>
                  </w:r>
                </w:p>
              </w:tc>
              <w:tc>
                <w:tcPr>
                  <w:tcW w:w="203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0.006</w:t>
                  </w:r>
                </w:p>
              </w:tc>
              <w:tc>
                <w:tcPr>
                  <w:tcW w:w="2646"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14</w:t>
                  </w:r>
                </w:p>
              </w:tc>
              <w:tc>
                <w:tcPr>
                  <w:tcW w:w="2972" w:type="dxa"/>
                  <w:gridSpan w:val="2"/>
                  <w:vAlign w:val="center"/>
                </w:tcPr>
                <w:p>
                  <w:pPr>
                    <w:pStyle w:val="32"/>
                    <w:spacing w:line="360" w:lineRule="exact"/>
                    <w:rPr>
                      <w:color w:val="000000" w:themeColor="text1"/>
                      <w:szCs w:val="21"/>
                    </w:rPr>
                  </w:pPr>
                  <w:r>
                    <w:rPr>
                      <w:color w:val="000000" w:themeColor="text1"/>
                      <w:szCs w:val="21"/>
                    </w:rPr>
                    <w:t>硒</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0.0094</w:t>
                  </w:r>
                </w:p>
              </w:tc>
              <w:tc>
                <w:tcPr>
                  <w:tcW w:w="2646" w:type="dxa"/>
                  <w:vAlign w:val="center"/>
                </w:tcPr>
                <w:p>
                  <w:pPr>
                    <w:pStyle w:val="32"/>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15</w:t>
                  </w:r>
                </w:p>
              </w:tc>
              <w:tc>
                <w:tcPr>
                  <w:tcW w:w="2972" w:type="dxa"/>
                  <w:gridSpan w:val="2"/>
                  <w:vAlign w:val="center"/>
                </w:tcPr>
                <w:p>
                  <w:pPr>
                    <w:pStyle w:val="32"/>
                    <w:spacing w:line="360" w:lineRule="exact"/>
                    <w:rPr>
                      <w:color w:val="000000" w:themeColor="text1"/>
                      <w:szCs w:val="21"/>
                    </w:rPr>
                  </w:pPr>
                  <w:r>
                    <w:rPr>
                      <w:color w:val="000000" w:themeColor="text1"/>
                      <w:szCs w:val="21"/>
                    </w:rPr>
                    <w:t>氟化物</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0.28</w:t>
                  </w:r>
                </w:p>
              </w:tc>
              <w:tc>
                <w:tcPr>
                  <w:tcW w:w="2646"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3" w:type="dxa"/>
                  <w:vAlign w:val="center"/>
                </w:tcPr>
                <w:p>
                  <w:pPr>
                    <w:pStyle w:val="32"/>
                    <w:spacing w:line="360" w:lineRule="exact"/>
                    <w:rPr>
                      <w:color w:val="000000" w:themeColor="text1"/>
                      <w:szCs w:val="21"/>
                    </w:rPr>
                  </w:pPr>
                  <w:r>
                    <w:rPr>
                      <w:rFonts w:hint="eastAsia"/>
                      <w:color w:val="000000" w:themeColor="text1"/>
                      <w:szCs w:val="21"/>
                    </w:rPr>
                    <w:t>16</w:t>
                  </w:r>
                </w:p>
              </w:tc>
              <w:tc>
                <w:tcPr>
                  <w:tcW w:w="2972" w:type="dxa"/>
                  <w:gridSpan w:val="2"/>
                  <w:vAlign w:val="center"/>
                </w:tcPr>
                <w:p>
                  <w:pPr>
                    <w:pStyle w:val="32"/>
                    <w:spacing w:line="360" w:lineRule="exact"/>
                    <w:rPr>
                      <w:color w:val="000000" w:themeColor="text1"/>
                      <w:szCs w:val="21"/>
                    </w:rPr>
                  </w:pPr>
                  <w:r>
                    <w:rPr>
                      <w:color w:val="000000" w:themeColor="text1"/>
                      <w:szCs w:val="21"/>
                    </w:rPr>
                    <w:t>氰化物</w:t>
                  </w:r>
                </w:p>
              </w:tc>
              <w:tc>
                <w:tcPr>
                  <w:tcW w:w="2034" w:type="dxa"/>
                  <w:tcBorders>
                    <w:right w:val="single" w:color="auto" w:sz="4" w:space="0"/>
                  </w:tcBorders>
                </w:tcPr>
                <w:p>
                  <w:pPr>
                    <w:pStyle w:val="32"/>
                    <w:spacing w:line="360" w:lineRule="exact"/>
                    <w:rPr>
                      <w:color w:val="000000" w:themeColor="text1"/>
                      <w:szCs w:val="21"/>
                    </w:rPr>
                  </w:pPr>
                  <w:r>
                    <w:rPr>
                      <w:color w:val="000000" w:themeColor="text1"/>
                      <w:szCs w:val="21"/>
                    </w:rPr>
                    <w:t>0.004L</w:t>
                  </w:r>
                </w:p>
              </w:tc>
              <w:tc>
                <w:tcPr>
                  <w:tcW w:w="2646" w:type="dxa"/>
                  <w:vAlign w:val="center"/>
                </w:tcPr>
                <w:p>
                  <w:pPr>
                    <w:pStyle w:val="32"/>
                    <w:spacing w:line="360" w:lineRule="exact"/>
                    <w:rPr>
                      <w:color w:val="000000" w:themeColor="text1"/>
                      <w:szCs w:val="21"/>
                    </w:rPr>
                  </w:pPr>
                  <w:r>
                    <w:rPr>
                      <w:color w:val="000000" w:themeColor="text1"/>
                      <w:szCs w:val="21"/>
                    </w:rPr>
                    <w:t>5</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eastAsia="宋体" w:cs="Times New Roman"/>
                <w:color w:val="000000" w:themeColor="text1"/>
                <w:sz w:val="24"/>
                <w:szCs w:val="24"/>
              </w:rPr>
              <w:t>由</w:t>
            </w:r>
            <w:r>
              <w:rPr>
                <w:rFonts w:hint="eastAsia" w:ascii="Times New Roman" w:hAnsi="Times New Roman" w:eastAsia="宋体" w:cs="Times New Roman"/>
                <w:color w:val="000000" w:themeColor="text1"/>
                <w:sz w:val="24"/>
                <w:szCs w:val="24"/>
              </w:rPr>
              <w:t>以上两</w:t>
            </w:r>
            <w:r>
              <w:rPr>
                <w:rFonts w:ascii="Times New Roman" w:hAnsi="Times New Roman" w:eastAsia="宋体" w:cs="Times New Roman"/>
                <w:color w:val="000000" w:themeColor="text1"/>
                <w:sz w:val="24"/>
                <w:szCs w:val="24"/>
              </w:rPr>
              <w:t>表可知，废石渣的腐蚀性和浸出毒性不超过《危险废物鉴别标准 腐蚀性鉴别》（GB5085.1-2007）和《危险废物鉴别标准 浸出毒性鉴别》（GB5085.3-2007），该废石渣属于一般工业固体废物。</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eastAsia="宋体" w:cs="Times New Roman"/>
                <w:b/>
                <w:color w:val="000000" w:themeColor="text1"/>
                <w:sz w:val="24"/>
                <w:szCs w:val="24"/>
              </w:rPr>
              <w:t>水浸鉴别结果</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水浸鉴别结果如下表所示。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表2.5.1-</w:t>
            </w:r>
            <w:r>
              <w:rPr>
                <w:rFonts w:hint="eastAsia" w:ascii="Times New Roman" w:hAnsi="Times New Roman" w:eastAsia="宋体" w:cs="Times New Roman"/>
                <w:b/>
                <w:color w:val="000000" w:themeColor="text1"/>
              </w:rPr>
              <w:t>5</w:t>
            </w:r>
            <w:r>
              <w:rPr>
                <w:rFonts w:ascii="Times New Roman" w:hAnsi="Times New Roman" w:eastAsia="宋体" w:cs="Times New Roman"/>
                <w:b/>
                <w:color w:val="000000" w:themeColor="text1"/>
              </w:rPr>
              <w:t xml:space="preserve"> 废石水浸检测结果一览表  单位：mg/L</w:t>
            </w:r>
          </w:p>
          <w:tbl>
            <w:tblPr>
              <w:tblStyle w:val="21"/>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9"/>
              <w:gridCol w:w="1290"/>
              <w:gridCol w:w="1600"/>
              <w:gridCol w:w="2285"/>
              <w:gridCol w:w="23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0" w:hRule="atLeast"/>
                <w:jc w:val="center"/>
              </w:trPr>
              <w:tc>
                <w:tcPr>
                  <w:tcW w:w="1089" w:type="dxa"/>
                  <w:vAlign w:val="center"/>
                </w:tcPr>
                <w:p>
                  <w:pPr>
                    <w:pStyle w:val="32"/>
                    <w:spacing w:line="360" w:lineRule="exact"/>
                    <w:rPr>
                      <w:color w:val="000000" w:themeColor="text1"/>
                      <w:szCs w:val="21"/>
                    </w:rPr>
                  </w:pPr>
                  <w:r>
                    <w:rPr>
                      <w:color w:val="000000" w:themeColor="text1"/>
                      <w:szCs w:val="21"/>
                    </w:rPr>
                    <w:t>序号</w:t>
                  </w:r>
                </w:p>
              </w:tc>
              <w:tc>
                <w:tcPr>
                  <w:tcW w:w="2890" w:type="dxa"/>
                  <w:gridSpan w:val="2"/>
                  <w:vAlign w:val="center"/>
                </w:tcPr>
                <w:p>
                  <w:pPr>
                    <w:pStyle w:val="32"/>
                    <w:spacing w:line="360" w:lineRule="exact"/>
                    <w:rPr>
                      <w:color w:val="000000" w:themeColor="text1"/>
                      <w:szCs w:val="21"/>
                    </w:rPr>
                  </w:pPr>
                  <w:r>
                    <w:rPr>
                      <w:color w:val="000000" w:themeColor="text1"/>
                      <w:szCs w:val="21"/>
                    </w:rPr>
                    <w:t>污染因子</w:t>
                  </w:r>
                </w:p>
              </w:tc>
              <w:tc>
                <w:tcPr>
                  <w:tcW w:w="2285"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检出值</w:t>
                  </w:r>
                </w:p>
              </w:tc>
              <w:tc>
                <w:tcPr>
                  <w:tcW w:w="2341" w:type="dxa"/>
                  <w:vAlign w:val="center"/>
                </w:tcPr>
                <w:p>
                  <w:pPr>
                    <w:pStyle w:val="32"/>
                    <w:spacing w:line="360" w:lineRule="exact"/>
                    <w:rPr>
                      <w:color w:val="000000" w:themeColor="text1"/>
                      <w:szCs w:val="21"/>
                    </w:rPr>
                  </w:pPr>
                  <w:r>
                    <w:rPr>
                      <w:color w:val="000000" w:themeColor="text1"/>
                      <w:szCs w:val="21"/>
                    </w:rPr>
                    <w:t>第I类和第I I类一般工业固废临界值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1</w:t>
                  </w:r>
                </w:p>
              </w:tc>
              <w:tc>
                <w:tcPr>
                  <w:tcW w:w="2890" w:type="dxa"/>
                  <w:gridSpan w:val="2"/>
                  <w:vAlign w:val="center"/>
                </w:tcPr>
                <w:p>
                  <w:pPr>
                    <w:pStyle w:val="32"/>
                    <w:spacing w:line="360" w:lineRule="exact"/>
                    <w:rPr>
                      <w:color w:val="000000" w:themeColor="text1"/>
                      <w:szCs w:val="21"/>
                    </w:rPr>
                  </w:pPr>
                  <w:r>
                    <w:rPr>
                      <w:color w:val="000000" w:themeColor="text1"/>
                      <w:szCs w:val="21"/>
                    </w:rPr>
                    <w:t>pH值</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8.07</w:t>
                  </w:r>
                </w:p>
              </w:tc>
              <w:tc>
                <w:tcPr>
                  <w:tcW w:w="2341" w:type="dxa"/>
                  <w:vAlign w:val="center"/>
                </w:tcPr>
                <w:p>
                  <w:pPr>
                    <w:pStyle w:val="32"/>
                    <w:spacing w:line="360" w:lineRule="exact"/>
                    <w:rPr>
                      <w:color w:val="000000" w:themeColor="text1"/>
                      <w:szCs w:val="21"/>
                    </w:rPr>
                  </w:pPr>
                  <w:r>
                    <w:rPr>
                      <w:color w:val="000000" w:themeColor="text1"/>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2</w:t>
                  </w:r>
                </w:p>
              </w:tc>
              <w:tc>
                <w:tcPr>
                  <w:tcW w:w="2890" w:type="dxa"/>
                  <w:gridSpan w:val="2"/>
                  <w:vAlign w:val="center"/>
                </w:tcPr>
                <w:p>
                  <w:pPr>
                    <w:pStyle w:val="32"/>
                    <w:spacing w:line="360" w:lineRule="exact"/>
                    <w:rPr>
                      <w:color w:val="000000" w:themeColor="text1"/>
                      <w:szCs w:val="21"/>
                    </w:rPr>
                  </w:pPr>
                  <w:r>
                    <w:rPr>
                      <w:color w:val="000000" w:themeColor="text1"/>
                      <w:szCs w:val="21"/>
                    </w:rPr>
                    <w:t>铜</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0.02L</w:t>
                  </w:r>
                </w:p>
              </w:tc>
              <w:tc>
                <w:tcPr>
                  <w:tcW w:w="2341"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3</w:t>
                  </w:r>
                </w:p>
              </w:tc>
              <w:tc>
                <w:tcPr>
                  <w:tcW w:w="2890" w:type="dxa"/>
                  <w:gridSpan w:val="2"/>
                  <w:vAlign w:val="center"/>
                </w:tcPr>
                <w:p>
                  <w:pPr>
                    <w:pStyle w:val="32"/>
                    <w:spacing w:line="360" w:lineRule="exact"/>
                    <w:rPr>
                      <w:color w:val="000000" w:themeColor="text1"/>
                      <w:szCs w:val="21"/>
                    </w:rPr>
                  </w:pPr>
                  <w:r>
                    <w:rPr>
                      <w:color w:val="000000" w:themeColor="text1"/>
                      <w:szCs w:val="21"/>
                    </w:rPr>
                    <w:t>锌</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0.034</w:t>
                  </w:r>
                </w:p>
              </w:tc>
              <w:tc>
                <w:tcPr>
                  <w:tcW w:w="2341" w:type="dxa"/>
                  <w:vAlign w:val="center"/>
                </w:tcPr>
                <w:p>
                  <w:pPr>
                    <w:pStyle w:val="32"/>
                    <w:spacing w:line="360" w:lineRule="exact"/>
                    <w:rPr>
                      <w:color w:val="000000" w:themeColor="text1"/>
                      <w:szCs w:val="21"/>
                    </w:rPr>
                  </w:pPr>
                  <w:r>
                    <w:rPr>
                      <w:color w:val="000000" w:themeColor="text1"/>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4</w:t>
                  </w:r>
                </w:p>
              </w:tc>
              <w:tc>
                <w:tcPr>
                  <w:tcW w:w="2890" w:type="dxa"/>
                  <w:gridSpan w:val="2"/>
                  <w:vAlign w:val="center"/>
                </w:tcPr>
                <w:p>
                  <w:pPr>
                    <w:pStyle w:val="32"/>
                    <w:spacing w:line="360" w:lineRule="exact"/>
                    <w:rPr>
                      <w:color w:val="000000" w:themeColor="text1"/>
                      <w:szCs w:val="21"/>
                    </w:rPr>
                  </w:pPr>
                  <w:r>
                    <w:rPr>
                      <w:color w:val="000000" w:themeColor="text1"/>
                      <w:szCs w:val="21"/>
                    </w:rPr>
                    <w:t>镉</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0.040</w:t>
                  </w:r>
                </w:p>
              </w:tc>
              <w:tc>
                <w:tcPr>
                  <w:tcW w:w="2341" w:type="dxa"/>
                  <w:vAlign w:val="center"/>
                </w:tcPr>
                <w:p>
                  <w:pPr>
                    <w:pStyle w:val="32"/>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5</w:t>
                  </w:r>
                </w:p>
              </w:tc>
              <w:tc>
                <w:tcPr>
                  <w:tcW w:w="2890" w:type="dxa"/>
                  <w:gridSpan w:val="2"/>
                  <w:vAlign w:val="center"/>
                </w:tcPr>
                <w:p>
                  <w:pPr>
                    <w:pStyle w:val="32"/>
                    <w:spacing w:line="360" w:lineRule="exact"/>
                    <w:rPr>
                      <w:color w:val="000000" w:themeColor="text1"/>
                      <w:szCs w:val="21"/>
                    </w:rPr>
                  </w:pPr>
                  <w:r>
                    <w:rPr>
                      <w:color w:val="000000" w:themeColor="text1"/>
                      <w:szCs w:val="21"/>
                    </w:rPr>
                    <w:t>铅</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0.231</w:t>
                  </w:r>
                </w:p>
              </w:tc>
              <w:tc>
                <w:tcPr>
                  <w:tcW w:w="2341"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6</w:t>
                  </w:r>
                </w:p>
              </w:tc>
              <w:tc>
                <w:tcPr>
                  <w:tcW w:w="2890" w:type="dxa"/>
                  <w:gridSpan w:val="2"/>
                  <w:vAlign w:val="center"/>
                </w:tcPr>
                <w:p>
                  <w:pPr>
                    <w:pStyle w:val="32"/>
                    <w:spacing w:line="360" w:lineRule="exact"/>
                    <w:rPr>
                      <w:color w:val="000000" w:themeColor="text1"/>
                      <w:szCs w:val="21"/>
                    </w:rPr>
                  </w:pPr>
                  <w:r>
                    <w:rPr>
                      <w:color w:val="000000" w:themeColor="text1"/>
                      <w:szCs w:val="21"/>
                    </w:rPr>
                    <w:t>总铬</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0.171</w:t>
                  </w:r>
                </w:p>
              </w:tc>
              <w:tc>
                <w:tcPr>
                  <w:tcW w:w="2341" w:type="dxa"/>
                  <w:vAlign w:val="center"/>
                </w:tcPr>
                <w:p>
                  <w:pPr>
                    <w:pStyle w:val="32"/>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 w:hRule="atLeast"/>
                <w:jc w:val="center"/>
              </w:trPr>
              <w:tc>
                <w:tcPr>
                  <w:tcW w:w="1089" w:type="dxa"/>
                  <w:vMerge w:val="restart"/>
                  <w:vAlign w:val="center"/>
                </w:tcPr>
                <w:p>
                  <w:pPr>
                    <w:pStyle w:val="32"/>
                    <w:spacing w:line="360" w:lineRule="exact"/>
                    <w:rPr>
                      <w:color w:val="000000" w:themeColor="text1"/>
                      <w:szCs w:val="21"/>
                    </w:rPr>
                  </w:pPr>
                  <w:r>
                    <w:rPr>
                      <w:color w:val="000000" w:themeColor="text1"/>
                      <w:szCs w:val="21"/>
                    </w:rPr>
                    <w:t>7</w:t>
                  </w:r>
                </w:p>
              </w:tc>
              <w:tc>
                <w:tcPr>
                  <w:tcW w:w="1290" w:type="dxa"/>
                  <w:vMerge w:val="restart"/>
                  <w:vAlign w:val="center"/>
                </w:tcPr>
                <w:p>
                  <w:pPr>
                    <w:pStyle w:val="32"/>
                    <w:spacing w:line="360" w:lineRule="exact"/>
                    <w:rPr>
                      <w:color w:val="000000" w:themeColor="text1"/>
                      <w:szCs w:val="21"/>
                    </w:rPr>
                  </w:pPr>
                  <w:r>
                    <w:rPr>
                      <w:color w:val="000000" w:themeColor="text1"/>
                      <w:szCs w:val="21"/>
                    </w:rPr>
                    <w:t>烷基汞</w:t>
                  </w:r>
                </w:p>
              </w:tc>
              <w:tc>
                <w:tcPr>
                  <w:tcW w:w="1600" w:type="dxa"/>
                  <w:vAlign w:val="center"/>
                </w:tcPr>
                <w:p>
                  <w:pPr>
                    <w:pStyle w:val="32"/>
                    <w:spacing w:line="360" w:lineRule="exact"/>
                    <w:rPr>
                      <w:color w:val="000000" w:themeColor="text1"/>
                      <w:szCs w:val="21"/>
                    </w:rPr>
                  </w:pPr>
                  <w:r>
                    <w:rPr>
                      <w:color w:val="000000" w:themeColor="text1"/>
                      <w:szCs w:val="21"/>
                    </w:rPr>
                    <w:t>甲基汞</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10L</w:t>
                  </w:r>
                </w:p>
              </w:tc>
              <w:tc>
                <w:tcPr>
                  <w:tcW w:w="2341" w:type="dxa"/>
                  <w:vMerge w:val="restart"/>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 w:hRule="atLeast"/>
                <w:jc w:val="center"/>
              </w:trPr>
              <w:tc>
                <w:tcPr>
                  <w:tcW w:w="1089" w:type="dxa"/>
                  <w:vMerge w:val="continue"/>
                  <w:vAlign w:val="center"/>
                </w:tcPr>
                <w:p>
                  <w:pPr>
                    <w:pStyle w:val="32"/>
                    <w:spacing w:line="360" w:lineRule="exact"/>
                    <w:rPr>
                      <w:color w:val="000000" w:themeColor="text1"/>
                      <w:szCs w:val="21"/>
                    </w:rPr>
                  </w:pPr>
                </w:p>
              </w:tc>
              <w:tc>
                <w:tcPr>
                  <w:tcW w:w="1290" w:type="dxa"/>
                  <w:vMerge w:val="continue"/>
                  <w:vAlign w:val="center"/>
                </w:tcPr>
                <w:p>
                  <w:pPr>
                    <w:pStyle w:val="32"/>
                    <w:spacing w:line="360" w:lineRule="exact"/>
                    <w:rPr>
                      <w:color w:val="000000" w:themeColor="text1"/>
                      <w:szCs w:val="21"/>
                    </w:rPr>
                  </w:pPr>
                </w:p>
              </w:tc>
              <w:tc>
                <w:tcPr>
                  <w:tcW w:w="1600" w:type="dxa"/>
                  <w:vAlign w:val="center"/>
                </w:tcPr>
                <w:p>
                  <w:pPr>
                    <w:pStyle w:val="32"/>
                    <w:spacing w:line="360" w:lineRule="exact"/>
                    <w:rPr>
                      <w:color w:val="000000" w:themeColor="text1"/>
                      <w:szCs w:val="21"/>
                    </w:rPr>
                  </w:pPr>
                  <w:r>
                    <w:rPr>
                      <w:color w:val="000000" w:themeColor="text1"/>
                      <w:szCs w:val="21"/>
                    </w:rPr>
                    <w:t>乙基汞</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20L</w:t>
                  </w:r>
                </w:p>
              </w:tc>
              <w:tc>
                <w:tcPr>
                  <w:tcW w:w="2341" w:type="dxa"/>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8</w:t>
                  </w:r>
                </w:p>
              </w:tc>
              <w:tc>
                <w:tcPr>
                  <w:tcW w:w="2890" w:type="dxa"/>
                  <w:gridSpan w:val="2"/>
                  <w:vAlign w:val="center"/>
                </w:tcPr>
                <w:p>
                  <w:pPr>
                    <w:pStyle w:val="32"/>
                    <w:spacing w:line="360" w:lineRule="exact"/>
                    <w:rPr>
                      <w:color w:val="000000" w:themeColor="text1"/>
                      <w:szCs w:val="21"/>
                    </w:rPr>
                  </w:pPr>
                  <w:r>
                    <w:rPr>
                      <w:color w:val="000000" w:themeColor="text1"/>
                      <w:szCs w:val="21"/>
                    </w:rPr>
                    <w:t>六价铬</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0.006</w:t>
                  </w:r>
                </w:p>
              </w:tc>
              <w:tc>
                <w:tcPr>
                  <w:tcW w:w="2341"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9</w:t>
                  </w:r>
                </w:p>
              </w:tc>
              <w:tc>
                <w:tcPr>
                  <w:tcW w:w="2890" w:type="dxa"/>
                  <w:gridSpan w:val="2"/>
                  <w:vAlign w:val="center"/>
                </w:tcPr>
                <w:p>
                  <w:pPr>
                    <w:pStyle w:val="32"/>
                    <w:spacing w:line="360" w:lineRule="exact"/>
                    <w:rPr>
                      <w:color w:val="000000" w:themeColor="text1"/>
                      <w:szCs w:val="21"/>
                    </w:rPr>
                  </w:pPr>
                  <w:r>
                    <w:rPr>
                      <w:color w:val="000000" w:themeColor="text1"/>
                      <w:szCs w:val="21"/>
                    </w:rPr>
                    <w:t>汞</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0.009</w:t>
                  </w:r>
                </w:p>
              </w:tc>
              <w:tc>
                <w:tcPr>
                  <w:tcW w:w="2341" w:type="dxa"/>
                  <w:vAlign w:val="center"/>
                </w:tcPr>
                <w:p>
                  <w:pPr>
                    <w:pStyle w:val="32"/>
                    <w:spacing w:line="360" w:lineRule="exact"/>
                    <w:rPr>
                      <w:color w:val="000000" w:themeColor="text1"/>
                      <w:szCs w:val="21"/>
                    </w:rPr>
                  </w:pPr>
                  <w:r>
                    <w:rPr>
                      <w:color w:val="000000" w:themeColor="text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10</w:t>
                  </w:r>
                </w:p>
              </w:tc>
              <w:tc>
                <w:tcPr>
                  <w:tcW w:w="2890" w:type="dxa"/>
                  <w:gridSpan w:val="2"/>
                  <w:vAlign w:val="center"/>
                </w:tcPr>
                <w:p>
                  <w:pPr>
                    <w:pStyle w:val="32"/>
                    <w:spacing w:line="360" w:lineRule="exact"/>
                    <w:rPr>
                      <w:color w:val="000000" w:themeColor="text1"/>
                      <w:szCs w:val="21"/>
                    </w:rPr>
                  </w:pPr>
                  <w:r>
                    <w:rPr>
                      <w:color w:val="000000" w:themeColor="text1"/>
                      <w:szCs w:val="21"/>
                    </w:rPr>
                    <w:t>铍</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0.0012</w:t>
                  </w:r>
                </w:p>
              </w:tc>
              <w:tc>
                <w:tcPr>
                  <w:tcW w:w="2341" w:type="dxa"/>
                  <w:vAlign w:val="center"/>
                </w:tcPr>
                <w:p>
                  <w:pPr>
                    <w:pStyle w:val="32"/>
                    <w:spacing w:line="360" w:lineRule="exact"/>
                    <w:rPr>
                      <w:color w:val="000000" w:themeColor="text1"/>
                      <w:szCs w:val="21"/>
                    </w:rPr>
                  </w:pPr>
                  <w:r>
                    <w:rPr>
                      <w:color w:val="000000" w:themeColor="text1"/>
                      <w:szCs w:val="21"/>
                    </w:rPr>
                    <w:t>0.005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11</w:t>
                  </w:r>
                </w:p>
              </w:tc>
              <w:tc>
                <w:tcPr>
                  <w:tcW w:w="2890" w:type="dxa"/>
                  <w:gridSpan w:val="2"/>
                  <w:vAlign w:val="center"/>
                </w:tcPr>
                <w:p>
                  <w:pPr>
                    <w:pStyle w:val="32"/>
                    <w:spacing w:line="360" w:lineRule="exact"/>
                    <w:rPr>
                      <w:color w:val="000000" w:themeColor="text1"/>
                      <w:szCs w:val="21"/>
                    </w:rPr>
                  </w:pPr>
                  <w:r>
                    <w:rPr>
                      <w:color w:val="000000" w:themeColor="text1"/>
                      <w:szCs w:val="21"/>
                    </w:rPr>
                    <w:t>钡</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0.111</w:t>
                  </w:r>
                </w:p>
              </w:tc>
              <w:tc>
                <w:tcPr>
                  <w:tcW w:w="2341"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12</w:t>
                  </w:r>
                </w:p>
              </w:tc>
              <w:tc>
                <w:tcPr>
                  <w:tcW w:w="2890" w:type="dxa"/>
                  <w:gridSpan w:val="2"/>
                  <w:vAlign w:val="center"/>
                </w:tcPr>
                <w:p>
                  <w:pPr>
                    <w:pStyle w:val="32"/>
                    <w:spacing w:line="360" w:lineRule="exact"/>
                    <w:rPr>
                      <w:color w:val="000000" w:themeColor="text1"/>
                      <w:szCs w:val="21"/>
                    </w:rPr>
                  </w:pPr>
                  <w:r>
                    <w:rPr>
                      <w:color w:val="000000" w:themeColor="text1"/>
                      <w:szCs w:val="21"/>
                    </w:rPr>
                    <w:t>镍</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0.04L</w:t>
                  </w:r>
                </w:p>
              </w:tc>
              <w:tc>
                <w:tcPr>
                  <w:tcW w:w="2341"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13</w:t>
                  </w:r>
                </w:p>
              </w:tc>
              <w:tc>
                <w:tcPr>
                  <w:tcW w:w="2890" w:type="dxa"/>
                  <w:gridSpan w:val="2"/>
                  <w:vAlign w:val="center"/>
                </w:tcPr>
                <w:p>
                  <w:pPr>
                    <w:pStyle w:val="32"/>
                    <w:spacing w:line="360" w:lineRule="exact"/>
                    <w:rPr>
                      <w:color w:val="000000" w:themeColor="text1"/>
                      <w:szCs w:val="21"/>
                    </w:rPr>
                  </w:pPr>
                  <w:r>
                    <w:rPr>
                      <w:color w:val="000000" w:themeColor="text1"/>
                      <w:szCs w:val="21"/>
                    </w:rPr>
                    <w:t>总银</w:t>
                  </w:r>
                </w:p>
              </w:tc>
              <w:tc>
                <w:tcPr>
                  <w:tcW w:w="2285"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0.01L</w:t>
                  </w:r>
                </w:p>
              </w:tc>
              <w:tc>
                <w:tcPr>
                  <w:tcW w:w="2341"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14</w:t>
                  </w:r>
                </w:p>
              </w:tc>
              <w:tc>
                <w:tcPr>
                  <w:tcW w:w="2890" w:type="dxa"/>
                  <w:gridSpan w:val="2"/>
                  <w:vAlign w:val="center"/>
                </w:tcPr>
                <w:p>
                  <w:pPr>
                    <w:pStyle w:val="32"/>
                    <w:spacing w:line="360" w:lineRule="exact"/>
                    <w:rPr>
                      <w:color w:val="000000" w:themeColor="text1"/>
                      <w:szCs w:val="21"/>
                    </w:rPr>
                  </w:pPr>
                  <w:r>
                    <w:rPr>
                      <w:color w:val="000000" w:themeColor="text1"/>
                      <w:szCs w:val="21"/>
                    </w:rPr>
                    <w:t>砷</w:t>
                  </w:r>
                </w:p>
              </w:tc>
              <w:tc>
                <w:tcPr>
                  <w:tcW w:w="2285"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0.007L</w:t>
                  </w:r>
                </w:p>
              </w:tc>
              <w:tc>
                <w:tcPr>
                  <w:tcW w:w="2341"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15</w:t>
                  </w:r>
                </w:p>
              </w:tc>
              <w:tc>
                <w:tcPr>
                  <w:tcW w:w="2890" w:type="dxa"/>
                  <w:gridSpan w:val="2"/>
                  <w:vAlign w:val="center"/>
                </w:tcPr>
                <w:p>
                  <w:pPr>
                    <w:pStyle w:val="32"/>
                    <w:spacing w:line="360" w:lineRule="exact"/>
                    <w:rPr>
                      <w:color w:val="000000" w:themeColor="text1"/>
                      <w:szCs w:val="21"/>
                    </w:rPr>
                  </w:pPr>
                  <w:r>
                    <w:rPr>
                      <w:color w:val="000000" w:themeColor="text1"/>
                      <w:szCs w:val="21"/>
                    </w:rPr>
                    <w:t>硒</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0.0069</w:t>
                  </w:r>
                </w:p>
              </w:tc>
              <w:tc>
                <w:tcPr>
                  <w:tcW w:w="2341" w:type="dxa"/>
                  <w:vAlign w:val="center"/>
                </w:tcPr>
                <w:p>
                  <w:pPr>
                    <w:pStyle w:val="32"/>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16</w:t>
                  </w:r>
                </w:p>
              </w:tc>
              <w:tc>
                <w:tcPr>
                  <w:tcW w:w="2890" w:type="dxa"/>
                  <w:gridSpan w:val="2"/>
                  <w:vAlign w:val="center"/>
                </w:tcPr>
                <w:p>
                  <w:pPr>
                    <w:pStyle w:val="32"/>
                    <w:spacing w:line="360" w:lineRule="exact"/>
                    <w:rPr>
                      <w:color w:val="000000" w:themeColor="text1"/>
                      <w:szCs w:val="21"/>
                    </w:rPr>
                  </w:pPr>
                  <w:r>
                    <w:rPr>
                      <w:color w:val="000000" w:themeColor="text1"/>
                      <w:szCs w:val="21"/>
                    </w:rPr>
                    <w:t>氟化物</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0.26</w:t>
                  </w:r>
                </w:p>
              </w:tc>
              <w:tc>
                <w:tcPr>
                  <w:tcW w:w="2341"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89" w:type="dxa"/>
                  <w:vAlign w:val="center"/>
                </w:tcPr>
                <w:p>
                  <w:pPr>
                    <w:pStyle w:val="32"/>
                    <w:spacing w:line="360" w:lineRule="exact"/>
                    <w:rPr>
                      <w:color w:val="000000" w:themeColor="text1"/>
                      <w:szCs w:val="21"/>
                    </w:rPr>
                  </w:pPr>
                  <w:r>
                    <w:rPr>
                      <w:color w:val="000000" w:themeColor="text1"/>
                      <w:szCs w:val="21"/>
                    </w:rPr>
                    <w:t>17</w:t>
                  </w:r>
                </w:p>
              </w:tc>
              <w:tc>
                <w:tcPr>
                  <w:tcW w:w="2890" w:type="dxa"/>
                  <w:gridSpan w:val="2"/>
                  <w:vAlign w:val="center"/>
                </w:tcPr>
                <w:p>
                  <w:pPr>
                    <w:pStyle w:val="32"/>
                    <w:spacing w:line="360" w:lineRule="exact"/>
                    <w:rPr>
                      <w:color w:val="000000" w:themeColor="text1"/>
                      <w:szCs w:val="21"/>
                    </w:rPr>
                  </w:pPr>
                  <w:r>
                    <w:rPr>
                      <w:color w:val="000000" w:themeColor="text1"/>
                      <w:szCs w:val="21"/>
                    </w:rPr>
                    <w:t>氰化物</w:t>
                  </w:r>
                </w:p>
              </w:tc>
              <w:tc>
                <w:tcPr>
                  <w:tcW w:w="2285" w:type="dxa"/>
                  <w:tcBorders>
                    <w:right w:val="single" w:color="auto" w:sz="4" w:space="0"/>
                  </w:tcBorders>
                </w:tcPr>
                <w:p>
                  <w:pPr>
                    <w:pStyle w:val="32"/>
                    <w:spacing w:line="360" w:lineRule="exact"/>
                    <w:rPr>
                      <w:color w:val="000000" w:themeColor="text1"/>
                      <w:szCs w:val="21"/>
                    </w:rPr>
                  </w:pPr>
                  <w:r>
                    <w:rPr>
                      <w:color w:val="000000" w:themeColor="text1"/>
                      <w:szCs w:val="21"/>
                    </w:rPr>
                    <w:t>0.004L</w:t>
                  </w:r>
                </w:p>
              </w:tc>
              <w:tc>
                <w:tcPr>
                  <w:tcW w:w="2341" w:type="dxa"/>
                  <w:vAlign w:val="center"/>
                </w:tcPr>
                <w:p>
                  <w:pPr>
                    <w:pStyle w:val="32"/>
                    <w:spacing w:line="360" w:lineRule="exact"/>
                    <w:rPr>
                      <w:color w:val="000000" w:themeColor="text1"/>
                      <w:szCs w:val="21"/>
                    </w:rPr>
                  </w:pPr>
                  <w:r>
                    <w:rPr>
                      <w:color w:val="000000" w:themeColor="text1"/>
                      <w:szCs w:val="21"/>
                    </w:rPr>
                    <w:t>0.5</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根据《一般工业固体废物贮存和填埋污染控制标准》（GB18599-2020）的规定，水浸实验获得的浸出液中，任何一种污染物的浓度均未超过《污水综合排放标准》（GB8978-1996）最高允许排放浓度，且pH值在6-9范围之内，因此该废石渣属于第I类一般工业固体废物。</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（3）一体化污水处理设施消毒剂用量及性质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根据一体化污水处理设施的设计及其参数，使用次氯酸钠作为消毒剂，年使用量为50kg；由于其遇碱会发生反应，且用量极少，因此单独暂存于办公生活区内。其性质如下表所示。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表2.5.1-</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次氯酸钠物质特性一览表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0"/>
              <w:gridCol w:w="1488"/>
              <w:gridCol w:w="906"/>
              <w:gridCol w:w="1180"/>
              <w:gridCol w:w="37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4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90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18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7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90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80"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7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817"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817"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817"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5817"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817"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817"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817"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817"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2.5.3 能源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项目使用能源主要电能。根据</w:t>
            </w:r>
            <w:r>
              <w:rPr>
                <w:rFonts w:hint="eastAsia" w:ascii="Times New Roman" w:hAnsi="Times New Roman" w:cs="Times New Roman"/>
                <w:color w:val="000000" w:themeColor="text1"/>
                <w:sz w:val="24"/>
                <w:szCs w:val="24"/>
              </w:rPr>
              <w:t>项目《节能报告》</w:t>
            </w:r>
            <w:r>
              <w:rPr>
                <w:rFonts w:ascii="Times New Roman" w:hAnsi="Times New Roman" w:cs="Times New Roman"/>
                <w:color w:val="000000" w:themeColor="text1"/>
                <w:sz w:val="24"/>
                <w:szCs w:val="24"/>
              </w:rPr>
              <w:t>，项目全年耗电</w:t>
            </w:r>
            <w:r>
              <w:rPr>
                <w:rFonts w:hint="eastAsia" w:ascii="Times New Roman" w:hAnsi="Times New Roman" w:cs="Times New Roman"/>
                <w:color w:val="000000" w:themeColor="text1"/>
                <w:sz w:val="24"/>
                <w:szCs w:val="24"/>
              </w:rPr>
              <w:t>472.70万kWh。</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 劳动定员及工作制度</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2.6.1 劳动定员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根据项目特点，该项目拟设置员工20人</w:t>
            </w:r>
            <w:r>
              <w:rPr>
                <w:rFonts w:hint="eastAsia" w:ascii="Times New Roman" w:hAnsi="Times New Roman" w:cs="Times New Roman"/>
                <w:bCs/>
                <w:color w:val="000000" w:themeColor="text1"/>
                <w:sz w:val="24"/>
                <w:szCs w:val="24"/>
              </w:rPr>
              <w:t>，其中一期工程10人，二期工程10人，项目员工主要为附近居民，均不在项目区食宿。</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2.6.2 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年工作300d，实行每天2班制，每班8h。</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项目建设进度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根据调查，该项目还未建设；建设单位根据项目手续办理的实际情况，拟定</w:t>
            </w:r>
            <w:r>
              <w:rPr>
                <w:rFonts w:hint="eastAsia" w:ascii="Times New Roman" w:hAnsi="Times New Roman" w:cs="Times New Roman"/>
                <w:bCs/>
                <w:color w:val="000000" w:themeColor="text1"/>
                <w:sz w:val="24"/>
                <w:szCs w:val="24"/>
              </w:rPr>
              <w:t>一期工程</w:t>
            </w:r>
            <w:r>
              <w:rPr>
                <w:rFonts w:ascii="Times New Roman" w:hAnsi="Times New Roman" w:cs="Times New Roman"/>
                <w:bCs/>
                <w:color w:val="000000" w:themeColor="text1"/>
                <w:sz w:val="24"/>
                <w:szCs w:val="24"/>
              </w:rPr>
              <w:t>建设时间为2022年3月-202</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12</w:t>
            </w:r>
            <w:r>
              <w:rPr>
                <w:rFonts w:ascii="Times New Roman" w:hAnsi="Times New Roman" w:cs="Times New Roman"/>
                <w:bCs/>
                <w:color w:val="000000" w:themeColor="text1"/>
                <w:sz w:val="24"/>
                <w:szCs w:val="24"/>
              </w:rPr>
              <w:t>月，</w:t>
            </w:r>
            <w:r>
              <w:rPr>
                <w:rFonts w:hint="eastAsia" w:ascii="Times New Roman" w:hAnsi="Times New Roman" w:cs="Times New Roman"/>
                <w:bCs/>
                <w:color w:val="000000" w:themeColor="text1"/>
                <w:sz w:val="24"/>
                <w:szCs w:val="24"/>
              </w:rPr>
              <w:t>二期工程根据一期工程运行情况及市场情况决定建设时间</w:t>
            </w:r>
            <w:r>
              <w:rPr>
                <w:rFonts w:ascii="Times New Roman" w:hAnsi="Times New Roman" w:cs="Times New Roman"/>
                <w:bCs/>
                <w:color w:val="000000" w:themeColor="text1"/>
                <w:sz w:val="24"/>
                <w:szCs w:val="24"/>
              </w:rPr>
              <w:t>。</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水平衡</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2.8.1 一期工程水平衡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建设内容及生产工艺，该项目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用水环节包括洒水抑尘用水、砂石骨料生产用水、绿化用水和生活用水，而</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废水产生类型包括砂石骨料生产废水、生活污水和初期雨水。具体产排情况核算如下：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洒水抑尘用水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拟设置1台雾炮机对厂区内废石采装、卸料及运输过程扬尘进行洒水降尘。洒水抑尘用水量视天气和堆存量等具体情况而定，预计约为3m³/d；900m³/a，其产生的废水全部蒸发，因此洒水抑尘不产生废水。</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②砂石骨料生产废水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根据生产工艺，本项目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生产工艺各环节均为湿法作业，项目生产设计用水定额为0.225m³/（t·产品），根据项目主要产品及产能，项目砂石骨料产品为90万t/a（3000t/d），则用水量为675m³/d，主要添加水的环节包括一段筛分、鄂破、反击破、二段筛分、球磨、制砂和水洗工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用水环节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根据设计，为了保证各生产段的物料的含水率，各工段废水添加量情况具体如为：一段筛分加水量为1</w:t>
            </w:r>
            <w:r>
              <w:rPr>
                <w:rFonts w:hint="eastAsia" w:ascii="Times New Roman" w:hAnsi="Times New Roman" w:cs="Times New Roman"/>
                <w:color w:val="000000" w:themeColor="text1"/>
                <w:sz w:val="24"/>
                <w:szCs w:val="24"/>
              </w:rPr>
              <w:t>35</w:t>
            </w:r>
            <w:r>
              <w:rPr>
                <w:rFonts w:ascii="Times New Roman" w:hAnsi="Times New Roman" w:cs="Times New Roman"/>
                <w:color w:val="000000" w:themeColor="text1"/>
                <w:sz w:val="24"/>
                <w:szCs w:val="24"/>
              </w:rPr>
              <w:t>m³/d、鄂破加水量为</w:t>
            </w:r>
            <w:r>
              <w:rPr>
                <w:rFonts w:hint="eastAsia" w:ascii="Times New Roman" w:hAnsi="Times New Roman" w:cs="Times New Roman"/>
                <w:color w:val="000000" w:themeColor="text1"/>
                <w:sz w:val="24"/>
                <w:szCs w:val="24"/>
              </w:rPr>
              <w:t>40.5</w:t>
            </w:r>
            <w:r>
              <w:rPr>
                <w:rFonts w:ascii="Times New Roman" w:hAnsi="Times New Roman" w:cs="Times New Roman"/>
                <w:color w:val="000000" w:themeColor="text1"/>
                <w:sz w:val="24"/>
                <w:szCs w:val="24"/>
              </w:rPr>
              <w:t>m³/d、反击破加水量为</w:t>
            </w:r>
            <w:r>
              <w:rPr>
                <w:rFonts w:hint="eastAsia" w:ascii="Times New Roman" w:hAnsi="Times New Roman" w:cs="Times New Roman"/>
                <w:color w:val="000000" w:themeColor="text1"/>
                <w:sz w:val="24"/>
                <w:szCs w:val="24"/>
              </w:rPr>
              <w:t>33.75</w:t>
            </w:r>
            <w:r>
              <w:rPr>
                <w:rFonts w:ascii="Times New Roman" w:hAnsi="Times New Roman" w:cs="Times New Roman"/>
                <w:color w:val="000000" w:themeColor="text1"/>
                <w:sz w:val="24"/>
                <w:szCs w:val="24"/>
              </w:rPr>
              <w:t>m³/d、二段筛分加水量为1</w:t>
            </w:r>
            <w:r>
              <w:rPr>
                <w:rFonts w:hint="eastAsia" w:ascii="Times New Roman" w:hAnsi="Times New Roman" w:cs="Times New Roman"/>
                <w:color w:val="000000" w:themeColor="text1"/>
                <w:sz w:val="24"/>
                <w:szCs w:val="24"/>
              </w:rPr>
              <w:t>08</w:t>
            </w:r>
            <w:r>
              <w:rPr>
                <w:rFonts w:ascii="Times New Roman" w:hAnsi="Times New Roman" w:cs="Times New Roman"/>
                <w:color w:val="000000" w:themeColor="text1"/>
                <w:sz w:val="24"/>
                <w:szCs w:val="24"/>
              </w:rPr>
              <w:t>m³/d、球磨加水量为</w:t>
            </w:r>
            <w:r>
              <w:rPr>
                <w:rFonts w:hint="eastAsia" w:ascii="Times New Roman" w:hAnsi="Times New Roman" w:cs="Times New Roman"/>
                <w:color w:val="000000" w:themeColor="text1"/>
                <w:sz w:val="24"/>
                <w:szCs w:val="24"/>
              </w:rPr>
              <w:t>27</w:t>
            </w:r>
            <w:r>
              <w:rPr>
                <w:rFonts w:ascii="Times New Roman" w:hAnsi="Times New Roman" w:cs="Times New Roman"/>
                <w:color w:val="000000" w:themeColor="text1"/>
                <w:sz w:val="24"/>
                <w:szCs w:val="24"/>
              </w:rPr>
              <w:t>m³/d、制砂加水量为2</w:t>
            </w:r>
            <w:r>
              <w:rPr>
                <w:rFonts w:hint="eastAsia" w:ascii="Times New Roman" w:hAnsi="Times New Roman" w:cs="Times New Roman"/>
                <w:color w:val="000000" w:themeColor="text1"/>
                <w:sz w:val="24"/>
                <w:szCs w:val="24"/>
              </w:rPr>
              <w:t>0.25</w:t>
            </w:r>
            <w:r>
              <w:rPr>
                <w:rFonts w:ascii="Times New Roman" w:hAnsi="Times New Roman" w:cs="Times New Roman"/>
                <w:color w:val="000000" w:themeColor="text1"/>
                <w:sz w:val="24"/>
                <w:szCs w:val="24"/>
              </w:rPr>
              <w:t>m³/d，水洗加水量为</w:t>
            </w:r>
            <w:r>
              <w:rPr>
                <w:rFonts w:hint="eastAsia" w:ascii="Times New Roman" w:hAnsi="Times New Roman" w:cs="Times New Roman"/>
                <w:color w:val="000000" w:themeColor="text1"/>
                <w:sz w:val="24"/>
                <w:szCs w:val="24"/>
              </w:rPr>
              <w:t>310.5</w:t>
            </w:r>
            <w:r>
              <w:rPr>
                <w:rFonts w:ascii="Times New Roman" w:hAnsi="Times New Roman" w:cs="Times New Roman"/>
                <w:color w:val="000000" w:themeColor="text1"/>
                <w:sz w:val="24"/>
                <w:szCs w:val="24"/>
              </w:rPr>
              <w:t>m³/d，合计为</w:t>
            </w:r>
            <w:r>
              <w:rPr>
                <w:rFonts w:hint="eastAsia" w:ascii="Times New Roman" w:hAnsi="Times New Roman" w:cs="Times New Roman"/>
                <w:color w:val="000000" w:themeColor="text1"/>
                <w:sz w:val="24"/>
                <w:szCs w:val="24"/>
              </w:rPr>
              <w:t>675</w:t>
            </w:r>
            <w:r>
              <w:rPr>
                <w:rFonts w:ascii="Times New Roman" w:hAnsi="Times New Roman" w:cs="Times New Roman"/>
                <w:color w:val="000000" w:themeColor="text1"/>
                <w:sz w:val="24"/>
                <w:szCs w:val="24"/>
              </w:rPr>
              <w:t>m³/d。</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废水量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根据《排放源统计调查产排污核算方法和系数手册》中“303砖瓦、石材等建筑材料制造行业系数手册”中“3039其他建筑材料制造”废水的产污系数如下表所示。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hint="eastAsia" w:ascii="Times New Roman" w:hAnsi="Times New Roman" w:eastAsia="宋体" w:cs="Times New Roman"/>
                <w:b/>
                <w:color w:val="000000" w:themeColor="text1"/>
                <w:szCs w:val="24"/>
              </w:rPr>
              <w:t>2.8.1</w:t>
            </w:r>
            <w:r>
              <w:rPr>
                <w:rFonts w:ascii="Times New Roman" w:hAnsi="Times New Roman" w:eastAsia="宋体" w:cs="Times New Roman"/>
                <w:b/>
                <w:color w:val="000000" w:themeColor="text1"/>
                <w:szCs w:val="24"/>
              </w:rPr>
              <w:t>-1   3039其他建筑材料制造行业系数表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716"/>
              <w:gridCol w:w="1180"/>
              <w:gridCol w:w="708"/>
              <w:gridCol w:w="567"/>
              <w:gridCol w:w="851"/>
              <w:gridCol w:w="992"/>
              <w:gridCol w:w="992"/>
              <w:gridCol w:w="864"/>
              <w:gridCol w:w="10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6" w:hRule="atLeast"/>
              </w:trPr>
              <w:tc>
                <w:tcPr>
                  <w:tcW w:w="68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工段名称</w:t>
                  </w:r>
                </w:p>
              </w:tc>
              <w:tc>
                <w:tcPr>
                  <w:tcW w:w="716"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产品名称</w:t>
                  </w:r>
                </w:p>
              </w:tc>
              <w:tc>
                <w:tcPr>
                  <w:tcW w:w="1180"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工艺名称</w:t>
                  </w:r>
                </w:p>
              </w:tc>
              <w:tc>
                <w:tcPr>
                  <w:tcW w:w="708"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规模等级</w:t>
                  </w:r>
                </w:p>
              </w:tc>
              <w:tc>
                <w:tcPr>
                  <w:tcW w:w="1418" w:type="dxa"/>
                  <w:gridSpan w:val="2"/>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污染物指标</w:t>
                  </w:r>
                </w:p>
              </w:tc>
              <w:tc>
                <w:tcPr>
                  <w:tcW w:w="99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系数单位</w:t>
                  </w:r>
                </w:p>
              </w:tc>
              <w:tc>
                <w:tcPr>
                  <w:tcW w:w="99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产污系数</w:t>
                  </w:r>
                </w:p>
              </w:tc>
              <w:tc>
                <w:tcPr>
                  <w:tcW w:w="864"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末端治理技术</w:t>
                  </w:r>
                </w:p>
              </w:tc>
              <w:tc>
                <w:tcPr>
                  <w:tcW w:w="1053"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2" w:hRule="atLeast"/>
              </w:trPr>
              <w:tc>
                <w:tcPr>
                  <w:tcW w:w="68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716"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砂石骨料</w:t>
                  </w:r>
                </w:p>
              </w:tc>
              <w:tc>
                <w:tcPr>
                  <w:tcW w:w="1180"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岩石、矿石、建筑固体废弃物、尾矿等</w:t>
                  </w:r>
                </w:p>
              </w:tc>
              <w:tc>
                <w:tcPr>
                  <w:tcW w:w="708"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所有规模</w:t>
                  </w:r>
                </w:p>
              </w:tc>
              <w:tc>
                <w:tcPr>
                  <w:tcW w:w="567"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废水</w:t>
                  </w:r>
                </w:p>
              </w:tc>
              <w:tc>
                <w:tcPr>
                  <w:tcW w:w="851"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工业废水量</w:t>
                  </w:r>
                </w:p>
              </w:tc>
              <w:tc>
                <w:tcPr>
                  <w:tcW w:w="99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吨/吨-产品</w:t>
                  </w:r>
                </w:p>
              </w:tc>
              <w:tc>
                <w:tcPr>
                  <w:tcW w:w="99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0.14</w:t>
                  </w:r>
                </w:p>
              </w:tc>
              <w:tc>
                <w:tcPr>
                  <w:tcW w:w="864" w:type="dxa"/>
                  <w:tcBorders>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1053" w:type="dxa"/>
                  <w:tcBorders>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由上表可知，项目砂石骨料年产量为90万t/a，则砂石骨料生产废水量为420m³/d（合计126000m³/a）</w:t>
            </w:r>
            <w:r>
              <w:rPr>
                <w:rFonts w:hint="eastAsia" w:ascii="Times New Roman" w:hAnsi="Times New Roman" w:cs="Times New Roman"/>
                <w:bCs/>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生产工艺，进入系统的水量损失环节主要包括各砂石骨料带走，其中规格为Φ0-5mm和Φ0-7mm砂石骨料的含水率为15%，规格为Φ20-30mm砂石骨料的含水率为6%，则Φ0-5mm产品带走水量为74.32m³/d、Φ0-07mm产品带走水量为74.32m³/d、ΦΦ20-30mm产品带走水量为106.36m³/d，则项目生产废水产排如下表。</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2.8.1</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 项目</w:t>
            </w:r>
            <w:r>
              <w:rPr>
                <w:rFonts w:hint="eastAsia" w:ascii="Times New Roman" w:hAnsi="Times New Roman" w:cs="Times New Roman"/>
                <w:b/>
                <w:bCs/>
                <w:color w:val="000000" w:themeColor="text1"/>
                <w:kern w:val="0"/>
              </w:rPr>
              <w:t>一期工程</w:t>
            </w:r>
            <w:r>
              <w:rPr>
                <w:rFonts w:ascii="Times New Roman" w:hAnsi="Times New Roman" w:cs="Times New Roman"/>
                <w:b/>
                <w:bCs/>
                <w:color w:val="000000" w:themeColor="text1"/>
                <w:kern w:val="0"/>
              </w:rPr>
              <w:t>生产废水产排情况一览表 m³/d</w:t>
            </w:r>
          </w:p>
          <w:tbl>
            <w:tblPr>
              <w:tblStyle w:val="20"/>
              <w:tblW w:w="8595" w:type="dxa"/>
              <w:jc w:val="center"/>
              <w:tblInd w:w="98" w:type="dxa"/>
              <w:tblLayout w:type="fixed"/>
              <w:tblCellMar>
                <w:top w:w="0" w:type="dxa"/>
                <w:left w:w="108" w:type="dxa"/>
                <w:bottom w:w="0" w:type="dxa"/>
                <w:right w:w="108" w:type="dxa"/>
              </w:tblCellMar>
            </w:tblPr>
            <w:tblGrid>
              <w:gridCol w:w="725"/>
              <w:gridCol w:w="1572"/>
              <w:gridCol w:w="1268"/>
              <w:gridCol w:w="2268"/>
              <w:gridCol w:w="1276"/>
              <w:gridCol w:w="1486"/>
            </w:tblGrid>
            <w:tr>
              <w:tblPrEx>
                <w:tblLayout w:type="fixed"/>
                <w:tblCellMar>
                  <w:top w:w="0" w:type="dxa"/>
                  <w:left w:w="108" w:type="dxa"/>
                  <w:bottom w:w="0" w:type="dxa"/>
                  <w:right w:w="108" w:type="dxa"/>
                </w:tblCellMar>
              </w:tblPrEx>
              <w:trPr>
                <w:jc w:val="center"/>
              </w:trPr>
              <w:tc>
                <w:tcPr>
                  <w:tcW w:w="7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序号</w:t>
                  </w:r>
                </w:p>
              </w:tc>
              <w:tc>
                <w:tcPr>
                  <w:tcW w:w="2840" w:type="dxa"/>
                  <w:gridSpan w:val="2"/>
                  <w:tcBorders>
                    <w:top w:val="single" w:color="000000" w:sz="8" w:space="0"/>
                    <w:left w:val="nil"/>
                    <w:bottom w:val="single" w:color="000000" w:sz="8" w:space="0"/>
                    <w:right w:val="single" w:color="auto" w:sz="4"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用水环节</w:t>
                  </w:r>
                </w:p>
              </w:tc>
              <w:tc>
                <w:tcPr>
                  <w:tcW w:w="3544"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损失环节</w:t>
                  </w:r>
                </w:p>
              </w:tc>
              <w:tc>
                <w:tcPr>
                  <w:tcW w:w="1486" w:type="dxa"/>
                  <w:tcBorders>
                    <w:top w:val="single" w:color="000000" w:sz="8" w:space="0"/>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废水产生环节</w:t>
                  </w:r>
                </w:p>
              </w:tc>
            </w:tr>
            <w:tr>
              <w:tblPrEx>
                <w:tblLayout w:type="fixed"/>
                <w:tblCellMar>
                  <w:top w:w="0" w:type="dxa"/>
                  <w:left w:w="108" w:type="dxa"/>
                  <w:bottom w:w="0" w:type="dxa"/>
                  <w:right w:w="108" w:type="dxa"/>
                </w:tblCellMar>
              </w:tblPrEx>
              <w:trPr>
                <w:jc w:val="center"/>
              </w:trPr>
              <w:tc>
                <w:tcPr>
                  <w:tcW w:w="725"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用水工序</w:t>
                  </w:r>
                </w:p>
              </w:tc>
              <w:tc>
                <w:tcPr>
                  <w:tcW w:w="1268" w:type="dxa"/>
                  <w:tcBorders>
                    <w:top w:val="nil"/>
                    <w:left w:val="nil"/>
                    <w:bottom w:val="single" w:color="000000" w:sz="8" w:space="0"/>
                    <w:right w:val="single" w:color="auto" w:sz="4"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用水量</w:t>
                  </w:r>
                </w:p>
              </w:tc>
              <w:tc>
                <w:tcPr>
                  <w:tcW w:w="2268" w:type="dxa"/>
                  <w:tcBorders>
                    <w:top w:val="nil"/>
                    <w:left w:val="single" w:color="auto" w:sz="4"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损失或废水产生工序</w:t>
                  </w:r>
                </w:p>
              </w:tc>
              <w:tc>
                <w:tcPr>
                  <w:tcW w:w="1276" w:type="dxa"/>
                  <w:tcBorders>
                    <w:top w:val="nil"/>
                    <w:left w:val="nil"/>
                    <w:bottom w:val="single" w:color="000000" w:sz="8" w:space="0"/>
                    <w:right w:val="single" w:color="auto"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损失量</w:t>
                  </w:r>
                </w:p>
              </w:tc>
              <w:tc>
                <w:tcPr>
                  <w:tcW w:w="148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废水量</w:t>
                  </w:r>
                </w:p>
              </w:tc>
            </w:tr>
            <w:tr>
              <w:tblPrEx>
                <w:tblLayout w:type="fixed"/>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一段筛分</w:t>
                  </w:r>
                </w:p>
              </w:tc>
              <w:tc>
                <w:tcPr>
                  <w:tcW w:w="1268" w:type="dxa"/>
                  <w:tcBorders>
                    <w:top w:val="nil"/>
                    <w:left w:val="nil"/>
                    <w:bottom w:val="single" w:color="000000" w:sz="8" w:space="0"/>
                    <w:right w:val="single" w:color="auto" w:sz="4"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135</w:t>
                  </w:r>
                </w:p>
              </w:tc>
              <w:tc>
                <w:tcPr>
                  <w:tcW w:w="2268" w:type="dxa"/>
                  <w:vMerge w:val="restart"/>
                  <w:tcBorders>
                    <w:top w:val="nil"/>
                    <w:left w:val="single" w:color="auto" w:sz="4"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Φ0-5mm产品带走</w:t>
                  </w:r>
                </w:p>
              </w:tc>
              <w:tc>
                <w:tcPr>
                  <w:tcW w:w="1276" w:type="dxa"/>
                  <w:vMerge w:val="restart"/>
                  <w:tcBorders>
                    <w:top w:val="nil"/>
                    <w:left w:val="nil"/>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74.32</w:t>
                  </w:r>
                </w:p>
              </w:tc>
              <w:tc>
                <w:tcPr>
                  <w:tcW w:w="1486" w:type="dxa"/>
                  <w:vMerge w:val="restart"/>
                  <w:tcBorders>
                    <w:top w:val="nil"/>
                    <w:left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420</w:t>
                  </w:r>
                </w:p>
              </w:tc>
            </w:tr>
            <w:tr>
              <w:tblPrEx>
                <w:tblLayout w:type="fixed"/>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2</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鄂破</w:t>
                  </w:r>
                </w:p>
              </w:tc>
              <w:tc>
                <w:tcPr>
                  <w:tcW w:w="1268" w:type="dxa"/>
                  <w:tcBorders>
                    <w:top w:val="nil"/>
                    <w:left w:val="nil"/>
                    <w:bottom w:val="single" w:color="000000" w:sz="8" w:space="0"/>
                    <w:right w:val="single" w:color="auto" w:sz="4"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40.5</w:t>
                  </w:r>
                </w:p>
              </w:tc>
              <w:tc>
                <w:tcPr>
                  <w:tcW w:w="2268" w:type="dxa"/>
                  <w:vMerge w:val="continue"/>
                  <w:tcBorders>
                    <w:left w:val="single" w:color="auto" w:sz="4"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276" w:type="dxa"/>
                  <w:vMerge w:val="continue"/>
                  <w:tcBorders>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486" w:type="dxa"/>
                  <w:vMerge w:val="continue"/>
                  <w:tcBorders>
                    <w:left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3</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反击破</w:t>
                  </w:r>
                </w:p>
              </w:tc>
              <w:tc>
                <w:tcPr>
                  <w:tcW w:w="1268" w:type="dxa"/>
                  <w:tcBorders>
                    <w:top w:val="nil"/>
                    <w:left w:val="nil"/>
                    <w:bottom w:val="single" w:color="000000" w:sz="8" w:space="0"/>
                    <w:right w:val="single" w:color="auto" w:sz="4"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33.75</w:t>
                  </w:r>
                </w:p>
              </w:tc>
              <w:tc>
                <w:tcPr>
                  <w:tcW w:w="2268" w:type="dxa"/>
                  <w:vMerge w:val="restart"/>
                  <w:tcBorders>
                    <w:top w:val="nil"/>
                    <w:left w:val="single" w:color="auto" w:sz="4"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Φ0-7mm产品带走</w:t>
                  </w:r>
                </w:p>
              </w:tc>
              <w:tc>
                <w:tcPr>
                  <w:tcW w:w="1276" w:type="dxa"/>
                  <w:vMerge w:val="restart"/>
                  <w:tcBorders>
                    <w:top w:val="nil"/>
                    <w:left w:val="nil"/>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74.32</w:t>
                  </w:r>
                </w:p>
              </w:tc>
              <w:tc>
                <w:tcPr>
                  <w:tcW w:w="1486" w:type="dxa"/>
                  <w:vMerge w:val="continue"/>
                  <w:tcBorders>
                    <w:left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4</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二段筛分</w:t>
                  </w:r>
                </w:p>
              </w:tc>
              <w:tc>
                <w:tcPr>
                  <w:tcW w:w="1268" w:type="dxa"/>
                  <w:tcBorders>
                    <w:top w:val="nil"/>
                    <w:left w:val="nil"/>
                    <w:bottom w:val="single" w:color="000000" w:sz="8" w:space="0"/>
                    <w:right w:val="single" w:color="auto" w:sz="4"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108</w:t>
                  </w:r>
                </w:p>
              </w:tc>
              <w:tc>
                <w:tcPr>
                  <w:tcW w:w="2268" w:type="dxa"/>
                  <w:vMerge w:val="continue"/>
                  <w:tcBorders>
                    <w:left w:val="single" w:color="auto" w:sz="4"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276" w:type="dxa"/>
                  <w:vMerge w:val="continue"/>
                  <w:tcBorders>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486" w:type="dxa"/>
                  <w:vMerge w:val="continue"/>
                  <w:tcBorders>
                    <w:left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5</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球磨</w:t>
                  </w:r>
                </w:p>
              </w:tc>
              <w:tc>
                <w:tcPr>
                  <w:tcW w:w="1268" w:type="dxa"/>
                  <w:tcBorders>
                    <w:top w:val="nil"/>
                    <w:left w:val="nil"/>
                    <w:bottom w:val="single" w:color="000000" w:sz="8" w:space="0"/>
                    <w:right w:val="single" w:color="auto" w:sz="4"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27</w:t>
                  </w:r>
                </w:p>
              </w:tc>
              <w:tc>
                <w:tcPr>
                  <w:tcW w:w="2268" w:type="dxa"/>
                  <w:vMerge w:val="restart"/>
                  <w:tcBorders>
                    <w:top w:val="nil"/>
                    <w:left w:val="single" w:color="auto" w:sz="4"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Φ20-30mm产品带走</w:t>
                  </w:r>
                </w:p>
              </w:tc>
              <w:tc>
                <w:tcPr>
                  <w:tcW w:w="1276" w:type="dxa"/>
                  <w:vMerge w:val="restart"/>
                  <w:tcBorders>
                    <w:top w:val="nil"/>
                    <w:left w:val="nil"/>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106.36</w:t>
                  </w:r>
                </w:p>
              </w:tc>
              <w:tc>
                <w:tcPr>
                  <w:tcW w:w="1486" w:type="dxa"/>
                  <w:vMerge w:val="continue"/>
                  <w:tcBorders>
                    <w:left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6</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制砂</w:t>
                  </w:r>
                </w:p>
              </w:tc>
              <w:tc>
                <w:tcPr>
                  <w:tcW w:w="1268" w:type="dxa"/>
                  <w:tcBorders>
                    <w:top w:val="nil"/>
                    <w:left w:val="nil"/>
                    <w:bottom w:val="single" w:color="000000" w:sz="8" w:space="0"/>
                    <w:right w:val="single" w:color="auto" w:sz="4"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20.25</w:t>
                  </w:r>
                </w:p>
              </w:tc>
              <w:tc>
                <w:tcPr>
                  <w:tcW w:w="2268" w:type="dxa"/>
                  <w:vMerge w:val="continue"/>
                  <w:tcBorders>
                    <w:left w:val="single" w:color="auto" w:sz="4"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276" w:type="dxa"/>
                  <w:vMerge w:val="continue"/>
                  <w:tcBorders>
                    <w:left w:val="nil"/>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486" w:type="dxa"/>
                  <w:vMerge w:val="continue"/>
                  <w:tcBorders>
                    <w:left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7</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水洗</w:t>
                  </w:r>
                </w:p>
              </w:tc>
              <w:tc>
                <w:tcPr>
                  <w:tcW w:w="1268" w:type="dxa"/>
                  <w:tcBorders>
                    <w:top w:val="nil"/>
                    <w:left w:val="nil"/>
                    <w:bottom w:val="single" w:color="000000" w:sz="8" w:space="0"/>
                    <w:right w:val="single" w:color="auto" w:sz="4"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310.5</w:t>
                  </w:r>
                </w:p>
              </w:tc>
              <w:tc>
                <w:tcPr>
                  <w:tcW w:w="2268" w:type="dxa"/>
                  <w:vMerge w:val="continue"/>
                  <w:tcBorders>
                    <w:left w:val="single" w:color="auto" w:sz="4"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276" w:type="dxa"/>
                  <w:vMerge w:val="continue"/>
                  <w:tcBorders>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486" w:type="dxa"/>
                  <w:vMerge w:val="continue"/>
                  <w:tcBorders>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8</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合计</w:t>
                  </w:r>
                </w:p>
              </w:tc>
              <w:tc>
                <w:tcPr>
                  <w:tcW w:w="1268" w:type="dxa"/>
                  <w:tcBorders>
                    <w:top w:val="nil"/>
                    <w:left w:val="nil"/>
                    <w:bottom w:val="single" w:color="000000" w:sz="8" w:space="0"/>
                    <w:right w:val="single" w:color="auto" w:sz="4"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675</w:t>
                  </w:r>
                </w:p>
              </w:tc>
              <w:tc>
                <w:tcPr>
                  <w:tcW w:w="2268" w:type="dxa"/>
                  <w:tcBorders>
                    <w:top w:val="nil"/>
                    <w:left w:val="single" w:color="auto" w:sz="4"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127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255</w:t>
                  </w:r>
                </w:p>
              </w:tc>
              <w:tc>
                <w:tcPr>
                  <w:tcW w:w="148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420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cs="Times New Roman"/>
                <w:b/>
                <w:color w:val="000000" w:themeColor="text1"/>
                <w:sz w:val="24"/>
                <w:szCs w:val="24"/>
              </w:rPr>
              <w:t>绿化用水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内容可知，项目拟设置面积约为1500m²绿化区；根据《云南省地方标准用水定额》（DB53/T168-2019），绿化用水定额约为3L/（m²·次），则绿化用水量约为4.5m³/次，其中雨天不浇灌，非雨天1天1次，项目区域非雨天以255d计，则绿化用水量为（4.5m³/d）1147.5m³/a。</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④一期工程</w:t>
            </w:r>
            <w:r>
              <w:rPr>
                <w:rFonts w:ascii="Times New Roman" w:hAnsi="Times New Roman" w:cs="Times New Roman"/>
                <w:b/>
                <w:color w:val="000000" w:themeColor="text1"/>
                <w:sz w:val="24"/>
                <w:szCs w:val="24"/>
              </w:rPr>
              <w:t>生活污水产排核算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根据项目特点，该项目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拟设置员工</w:t>
            </w:r>
            <w:r>
              <w:rPr>
                <w:rFonts w:hint="eastAsia" w:ascii="Times New Roman" w:hAnsi="Times New Roman" w:cs="Times New Roman"/>
                <w:color w:val="000000" w:themeColor="text1"/>
                <w:sz w:val="24"/>
              </w:rPr>
              <w:t>1</w:t>
            </w:r>
            <w:r>
              <w:rPr>
                <w:rFonts w:ascii="Times New Roman" w:hAnsi="Times New Roman" w:cs="Times New Roman"/>
                <w:color w:val="000000" w:themeColor="text1"/>
                <w:sz w:val="24"/>
              </w:rPr>
              <w:t>0人，</w:t>
            </w:r>
            <w:r>
              <w:rPr>
                <w:rFonts w:hint="eastAsia" w:ascii="Times New Roman" w:hAnsi="Times New Roman" w:cs="Times New Roman"/>
                <w:color w:val="000000" w:themeColor="text1"/>
                <w:sz w:val="24"/>
              </w:rPr>
              <w:t>不</w:t>
            </w:r>
            <w:r>
              <w:rPr>
                <w:rFonts w:ascii="Times New Roman" w:hAnsi="Times New Roman" w:cs="Times New Roman"/>
                <w:color w:val="000000" w:themeColor="text1"/>
                <w:sz w:val="24"/>
              </w:rPr>
              <w:t>在项目区食宿。根据《云南省地方标准用水定额》（DB53/T168-2019），用水量取</w:t>
            </w:r>
            <w:r>
              <w:rPr>
                <w:rFonts w:hint="eastAsia" w:ascii="Times New Roman" w:hAnsi="Times New Roman" w:cs="Times New Roman"/>
                <w:color w:val="000000" w:themeColor="text1"/>
                <w:sz w:val="24"/>
              </w:rPr>
              <w:t>6</w:t>
            </w:r>
            <w:r>
              <w:rPr>
                <w:rFonts w:ascii="Times New Roman" w:hAnsi="Times New Roman" w:cs="Times New Roman"/>
                <w:color w:val="000000" w:themeColor="text1"/>
                <w:sz w:val="24"/>
              </w:rPr>
              <w:t>0L/d·人，则生活用水量</w:t>
            </w:r>
            <w:r>
              <w:rPr>
                <w:rFonts w:hint="eastAsia" w:ascii="Times New Roman" w:hAnsi="Times New Roman" w:cs="Times New Roman"/>
                <w:color w:val="000000" w:themeColor="text1"/>
                <w:sz w:val="24"/>
              </w:rPr>
              <w:t>0.6</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180</w:t>
            </w:r>
            <w:r>
              <w:rPr>
                <w:rFonts w:ascii="Times New Roman" w:hAnsi="Times New Roman" w:cs="Times New Roman"/>
                <w:color w:val="000000" w:themeColor="text1"/>
                <w:sz w:val="24"/>
              </w:rPr>
              <w:t>m³/a；废水率按80%计，则废水量为</w:t>
            </w:r>
            <w:r>
              <w:rPr>
                <w:rFonts w:hint="eastAsia" w:ascii="Times New Roman" w:hAnsi="Times New Roman" w:cs="Times New Roman"/>
                <w:color w:val="000000" w:themeColor="text1"/>
                <w:sz w:val="24"/>
              </w:rPr>
              <w:t>0.48</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144</w:t>
            </w:r>
            <w:r>
              <w:rPr>
                <w:rFonts w:ascii="Times New Roman" w:hAnsi="Times New Roman" w:cs="Times New Roman"/>
                <w:color w:val="000000" w:themeColor="text1"/>
                <w:sz w:val="24"/>
              </w:rPr>
              <w:t>m³/a</w:t>
            </w:r>
            <w:r>
              <w:rPr>
                <w:rFonts w:hint="eastAsia" w:ascii="Times New Roman" w:hAnsi="Times New Roman" w:cs="Times New Roman"/>
                <w:color w:val="000000" w:themeColor="text1"/>
                <w:sz w:val="24"/>
              </w:rPr>
              <w:t xml:space="preserve">。 </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⑤一期工程</w:t>
            </w:r>
            <w:r>
              <w:rPr>
                <w:rFonts w:ascii="Times New Roman" w:hAnsi="Times New Roman" w:cs="Times New Roman"/>
                <w:b/>
                <w:color w:val="000000" w:themeColor="text1"/>
                <w:sz w:val="24"/>
                <w:szCs w:val="24"/>
              </w:rPr>
              <w:t>初期雨水产排核算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autoSpaceDE w:val="0"/>
              <w:autoSpaceDN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汇水面积取雨水直接落到地面上的占地面积，该项目占地为18113.33m²，</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生产区域可能受污染区的占地面积约</w:t>
            </w:r>
            <w:r>
              <w:rPr>
                <w:rFonts w:hint="eastAsia" w:ascii="Times New Roman" w:hAnsi="Times New Roman" w:cs="Times New Roman"/>
                <w:color w:val="000000" w:themeColor="text1"/>
                <w:sz w:val="24"/>
              </w:rPr>
              <w:t>35</w:t>
            </w:r>
            <w:r>
              <w:rPr>
                <w:rFonts w:ascii="Times New Roman" w:hAnsi="Times New Roman" w:cs="Times New Roman"/>
                <w:color w:val="000000" w:themeColor="text1"/>
                <w:sz w:val="24"/>
              </w:rPr>
              <w:t>00m²，考虑到项目区场地的硬化程度，径流系数取0.6。该区30年一遇最大日降雨量153.3mm，经计算项目区最大日雨水量为</w:t>
            </w:r>
            <w:r>
              <w:rPr>
                <w:rFonts w:hint="eastAsia" w:ascii="Times New Roman" w:hAnsi="Times New Roman" w:cs="Times New Roman"/>
                <w:color w:val="000000" w:themeColor="text1"/>
                <w:sz w:val="24"/>
              </w:rPr>
              <w:t>321.93</w:t>
            </w:r>
            <w:r>
              <w:rPr>
                <w:rFonts w:ascii="Times New Roman" w:hAnsi="Times New Roman" w:cs="Times New Roman"/>
                <w:color w:val="000000" w:themeColor="text1"/>
                <w:sz w:val="24"/>
              </w:rPr>
              <w:t>m³，初期雨水主要产生于暴雨前30min，经计算，项目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初期雨水产生量约为</w:t>
            </w:r>
            <w:r>
              <w:rPr>
                <w:rFonts w:hint="eastAsia" w:ascii="Times New Roman" w:hAnsi="Times New Roman" w:cs="Times New Roman"/>
                <w:color w:val="000000" w:themeColor="text1"/>
                <w:sz w:val="24"/>
              </w:rPr>
              <w:t>6.71</w:t>
            </w:r>
            <w:r>
              <w:rPr>
                <w:rFonts w:ascii="Times New Roman" w:hAnsi="Times New Roman" w:cs="Times New Roman"/>
                <w:color w:val="000000" w:themeColor="text1"/>
                <w:sz w:val="24"/>
              </w:rPr>
              <w:t>m³/次，初期雨水的主要污染物为CODcr和SS，CODcr产生浓度约60mg/L、SS产生浓度约400mg/L。综上，项目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供排水统计情况详见下表。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表2.8</w:t>
            </w:r>
            <w:r>
              <w:rPr>
                <w:rFonts w:hint="eastAsia" w:ascii="Times New Roman" w:hAnsi="Times New Roman" w:cs="Times New Roman"/>
                <w:b/>
                <w:color w:val="000000" w:themeColor="text1"/>
                <w:szCs w:val="24"/>
              </w:rPr>
              <w:t>.1-3</w:t>
            </w:r>
            <w:r>
              <w:rPr>
                <w:rFonts w:ascii="Times New Roman" w:hAnsi="Times New Roman" w:cs="Times New Roman"/>
                <w:b/>
                <w:color w:val="000000" w:themeColor="text1"/>
                <w:szCs w:val="24"/>
              </w:rPr>
              <w:t xml:space="preserve"> 项目</w:t>
            </w:r>
            <w:r>
              <w:rPr>
                <w:rFonts w:hint="eastAsia" w:ascii="Times New Roman" w:hAnsi="Times New Roman" w:cs="Times New Roman"/>
                <w:b/>
                <w:color w:val="000000" w:themeColor="text1"/>
                <w:szCs w:val="24"/>
              </w:rPr>
              <w:t>一期工程</w:t>
            </w:r>
            <w:r>
              <w:rPr>
                <w:rFonts w:ascii="Times New Roman" w:hAnsi="Times New Roman" w:cs="Times New Roman"/>
                <w:b/>
                <w:color w:val="000000" w:themeColor="text1"/>
                <w:szCs w:val="24"/>
              </w:rPr>
              <w:t>废水总产排情况一览表（单位：m³/d）</w:t>
            </w:r>
          </w:p>
          <w:tbl>
            <w:tblPr>
              <w:tblStyle w:val="20"/>
              <w:tblW w:w="8595" w:type="dxa"/>
              <w:tblInd w:w="0" w:type="dxa"/>
              <w:tblLayout w:type="fixed"/>
              <w:tblCellMar>
                <w:top w:w="0" w:type="dxa"/>
                <w:left w:w="108" w:type="dxa"/>
                <w:bottom w:w="0" w:type="dxa"/>
                <w:right w:w="108" w:type="dxa"/>
              </w:tblCellMar>
            </w:tblPr>
            <w:tblGrid>
              <w:gridCol w:w="1580"/>
              <w:gridCol w:w="993"/>
              <w:gridCol w:w="1842"/>
              <w:gridCol w:w="993"/>
              <w:gridCol w:w="1134"/>
              <w:gridCol w:w="1141"/>
              <w:gridCol w:w="912"/>
            </w:tblGrid>
            <w:tr>
              <w:tblPrEx>
                <w:tblLayout w:type="fixed"/>
                <w:tblCellMar>
                  <w:top w:w="0" w:type="dxa"/>
                  <w:left w:w="108" w:type="dxa"/>
                  <w:bottom w:w="0" w:type="dxa"/>
                  <w:right w:w="108" w:type="dxa"/>
                </w:tblCellMar>
              </w:tblPrEx>
              <w:trPr>
                <w:trHeight w:val="125" w:hRule="atLeast"/>
              </w:trPr>
              <w:tc>
                <w:tcPr>
                  <w:tcW w:w="15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用水单元</w:t>
                  </w:r>
                </w:p>
              </w:tc>
              <w:tc>
                <w:tcPr>
                  <w:tcW w:w="99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规模</w:t>
                  </w:r>
                </w:p>
              </w:tc>
              <w:tc>
                <w:tcPr>
                  <w:tcW w:w="184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用水定额</w:t>
                  </w:r>
                </w:p>
              </w:tc>
              <w:tc>
                <w:tcPr>
                  <w:tcW w:w="2127"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总用水量</w:t>
                  </w:r>
                </w:p>
              </w:tc>
              <w:tc>
                <w:tcPr>
                  <w:tcW w:w="2053"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废水量</w:t>
                  </w:r>
                </w:p>
              </w:tc>
            </w:tr>
            <w:tr>
              <w:tblPrEx>
                <w:tblLayout w:type="fixed"/>
                <w:tblCellMar>
                  <w:top w:w="0" w:type="dxa"/>
                  <w:left w:w="108" w:type="dxa"/>
                  <w:bottom w:w="0" w:type="dxa"/>
                  <w:right w:w="108" w:type="dxa"/>
                </w:tblCellMar>
              </w:tblPrEx>
              <w:trPr>
                <w:trHeight w:val="201" w:hRule="atLeast"/>
              </w:trPr>
              <w:tc>
                <w:tcPr>
                  <w:tcW w:w="1580"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993"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1842"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r>
            <w:tr>
              <w:tblPrEx>
                <w:tblLayout w:type="fixed"/>
                <w:tblCellMar>
                  <w:top w:w="0" w:type="dxa"/>
                  <w:left w:w="108" w:type="dxa"/>
                  <w:bottom w:w="0" w:type="dxa"/>
                  <w:right w:w="108" w:type="dxa"/>
                </w:tblCellMar>
              </w:tblPrEx>
              <w:trPr>
                <w:trHeight w:val="201" w:hRule="atLeast"/>
              </w:trPr>
              <w:tc>
                <w:tcPr>
                  <w:tcW w:w="158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洒水抑尘</w:t>
                  </w:r>
                </w:p>
              </w:tc>
              <w:tc>
                <w:tcPr>
                  <w:tcW w:w="993"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84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3</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900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Layout w:type="fixed"/>
                <w:tblCellMar>
                  <w:top w:w="0" w:type="dxa"/>
                  <w:left w:w="108" w:type="dxa"/>
                  <w:bottom w:w="0" w:type="dxa"/>
                  <w:right w:w="108" w:type="dxa"/>
                </w:tblCellMar>
              </w:tblPrEx>
              <w:trPr>
                <w:trHeight w:val="127" w:hRule="atLeast"/>
              </w:trPr>
              <w:tc>
                <w:tcPr>
                  <w:tcW w:w="1580"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砂石骨料生产</w:t>
                  </w:r>
                </w:p>
              </w:tc>
              <w:tc>
                <w:tcPr>
                  <w:tcW w:w="993"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90万t/a</w:t>
                  </w:r>
                </w:p>
              </w:tc>
              <w:tc>
                <w:tcPr>
                  <w:tcW w:w="184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0.225m³/（t·产品）</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675</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202500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420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126000</w:t>
                  </w:r>
                </w:p>
              </w:tc>
            </w:tr>
            <w:tr>
              <w:tblPrEx>
                <w:tblLayout w:type="fixed"/>
                <w:tblCellMar>
                  <w:top w:w="0" w:type="dxa"/>
                  <w:left w:w="108" w:type="dxa"/>
                  <w:bottom w:w="0" w:type="dxa"/>
                  <w:right w:w="108" w:type="dxa"/>
                </w:tblCellMar>
              </w:tblPrEx>
              <w:trPr>
                <w:trHeight w:val="137" w:hRule="atLeast"/>
              </w:trPr>
              <w:tc>
                <w:tcPr>
                  <w:tcW w:w="1580" w:type="dxa"/>
                  <w:tcBorders>
                    <w:top w:val="single" w:color="auto" w:sz="4" w:space="0"/>
                    <w:left w:val="single" w:color="auto" w:sz="8"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绿化用水</w:t>
                  </w:r>
                </w:p>
              </w:tc>
              <w:tc>
                <w:tcPr>
                  <w:tcW w:w="993"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1500m²</w:t>
                  </w:r>
                </w:p>
              </w:tc>
              <w:tc>
                <w:tcPr>
                  <w:tcW w:w="184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3L/（m²·次）</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4.5</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1147.5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Layout w:type="fixed"/>
                <w:tblCellMar>
                  <w:top w:w="0" w:type="dxa"/>
                  <w:left w:w="108" w:type="dxa"/>
                  <w:bottom w:w="0" w:type="dxa"/>
                  <w:right w:w="108" w:type="dxa"/>
                </w:tblCellMar>
              </w:tblPrEx>
              <w:trPr>
                <w:trHeight w:val="67" w:hRule="atLeast"/>
              </w:trPr>
              <w:tc>
                <w:tcPr>
                  <w:tcW w:w="1580" w:type="dxa"/>
                  <w:tcBorders>
                    <w:top w:val="single" w:color="auto" w:sz="4" w:space="0"/>
                    <w:left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一期工程</w:t>
                  </w:r>
                  <w:r>
                    <w:rPr>
                      <w:rFonts w:eastAsiaTheme="minorEastAsia"/>
                      <w:color w:val="000000" w:themeColor="text1"/>
                      <w:szCs w:val="21"/>
                      <w:lang w:val="en-US"/>
                    </w:rPr>
                    <w:t>生活用水</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1</w:t>
                  </w:r>
                  <w:r>
                    <w:rPr>
                      <w:rFonts w:eastAsiaTheme="minorEastAsia"/>
                      <w:color w:val="000000" w:themeColor="text1"/>
                      <w:szCs w:val="21"/>
                      <w:lang w:val="en-US"/>
                    </w:rPr>
                    <w:t>0人</w:t>
                  </w:r>
                </w:p>
              </w:tc>
              <w:tc>
                <w:tcPr>
                  <w:tcW w:w="184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6</w:t>
                  </w:r>
                  <w:r>
                    <w:rPr>
                      <w:rFonts w:eastAsiaTheme="minorEastAsia"/>
                      <w:color w:val="000000" w:themeColor="text1"/>
                      <w:szCs w:val="21"/>
                      <w:lang w:val="en-US"/>
                    </w:rPr>
                    <w:t>0L/d·人</w:t>
                  </w:r>
                </w:p>
              </w:tc>
              <w:tc>
                <w:tcPr>
                  <w:tcW w:w="993"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0.6</w:t>
                  </w:r>
                </w:p>
              </w:tc>
              <w:tc>
                <w:tcPr>
                  <w:tcW w:w="1134"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180</w:t>
                  </w:r>
                </w:p>
              </w:tc>
              <w:tc>
                <w:tcPr>
                  <w:tcW w:w="114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0.48</w:t>
                  </w:r>
                </w:p>
              </w:tc>
              <w:tc>
                <w:tcPr>
                  <w:tcW w:w="912"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144</w:t>
                  </w:r>
                </w:p>
              </w:tc>
            </w:tr>
            <w:tr>
              <w:tblPrEx>
                <w:tblLayout w:type="fixed"/>
                <w:tblCellMar>
                  <w:top w:w="0" w:type="dxa"/>
                  <w:left w:w="108" w:type="dxa"/>
                  <w:bottom w:w="0" w:type="dxa"/>
                  <w:right w:w="108" w:type="dxa"/>
                </w:tblCellMar>
              </w:tblPrEx>
              <w:trPr>
                <w:trHeight w:val="67" w:hRule="atLeast"/>
              </w:trPr>
              <w:tc>
                <w:tcPr>
                  <w:tcW w:w="1580" w:type="dxa"/>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一期工程</w:t>
                  </w:r>
                  <w:r>
                    <w:rPr>
                      <w:rFonts w:eastAsiaTheme="minorEastAsia"/>
                      <w:color w:val="000000" w:themeColor="text1"/>
                      <w:szCs w:val="21"/>
                      <w:lang w:val="en-US"/>
                    </w:rPr>
                    <w:t>初期雨水</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84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93"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14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6.71</w:t>
                  </w:r>
                  <w:r>
                    <w:rPr>
                      <w:rFonts w:eastAsiaTheme="minorEastAsia"/>
                      <w:color w:val="000000" w:themeColor="text1"/>
                      <w:szCs w:val="21"/>
                      <w:lang w:val="en-US"/>
                    </w:rPr>
                    <w:t>m³/次</w:t>
                  </w:r>
                </w:p>
              </w:tc>
              <w:tc>
                <w:tcPr>
                  <w:tcW w:w="912"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r>
            <w:tr>
              <w:tblPrEx>
                <w:tblLayout w:type="fixed"/>
                <w:tblCellMar>
                  <w:top w:w="0" w:type="dxa"/>
                  <w:left w:w="108" w:type="dxa"/>
                  <w:bottom w:w="0" w:type="dxa"/>
                  <w:right w:w="108" w:type="dxa"/>
                </w:tblCellMar>
              </w:tblPrEx>
              <w:trPr>
                <w:trHeight w:val="285" w:hRule="atLeast"/>
              </w:trPr>
              <w:tc>
                <w:tcPr>
                  <w:tcW w:w="4415"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合计</w:t>
                  </w:r>
                </w:p>
              </w:tc>
              <w:tc>
                <w:tcPr>
                  <w:tcW w:w="993"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683.1</w:t>
                  </w:r>
                </w:p>
              </w:tc>
              <w:tc>
                <w:tcPr>
                  <w:tcW w:w="1134"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204727.5</w:t>
                  </w:r>
                </w:p>
              </w:tc>
              <w:tc>
                <w:tcPr>
                  <w:tcW w:w="114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420.48</w:t>
                  </w:r>
                </w:p>
              </w:tc>
              <w:tc>
                <w:tcPr>
                  <w:tcW w:w="912"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126144</w:t>
                  </w:r>
                </w:p>
              </w:tc>
            </w:tr>
            <w:tr>
              <w:tblPrEx>
                <w:tblLayout w:type="fixed"/>
                <w:tblCellMar>
                  <w:top w:w="0" w:type="dxa"/>
                  <w:left w:w="108" w:type="dxa"/>
                  <w:bottom w:w="0" w:type="dxa"/>
                  <w:right w:w="108" w:type="dxa"/>
                </w:tblCellMar>
              </w:tblPrEx>
              <w:trPr>
                <w:trHeight w:val="285" w:hRule="atLeast"/>
              </w:trPr>
              <w:tc>
                <w:tcPr>
                  <w:tcW w:w="8595" w:type="dxa"/>
                  <w:gridSpan w:val="7"/>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ind w:firstLine="210" w:firstLineChars="100"/>
                    <w:jc w:val="left"/>
                    <w:rPr>
                      <w:color w:val="000000" w:themeColor="text1"/>
                      <w:kern w:val="0"/>
                    </w:rPr>
                  </w:pPr>
                  <w:r>
                    <w:rPr>
                      <w:color w:val="000000" w:themeColor="text1"/>
                      <w:kern w:val="0"/>
                    </w:rPr>
                    <w:t>备注：初期雨水具有偶然性，不纳入总量统计。</w:t>
                  </w:r>
                </w:p>
              </w:tc>
            </w:tr>
          </w:tbl>
          <w:p>
            <w:pPr>
              <w:pStyle w:val="40"/>
              <w:spacing w:beforeLines="50"/>
              <w:ind w:firstLine="480"/>
              <w:rPr>
                <w:color w:val="000000" w:themeColor="text1"/>
                <w:szCs w:val="21"/>
              </w:rPr>
            </w:pPr>
            <w:r>
              <w:rPr>
                <w:color w:val="000000" w:themeColor="text1"/>
                <w:szCs w:val="21"/>
              </w:rPr>
              <w:t>该项目</w:t>
            </w:r>
            <w:r>
              <w:rPr>
                <w:rFonts w:hint="eastAsia"/>
                <w:color w:val="000000" w:themeColor="text1"/>
                <w:szCs w:val="21"/>
              </w:rPr>
              <w:t>一期工程</w:t>
            </w:r>
            <w:r>
              <w:rPr>
                <w:color w:val="000000" w:themeColor="text1"/>
                <w:szCs w:val="21"/>
              </w:rPr>
              <w:t>非雨天水平衡如下图所示。</w:t>
            </w:r>
          </w:p>
          <w:p>
            <w:pPr>
              <w:jc w:val="center"/>
              <w:rPr>
                <w:rFonts w:ascii="Times New Roman" w:hAnsi="Times New Roman" w:cs="Times New Roman"/>
                <w:b/>
                <w:color w:val="000000" w:themeColor="text1"/>
                <w:szCs w:val="24"/>
              </w:rPr>
            </w:pPr>
            <w:r>
              <w:rPr>
                <w:color w:val="000000" w:themeColor="text1"/>
              </w:rPr>
              <w:object>
                <v:shape id="_x0000_i1025" o:spt="75" type="#_x0000_t75" style="height:364.2pt;width:415.2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图2.8</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-1 项目</w:t>
            </w:r>
            <w:r>
              <w:rPr>
                <w:rFonts w:hint="eastAsia" w:ascii="Times New Roman" w:hAnsi="Times New Roman" w:cs="Times New Roman"/>
                <w:b/>
                <w:color w:val="000000" w:themeColor="text1"/>
                <w:szCs w:val="24"/>
              </w:rPr>
              <w:t>一期工程</w:t>
            </w:r>
            <w:r>
              <w:rPr>
                <w:rFonts w:ascii="Times New Roman" w:hAnsi="Times New Roman" w:cs="Times New Roman"/>
                <w:b/>
                <w:color w:val="000000" w:themeColor="text1"/>
                <w:szCs w:val="24"/>
              </w:rPr>
              <w:t>非雨天水平衡m³/d</w:t>
            </w:r>
          </w:p>
          <w:p>
            <w:pPr>
              <w:pStyle w:val="40"/>
              <w:spacing w:beforeLines="50"/>
              <w:ind w:firstLine="480"/>
              <w:rPr>
                <w:color w:val="000000" w:themeColor="text1"/>
                <w:szCs w:val="21"/>
              </w:rPr>
            </w:pPr>
            <w:r>
              <w:rPr>
                <w:color w:val="000000" w:themeColor="text1"/>
                <w:szCs w:val="21"/>
              </w:rPr>
              <w:t>该项目</w:t>
            </w:r>
            <w:r>
              <w:rPr>
                <w:rFonts w:hint="eastAsia"/>
                <w:color w:val="000000" w:themeColor="text1"/>
                <w:szCs w:val="21"/>
              </w:rPr>
              <w:t>一期工程</w:t>
            </w:r>
            <w:r>
              <w:rPr>
                <w:color w:val="000000" w:themeColor="text1"/>
                <w:szCs w:val="21"/>
              </w:rPr>
              <w:t>雨天水平衡如下图所示。</w:t>
            </w:r>
          </w:p>
          <w:p>
            <w:pPr>
              <w:jc w:val="center"/>
              <w:rPr>
                <w:rFonts w:ascii="Times New Roman" w:hAnsi="Times New Roman" w:cs="Times New Roman"/>
                <w:b/>
                <w:color w:val="000000" w:themeColor="text1"/>
                <w:szCs w:val="24"/>
              </w:rPr>
            </w:pPr>
            <w:r>
              <w:rPr>
                <w:color w:val="000000" w:themeColor="text1"/>
              </w:rPr>
              <w:object>
                <v:shape id="_x0000_i1026" o:spt="75" type="#_x0000_t75" style="height:403.2pt;width:414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图2.8</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-2 项目</w:t>
            </w:r>
            <w:r>
              <w:rPr>
                <w:rFonts w:hint="eastAsia" w:ascii="Times New Roman" w:hAnsi="Times New Roman" w:cs="Times New Roman"/>
                <w:b/>
                <w:color w:val="000000" w:themeColor="text1"/>
                <w:szCs w:val="24"/>
              </w:rPr>
              <w:t>一期工程</w:t>
            </w:r>
            <w:r>
              <w:rPr>
                <w:rFonts w:ascii="Times New Roman" w:hAnsi="Times New Roman" w:cs="Times New Roman"/>
                <w:b/>
                <w:color w:val="000000" w:themeColor="text1"/>
                <w:szCs w:val="24"/>
              </w:rPr>
              <w:t>雨天水平衡m³/d</w:t>
            </w:r>
          </w:p>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2.8.2 二期工程水平衡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建设内容及生产工艺，该项目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用水环节包括水泥砖搅拌混合用水、水泥砖养护用水和生活用水，而</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废水产生类型包括水泥砖养护废水、生活污水和初期雨水。具体产排情况核算如下：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水泥砖搅拌混合用水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生产工艺，项目将水泥、砂石骨料（Φ0-7mm）和砂石骨料（Φ0-5mm）按照4:15:10的比例进行混合，并加水搅拌，使其充分混合，搅拌后的物料含水率约为20%。项目水泥砖的总干重约19173.7t/a，则混合料含水为4793.4t/a，其中砂石骨料的含水率约为15%，其带入水量为2916.9t/a，则添加水量为1876.5t/a（6.26t/d）。添加水进入物料，无废水产生。</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水泥砖养护</w:t>
            </w:r>
            <w:r>
              <w:rPr>
                <w:rFonts w:hint="eastAsia" w:ascii="Times New Roman" w:hAnsi="Times New Roman" w:cs="Times New Roman"/>
                <w:b/>
                <w:color w:val="000000" w:themeColor="text1"/>
                <w:sz w:val="24"/>
                <w:szCs w:val="24"/>
              </w:rPr>
              <w:t>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根据设计，水泥砖养护用水和天气情况有关，根据设计资料用水量约为8m³/d，养护过程养护水从水泥砖堆码顶部向下渗透，消耗量约为7</w:t>
            </w:r>
            <w:r>
              <w:rPr>
                <w:rFonts w:hint="eastAsia"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%，废水量为2.</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m³/d，该项目拟设置1个有效容积为6m³的养护废水收集池对其进行收集后，返回养护工序使用，不外排。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③二期工程</w:t>
            </w:r>
            <w:r>
              <w:rPr>
                <w:rFonts w:ascii="Times New Roman" w:hAnsi="Times New Roman" w:cs="Times New Roman"/>
                <w:b/>
                <w:color w:val="000000" w:themeColor="text1"/>
                <w:sz w:val="24"/>
                <w:szCs w:val="24"/>
              </w:rPr>
              <w:t>生活污水产排核算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根据项目特点，该项目</w:t>
            </w:r>
            <w:r>
              <w:rPr>
                <w:rFonts w:hint="eastAsia" w:ascii="Times New Roman" w:hAnsi="Times New Roman" w:cs="Times New Roman"/>
                <w:color w:val="000000" w:themeColor="text1"/>
                <w:sz w:val="24"/>
              </w:rPr>
              <w:t>二期工程</w:t>
            </w:r>
            <w:r>
              <w:rPr>
                <w:rFonts w:ascii="Times New Roman" w:hAnsi="Times New Roman" w:cs="Times New Roman"/>
                <w:color w:val="000000" w:themeColor="text1"/>
                <w:sz w:val="24"/>
              </w:rPr>
              <w:t>拟设置员工</w:t>
            </w:r>
            <w:r>
              <w:rPr>
                <w:rFonts w:hint="eastAsia" w:ascii="Times New Roman" w:hAnsi="Times New Roman" w:cs="Times New Roman"/>
                <w:color w:val="000000" w:themeColor="text1"/>
                <w:sz w:val="24"/>
              </w:rPr>
              <w:t>1</w:t>
            </w:r>
            <w:r>
              <w:rPr>
                <w:rFonts w:ascii="Times New Roman" w:hAnsi="Times New Roman" w:cs="Times New Roman"/>
                <w:color w:val="000000" w:themeColor="text1"/>
                <w:sz w:val="24"/>
              </w:rPr>
              <w:t>0人，</w:t>
            </w:r>
            <w:r>
              <w:rPr>
                <w:rFonts w:hint="eastAsia" w:ascii="Times New Roman" w:hAnsi="Times New Roman" w:cs="Times New Roman"/>
                <w:color w:val="000000" w:themeColor="text1"/>
                <w:sz w:val="24"/>
              </w:rPr>
              <w:t>不</w:t>
            </w:r>
            <w:r>
              <w:rPr>
                <w:rFonts w:ascii="Times New Roman" w:hAnsi="Times New Roman" w:cs="Times New Roman"/>
                <w:color w:val="000000" w:themeColor="text1"/>
                <w:sz w:val="24"/>
              </w:rPr>
              <w:t>在项目区食宿。根据《云南省地方标准用水定额》（DB53/T168-2019），用水量取</w:t>
            </w:r>
            <w:r>
              <w:rPr>
                <w:rFonts w:hint="eastAsia" w:ascii="Times New Roman" w:hAnsi="Times New Roman" w:cs="Times New Roman"/>
                <w:color w:val="000000" w:themeColor="text1"/>
                <w:sz w:val="24"/>
              </w:rPr>
              <w:t>6</w:t>
            </w:r>
            <w:r>
              <w:rPr>
                <w:rFonts w:ascii="Times New Roman" w:hAnsi="Times New Roman" w:cs="Times New Roman"/>
                <w:color w:val="000000" w:themeColor="text1"/>
                <w:sz w:val="24"/>
              </w:rPr>
              <w:t>0L/d·人，则生活用水量</w:t>
            </w:r>
            <w:r>
              <w:rPr>
                <w:rFonts w:hint="eastAsia" w:ascii="Times New Roman" w:hAnsi="Times New Roman" w:cs="Times New Roman"/>
                <w:color w:val="000000" w:themeColor="text1"/>
                <w:sz w:val="24"/>
              </w:rPr>
              <w:t>0.6</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180</w:t>
            </w:r>
            <w:r>
              <w:rPr>
                <w:rFonts w:ascii="Times New Roman" w:hAnsi="Times New Roman" w:cs="Times New Roman"/>
                <w:color w:val="000000" w:themeColor="text1"/>
                <w:sz w:val="24"/>
              </w:rPr>
              <w:t>m³/a；废水率按80%计，则废水量为</w:t>
            </w:r>
            <w:r>
              <w:rPr>
                <w:rFonts w:hint="eastAsia" w:ascii="Times New Roman" w:hAnsi="Times New Roman" w:cs="Times New Roman"/>
                <w:color w:val="000000" w:themeColor="text1"/>
                <w:sz w:val="24"/>
              </w:rPr>
              <w:t>0.48</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144</w:t>
            </w:r>
            <w:r>
              <w:rPr>
                <w:rFonts w:ascii="Times New Roman" w:hAnsi="Times New Roman" w:cs="Times New Roman"/>
                <w:color w:val="000000" w:themeColor="text1"/>
                <w:sz w:val="24"/>
              </w:rPr>
              <w:t>m³/a</w:t>
            </w:r>
            <w:r>
              <w:rPr>
                <w:rFonts w:hint="eastAsia" w:ascii="Times New Roman" w:hAns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④二期工程</w:t>
            </w:r>
            <w:r>
              <w:rPr>
                <w:rFonts w:ascii="Times New Roman" w:hAnsi="Times New Roman" w:cs="Times New Roman"/>
                <w:b/>
                <w:color w:val="000000" w:themeColor="text1"/>
                <w:sz w:val="24"/>
                <w:szCs w:val="24"/>
              </w:rPr>
              <w:t>初期雨水产排核算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rPr>
              <w:t>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autoSpaceDE w:val="0"/>
              <w:autoSpaceDN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汇水面积取雨水直接落到地面上的占地面积，该项目占地为18113.33m²，</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rPr>
              <w:t>生产区域可能受污染区的占地面积约</w:t>
            </w:r>
            <w:r>
              <w:rPr>
                <w:rFonts w:hint="eastAsia" w:ascii="Times New Roman" w:hAnsi="Times New Roman" w:cs="Times New Roman"/>
                <w:color w:val="000000" w:themeColor="text1"/>
                <w:sz w:val="24"/>
              </w:rPr>
              <w:t>15</w:t>
            </w:r>
            <w:r>
              <w:rPr>
                <w:rFonts w:ascii="Times New Roman" w:hAnsi="Times New Roman" w:cs="Times New Roman"/>
                <w:color w:val="000000" w:themeColor="text1"/>
                <w:sz w:val="24"/>
              </w:rPr>
              <w:t>00m²，考虑到项目区场地的硬化程度，径流系数取0.6。该区30年一遇最大日降雨量153.3mm，经计算项目区最大日雨水量为</w:t>
            </w:r>
            <w:r>
              <w:rPr>
                <w:rFonts w:hint="eastAsia" w:ascii="Times New Roman" w:hAnsi="Times New Roman" w:cs="Times New Roman"/>
                <w:color w:val="000000" w:themeColor="text1"/>
                <w:sz w:val="24"/>
              </w:rPr>
              <w:t>137.97</w:t>
            </w:r>
            <w:r>
              <w:rPr>
                <w:rFonts w:ascii="Times New Roman" w:hAnsi="Times New Roman" w:cs="Times New Roman"/>
                <w:color w:val="000000" w:themeColor="text1"/>
                <w:sz w:val="24"/>
              </w:rPr>
              <w:t>m³，初期雨水主要产生于暴雨前30min，经计算，项目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rPr>
              <w:t>初期雨水产生量约为</w:t>
            </w:r>
            <w:r>
              <w:rPr>
                <w:rFonts w:hint="eastAsia" w:ascii="Times New Roman" w:hAnsi="Times New Roman" w:cs="Times New Roman"/>
                <w:color w:val="000000" w:themeColor="text1"/>
                <w:sz w:val="24"/>
              </w:rPr>
              <w:t>2.87</w:t>
            </w:r>
            <w:r>
              <w:rPr>
                <w:rFonts w:ascii="Times New Roman" w:hAnsi="Times New Roman" w:cs="Times New Roman"/>
                <w:color w:val="000000" w:themeColor="text1"/>
                <w:sz w:val="24"/>
              </w:rPr>
              <w:t>m³/次，初期雨水的主要污染物为CODcr和SS，CODcr产生浓度约60mg/L、SS产生浓度约400mg/L。</w:t>
            </w:r>
          </w:p>
          <w:p>
            <w:pPr>
              <w:autoSpaceDE w:val="0"/>
              <w:autoSpaceDN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rPr>
              <w:t>供排水统计情况详见下表。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表2.8</w:t>
            </w:r>
            <w:r>
              <w:rPr>
                <w:rFonts w:hint="eastAsia" w:ascii="Times New Roman" w:hAnsi="Times New Roman" w:cs="Times New Roman"/>
                <w:b/>
                <w:color w:val="000000" w:themeColor="text1"/>
                <w:szCs w:val="24"/>
              </w:rPr>
              <w:t>.2-1</w:t>
            </w:r>
            <w:r>
              <w:rPr>
                <w:rFonts w:ascii="Times New Roman" w:hAnsi="Times New Roman" w:cs="Times New Roman"/>
                <w:b/>
                <w:color w:val="000000" w:themeColor="text1"/>
                <w:szCs w:val="24"/>
              </w:rPr>
              <w:t xml:space="preserve"> 项目</w:t>
            </w:r>
            <w:r>
              <w:rPr>
                <w:rFonts w:hint="eastAsia" w:ascii="Times New Roman" w:hAnsi="Times New Roman" w:cs="Times New Roman"/>
                <w:b/>
                <w:color w:val="000000" w:themeColor="text1"/>
                <w:szCs w:val="24"/>
              </w:rPr>
              <w:t>二期工程</w:t>
            </w:r>
            <w:r>
              <w:rPr>
                <w:rFonts w:ascii="Times New Roman" w:hAnsi="Times New Roman" w:cs="Times New Roman"/>
                <w:b/>
                <w:color w:val="000000" w:themeColor="text1"/>
                <w:szCs w:val="24"/>
              </w:rPr>
              <w:t>废水总产排情况一览表（单位：m³/d）</w:t>
            </w:r>
          </w:p>
          <w:tbl>
            <w:tblPr>
              <w:tblStyle w:val="20"/>
              <w:tblW w:w="8595" w:type="dxa"/>
              <w:tblInd w:w="0" w:type="dxa"/>
              <w:tblLayout w:type="fixed"/>
              <w:tblCellMar>
                <w:top w:w="0" w:type="dxa"/>
                <w:left w:w="108" w:type="dxa"/>
                <w:bottom w:w="0" w:type="dxa"/>
                <w:right w:w="108" w:type="dxa"/>
              </w:tblCellMar>
            </w:tblPr>
            <w:tblGrid>
              <w:gridCol w:w="1288"/>
              <w:gridCol w:w="1784"/>
              <w:gridCol w:w="1509"/>
              <w:gridCol w:w="961"/>
              <w:gridCol w:w="1000"/>
              <w:gridCol w:w="1141"/>
              <w:gridCol w:w="912"/>
            </w:tblGrid>
            <w:tr>
              <w:tblPrEx>
                <w:tblLayout w:type="fixed"/>
                <w:tblCellMar>
                  <w:top w:w="0" w:type="dxa"/>
                  <w:left w:w="108" w:type="dxa"/>
                  <w:bottom w:w="0" w:type="dxa"/>
                  <w:right w:w="108" w:type="dxa"/>
                </w:tblCellMar>
              </w:tblPrEx>
              <w:trPr>
                <w:trHeight w:val="125" w:hRule="atLeast"/>
              </w:trPr>
              <w:tc>
                <w:tcPr>
                  <w:tcW w:w="128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用水单元</w:t>
                  </w:r>
                </w:p>
              </w:tc>
              <w:tc>
                <w:tcPr>
                  <w:tcW w:w="178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规模</w:t>
                  </w:r>
                </w:p>
              </w:tc>
              <w:tc>
                <w:tcPr>
                  <w:tcW w:w="150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用水定额</w:t>
                  </w:r>
                </w:p>
              </w:tc>
              <w:tc>
                <w:tcPr>
                  <w:tcW w:w="196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总用水量</w:t>
                  </w:r>
                </w:p>
              </w:tc>
              <w:tc>
                <w:tcPr>
                  <w:tcW w:w="2053"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废水量</w:t>
                  </w:r>
                </w:p>
              </w:tc>
            </w:tr>
            <w:tr>
              <w:tblPrEx>
                <w:tblLayout w:type="fixed"/>
                <w:tblCellMar>
                  <w:top w:w="0" w:type="dxa"/>
                  <w:left w:w="108" w:type="dxa"/>
                  <w:bottom w:w="0" w:type="dxa"/>
                  <w:right w:w="108" w:type="dxa"/>
                </w:tblCellMar>
              </w:tblPrEx>
              <w:trPr>
                <w:trHeight w:val="201" w:hRule="atLeast"/>
              </w:trPr>
              <w:tc>
                <w:tcPr>
                  <w:tcW w:w="128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178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150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r>
            <w:tr>
              <w:tblPrEx>
                <w:tblLayout w:type="fixed"/>
                <w:tblCellMar>
                  <w:top w:w="0" w:type="dxa"/>
                  <w:left w:w="108" w:type="dxa"/>
                  <w:bottom w:w="0" w:type="dxa"/>
                  <w:right w:w="108" w:type="dxa"/>
                </w:tblCellMar>
              </w:tblPrEx>
              <w:trPr>
                <w:trHeight w:val="127" w:hRule="atLeast"/>
              </w:trPr>
              <w:tc>
                <w:tcPr>
                  <w:tcW w:w="128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水泥砖搅拌混合</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水泥砖的总干重19173.7t/a</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含水率20%</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6.26</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1876.5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Layout w:type="fixed"/>
                <w:tblCellMar>
                  <w:top w:w="0" w:type="dxa"/>
                  <w:left w:w="108" w:type="dxa"/>
                  <w:bottom w:w="0" w:type="dxa"/>
                  <w:right w:w="108" w:type="dxa"/>
                </w:tblCellMar>
              </w:tblPrEx>
              <w:trPr>
                <w:trHeight w:val="127" w:hRule="atLeast"/>
              </w:trPr>
              <w:tc>
                <w:tcPr>
                  <w:tcW w:w="128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水泥砖养护</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8</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2400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2.3</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p>
              </w:tc>
            </w:tr>
            <w:tr>
              <w:tblPrEx>
                <w:tblLayout w:type="fixed"/>
                <w:tblCellMar>
                  <w:top w:w="0" w:type="dxa"/>
                  <w:left w:w="108" w:type="dxa"/>
                  <w:bottom w:w="0" w:type="dxa"/>
                  <w:right w:w="108" w:type="dxa"/>
                </w:tblCellMar>
              </w:tblPrEx>
              <w:trPr>
                <w:trHeight w:val="67" w:hRule="atLeast"/>
              </w:trPr>
              <w:tc>
                <w:tcPr>
                  <w:tcW w:w="1288" w:type="dxa"/>
                  <w:tcBorders>
                    <w:top w:val="single" w:color="auto" w:sz="4" w:space="0"/>
                    <w:left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 xml:space="preserve"> 生活用水</w:t>
                  </w:r>
                </w:p>
              </w:tc>
              <w:tc>
                <w:tcPr>
                  <w:tcW w:w="178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1</w:t>
                  </w:r>
                  <w:r>
                    <w:rPr>
                      <w:rFonts w:eastAsiaTheme="minorEastAsia"/>
                      <w:color w:val="000000" w:themeColor="text1"/>
                      <w:szCs w:val="21"/>
                      <w:lang w:val="en-US"/>
                    </w:rPr>
                    <w:t>0人</w:t>
                  </w:r>
                </w:p>
              </w:tc>
              <w:tc>
                <w:tcPr>
                  <w:tcW w:w="150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6</w:t>
                  </w:r>
                  <w:r>
                    <w:rPr>
                      <w:rFonts w:eastAsiaTheme="minorEastAsia"/>
                      <w:color w:val="000000" w:themeColor="text1"/>
                      <w:szCs w:val="21"/>
                      <w:lang w:val="en-US"/>
                    </w:rPr>
                    <w:t>0L/d·人</w:t>
                  </w:r>
                </w:p>
              </w:tc>
              <w:tc>
                <w:tcPr>
                  <w:tcW w:w="96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0.6</w:t>
                  </w:r>
                </w:p>
              </w:tc>
              <w:tc>
                <w:tcPr>
                  <w:tcW w:w="1000"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180</w:t>
                  </w:r>
                </w:p>
              </w:tc>
              <w:tc>
                <w:tcPr>
                  <w:tcW w:w="114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0.48</w:t>
                  </w:r>
                </w:p>
              </w:tc>
              <w:tc>
                <w:tcPr>
                  <w:tcW w:w="912"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144</w:t>
                  </w:r>
                </w:p>
              </w:tc>
            </w:tr>
            <w:tr>
              <w:tblPrEx>
                <w:tblLayout w:type="fixed"/>
                <w:tblCellMar>
                  <w:top w:w="0" w:type="dxa"/>
                  <w:left w:w="108" w:type="dxa"/>
                  <w:bottom w:w="0" w:type="dxa"/>
                  <w:right w:w="108" w:type="dxa"/>
                </w:tblCellMar>
              </w:tblPrEx>
              <w:trPr>
                <w:trHeight w:val="67" w:hRule="atLeast"/>
              </w:trPr>
              <w:tc>
                <w:tcPr>
                  <w:tcW w:w="1288" w:type="dxa"/>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初期雨水</w:t>
                  </w:r>
                </w:p>
              </w:tc>
              <w:tc>
                <w:tcPr>
                  <w:tcW w:w="178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00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14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2.87</w:t>
                  </w:r>
                  <w:r>
                    <w:rPr>
                      <w:rFonts w:eastAsiaTheme="minorEastAsia"/>
                      <w:color w:val="000000" w:themeColor="text1"/>
                      <w:szCs w:val="21"/>
                      <w:lang w:val="en-US"/>
                    </w:rPr>
                    <w:t>m³/次</w:t>
                  </w:r>
                </w:p>
              </w:tc>
              <w:tc>
                <w:tcPr>
                  <w:tcW w:w="912"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r>
            <w:tr>
              <w:tblPrEx>
                <w:tblLayout w:type="fixed"/>
                <w:tblCellMar>
                  <w:top w:w="0" w:type="dxa"/>
                  <w:left w:w="108" w:type="dxa"/>
                  <w:bottom w:w="0" w:type="dxa"/>
                  <w:right w:w="108" w:type="dxa"/>
                </w:tblCellMar>
              </w:tblPrEx>
              <w:trPr>
                <w:trHeight w:val="285" w:hRule="atLeast"/>
              </w:trPr>
              <w:tc>
                <w:tcPr>
                  <w:tcW w:w="4581"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合计</w:t>
                  </w:r>
                </w:p>
              </w:tc>
              <w:tc>
                <w:tcPr>
                  <w:tcW w:w="96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14.86</w:t>
                  </w:r>
                </w:p>
              </w:tc>
              <w:tc>
                <w:tcPr>
                  <w:tcW w:w="1000"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4456.5</w:t>
                  </w:r>
                </w:p>
              </w:tc>
              <w:tc>
                <w:tcPr>
                  <w:tcW w:w="114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2.78</w:t>
                  </w:r>
                </w:p>
              </w:tc>
              <w:tc>
                <w:tcPr>
                  <w:tcW w:w="912"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144</w:t>
                  </w:r>
                </w:p>
              </w:tc>
            </w:tr>
            <w:tr>
              <w:tblPrEx>
                <w:tblLayout w:type="fixed"/>
                <w:tblCellMar>
                  <w:top w:w="0" w:type="dxa"/>
                  <w:left w:w="108" w:type="dxa"/>
                  <w:bottom w:w="0" w:type="dxa"/>
                  <w:right w:w="108" w:type="dxa"/>
                </w:tblCellMar>
              </w:tblPrEx>
              <w:trPr>
                <w:trHeight w:val="285" w:hRule="atLeast"/>
              </w:trPr>
              <w:tc>
                <w:tcPr>
                  <w:tcW w:w="8595" w:type="dxa"/>
                  <w:gridSpan w:val="7"/>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ind w:firstLine="210" w:firstLineChars="100"/>
                    <w:jc w:val="left"/>
                    <w:rPr>
                      <w:color w:val="000000" w:themeColor="text1"/>
                      <w:kern w:val="0"/>
                    </w:rPr>
                  </w:pPr>
                  <w:r>
                    <w:rPr>
                      <w:color w:val="000000" w:themeColor="text1"/>
                      <w:kern w:val="0"/>
                    </w:rPr>
                    <w:t>备注：初期雨水具有偶然性，不纳入总量统计。</w:t>
                  </w:r>
                </w:p>
              </w:tc>
            </w:tr>
          </w:tbl>
          <w:p>
            <w:pPr>
              <w:pStyle w:val="40"/>
              <w:spacing w:beforeLines="50"/>
              <w:ind w:firstLine="480"/>
              <w:rPr>
                <w:color w:val="000000" w:themeColor="text1"/>
                <w:szCs w:val="21"/>
              </w:rPr>
            </w:pPr>
            <w:r>
              <w:rPr>
                <w:color w:val="000000" w:themeColor="text1"/>
                <w:szCs w:val="21"/>
              </w:rPr>
              <w:t>该项目</w:t>
            </w:r>
            <w:r>
              <w:rPr>
                <w:rFonts w:hint="eastAsia"/>
                <w:color w:val="000000" w:themeColor="text1"/>
                <w:szCs w:val="24"/>
              </w:rPr>
              <w:t>二期工程</w:t>
            </w:r>
            <w:r>
              <w:rPr>
                <w:color w:val="000000" w:themeColor="text1"/>
                <w:szCs w:val="21"/>
              </w:rPr>
              <w:t>非雨天水平衡如下图所示。</w:t>
            </w:r>
          </w:p>
          <w:p>
            <w:pPr>
              <w:jc w:val="center"/>
              <w:rPr>
                <w:rFonts w:ascii="Times New Roman" w:hAnsi="Times New Roman" w:cs="Times New Roman"/>
                <w:b/>
                <w:color w:val="000000" w:themeColor="text1"/>
                <w:szCs w:val="24"/>
              </w:rPr>
            </w:pPr>
            <w:r>
              <w:rPr>
                <w:color w:val="000000" w:themeColor="text1"/>
              </w:rPr>
              <w:object>
                <v:shape id="_x0000_i1027" o:spt="75" type="#_x0000_t75" style="height:376.8pt;width:409.8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图2.8</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-1 项目</w:t>
            </w:r>
            <w:r>
              <w:rPr>
                <w:rFonts w:hint="eastAsia" w:ascii="Times New Roman" w:hAnsi="Times New Roman" w:cs="Times New Roman"/>
                <w:b/>
                <w:color w:val="000000" w:themeColor="text1"/>
                <w:szCs w:val="24"/>
              </w:rPr>
              <w:t>二期工程</w:t>
            </w:r>
            <w:r>
              <w:rPr>
                <w:rFonts w:ascii="Times New Roman" w:hAnsi="Times New Roman" w:cs="Times New Roman"/>
                <w:b/>
                <w:color w:val="000000" w:themeColor="text1"/>
                <w:szCs w:val="24"/>
              </w:rPr>
              <w:t>非雨天水平衡m³/d</w:t>
            </w:r>
          </w:p>
          <w:p>
            <w:pPr>
              <w:pStyle w:val="40"/>
              <w:spacing w:beforeLines="50"/>
              <w:ind w:firstLine="480"/>
              <w:rPr>
                <w:color w:val="000000" w:themeColor="text1"/>
                <w:szCs w:val="21"/>
              </w:rPr>
            </w:pPr>
            <w:r>
              <w:rPr>
                <w:color w:val="000000" w:themeColor="text1"/>
                <w:szCs w:val="21"/>
              </w:rPr>
              <w:t>该项目</w:t>
            </w:r>
            <w:r>
              <w:rPr>
                <w:rFonts w:hint="eastAsia"/>
                <w:color w:val="000000" w:themeColor="text1"/>
                <w:szCs w:val="21"/>
              </w:rPr>
              <w:t>二期工程</w:t>
            </w:r>
            <w:r>
              <w:rPr>
                <w:color w:val="000000" w:themeColor="text1"/>
                <w:szCs w:val="21"/>
              </w:rPr>
              <w:t>雨天水平衡如下图所示。</w:t>
            </w: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szCs w:val="24"/>
              </w:rPr>
            </w:pPr>
            <w:r>
              <w:rPr>
                <w:color w:val="000000" w:themeColor="text1"/>
              </w:rPr>
              <w:object>
                <v:shape id="_x0000_i1028" o:spt="75" type="#_x0000_t75" style="height:370.8pt;width:419.4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图2.8</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-2 项目</w:t>
            </w:r>
            <w:r>
              <w:rPr>
                <w:rFonts w:hint="eastAsia" w:ascii="Times New Roman" w:hAnsi="Times New Roman" w:cs="Times New Roman"/>
                <w:b/>
                <w:color w:val="000000" w:themeColor="text1"/>
                <w:szCs w:val="24"/>
              </w:rPr>
              <w:t>二期工程</w:t>
            </w:r>
            <w:r>
              <w:rPr>
                <w:rFonts w:ascii="Times New Roman" w:hAnsi="Times New Roman" w:cs="Times New Roman"/>
                <w:b/>
                <w:color w:val="000000" w:themeColor="text1"/>
                <w:szCs w:val="24"/>
              </w:rPr>
              <w:t>雨天水平衡m³/d</w:t>
            </w:r>
          </w:p>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2.8.3 项目总水平衡</w:t>
            </w:r>
          </w:p>
          <w:p>
            <w:pPr>
              <w:autoSpaceDE w:val="0"/>
              <w:autoSpaceDN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w:t>
            </w:r>
            <w:r>
              <w:rPr>
                <w:rFonts w:hint="eastAsia" w:ascii="Times New Roman" w:hAnsi="Times New Roman" w:cs="Times New Roman"/>
                <w:color w:val="000000" w:themeColor="text1"/>
                <w:sz w:val="24"/>
              </w:rPr>
              <w:t>分析</w:t>
            </w:r>
            <w:r>
              <w:rPr>
                <w:rFonts w:ascii="Times New Roman" w:hAnsi="Times New Roman" w:cs="Times New Roman"/>
                <w:color w:val="000000" w:themeColor="text1"/>
                <w:sz w:val="24"/>
              </w:rPr>
              <w:t>，项目供排水统计情况详见下表。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表2.8</w:t>
            </w:r>
            <w:r>
              <w:rPr>
                <w:rFonts w:hint="eastAsia" w:ascii="Times New Roman" w:hAnsi="Times New Roman" w:cs="Times New Roman"/>
                <w:b/>
                <w:color w:val="000000" w:themeColor="text1"/>
                <w:szCs w:val="24"/>
              </w:rPr>
              <w:t>.3-1</w:t>
            </w:r>
            <w:r>
              <w:rPr>
                <w:rFonts w:ascii="Times New Roman" w:hAnsi="Times New Roman" w:cs="Times New Roman"/>
                <w:b/>
                <w:color w:val="000000" w:themeColor="text1"/>
                <w:szCs w:val="24"/>
              </w:rPr>
              <w:t xml:space="preserve"> 项目废水总产排情况一览表（单位：m³/d）</w:t>
            </w:r>
          </w:p>
          <w:tbl>
            <w:tblPr>
              <w:tblStyle w:val="20"/>
              <w:tblW w:w="8595" w:type="dxa"/>
              <w:tblInd w:w="0" w:type="dxa"/>
              <w:tblLayout w:type="fixed"/>
              <w:tblCellMar>
                <w:top w:w="0" w:type="dxa"/>
                <w:left w:w="108" w:type="dxa"/>
                <w:bottom w:w="0" w:type="dxa"/>
                <w:right w:w="108" w:type="dxa"/>
              </w:tblCellMar>
            </w:tblPr>
            <w:tblGrid>
              <w:gridCol w:w="1288"/>
              <w:gridCol w:w="1784"/>
              <w:gridCol w:w="1509"/>
              <w:gridCol w:w="961"/>
              <w:gridCol w:w="1000"/>
              <w:gridCol w:w="1141"/>
              <w:gridCol w:w="912"/>
            </w:tblGrid>
            <w:tr>
              <w:tblPrEx>
                <w:tblLayout w:type="fixed"/>
                <w:tblCellMar>
                  <w:top w:w="0" w:type="dxa"/>
                  <w:left w:w="108" w:type="dxa"/>
                  <w:bottom w:w="0" w:type="dxa"/>
                  <w:right w:w="108" w:type="dxa"/>
                </w:tblCellMar>
              </w:tblPrEx>
              <w:trPr>
                <w:trHeight w:val="125" w:hRule="atLeast"/>
              </w:trPr>
              <w:tc>
                <w:tcPr>
                  <w:tcW w:w="128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用水单元</w:t>
                  </w:r>
                </w:p>
              </w:tc>
              <w:tc>
                <w:tcPr>
                  <w:tcW w:w="178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规模</w:t>
                  </w:r>
                </w:p>
              </w:tc>
              <w:tc>
                <w:tcPr>
                  <w:tcW w:w="150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用水定额</w:t>
                  </w:r>
                </w:p>
              </w:tc>
              <w:tc>
                <w:tcPr>
                  <w:tcW w:w="196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kern w:val="0"/>
                    </w:rPr>
                  </w:pPr>
                  <w:r>
                    <w:rPr>
                      <w:color w:val="000000" w:themeColor="text1"/>
                      <w:kern w:val="0"/>
                    </w:rPr>
                    <w:t>总用水量</w:t>
                  </w:r>
                </w:p>
              </w:tc>
              <w:tc>
                <w:tcPr>
                  <w:tcW w:w="2053"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kern w:val="0"/>
                    </w:rPr>
                  </w:pPr>
                  <w:r>
                    <w:rPr>
                      <w:color w:val="000000" w:themeColor="text1"/>
                      <w:kern w:val="0"/>
                    </w:rPr>
                    <w:t>废水量</w:t>
                  </w:r>
                </w:p>
              </w:tc>
            </w:tr>
            <w:tr>
              <w:tblPrEx>
                <w:tblLayout w:type="fixed"/>
                <w:tblCellMar>
                  <w:top w:w="0" w:type="dxa"/>
                  <w:left w:w="108" w:type="dxa"/>
                  <w:bottom w:w="0" w:type="dxa"/>
                  <w:right w:w="108" w:type="dxa"/>
                </w:tblCellMar>
              </w:tblPrEx>
              <w:trPr>
                <w:trHeight w:val="201" w:hRule="atLeast"/>
              </w:trPr>
              <w:tc>
                <w:tcPr>
                  <w:tcW w:w="128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178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150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m³/d</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m³/a</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m³/d</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m³/a</w:t>
                  </w:r>
                </w:p>
              </w:tc>
            </w:tr>
            <w:tr>
              <w:tblPrEx>
                <w:tblLayout w:type="fixed"/>
                <w:tblCellMar>
                  <w:top w:w="0" w:type="dxa"/>
                  <w:left w:w="108" w:type="dxa"/>
                  <w:bottom w:w="0" w:type="dxa"/>
                  <w:right w:w="108" w:type="dxa"/>
                </w:tblCellMar>
              </w:tblPrEx>
              <w:trPr>
                <w:trHeight w:val="201" w:hRule="atLeast"/>
              </w:trPr>
              <w:tc>
                <w:tcPr>
                  <w:tcW w:w="1288"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洒水抑尘</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3</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900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r>
            <w:tr>
              <w:tblPrEx>
                <w:tblLayout w:type="fixed"/>
                <w:tblCellMar>
                  <w:top w:w="0" w:type="dxa"/>
                  <w:left w:w="108" w:type="dxa"/>
                  <w:bottom w:w="0" w:type="dxa"/>
                  <w:right w:w="108" w:type="dxa"/>
                </w:tblCellMar>
              </w:tblPrEx>
              <w:trPr>
                <w:trHeight w:val="127" w:hRule="atLeast"/>
              </w:trPr>
              <w:tc>
                <w:tcPr>
                  <w:tcW w:w="128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砂石骨料</w:t>
                  </w:r>
                  <w:r>
                    <w:rPr>
                      <w:color w:val="000000" w:themeColor="text1"/>
                      <w:kern w:val="0"/>
                    </w:rPr>
                    <w:t>生产</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90万t/a</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0.</w:t>
                  </w:r>
                  <w:r>
                    <w:rPr>
                      <w:rFonts w:hint="eastAsia"/>
                      <w:color w:val="000000" w:themeColor="text1"/>
                      <w:kern w:val="0"/>
                    </w:rPr>
                    <w:t>225</w:t>
                  </w:r>
                  <w:r>
                    <w:rPr>
                      <w:color w:val="000000" w:themeColor="text1"/>
                      <w:kern w:val="0"/>
                    </w:rPr>
                    <w:t>m³/（</w:t>
                  </w:r>
                  <w:r>
                    <w:rPr>
                      <w:rFonts w:hint="eastAsia"/>
                      <w:color w:val="000000" w:themeColor="text1"/>
                      <w:kern w:val="0"/>
                    </w:rPr>
                    <w:t>t</w:t>
                  </w:r>
                  <w:r>
                    <w:rPr>
                      <w:color w:val="000000" w:themeColor="text1"/>
                      <w:kern w:val="0"/>
                    </w:rPr>
                    <w:t>·</w:t>
                  </w:r>
                  <w:r>
                    <w:rPr>
                      <w:rFonts w:hint="eastAsia"/>
                      <w:color w:val="000000" w:themeColor="text1"/>
                      <w:kern w:val="0"/>
                    </w:rPr>
                    <w:t>产品</w:t>
                  </w:r>
                  <w:r>
                    <w:rPr>
                      <w:color w:val="000000" w:themeColor="text1"/>
                      <w:kern w:val="0"/>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675</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202500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420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126000</w:t>
                  </w:r>
                </w:p>
              </w:tc>
            </w:tr>
            <w:tr>
              <w:tblPrEx>
                <w:tblLayout w:type="fixed"/>
                <w:tblCellMar>
                  <w:top w:w="0" w:type="dxa"/>
                  <w:left w:w="108" w:type="dxa"/>
                  <w:bottom w:w="0" w:type="dxa"/>
                  <w:right w:w="108" w:type="dxa"/>
                </w:tblCellMar>
              </w:tblPrEx>
              <w:trPr>
                <w:trHeight w:val="127" w:hRule="atLeast"/>
              </w:trPr>
              <w:tc>
                <w:tcPr>
                  <w:tcW w:w="128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水泥砖搅拌混合</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水泥砖的总干重19173.7t/a</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含水率20%</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6.26</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1876.5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r>
            <w:tr>
              <w:tblPrEx>
                <w:tblLayout w:type="fixed"/>
                <w:tblCellMar>
                  <w:top w:w="0" w:type="dxa"/>
                  <w:left w:w="108" w:type="dxa"/>
                  <w:bottom w:w="0" w:type="dxa"/>
                  <w:right w:w="108" w:type="dxa"/>
                </w:tblCellMar>
              </w:tblPrEx>
              <w:trPr>
                <w:trHeight w:val="127" w:hRule="atLeast"/>
              </w:trPr>
              <w:tc>
                <w:tcPr>
                  <w:tcW w:w="128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水泥砖养护</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8</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2400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2.</w:t>
                  </w:r>
                  <w:r>
                    <w:rPr>
                      <w:rFonts w:hint="eastAsia"/>
                      <w:color w:val="000000" w:themeColor="text1"/>
                      <w:kern w:val="0"/>
                    </w:rPr>
                    <w:t>3</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r>
            <w:tr>
              <w:tblPrEx>
                <w:tblLayout w:type="fixed"/>
                <w:tblCellMar>
                  <w:top w:w="0" w:type="dxa"/>
                  <w:left w:w="108" w:type="dxa"/>
                  <w:bottom w:w="0" w:type="dxa"/>
                  <w:right w:w="108" w:type="dxa"/>
                </w:tblCellMar>
              </w:tblPrEx>
              <w:trPr>
                <w:trHeight w:val="137" w:hRule="atLeast"/>
              </w:trPr>
              <w:tc>
                <w:tcPr>
                  <w:tcW w:w="1288" w:type="dxa"/>
                  <w:tcBorders>
                    <w:top w:val="single" w:color="auto" w:sz="4"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color w:val="000000" w:themeColor="text1"/>
                      <w:kern w:val="0"/>
                    </w:rPr>
                    <w:t>绿化用水</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1500m²</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3L/（m²·次）</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4.5</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1147.5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r>
            <w:tr>
              <w:tblPrEx>
                <w:tblLayout w:type="fixed"/>
                <w:tblCellMar>
                  <w:top w:w="0" w:type="dxa"/>
                  <w:left w:w="108" w:type="dxa"/>
                  <w:bottom w:w="0" w:type="dxa"/>
                  <w:right w:w="108" w:type="dxa"/>
                </w:tblCellMar>
              </w:tblPrEx>
              <w:trPr>
                <w:trHeight w:val="67" w:hRule="atLeast"/>
              </w:trPr>
              <w:tc>
                <w:tcPr>
                  <w:tcW w:w="1288" w:type="dxa"/>
                  <w:tcBorders>
                    <w:top w:val="single" w:color="auto" w:sz="4" w:space="0"/>
                    <w:left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 xml:space="preserve"> 生活用水</w:t>
                  </w:r>
                </w:p>
              </w:tc>
              <w:tc>
                <w:tcPr>
                  <w:tcW w:w="178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20</w:t>
                  </w:r>
                  <w:r>
                    <w:rPr>
                      <w:color w:val="000000" w:themeColor="text1"/>
                      <w:kern w:val="0"/>
                    </w:rPr>
                    <w:t>人</w:t>
                  </w:r>
                </w:p>
              </w:tc>
              <w:tc>
                <w:tcPr>
                  <w:tcW w:w="150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6</w:t>
                  </w:r>
                  <w:r>
                    <w:rPr>
                      <w:color w:val="000000" w:themeColor="text1"/>
                      <w:kern w:val="0"/>
                    </w:rPr>
                    <w:t>0L/d·人</w:t>
                  </w:r>
                </w:p>
              </w:tc>
              <w:tc>
                <w:tcPr>
                  <w:tcW w:w="961" w:type="dxa"/>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1.2</w:t>
                  </w:r>
                </w:p>
              </w:tc>
              <w:tc>
                <w:tcPr>
                  <w:tcW w:w="1000" w:type="dxa"/>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360</w:t>
                  </w:r>
                </w:p>
              </w:tc>
              <w:tc>
                <w:tcPr>
                  <w:tcW w:w="1141" w:type="dxa"/>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0.96</w:t>
                  </w:r>
                </w:p>
              </w:tc>
              <w:tc>
                <w:tcPr>
                  <w:tcW w:w="912" w:type="dxa"/>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288</w:t>
                  </w:r>
                </w:p>
              </w:tc>
            </w:tr>
            <w:tr>
              <w:tblPrEx>
                <w:tblLayout w:type="fixed"/>
                <w:tblCellMar>
                  <w:top w:w="0" w:type="dxa"/>
                  <w:left w:w="108" w:type="dxa"/>
                  <w:bottom w:w="0" w:type="dxa"/>
                  <w:right w:w="108" w:type="dxa"/>
                </w:tblCellMar>
              </w:tblPrEx>
              <w:trPr>
                <w:trHeight w:val="67" w:hRule="atLeast"/>
              </w:trPr>
              <w:tc>
                <w:tcPr>
                  <w:tcW w:w="1288" w:type="dxa"/>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初期雨水</w:t>
                  </w:r>
                </w:p>
              </w:tc>
              <w:tc>
                <w:tcPr>
                  <w:tcW w:w="178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w:t>
                  </w:r>
                </w:p>
              </w:tc>
              <w:tc>
                <w:tcPr>
                  <w:tcW w:w="150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w:t>
                  </w:r>
                </w:p>
              </w:tc>
              <w:tc>
                <w:tcPr>
                  <w:tcW w:w="96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c>
                <w:tcPr>
                  <w:tcW w:w="100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c>
                <w:tcPr>
                  <w:tcW w:w="114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9.58m³/次</w:t>
                  </w:r>
                </w:p>
              </w:tc>
              <w:tc>
                <w:tcPr>
                  <w:tcW w:w="912"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w:t>
                  </w:r>
                </w:p>
              </w:tc>
            </w:tr>
            <w:tr>
              <w:tblPrEx>
                <w:tblLayout w:type="fixed"/>
                <w:tblCellMar>
                  <w:top w:w="0" w:type="dxa"/>
                  <w:left w:w="108" w:type="dxa"/>
                  <w:bottom w:w="0" w:type="dxa"/>
                  <w:right w:w="108" w:type="dxa"/>
                </w:tblCellMar>
              </w:tblPrEx>
              <w:trPr>
                <w:trHeight w:val="285" w:hRule="atLeast"/>
              </w:trPr>
              <w:tc>
                <w:tcPr>
                  <w:tcW w:w="4581"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合计</w:t>
                  </w:r>
                </w:p>
              </w:tc>
              <w:tc>
                <w:tcPr>
                  <w:tcW w:w="96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697.96</w:t>
                  </w:r>
                </w:p>
              </w:tc>
              <w:tc>
                <w:tcPr>
                  <w:tcW w:w="1000"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209184</w:t>
                  </w:r>
                </w:p>
              </w:tc>
              <w:tc>
                <w:tcPr>
                  <w:tcW w:w="114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423.26</w:t>
                  </w:r>
                </w:p>
              </w:tc>
              <w:tc>
                <w:tcPr>
                  <w:tcW w:w="912"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000000" w:themeColor="text1"/>
                      <w:kern w:val="0"/>
                    </w:rPr>
                  </w:pPr>
                  <w:r>
                    <w:rPr>
                      <w:color w:val="000000" w:themeColor="text1"/>
                      <w:kern w:val="0"/>
                    </w:rPr>
                    <w:t>126288</w:t>
                  </w:r>
                </w:p>
              </w:tc>
            </w:tr>
            <w:tr>
              <w:tblPrEx>
                <w:tblLayout w:type="fixed"/>
                <w:tblCellMar>
                  <w:top w:w="0" w:type="dxa"/>
                  <w:left w:w="108" w:type="dxa"/>
                  <w:bottom w:w="0" w:type="dxa"/>
                  <w:right w:w="108" w:type="dxa"/>
                </w:tblCellMar>
              </w:tblPrEx>
              <w:trPr>
                <w:trHeight w:val="285" w:hRule="atLeast"/>
              </w:trPr>
              <w:tc>
                <w:tcPr>
                  <w:tcW w:w="8595" w:type="dxa"/>
                  <w:gridSpan w:val="7"/>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ind w:firstLine="210" w:firstLineChars="100"/>
                    <w:jc w:val="left"/>
                    <w:rPr>
                      <w:color w:val="000000" w:themeColor="text1"/>
                      <w:kern w:val="0"/>
                    </w:rPr>
                  </w:pPr>
                  <w:r>
                    <w:rPr>
                      <w:color w:val="000000" w:themeColor="text1"/>
                      <w:kern w:val="0"/>
                    </w:rPr>
                    <w:t>备注：初期雨水具有偶然性，不纳入总量统计。</w:t>
                  </w:r>
                </w:p>
              </w:tc>
            </w:tr>
          </w:tbl>
          <w:p>
            <w:pPr>
              <w:pStyle w:val="40"/>
              <w:spacing w:beforeLines="50"/>
              <w:ind w:firstLine="480"/>
              <w:rPr>
                <w:color w:val="000000" w:themeColor="text1"/>
                <w:szCs w:val="21"/>
              </w:rPr>
            </w:pPr>
            <w:r>
              <w:rPr>
                <w:color w:val="000000" w:themeColor="text1"/>
                <w:szCs w:val="21"/>
              </w:rPr>
              <w:t>该项目非雨天水平衡如下图所示。</w:t>
            </w:r>
          </w:p>
          <w:p>
            <w:pPr>
              <w:jc w:val="center"/>
              <w:rPr>
                <w:rFonts w:ascii="Times New Roman" w:hAnsi="Times New Roman" w:cs="Times New Roman"/>
                <w:b/>
                <w:color w:val="000000" w:themeColor="text1"/>
                <w:szCs w:val="24"/>
              </w:rPr>
            </w:pPr>
            <w:r>
              <w:rPr>
                <w:color w:val="000000" w:themeColor="text1"/>
              </w:rPr>
              <w:object>
                <v:shape id="_x0000_i1029" o:spt="75" type="#_x0000_t75" style="height:509.4pt;width:409.8pt;" o:ole="t" filled="f" o:preferrelative="t" stroked="f" coordsize="21600,21600">
                  <v:path/>
                  <v:fill on="f" focussize="0,0"/>
                  <v:stroke on="f" joinstyle="miter"/>
                  <v:imagedata r:id="rId14" o:title=""/>
                  <o:lock v:ext="edit" aspectratio="t"/>
                  <w10:wrap type="none"/>
                  <w10:anchorlock/>
                </v:shape>
                <o:OLEObject Type="Embed" ProgID="Visio.Drawing.11" ShapeID="_x0000_i1029" DrawAspect="Content" ObjectID="_1468075729" r:id="rId13">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图2.8</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-1 项目非雨天水平衡m³/d</w:t>
            </w:r>
          </w:p>
          <w:p>
            <w:pPr>
              <w:pStyle w:val="40"/>
              <w:spacing w:beforeLines="50"/>
              <w:ind w:firstLine="480"/>
              <w:rPr>
                <w:color w:val="000000" w:themeColor="text1"/>
                <w:szCs w:val="21"/>
              </w:rPr>
            </w:pPr>
            <w:r>
              <w:rPr>
                <w:color w:val="000000" w:themeColor="text1"/>
                <w:szCs w:val="21"/>
              </w:rPr>
              <w:t>该项目雨天水平衡如下图所示。</w:t>
            </w: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color w:val="000000" w:themeColor="text1"/>
              </w:rPr>
            </w:pPr>
            <w:r>
              <w:rPr>
                <w:color w:val="000000" w:themeColor="text1"/>
              </w:rPr>
              <w:object>
                <v:shape id="_x0000_i1030" o:spt="75" type="#_x0000_t75" style="height:559.2pt;width:412.8pt;" o:ole="t" filled="f" o:preferrelative="t" stroked="f" coordsize="21600,21600">
                  <v:path/>
                  <v:fill on="f" focussize="0,0"/>
                  <v:stroke on="f" joinstyle="miter"/>
                  <v:imagedata r:id="rId16" o:title=""/>
                  <o:lock v:ext="edit" aspectratio="t"/>
                  <w10:wrap type="none"/>
                  <w10:anchorlock/>
                </v:shape>
                <o:OLEObject Type="Embed" ProgID="Visio.Drawing.11" ShapeID="_x0000_i1030" DrawAspect="Content" ObjectID="_1468075730" r:id="rId15">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图2.8</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-2 项目雨天水平衡m³/d</w:t>
            </w:r>
          </w:p>
          <w:p>
            <w:pPr>
              <w:spacing w:line="360" w:lineRule="auto"/>
              <w:ind w:firstLine="422" w:firstLineChars="200"/>
              <w:rPr>
                <w:rFonts w:ascii="Times New Roman" w:hAnsi="Times New Roman" w:cs="Times New Roman"/>
                <w:b/>
                <w:color w:val="000000" w:themeColor="text1"/>
                <w:szCs w:val="24"/>
              </w:rPr>
            </w:pPr>
          </w:p>
          <w:p>
            <w:pPr>
              <w:spacing w:line="360" w:lineRule="auto"/>
              <w:ind w:firstLine="422" w:firstLineChars="200"/>
              <w:rPr>
                <w:rFonts w:ascii="Times New Roman" w:hAnsi="Times New Roman" w:cs="Times New Roman"/>
                <w:b/>
                <w:color w:val="000000" w:themeColor="text1"/>
                <w:szCs w:val="24"/>
              </w:rPr>
            </w:pPr>
          </w:p>
          <w:p>
            <w:pPr>
              <w:spacing w:line="360" w:lineRule="auto"/>
              <w:ind w:firstLine="422" w:firstLineChars="200"/>
              <w:rPr>
                <w:rFonts w:ascii="Times New Roman" w:hAnsi="Times New Roman" w:cs="Times New Roman"/>
                <w:b/>
                <w:color w:val="000000" w:themeColor="text1"/>
                <w:szCs w:val="24"/>
              </w:rPr>
            </w:pPr>
          </w:p>
          <w:p>
            <w:pPr>
              <w:spacing w:line="360" w:lineRule="auto"/>
              <w:ind w:firstLine="422" w:firstLineChars="200"/>
              <w:rPr>
                <w:rFonts w:ascii="Times New Roman" w:hAnsi="Times New Roman" w:cs="Times New Roman"/>
                <w:b/>
                <w:color w:val="000000" w:themeColor="text1"/>
                <w:szCs w:val="24"/>
              </w:rPr>
            </w:pPr>
          </w:p>
          <w:p>
            <w:pPr>
              <w:spacing w:line="360" w:lineRule="auto"/>
              <w:ind w:firstLine="422" w:firstLineChars="200"/>
              <w:rPr>
                <w:rFonts w:ascii="Times New Roman" w:hAnsi="Times New Roman" w:cs="Times New Roman"/>
                <w:b/>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该项目购买原昆明东川众誉矿业有限责任公司砂厂范围内建设，项目施工期工艺流程及产污节点如下图所示：</w:t>
            </w:r>
          </w:p>
          <w:p>
            <w:pPr>
              <w:jc w:val="center"/>
              <w:rPr>
                <w:rFonts w:ascii="Times New Roman" w:hAnsi="Times New Roman" w:eastAsia="宋体" w:cs="Times New Roman"/>
                <w:b/>
                <w:color w:val="000000" w:themeColor="text1"/>
                <w:szCs w:val="24"/>
              </w:rPr>
            </w:pPr>
            <w:r>
              <w:rPr>
                <w:rFonts w:ascii="Times New Roman" w:hAnsi="Times New Roman" w:cs="Times New Roman"/>
                <w:color w:val="000000" w:themeColor="text1"/>
              </w:rPr>
              <w:object>
                <v:shape id="_x0000_i1031" o:spt="75" type="#_x0000_t75" style="height:142.8pt;width:418.8pt;" o:ole="t" filled="f" o:preferrelative="t" stroked="f" coordsize="21600,21600">
                  <v:path/>
                  <v:fill on="f" focussize="0,0"/>
                  <v:stroke on="f" joinstyle="miter"/>
                  <v:imagedata r:id="rId18" o:title=""/>
                  <o:lock v:ext="edit" aspectratio="t"/>
                  <w10:wrap type="none"/>
                  <w10:anchorlock/>
                </v:shape>
                <o:OLEObject Type="Embed" ProgID="Visio.Drawing.11" ShapeID="_x0000_i1031" DrawAspect="Content" ObjectID="_1468075731" r:id="rId17">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图2.9.1-1  施工阶段程序及污染流程图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施工工艺流程简述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根据调查，目前原昆明东川众誉矿业有限责任公司生产设施已全部拆除，施工期包括场地平整，生产车间建设、办公及生活设施改造，环保设施建设等。主要为施工废气、施工废水、施工噪声、施工固废等。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根据设计，项目共设置砂石骨料和水泥砖两条生产线，</w:t>
            </w:r>
            <w:r>
              <w:rPr>
                <w:rFonts w:hint="eastAsia" w:ascii="Times New Roman" w:hAnsi="Times New Roman" w:cs="Times New Roman"/>
                <w:bCs/>
                <w:color w:val="000000" w:themeColor="text1"/>
                <w:sz w:val="24"/>
                <w:szCs w:val="24"/>
              </w:rPr>
              <w:t>其中一期工程主要建设</w:t>
            </w:r>
            <w:r>
              <w:rPr>
                <w:rFonts w:ascii="Times New Roman" w:hAnsi="Times New Roman" w:cs="Times New Roman"/>
                <w:bCs/>
                <w:color w:val="000000" w:themeColor="text1"/>
                <w:sz w:val="24"/>
                <w:szCs w:val="24"/>
              </w:rPr>
              <w:t>砂石骨料生产线</w:t>
            </w:r>
            <w:r>
              <w:rPr>
                <w:rFonts w:hint="eastAsia" w:ascii="Times New Roman" w:hAnsi="Times New Roman" w:cs="Times New Roman"/>
                <w:bCs/>
                <w:color w:val="000000" w:themeColor="text1"/>
                <w:sz w:val="24"/>
                <w:szCs w:val="24"/>
              </w:rPr>
              <w:t>及其配套设施；二期工程主要建设</w:t>
            </w:r>
            <w:r>
              <w:rPr>
                <w:rFonts w:ascii="Times New Roman" w:hAnsi="Times New Roman" w:cs="Times New Roman"/>
                <w:bCs/>
                <w:color w:val="000000" w:themeColor="text1"/>
                <w:sz w:val="24"/>
                <w:szCs w:val="24"/>
              </w:rPr>
              <w:t>水泥砖生产线</w:t>
            </w:r>
            <w:r>
              <w:rPr>
                <w:rFonts w:hint="eastAsia" w:ascii="Times New Roman" w:hAnsi="Times New Roman" w:cs="Times New Roman"/>
                <w:bCs/>
                <w:color w:val="000000" w:themeColor="text1"/>
                <w:sz w:val="24"/>
                <w:szCs w:val="24"/>
              </w:rPr>
              <w:t>及其配套设施。</w:t>
            </w:r>
            <w:r>
              <w:rPr>
                <w:rFonts w:ascii="Times New Roman" w:hAnsi="Times New Roman" w:cs="Times New Roman"/>
                <w:bCs/>
                <w:color w:val="000000" w:themeColor="text1"/>
                <w:sz w:val="24"/>
                <w:szCs w:val="24"/>
              </w:rPr>
              <w:t>具体生产工艺如下。</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（1）砂石骨料生产线</w:t>
            </w:r>
            <w:r>
              <w:rPr>
                <w:rFonts w:hint="eastAsia" w:ascii="Times New Roman" w:hAnsi="Times New Roman" w:cs="Times New Roman"/>
                <w:b/>
                <w:bCs/>
                <w:color w:val="000000" w:themeColor="text1"/>
                <w:sz w:val="24"/>
                <w:szCs w:val="24"/>
              </w:rPr>
              <w:t>（一期工程）</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根据项目特点可知，生产线每个环节均伴随设备噪声，因此在图中不再标识噪声排放情况。</w:t>
            </w:r>
            <w:r>
              <w:rPr>
                <w:rFonts w:ascii="Times New Roman" w:hAnsi="Times New Roman" w:cs="Times New Roman"/>
                <w:bCs/>
                <w:color w:val="000000" w:themeColor="text1"/>
                <w:sz w:val="24"/>
                <w:szCs w:val="24"/>
              </w:rPr>
              <w:t>根据设计，砂石骨料生产线生产工艺流程及产污节点如下图所示：</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jc w:val="center"/>
              <w:rPr>
                <w:rFonts w:ascii="Times New Roman" w:hAnsi="Times New Roman" w:cs="Times New Roman"/>
                <w:bCs/>
                <w:color w:val="000000" w:themeColor="text1"/>
                <w:sz w:val="24"/>
                <w:szCs w:val="24"/>
              </w:rPr>
            </w:pPr>
            <w:r>
              <w:rPr>
                <w:color w:val="000000" w:themeColor="text1"/>
              </w:rPr>
              <w:object>
                <v:shape id="_x0000_i1032" o:spt="75" type="#_x0000_t75" style="height:457.8pt;width:430.8pt;" o:ole="t" filled="f" o:preferrelative="t" stroked="f" coordsize="21600,21600">
                  <v:path/>
                  <v:fill on="f" focussize="0,0"/>
                  <v:stroke on="f" joinstyle="miter"/>
                  <v:imagedata r:id="rId20" o:title=""/>
                  <o:lock v:ext="edit" aspectratio="t"/>
                  <w10:wrap type="none"/>
                  <w10:anchorlock/>
                </v:shape>
                <o:OLEObject Type="Embed" ProgID="Visio.Drawing.11" ShapeID="_x0000_i1032" DrawAspect="Content" ObjectID="_1468075732" r:id="rId19">
                  <o:LockedField>false</o:LockedField>
                </o:OLEObject>
              </w:object>
            </w:r>
          </w:p>
          <w:p>
            <w:pPr>
              <w:spacing w:line="360" w:lineRule="auto"/>
              <w:jc w:val="center"/>
              <w:rPr>
                <w:rFonts w:ascii="Times New Roman" w:hAnsi="Times New Roman" w:cs="Times New Roman"/>
                <w:bCs/>
                <w:color w:val="000000" w:themeColor="text1"/>
                <w:sz w:val="24"/>
                <w:szCs w:val="24"/>
              </w:rPr>
            </w:pPr>
            <w:r>
              <w:rPr>
                <w:rFonts w:ascii="Times New Roman" w:hAnsi="Times New Roman" w:eastAsia="宋体" w:cs="Times New Roman"/>
                <w:b/>
                <w:color w:val="000000" w:themeColor="text1"/>
                <w:szCs w:val="24"/>
              </w:rPr>
              <w:t>图2.9.2-1  砂石骨料生产线工艺流程及产污环节图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工艺流程简述</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①</w:t>
            </w:r>
            <w:r>
              <w:rPr>
                <w:rFonts w:ascii="Times New Roman" w:hAnsi="Times New Roman" w:cs="Times New Roman"/>
                <w:b/>
                <w:bCs/>
                <w:color w:val="000000" w:themeColor="text1"/>
                <w:sz w:val="24"/>
                <w:szCs w:val="24"/>
              </w:rPr>
              <w:t>废石暂存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根据设计，项目区拟设置</w:t>
            </w:r>
            <w:r>
              <w:rPr>
                <w:rFonts w:hint="eastAsia"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个废石堆场，对拟用于生产的废石进行暂存；该区域在对废石进行暂存过程会有无组织扬尘产生，因此项目拟对废石堆场设置不低于物料堆存高度围挡和顶棚，另外废石堆场的废石采用装载机运输至破碎筛分车间处理，其装载机采装、卸料及运输过程会产生扬尘，项目拟设置雾炮机对其进行洒水抑尘。</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②</w:t>
            </w:r>
            <w:r>
              <w:rPr>
                <w:rFonts w:ascii="Times New Roman" w:hAnsi="Times New Roman" w:cs="Times New Roman"/>
                <w:b/>
                <w:bCs/>
                <w:color w:val="000000" w:themeColor="text1"/>
                <w:sz w:val="24"/>
                <w:szCs w:val="24"/>
              </w:rPr>
              <w:t>一段筛分</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根据设计，由于项目使用原料为废石，其粒径形状不一，因此项目首先配套设置1台圆振筛对废石进行一段筛分，筛分过程中Φ＞50mm的废石直接进入破碎工序，而Φ≤50mm的废石进行下一段筛分工序。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该筛分过程会有粉尘产生，为降低粉尘产生且防治颗粒堵塞筛网，拟对该工序进行加水筛分。</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③</w:t>
            </w:r>
            <w:r>
              <w:rPr>
                <w:rFonts w:ascii="Times New Roman" w:hAnsi="Times New Roman" w:cs="Times New Roman"/>
                <w:b/>
                <w:bCs/>
                <w:color w:val="000000" w:themeColor="text1"/>
                <w:sz w:val="24"/>
                <w:szCs w:val="24"/>
              </w:rPr>
              <w:t>鄂破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根据设计，项目拟设置1台颚式破碎机对经一段筛分后Φ＞50mm的废石进行破碎。破碎料通过皮带运输机密闭运输。</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③</w:t>
            </w:r>
            <w:r>
              <w:rPr>
                <w:rFonts w:ascii="Times New Roman" w:hAnsi="Times New Roman" w:cs="Times New Roman"/>
                <w:b/>
                <w:bCs/>
                <w:color w:val="000000" w:themeColor="text1"/>
                <w:sz w:val="24"/>
                <w:szCs w:val="24"/>
              </w:rPr>
              <w:t>反击破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根据设计，经鄂破后的废石通过皮带运输机密闭运输至1台反击破碎机进行再次破碎。</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上述鄂破和反击破工序均会有粉尘产生，为降低粉尘产生，拟对两破碎工序进行加水破碎。</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⑤</w:t>
            </w:r>
            <w:r>
              <w:rPr>
                <w:rFonts w:ascii="Times New Roman" w:hAnsi="Times New Roman" w:cs="Times New Roman"/>
                <w:b/>
                <w:bCs/>
                <w:color w:val="000000" w:themeColor="text1"/>
                <w:sz w:val="24"/>
                <w:szCs w:val="24"/>
              </w:rPr>
              <w:t>二段筛分</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根据设计，经过反击破碎后的废石以及一段筛分后Φ≤50mm的废石分别通过皮带运输机密闭运输另1台圆振筛进行二段筛分，二段筛分系统为得到Φ0-5mm和Φ0-7mm两种不同规格的砂石骨料，则需更换筛网，具体如下：</w:t>
            </w:r>
          </w:p>
          <w:p>
            <w:pPr>
              <w:spacing w:line="360" w:lineRule="auto"/>
              <w:ind w:firstLine="480" w:firstLineChars="200"/>
              <w:rPr>
                <w:rFonts w:ascii="Times New Roman" w:hAnsi="Times New Roman" w:cs="Times New Roman"/>
                <w:bCs/>
                <w:color w:val="000000" w:themeColor="text1"/>
                <w:sz w:val="24"/>
                <w:szCs w:val="24"/>
              </w:rPr>
            </w:pPr>
            <w:r>
              <w:rPr>
                <w:rFonts w:ascii="宋体" w:hAnsi="Times New Roman" w:eastAsia="宋体" w:cs="Times New Roman"/>
                <w:bCs/>
                <w:color w:val="000000" w:themeColor="text1"/>
                <w:sz w:val="24"/>
                <w:szCs w:val="24"/>
              </w:rPr>
              <w:t>①</w:t>
            </w:r>
            <w:r>
              <w:rPr>
                <w:rFonts w:ascii="Times New Roman" w:hAnsi="Times New Roman" w:cs="Times New Roman"/>
                <w:bCs/>
                <w:color w:val="000000" w:themeColor="text1"/>
                <w:sz w:val="24"/>
                <w:szCs w:val="24"/>
              </w:rPr>
              <w:t>若生产Φ0-5mm砂石骨料时，则使用5mm砂筛网，则筛分后得到Φ0-5mm、Φ5-20mm、Φ20-30mm和Φ≥30mm的筛分料，其中Φ0-5mm砂石骨料进入水洗系统，而Φ5-20mm的筛分料属于小颗粒废料进入球磨机球磨，Φ20-30mm属于公分石产品进入3#料场堆存外售，Φ≥30mm的筛分料属于大颗粒废料进入制砂机破碎。</w:t>
            </w:r>
          </w:p>
          <w:p>
            <w:pPr>
              <w:spacing w:line="360" w:lineRule="auto"/>
              <w:ind w:firstLine="480" w:firstLineChars="200"/>
              <w:rPr>
                <w:rFonts w:ascii="Times New Roman" w:hAnsi="Times New Roman" w:cs="Times New Roman"/>
                <w:bCs/>
                <w:color w:val="000000" w:themeColor="text1"/>
                <w:sz w:val="24"/>
                <w:szCs w:val="24"/>
              </w:rPr>
            </w:pPr>
            <w:r>
              <w:rPr>
                <w:rFonts w:ascii="宋体" w:hAnsi="Times New Roman" w:eastAsia="宋体" w:cs="Times New Roman"/>
                <w:bCs/>
                <w:color w:val="000000" w:themeColor="text1"/>
                <w:sz w:val="24"/>
                <w:szCs w:val="24"/>
              </w:rPr>
              <w:t>②</w:t>
            </w:r>
            <w:r>
              <w:rPr>
                <w:rFonts w:ascii="Times New Roman" w:hAnsi="Times New Roman" w:cs="Times New Roman"/>
                <w:bCs/>
                <w:color w:val="000000" w:themeColor="text1"/>
                <w:sz w:val="24"/>
                <w:szCs w:val="24"/>
              </w:rPr>
              <w:t>若生产Φ0-7mm砂石骨料时，则使用7mm砂筛网，则筛分后得到Φ0-7mm、Φ7-20mm、Φ20-30mm和Φ≥30mm的筛分料，其中Φ0-7mm砂石骨料进入水洗系统，而Φ7-20mm的筛分料属于小颗粒废料进入球磨机球磨，Φ20-30mm属于公分石产品进入3#料场堆存外售，Φ≥30mm的筛分料属于大颗粒废料进入制砂机破碎。</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该筛分过程会有粉尘产生，为降低粉尘产生且防治颗粒堵塞筛网，拟对该工序进行加水筛分。</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eastAsia="宋体" w:cs="Times New Roman"/>
                <w:b/>
                <w:bCs/>
                <w:color w:val="000000" w:themeColor="text1"/>
                <w:sz w:val="24"/>
                <w:szCs w:val="24"/>
              </w:rPr>
              <w:t>⑥</w:t>
            </w:r>
            <w:r>
              <w:rPr>
                <w:rFonts w:ascii="Times New Roman" w:hAnsi="Times New Roman" w:cs="Times New Roman"/>
                <w:b/>
                <w:bCs/>
                <w:color w:val="000000" w:themeColor="text1"/>
                <w:sz w:val="24"/>
                <w:szCs w:val="24"/>
              </w:rPr>
              <w:t>球磨</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根据设计，经过二段筛分后得到Φ5-20mm或Φ7-20mm的小颗粒废料通过皮带运输机密闭运输至2台球磨碎机进行球磨，球磨后返回二段筛分系统。</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eastAsia="宋体" w:cs="Times New Roman"/>
                <w:b/>
                <w:bCs/>
                <w:color w:val="000000" w:themeColor="text1"/>
                <w:sz w:val="24"/>
                <w:szCs w:val="24"/>
              </w:rPr>
              <w:t>⑦</w:t>
            </w:r>
            <w:r>
              <w:rPr>
                <w:rFonts w:ascii="Times New Roman" w:hAnsi="Times New Roman" w:cs="Times New Roman"/>
                <w:b/>
                <w:bCs/>
                <w:color w:val="000000" w:themeColor="text1"/>
                <w:sz w:val="24"/>
                <w:szCs w:val="24"/>
              </w:rPr>
              <w:t>制砂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根据设计，经过二段筛分后得到Φ≥30mm的大颗粒废料通过皮带运输机密闭运输至、2台立轴制砂机进行破碎，破碎后返回二段筛分系统。</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上述球磨和破碎工序均会有粉尘产生，为降低粉尘产生，拟对球磨和破碎工序进行加水。</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eastAsia="宋体" w:cs="Times New Roman"/>
                <w:b/>
                <w:bCs/>
                <w:color w:val="000000" w:themeColor="text1"/>
                <w:sz w:val="24"/>
                <w:szCs w:val="24"/>
              </w:rPr>
              <w:t>⑧</w:t>
            </w:r>
            <w:r>
              <w:rPr>
                <w:rFonts w:ascii="Times New Roman" w:hAnsi="Times New Roman" w:cs="Times New Roman"/>
                <w:b/>
                <w:bCs/>
                <w:color w:val="000000" w:themeColor="text1"/>
                <w:sz w:val="24"/>
                <w:szCs w:val="24"/>
              </w:rPr>
              <w:t>水洗、脱水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根据设计，经过二段筛分后得到的Φ0-5mm或Φ0-7mm的砂石骨料分别进入洗砂车间进行水洗、脱水。具体如下：</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eastAsia="宋体" w:cs="Times New Roman"/>
                <w:b/>
                <w:bCs/>
                <w:color w:val="000000" w:themeColor="text1"/>
                <w:sz w:val="24"/>
                <w:szCs w:val="24"/>
              </w:rPr>
              <w:t>⑴</w:t>
            </w:r>
            <w:r>
              <w:rPr>
                <w:rFonts w:ascii="Times New Roman" w:hAnsi="Times New Roman" w:cs="Times New Roman"/>
                <w:b/>
                <w:bCs/>
                <w:color w:val="000000" w:themeColor="text1"/>
                <w:sz w:val="24"/>
                <w:szCs w:val="24"/>
              </w:rPr>
              <w:t>水洗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洗砂车间内配套设置4台轮式洗砂机、2台立体式细砂回收机对筛分后的Φ0-5mm或Φ0-7mm的砂石骨料进行清洗。</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 2 \* GB2 </w:instrText>
            </w:r>
            <w:r>
              <w:rPr>
                <w:rFonts w:ascii="Times New Roman" w:hAnsi="Times New Roman" w:cs="Times New Roman"/>
                <w:b/>
                <w:bCs/>
                <w:color w:val="000000" w:themeColor="text1"/>
                <w:sz w:val="24"/>
                <w:szCs w:val="24"/>
              </w:rPr>
              <w:fldChar w:fldCharType="separate"/>
            </w:r>
            <w:r>
              <w:rPr>
                <w:rFonts w:ascii="Times New Roman" w:hAnsi="Times New Roman" w:eastAsia="宋体"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脱水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洗砂车间内配套设置2台高频振脱水筛，经水洗后的Φ0-5mm或Φ0-7mm砂石骨料进入高频振脱水筛进行脱水，脱水后的得到规格为Φ0-5mm或Φ0-7mm的砂石骨料产品，其中Φ0-5mm的砂石骨料产品进入1#料场进行堆存、Φ0-7mm的砂石骨料产品进入2#料场进行堆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过程会产生砂石骨料生产废水，该废水主要污染物为CODcr、SS和石油类，项目拟配套设置1套砂石骨料生产废水处理系统对其进行处理；首先砂石骨料生产废水进入三级沉淀池进行沉淀，沉淀后，约90%的上层清水进入回水池回用于骨料生产系统，而三级沉淀池产生的含水污泥则进入建设单位建设的昆明市东川金水矿业有限责任公司牛厂坪尾矿充填环境综合治理项目进行井下充填处理。</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（2）水泥砖生产线</w:t>
            </w:r>
            <w:r>
              <w:rPr>
                <w:rFonts w:hint="eastAsia" w:ascii="Times New Roman" w:hAnsi="Times New Roman" w:cs="Times New Roman"/>
                <w:b/>
                <w:bCs/>
                <w:color w:val="000000" w:themeColor="text1"/>
                <w:sz w:val="24"/>
                <w:szCs w:val="24"/>
              </w:rPr>
              <w:t>（二期工程）</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根据项目特点可知，生产线每个环节均伴随设备噪声，因此在图中不再标识噪声排放情况。</w:t>
            </w:r>
            <w:r>
              <w:rPr>
                <w:rFonts w:ascii="Times New Roman" w:hAnsi="Times New Roman" w:cs="Times New Roman"/>
                <w:bCs/>
                <w:color w:val="000000" w:themeColor="text1"/>
                <w:sz w:val="24"/>
                <w:szCs w:val="24"/>
              </w:rPr>
              <w:t>根据设计，水泥砖生产线生产工艺流程及产污节点如下图所示：</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rPr>
              <w:object>
                <v:shape id="_x0000_i1033" o:spt="75" type="#_x0000_t75" style="height:416.4pt;width:335.4pt;" o:ole="t" filled="f" o:preferrelative="t" stroked="f" coordsize="21600,21600">
                  <v:path/>
                  <v:fill on="f" focussize="0,0"/>
                  <v:stroke on="f" joinstyle="miter"/>
                  <v:imagedata r:id="rId22" o:title=""/>
                  <o:lock v:ext="edit" aspectratio="t"/>
                  <w10:wrap type="none"/>
                  <w10:anchorlock/>
                </v:shape>
                <o:OLEObject Type="Embed" ProgID="Visio.Drawing.11" ShapeID="_x0000_i1033" DrawAspect="Content" ObjectID="_1468075733" r:id="rId21">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图2.</w:t>
            </w:r>
            <w:r>
              <w:rPr>
                <w:rFonts w:hint="eastAsia" w:ascii="Times New Roman" w:hAnsi="Times New Roman" w:eastAsia="宋体" w:cs="Times New Roman"/>
                <w:b/>
                <w:color w:val="000000" w:themeColor="text1"/>
                <w:szCs w:val="24"/>
              </w:rPr>
              <w:t>9</w:t>
            </w:r>
            <w:r>
              <w:rPr>
                <w:rFonts w:ascii="Times New Roman" w:hAnsi="Times New Roman" w:eastAsia="宋体" w:cs="Times New Roman"/>
                <w:b/>
                <w:color w:val="000000" w:themeColor="text1"/>
                <w:szCs w:val="24"/>
              </w:rPr>
              <w:t>.2-2  水泥砖生产流程及产污环节图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工艺流程简述</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①</w:t>
            </w:r>
            <w:r>
              <w:rPr>
                <w:rFonts w:ascii="Times New Roman" w:hAnsi="Times New Roman" w:cs="Times New Roman"/>
                <w:b/>
                <w:bCs/>
                <w:color w:val="000000" w:themeColor="text1"/>
                <w:sz w:val="24"/>
                <w:szCs w:val="24"/>
              </w:rPr>
              <w:t>原料暂存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水泥砖使用原料主要为Φ0-5mm、Φ0-7mm砂石骨料和水泥，其中Φ0-5mm、Φ0-7mm砂石骨料来源于该项目砂石骨料生产线，直接从该生产线1#料场和2#料场取用，不再单独设置原料堆场，而针对水泥暂存，项目拟设置1个100t的水泥仓对其进行储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水泥在装卸、储存、输送过程会产生一定量粉尘，水泥仓顶端设置1#袋式除尘器对其处理后通过（DA001）外排；袋式除尘器的平均除尘效率为99.7%。</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②搅拌混合</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拟配套设置1台提升斗、2台配料仓和1台搅拌机，将水泥、砂石骨料（φ0-7mm）和砂石骨料（φ0-5mm）按照4:15:10的比例进行混合，并加水搅拌，使其充分混合，搅拌后的物料含水率约为20%后进入砌块成型工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搅拌混合工序在加料过程中会产生一定量的粉尘，项目拟在设备产尘点配套设置集气罩对其粉尘进行收集，并设置1台袋式除尘器进行处理，处理后通过1根15m高排气筒（DA002）外排，其中集气罩为5000m³/h；集气效率不低于90%，袋式除尘器的平均除尘效率为99.7%。</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③砌块成型</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根据设计，项目拟配套设置1台QT18-18型砌块成型机和模板架，对搅拌均匀的物料进行砌块成型。</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④养护</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根据设计，成型后的水泥砖进入养护工序，首先在养护棚养护1天，一天后运输到养护场进行28天养护，养护场养护前3天需对水泥砖进行浇水养护，3天后，自然干燥。</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养护过程会产生养护废水，项目拟设置1个有效容积为6m³的养护废水收集池对其进行收集后，返回养护工序使用，不外排。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⑤质量检测</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养护完成即为水泥砖进行抽样检测；满足质量要求的进行外售。</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质量检测过程产生的不合格产品返回砂石骨料生产线处理。</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购买原昆明东川众誉矿业有限责任公司砂厂范围内建设，根据调查，目前原昆明东川众誉矿业有限责任公司生产设施已全部拆除。施工期包括场地平整，生产车间建设、办公及生活设施改造，环保设施建设等。主要为施工废气、施工废水、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根据项目工艺流程可知，该项目运营期产污环节具体如下。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①一期工程</w:t>
            </w:r>
            <w:r>
              <w:rPr>
                <w:rFonts w:ascii="Times New Roman" w:hAnsi="Times New Roman" w:cs="Times New Roman"/>
                <w:b/>
                <w:color w:val="000000" w:themeColor="text1"/>
                <w:sz w:val="24"/>
                <w:szCs w:val="24"/>
              </w:rPr>
              <w:t>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建设内容及生产工艺，项目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废气主要包括砂石骨料生产线堆场扬尘、装卸扬尘、皮带输送过程扬尘和破碎筛分粉尘。</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②二期工程</w:t>
            </w:r>
            <w:r>
              <w:rPr>
                <w:rFonts w:ascii="Times New Roman" w:hAnsi="Times New Roman" w:cs="Times New Roman"/>
                <w:b/>
                <w:color w:val="000000" w:themeColor="text1"/>
                <w:sz w:val="24"/>
                <w:szCs w:val="24"/>
              </w:rPr>
              <w:t>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建设内容及生产工艺，项目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废气主要包括水泥砖生产线水泥仓粉尘和搅拌混合粉尘。</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①一期工程</w:t>
            </w:r>
            <w:r>
              <w:rPr>
                <w:rFonts w:ascii="Times New Roman" w:hAnsi="Times New Roman" w:cs="Times New Roman"/>
                <w:b/>
                <w:color w:val="000000" w:themeColor="text1"/>
                <w:sz w:val="24"/>
                <w:szCs w:val="24"/>
              </w:rPr>
              <w:t>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建设内容及生产工艺，该项目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用水环节包括洒水抑尘用水、砂石骨料生产用水、绿化用水和生活用水，而废水产生类型包括砂石骨料生产废水、生活污水和初期雨水。</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②二期工程</w:t>
            </w:r>
            <w:r>
              <w:rPr>
                <w:rFonts w:ascii="Times New Roman" w:hAnsi="Times New Roman" w:cs="Times New Roman"/>
                <w:b/>
                <w:color w:val="000000" w:themeColor="text1"/>
                <w:sz w:val="24"/>
                <w:szCs w:val="24"/>
              </w:rPr>
              <w:t>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建设内容及生产工艺，该项目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用水环节包括洒水抑尘用水、砂石骨料生产用水和生活用水，而废水产生类型包括水泥砖养护废水、生活污水和初期雨水。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根据建设内容及生产工艺，项目</w:t>
            </w:r>
            <w:r>
              <w:rPr>
                <w:rFonts w:hint="eastAsia" w:ascii="Times New Roman" w:hAnsi="Times New Roman" w:cs="Times New Roman"/>
                <w:color w:val="000000" w:themeColor="text1"/>
                <w:sz w:val="24"/>
              </w:rPr>
              <w:t>两期工程</w:t>
            </w:r>
            <w:r>
              <w:rPr>
                <w:rFonts w:ascii="Times New Roman" w:hAnsi="Times New Roman" w:cs="Times New Roman"/>
                <w:color w:val="000000" w:themeColor="text1"/>
                <w:sz w:val="24"/>
              </w:rPr>
              <w:t>噪声污染源主要</w:t>
            </w:r>
            <w:r>
              <w:rPr>
                <w:rFonts w:hint="eastAsia" w:ascii="Times New Roman" w:hAnsi="Times New Roman" w:cs="Times New Roman"/>
                <w:color w:val="000000" w:themeColor="text1"/>
                <w:sz w:val="24"/>
              </w:rPr>
              <w:t>均</w:t>
            </w:r>
            <w:r>
              <w:rPr>
                <w:rFonts w:ascii="Times New Roman" w:hAnsi="Times New Roman" w:cs="Times New Roman"/>
                <w:color w:val="000000" w:themeColor="text1"/>
                <w:sz w:val="24"/>
              </w:rPr>
              <w:t>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pStyle w:val="40"/>
              <w:ind w:firstLine="482"/>
              <w:rPr>
                <w:rFonts w:eastAsiaTheme="minorEastAsia"/>
                <w:color w:val="000000" w:themeColor="text1"/>
                <w:szCs w:val="24"/>
              </w:rPr>
            </w:pPr>
            <w:r>
              <w:rPr>
                <w:rFonts w:hint="eastAsia"/>
                <w:b/>
                <w:color w:val="000000" w:themeColor="text1"/>
                <w:szCs w:val="24"/>
              </w:rPr>
              <w:t>①一期工程</w:t>
            </w:r>
            <w:r>
              <w:rPr>
                <w:b/>
                <w:color w:val="000000" w:themeColor="text1"/>
                <w:szCs w:val="24"/>
              </w:rPr>
              <w:t>运营期固体废物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内容及生产工艺，该项目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产生的固体废物包括：砂石骨料生产废水处理系统产生的含水污泥</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设备维修产生的废机油及废弃沾油抹布、生活垃圾和污水处理设施污泥。</w:t>
            </w:r>
          </w:p>
          <w:p>
            <w:pPr>
              <w:pStyle w:val="40"/>
              <w:ind w:firstLine="482"/>
              <w:rPr>
                <w:rFonts w:eastAsiaTheme="minorEastAsia"/>
                <w:color w:val="000000" w:themeColor="text1"/>
                <w:szCs w:val="24"/>
              </w:rPr>
            </w:pPr>
            <w:r>
              <w:rPr>
                <w:rFonts w:hint="eastAsia"/>
                <w:b/>
                <w:color w:val="000000" w:themeColor="text1"/>
                <w:szCs w:val="24"/>
              </w:rPr>
              <w:t>②二期工程</w:t>
            </w:r>
            <w:r>
              <w:rPr>
                <w:b/>
                <w:color w:val="000000" w:themeColor="text1"/>
                <w:szCs w:val="24"/>
              </w:rPr>
              <w:t>运营期固体废物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根据项目二期工程内容及生产工艺，该项目二期工程产生的固体废物包括：废砖、袋式除尘器收集粉尘、生活垃圾。</w:t>
            </w: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1" w:type="dxa"/>
          </w:tcPr>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该项目购买原昆明东川众誉矿业有限责任公司砂厂范围内建设，根据调查，截止现场踏勘日2021年11月17日，原昆明东川众誉矿业有限责任公司生产设施已全部拆除。无相关原有环境问题。</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40"/>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（1）常规污染物达标情况</w:t>
            </w:r>
          </w:p>
          <w:p>
            <w:pPr>
              <w:pStyle w:val="40"/>
              <w:ind w:firstLine="480"/>
              <w:rPr>
                <w:rFonts w:eastAsiaTheme="minorEastAsia"/>
                <w:color w:val="000000" w:themeColor="text1"/>
                <w:szCs w:val="24"/>
              </w:rPr>
            </w:pPr>
            <w:r>
              <w:rPr>
                <w:rFonts w:eastAsiaTheme="minorEastAsia"/>
                <w:color w:val="000000" w:themeColor="text1"/>
                <w:szCs w:val="24"/>
              </w:rPr>
              <w:t>该项目属于东川区行政区划范围内；根据《2020年度昆明市生态环境状况公报》，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综上分析，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40"/>
              <w:ind w:firstLine="480"/>
              <w:rPr>
                <w:color w:val="000000" w:themeColor="text1"/>
              </w:rPr>
            </w:pPr>
            <w:r>
              <w:rPr>
                <w:color w:val="000000" w:themeColor="text1"/>
              </w:rPr>
              <w:t>根据项目特点，该项目排放的有国家标准的特征污染物为TSP，根据调查，在昆明市东川金水矿业有限责任公司牛厂坪尾矿充填环境综合治理项目竣工验收期间，建设单位委托云南道达沣环境科技有限公司于2020年12月8日至12月10日对项目大气环境保护目标窝子田村进行了TSP环境质量现状监测，其监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表3.1.1-</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TSP监测结果一览表 ug/m³</w:t>
            </w:r>
          </w:p>
          <w:tbl>
            <w:tblPr>
              <w:tblStyle w:val="20"/>
              <w:tblpPr w:leftFromText="180" w:rightFromText="180" w:vertAnchor="text" w:horzAnchor="margin" w:tblpXSpec="center" w:tblpY="2"/>
              <w:tblOverlap w:val="never"/>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4373"/>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72"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监测点位</w:t>
                  </w:r>
                </w:p>
              </w:tc>
              <w:tc>
                <w:tcPr>
                  <w:tcW w:w="4373"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采样时间</w:t>
                  </w:r>
                </w:p>
              </w:tc>
              <w:tc>
                <w:tcPr>
                  <w:tcW w:w="2760"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检测结果</w:t>
                  </w:r>
                  <w:r>
                    <w:rPr>
                      <w:rFonts w:hint="eastAsia" w:eastAsiaTheme="minorEastAsia"/>
                      <w:color w:val="000000" w:themeColor="text1"/>
                      <w:szCs w:val="21"/>
                      <w:lang w:val="en-US"/>
                    </w:rPr>
                    <w:t>最大值</w:t>
                  </w:r>
                  <w:r>
                    <w:rPr>
                      <w:rFonts w:eastAsiaTheme="minorEastAsia"/>
                      <w:color w:val="000000" w:themeColor="text1"/>
                      <w:szCs w:val="21"/>
                      <w:lang w:val="en-US"/>
                    </w:rPr>
                    <w:t>（μg/m³）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72" w:type="dxa"/>
                  <w:vMerge w:val="continue"/>
                  <w:vAlign w:val="center"/>
                </w:tcPr>
                <w:p>
                  <w:pPr>
                    <w:pStyle w:val="32"/>
                    <w:spacing w:line="360" w:lineRule="exact"/>
                    <w:ind w:left="11"/>
                    <w:rPr>
                      <w:rFonts w:eastAsiaTheme="minorEastAsia"/>
                      <w:color w:val="000000" w:themeColor="text1"/>
                      <w:szCs w:val="21"/>
                      <w:lang w:val="en-US"/>
                    </w:rPr>
                  </w:pPr>
                </w:p>
              </w:tc>
              <w:tc>
                <w:tcPr>
                  <w:tcW w:w="4373" w:type="dxa"/>
                  <w:vMerge w:val="continue"/>
                  <w:vAlign w:val="center"/>
                </w:tcPr>
                <w:p>
                  <w:pPr>
                    <w:pStyle w:val="32"/>
                    <w:spacing w:line="360" w:lineRule="exact"/>
                    <w:ind w:left="11"/>
                    <w:rPr>
                      <w:rFonts w:eastAsiaTheme="minorEastAsia"/>
                      <w:color w:val="000000" w:themeColor="text1"/>
                      <w:szCs w:val="21"/>
                      <w:lang w:val="en-US"/>
                    </w:rPr>
                  </w:pPr>
                </w:p>
              </w:tc>
              <w:tc>
                <w:tcPr>
                  <w:tcW w:w="2760"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72"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窝子田村</w:t>
                  </w:r>
                </w:p>
              </w:tc>
              <w:tc>
                <w:tcPr>
                  <w:tcW w:w="4373"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2020年12月8日08:00-12月9日08:00</w:t>
                  </w:r>
                </w:p>
              </w:tc>
              <w:tc>
                <w:tcPr>
                  <w:tcW w:w="2760"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72" w:type="dxa"/>
                  <w:vMerge w:val="continue"/>
                  <w:vAlign w:val="center"/>
                </w:tcPr>
                <w:p>
                  <w:pPr>
                    <w:pStyle w:val="32"/>
                    <w:spacing w:line="360" w:lineRule="exact"/>
                    <w:ind w:left="11"/>
                    <w:rPr>
                      <w:rFonts w:eastAsiaTheme="minorEastAsia"/>
                      <w:color w:val="000000" w:themeColor="text1"/>
                      <w:szCs w:val="21"/>
                      <w:lang w:val="en-US"/>
                    </w:rPr>
                  </w:pPr>
                </w:p>
              </w:tc>
              <w:tc>
                <w:tcPr>
                  <w:tcW w:w="4373"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2020年12月9日08:00-12月10日08:00</w:t>
                  </w:r>
                </w:p>
              </w:tc>
              <w:tc>
                <w:tcPr>
                  <w:tcW w:w="2760"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72" w:type="dxa"/>
                  <w:vMerge w:val="continue"/>
                  <w:vAlign w:val="center"/>
                </w:tcPr>
                <w:p>
                  <w:pPr>
                    <w:pStyle w:val="32"/>
                    <w:spacing w:line="360" w:lineRule="exact"/>
                    <w:ind w:left="11"/>
                    <w:rPr>
                      <w:rFonts w:eastAsiaTheme="minorEastAsia"/>
                      <w:color w:val="000000" w:themeColor="text1"/>
                      <w:szCs w:val="21"/>
                      <w:lang w:val="en-US"/>
                    </w:rPr>
                  </w:pPr>
                </w:p>
              </w:tc>
              <w:tc>
                <w:tcPr>
                  <w:tcW w:w="4373"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2020年12月10日08:00-12月11日08:00</w:t>
                  </w:r>
                </w:p>
              </w:tc>
              <w:tc>
                <w:tcPr>
                  <w:tcW w:w="2760"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45" w:type="dxa"/>
                  <w:gridSpan w:val="2"/>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标准</w:t>
                  </w:r>
                </w:p>
              </w:tc>
              <w:tc>
                <w:tcPr>
                  <w:tcW w:w="2760"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300</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由上表可知，项目区域TSP日均值可达到《环境空气质量标准》（GB3095-2012）二级标准。</w:t>
            </w:r>
          </w:p>
          <w:p>
            <w:pPr>
              <w:pStyle w:val="40"/>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40"/>
              <w:ind w:firstLine="480"/>
              <w:rPr>
                <w:color w:val="000000" w:themeColor="text1"/>
                <w:szCs w:val="24"/>
              </w:rPr>
            </w:pPr>
            <w:r>
              <w:rPr>
                <w:color w:val="000000" w:themeColor="text1"/>
                <w:szCs w:val="24"/>
              </w:rPr>
              <w:t>该项目区属于大水沟汇水范围，大水沟位于项目区东侧2m，大水沟最终汇入金沙江。根据云南省水利厅发布的《云南省水功能区划》（2014版），金沙江滇川4号缓冲区，从出省界前5km处-向家坝水电站坝轴线下1.8km，2030年的水质目标为III类水体，大水沟无环境功能区划，根据水功能区划原则，参照执行金沙江河段的功能区划，亦执行《地表水环境质量标准》（GB3838-2002）III类水标准。</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（1）大水沟水质现状</w:t>
            </w:r>
          </w:p>
          <w:p>
            <w:pPr>
              <w:pStyle w:val="40"/>
              <w:ind w:firstLine="480"/>
              <w:rPr>
                <w:color w:val="000000" w:themeColor="text1"/>
                <w:szCs w:val="24"/>
              </w:rPr>
            </w:pPr>
            <w:r>
              <w:rPr>
                <w:color w:val="000000" w:themeColor="text1"/>
                <w:szCs w:val="24"/>
              </w:rPr>
              <w:t>根据调查，在昆明市东川金水矿业有限责任公司牛厂坪尾矿充填环境综合治理项目竣工验收期间，建设单位委托云南道达沣环境科技有限公司于2020年12月8日至12月10日对大水沟（项目区下游975m处）断面进行了现状监测，监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表3.1.</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大水沟（项目区下游975m处）水质检测结果一览表 单位：单位mg/L </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696"/>
              <w:gridCol w:w="2284"/>
              <w:gridCol w:w="134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732"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项目名称</w:t>
                  </w: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采样日期</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检测结果</w:t>
                  </w:r>
                </w:p>
              </w:tc>
              <w:tc>
                <w:tcPr>
                  <w:tcW w:w="1349"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标准</w:t>
                  </w:r>
                </w:p>
              </w:tc>
              <w:tc>
                <w:tcPr>
                  <w:tcW w:w="154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pH无量纲</w:t>
                  </w: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8.41</w:t>
                  </w:r>
                </w:p>
              </w:tc>
              <w:tc>
                <w:tcPr>
                  <w:tcW w:w="1349"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6~9</w:t>
                  </w:r>
                </w:p>
              </w:tc>
              <w:tc>
                <w:tcPr>
                  <w:tcW w:w="154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8.25</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8.27</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五日生化需氧量</w:t>
                  </w: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2.8</w:t>
                  </w:r>
                </w:p>
              </w:tc>
              <w:tc>
                <w:tcPr>
                  <w:tcW w:w="1349"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3</w:t>
                  </w: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2.6</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2.7</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化学需氧量</w:t>
                  </w: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19</w:t>
                  </w:r>
                </w:p>
              </w:tc>
              <w:tc>
                <w:tcPr>
                  <w:tcW w:w="1349"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15</w:t>
                  </w: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17</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18</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铜</w:t>
                  </w: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0.0016</w:t>
                  </w:r>
                </w:p>
              </w:tc>
              <w:tc>
                <w:tcPr>
                  <w:tcW w:w="1349"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1.0</w:t>
                  </w: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0.0015</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0.0016</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锌</w:t>
                  </w: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0.05L</w:t>
                  </w:r>
                </w:p>
              </w:tc>
              <w:tc>
                <w:tcPr>
                  <w:tcW w:w="1349"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1.0</w:t>
                  </w: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0.05L</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0.05L</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铅</w:t>
                  </w: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0.003</w:t>
                  </w:r>
                </w:p>
              </w:tc>
              <w:tc>
                <w:tcPr>
                  <w:tcW w:w="1349"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0.01</w:t>
                  </w: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0.003</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0.003</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镉</w:t>
                  </w: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0.0004</w:t>
                  </w:r>
                </w:p>
              </w:tc>
              <w:tc>
                <w:tcPr>
                  <w:tcW w:w="1349"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0.005</w:t>
                  </w: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0.0006</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0.0004</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砷</w:t>
                  </w: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0.0079</w:t>
                  </w:r>
                </w:p>
              </w:tc>
              <w:tc>
                <w:tcPr>
                  <w:tcW w:w="1349"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0.05</w:t>
                  </w: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0.0071</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0.0073</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汞</w:t>
                  </w: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0.00004</w:t>
                  </w:r>
                </w:p>
              </w:tc>
              <w:tc>
                <w:tcPr>
                  <w:tcW w:w="1349" w:type="dxa"/>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0.00005</w:t>
                  </w: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0.00005</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32" w:type="dxa"/>
                  <w:vMerge w:val="continue"/>
                  <w:vAlign w:val="center"/>
                </w:tcPr>
                <w:p>
                  <w:pPr>
                    <w:pStyle w:val="32"/>
                    <w:spacing w:line="360" w:lineRule="exact"/>
                    <w:ind w:left="11"/>
                    <w:rPr>
                      <w:rFonts w:eastAsiaTheme="minorEastAsia"/>
                      <w:color w:val="000000" w:themeColor="text1"/>
                      <w:szCs w:val="21"/>
                      <w:lang w:val="en-US"/>
                    </w:rPr>
                  </w:pPr>
                </w:p>
              </w:tc>
              <w:tc>
                <w:tcPr>
                  <w:tcW w:w="1696"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2284" w:type="dxa"/>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0.00004</w:t>
                  </w:r>
                </w:p>
              </w:tc>
              <w:tc>
                <w:tcPr>
                  <w:tcW w:w="1349" w:type="dxa"/>
                  <w:vMerge w:val="continue"/>
                  <w:vAlign w:val="center"/>
                </w:tcPr>
                <w:p>
                  <w:pPr>
                    <w:pStyle w:val="32"/>
                    <w:spacing w:line="360" w:lineRule="exact"/>
                    <w:ind w:left="11"/>
                    <w:rPr>
                      <w:rFonts w:eastAsiaTheme="minorEastAsia"/>
                      <w:color w:val="000000" w:themeColor="text1"/>
                      <w:szCs w:val="21"/>
                      <w:lang w:val="en-US"/>
                    </w:rPr>
                  </w:pPr>
                </w:p>
              </w:tc>
              <w:tc>
                <w:tcPr>
                  <w:tcW w:w="1544" w:type="dxa"/>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根据调查，在昆明金水水力发电有限公司金水电站项目</w:t>
            </w:r>
            <w:r>
              <w:rPr>
                <w:rFonts w:hint="eastAsia" w:eastAsiaTheme="minorEastAsia"/>
                <w:color w:val="000000" w:themeColor="text1"/>
                <w:szCs w:val="24"/>
              </w:rPr>
              <w:t>后评价</w:t>
            </w:r>
            <w:r>
              <w:rPr>
                <w:rFonts w:eastAsiaTheme="minorEastAsia"/>
                <w:color w:val="000000" w:themeColor="text1"/>
                <w:szCs w:val="24"/>
              </w:rPr>
              <w:t>期间，建设单位委托云南升环检测技术有限公司于2020年9月2日-2020年9月4日对大水沟（项目区下游</w:t>
            </w:r>
            <w:r>
              <w:rPr>
                <w:rFonts w:hint="eastAsia" w:eastAsiaTheme="minorEastAsia"/>
                <w:color w:val="000000" w:themeColor="text1"/>
                <w:szCs w:val="24"/>
              </w:rPr>
              <w:t>120</w:t>
            </w:r>
            <w:r>
              <w:rPr>
                <w:rFonts w:eastAsiaTheme="minorEastAsia"/>
                <w:color w:val="000000" w:themeColor="text1"/>
                <w:szCs w:val="24"/>
              </w:rPr>
              <w:t>m处）断面</w:t>
            </w:r>
            <w:r>
              <w:rPr>
                <w:rFonts w:hint="eastAsia" w:eastAsiaTheme="minorEastAsia"/>
                <w:color w:val="000000" w:themeColor="text1"/>
                <w:szCs w:val="24"/>
              </w:rPr>
              <w:t>中氨氮和总磷</w:t>
            </w:r>
            <w:r>
              <w:rPr>
                <w:rFonts w:eastAsiaTheme="minorEastAsia"/>
                <w:color w:val="000000" w:themeColor="text1"/>
                <w:szCs w:val="24"/>
              </w:rPr>
              <w:t>进行了现状监测，监测结果如下表所示。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3.1.1-3</w:t>
            </w:r>
            <w:r>
              <w:rPr>
                <w:rFonts w:ascii="Times New Roman" w:hAnsi="Times New Roman" w:eastAsia="宋体" w:cs="Times New Roman"/>
                <w:b/>
                <w:color w:val="000000" w:themeColor="text1"/>
              </w:rPr>
              <w:t xml:space="preserve"> 大水沟水质</w:t>
            </w:r>
            <w:r>
              <w:rPr>
                <w:rFonts w:hint="eastAsia" w:ascii="Times New Roman" w:hAnsi="Times New Roman" w:eastAsia="宋体" w:cs="Times New Roman"/>
                <w:b/>
                <w:color w:val="000000" w:themeColor="text1"/>
              </w:rPr>
              <w:t>氨氮和总磷</w:t>
            </w:r>
            <w:r>
              <w:rPr>
                <w:rFonts w:ascii="Times New Roman" w:hAnsi="Times New Roman" w:eastAsia="宋体" w:cs="Times New Roman"/>
                <w:b/>
                <w:color w:val="000000" w:themeColor="text1"/>
              </w:rPr>
              <w:t>监测结果一览表   单位：mg/L</w:t>
            </w:r>
          </w:p>
          <w:tbl>
            <w:tblPr>
              <w:tblStyle w:val="21"/>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34"/>
              <w:gridCol w:w="1720"/>
              <w:gridCol w:w="1721"/>
              <w:gridCol w:w="1721"/>
              <w:gridCol w:w="13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34" w:type="dxa"/>
                  <w:vAlign w:val="center"/>
                </w:tcPr>
                <w:p>
                  <w:pPr>
                    <w:pStyle w:val="32"/>
                    <w:spacing w:line="360" w:lineRule="exact"/>
                    <w:rPr>
                      <w:color w:val="000000" w:themeColor="text1"/>
                      <w:szCs w:val="21"/>
                    </w:rPr>
                  </w:pPr>
                  <w:r>
                    <w:rPr>
                      <w:color w:val="000000" w:themeColor="text1"/>
                      <w:szCs w:val="21"/>
                    </w:rPr>
                    <w:t>点位</w:t>
                  </w:r>
                </w:p>
              </w:tc>
              <w:tc>
                <w:tcPr>
                  <w:tcW w:w="5162" w:type="dxa"/>
                  <w:gridSpan w:val="3"/>
                  <w:vAlign w:val="center"/>
                </w:tcPr>
                <w:p>
                  <w:pPr>
                    <w:pStyle w:val="32"/>
                    <w:spacing w:line="360" w:lineRule="exact"/>
                    <w:rPr>
                      <w:color w:val="000000" w:themeColor="text1"/>
                      <w:szCs w:val="21"/>
                    </w:rPr>
                  </w:pPr>
                  <w:r>
                    <w:rPr>
                      <w:color w:val="000000" w:themeColor="text1"/>
                      <w:szCs w:val="21"/>
                    </w:rPr>
                    <w:t>项目区下游</w:t>
                  </w:r>
                  <w:r>
                    <w:rPr>
                      <w:rFonts w:hint="eastAsia"/>
                      <w:color w:val="000000" w:themeColor="text1"/>
                      <w:szCs w:val="21"/>
                    </w:rPr>
                    <w:t>120</w:t>
                  </w:r>
                  <w:r>
                    <w:rPr>
                      <w:color w:val="000000" w:themeColor="text1"/>
                      <w:szCs w:val="21"/>
                    </w:rPr>
                    <w:t>m</w:t>
                  </w:r>
                </w:p>
              </w:tc>
              <w:tc>
                <w:tcPr>
                  <w:tcW w:w="1309" w:type="dxa"/>
                  <w:vMerge w:val="restart"/>
                  <w:vAlign w:val="center"/>
                </w:tcPr>
                <w:p>
                  <w:pPr>
                    <w:pStyle w:val="32"/>
                    <w:spacing w:line="360" w:lineRule="exact"/>
                    <w:rPr>
                      <w:color w:val="000000" w:themeColor="text1"/>
                      <w:szCs w:val="21"/>
                    </w:rPr>
                  </w:pPr>
                  <w:r>
                    <w:rPr>
                      <w:color w:val="000000" w:themeColor="text1"/>
                      <w:szCs w:val="21"/>
                    </w:rPr>
                    <w:t>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34" w:type="dxa"/>
                  <w:tcBorders>
                    <w:tl2br w:val="single" w:color="auto" w:sz="4" w:space="0"/>
                  </w:tcBorders>
                  <w:vAlign w:val="center"/>
                </w:tcPr>
                <w:p>
                  <w:pPr>
                    <w:pStyle w:val="32"/>
                    <w:spacing w:line="360" w:lineRule="exact"/>
                    <w:rPr>
                      <w:color w:val="000000" w:themeColor="text1"/>
                      <w:szCs w:val="21"/>
                    </w:rPr>
                  </w:pPr>
                  <w:r>
                    <w:rPr>
                      <w:color w:val="000000" w:themeColor="text1"/>
                      <w:szCs w:val="21"/>
                    </w:rPr>
                    <w:t xml:space="preserve">     日期</w:t>
                  </w:r>
                </w:p>
                <w:p>
                  <w:pPr>
                    <w:pStyle w:val="32"/>
                    <w:spacing w:line="360" w:lineRule="exact"/>
                    <w:jc w:val="left"/>
                    <w:rPr>
                      <w:color w:val="000000" w:themeColor="text1"/>
                      <w:szCs w:val="21"/>
                    </w:rPr>
                  </w:pPr>
                  <w:r>
                    <w:rPr>
                      <w:color w:val="000000" w:themeColor="text1"/>
                      <w:szCs w:val="21"/>
                    </w:rPr>
                    <w:t>项目</w:t>
                  </w:r>
                </w:p>
              </w:tc>
              <w:tc>
                <w:tcPr>
                  <w:tcW w:w="1720" w:type="dxa"/>
                  <w:vAlign w:val="center"/>
                </w:tcPr>
                <w:p>
                  <w:pPr>
                    <w:pStyle w:val="32"/>
                    <w:spacing w:line="360" w:lineRule="exact"/>
                    <w:rPr>
                      <w:color w:val="000000" w:themeColor="text1"/>
                      <w:szCs w:val="21"/>
                    </w:rPr>
                  </w:pPr>
                  <w:r>
                    <w:rPr>
                      <w:color w:val="000000" w:themeColor="text1"/>
                      <w:szCs w:val="21"/>
                    </w:rPr>
                    <w:t>2020/9/2</w:t>
                  </w:r>
                </w:p>
              </w:tc>
              <w:tc>
                <w:tcPr>
                  <w:tcW w:w="1721" w:type="dxa"/>
                  <w:vAlign w:val="center"/>
                </w:tcPr>
                <w:p>
                  <w:pPr>
                    <w:pStyle w:val="32"/>
                    <w:spacing w:line="360" w:lineRule="exact"/>
                    <w:rPr>
                      <w:color w:val="000000" w:themeColor="text1"/>
                      <w:szCs w:val="21"/>
                    </w:rPr>
                  </w:pPr>
                  <w:r>
                    <w:rPr>
                      <w:color w:val="000000" w:themeColor="text1"/>
                      <w:szCs w:val="21"/>
                    </w:rPr>
                    <w:t>2020/9/3</w:t>
                  </w:r>
                </w:p>
              </w:tc>
              <w:tc>
                <w:tcPr>
                  <w:tcW w:w="1721" w:type="dxa"/>
                  <w:vAlign w:val="center"/>
                </w:tcPr>
                <w:p>
                  <w:pPr>
                    <w:pStyle w:val="32"/>
                    <w:spacing w:line="360" w:lineRule="exact"/>
                    <w:rPr>
                      <w:color w:val="000000" w:themeColor="text1"/>
                      <w:szCs w:val="21"/>
                    </w:rPr>
                  </w:pPr>
                  <w:r>
                    <w:rPr>
                      <w:color w:val="000000" w:themeColor="text1"/>
                      <w:szCs w:val="21"/>
                    </w:rPr>
                    <w:t>2020/9/4</w:t>
                  </w:r>
                </w:p>
              </w:tc>
              <w:tc>
                <w:tcPr>
                  <w:tcW w:w="1309" w:type="dxa"/>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34" w:type="dxa"/>
                  <w:vAlign w:val="center"/>
                </w:tcPr>
                <w:p>
                  <w:pPr>
                    <w:pStyle w:val="32"/>
                    <w:spacing w:line="360" w:lineRule="exact"/>
                    <w:rPr>
                      <w:color w:val="000000" w:themeColor="text1"/>
                      <w:szCs w:val="21"/>
                    </w:rPr>
                  </w:pPr>
                  <w:r>
                    <w:rPr>
                      <w:color w:val="000000" w:themeColor="text1"/>
                      <w:szCs w:val="21"/>
                    </w:rPr>
                    <w:t>总磷</w:t>
                  </w:r>
                </w:p>
              </w:tc>
              <w:tc>
                <w:tcPr>
                  <w:tcW w:w="1720" w:type="dxa"/>
                  <w:vAlign w:val="center"/>
                </w:tcPr>
                <w:p>
                  <w:pPr>
                    <w:pStyle w:val="32"/>
                    <w:spacing w:line="360" w:lineRule="exact"/>
                    <w:rPr>
                      <w:color w:val="000000" w:themeColor="text1"/>
                      <w:szCs w:val="21"/>
                    </w:rPr>
                  </w:pPr>
                  <w:r>
                    <w:rPr>
                      <w:color w:val="000000" w:themeColor="text1"/>
                      <w:szCs w:val="21"/>
                    </w:rPr>
                    <w:t>0.019</w:t>
                  </w:r>
                </w:p>
              </w:tc>
              <w:tc>
                <w:tcPr>
                  <w:tcW w:w="1721" w:type="dxa"/>
                  <w:vAlign w:val="center"/>
                </w:tcPr>
                <w:p>
                  <w:pPr>
                    <w:pStyle w:val="32"/>
                    <w:spacing w:line="360" w:lineRule="exact"/>
                    <w:rPr>
                      <w:color w:val="000000" w:themeColor="text1"/>
                      <w:szCs w:val="21"/>
                    </w:rPr>
                  </w:pPr>
                  <w:r>
                    <w:rPr>
                      <w:color w:val="000000" w:themeColor="text1"/>
                      <w:szCs w:val="21"/>
                    </w:rPr>
                    <w:t>0.020</w:t>
                  </w:r>
                </w:p>
              </w:tc>
              <w:tc>
                <w:tcPr>
                  <w:tcW w:w="1721" w:type="dxa"/>
                  <w:vAlign w:val="center"/>
                </w:tcPr>
                <w:p>
                  <w:pPr>
                    <w:pStyle w:val="32"/>
                    <w:spacing w:line="360" w:lineRule="exact"/>
                    <w:rPr>
                      <w:color w:val="000000" w:themeColor="text1"/>
                      <w:szCs w:val="21"/>
                    </w:rPr>
                  </w:pPr>
                  <w:r>
                    <w:rPr>
                      <w:color w:val="000000" w:themeColor="text1"/>
                      <w:szCs w:val="21"/>
                    </w:rPr>
                    <w:t>0.023</w:t>
                  </w:r>
                </w:p>
              </w:tc>
              <w:tc>
                <w:tcPr>
                  <w:tcW w:w="1309" w:type="dxa"/>
                  <w:vAlign w:val="center"/>
                </w:tcPr>
                <w:p>
                  <w:pPr>
                    <w:pStyle w:val="32"/>
                    <w:spacing w:line="360" w:lineRule="exact"/>
                    <w:rPr>
                      <w:color w:val="000000" w:themeColor="text1"/>
                      <w:szCs w:val="21"/>
                    </w:rPr>
                  </w:pPr>
                  <w:r>
                    <w:rPr>
                      <w:color w:val="000000" w:themeColor="text1"/>
                      <w:szCs w:val="21"/>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34" w:type="dxa"/>
                  <w:vAlign w:val="center"/>
                </w:tcPr>
                <w:p>
                  <w:pPr>
                    <w:pStyle w:val="32"/>
                    <w:spacing w:line="360" w:lineRule="exact"/>
                    <w:rPr>
                      <w:color w:val="000000" w:themeColor="text1"/>
                      <w:szCs w:val="21"/>
                    </w:rPr>
                  </w:pPr>
                  <w:r>
                    <w:rPr>
                      <w:color w:val="000000" w:themeColor="text1"/>
                      <w:szCs w:val="21"/>
                    </w:rPr>
                    <w:t>氨氮</w:t>
                  </w:r>
                </w:p>
              </w:tc>
              <w:tc>
                <w:tcPr>
                  <w:tcW w:w="1720" w:type="dxa"/>
                </w:tcPr>
                <w:p>
                  <w:pPr>
                    <w:pStyle w:val="32"/>
                    <w:spacing w:line="360" w:lineRule="exact"/>
                    <w:rPr>
                      <w:color w:val="000000" w:themeColor="text1"/>
                      <w:szCs w:val="21"/>
                    </w:rPr>
                  </w:pPr>
                  <w:r>
                    <w:rPr>
                      <w:color w:val="000000" w:themeColor="text1"/>
                      <w:szCs w:val="21"/>
                    </w:rPr>
                    <w:t>0.563</w:t>
                  </w:r>
                </w:p>
              </w:tc>
              <w:tc>
                <w:tcPr>
                  <w:tcW w:w="1721" w:type="dxa"/>
                </w:tcPr>
                <w:p>
                  <w:pPr>
                    <w:pStyle w:val="32"/>
                    <w:spacing w:line="360" w:lineRule="exact"/>
                    <w:rPr>
                      <w:color w:val="000000" w:themeColor="text1"/>
                      <w:szCs w:val="21"/>
                    </w:rPr>
                  </w:pPr>
                  <w:r>
                    <w:rPr>
                      <w:color w:val="000000" w:themeColor="text1"/>
                      <w:szCs w:val="21"/>
                    </w:rPr>
                    <w:t>0.586</w:t>
                  </w:r>
                </w:p>
              </w:tc>
              <w:tc>
                <w:tcPr>
                  <w:tcW w:w="1721" w:type="dxa"/>
                </w:tcPr>
                <w:p>
                  <w:pPr>
                    <w:pStyle w:val="32"/>
                    <w:spacing w:line="360" w:lineRule="exact"/>
                    <w:rPr>
                      <w:color w:val="000000" w:themeColor="text1"/>
                      <w:szCs w:val="21"/>
                    </w:rPr>
                  </w:pPr>
                  <w:r>
                    <w:rPr>
                      <w:color w:val="000000" w:themeColor="text1"/>
                      <w:szCs w:val="21"/>
                    </w:rPr>
                    <w:t>0.542</w:t>
                  </w:r>
                </w:p>
              </w:tc>
              <w:tc>
                <w:tcPr>
                  <w:tcW w:w="1309" w:type="dxa"/>
                  <w:vAlign w:val="center"/>
                </w:tcPr>
                <w:p>
                  <w:pPr>
                    <w:pStyle w:val="32"/>
                    <w:spacing w:line="360" w:lineRule="exact"/>
                    <w:rPr>
                      <w:color w:val="000000" w:themeColor="text1"/>
                      <w:szCs w:val="21"/>
                    </w:rPr>
                  </w:pPr>
                  <w:r>
                    <w:rPr>
                      <w:color w:val="000000" w:themeColor="text1"/>
                      <w:szCs w:val="21"/>
                    </w:rPr>
                    <w:t>≤1.0</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根据以上监测结果可知，该项目地表水大水沟水质可达到《地表水环境质量标准》（GB3838-2002）III类标准。</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（2）金沙江水质现状</w:t>
            </w:r>
          </w:p>
          <w:p>
            <w:pPr>
              <w:pStyle w:val="40"/>
              <w:ind w:firstLine="480"/>
              <w:rPr>
                <w:color w:val="000000" w:themeColor="text1"/>
                <w:szCs w:val="24"/>
              </w:rPr>
            </w:pPr>
            <w:r>
              <w:rPr>
                <w:rFonts w:hint="eastAsia"/>
                <w:color w:val="000000" w:themeColor="text1"/>
                <w:szCs w:val="24"/>
              </w:rPr>
              <w:t>环评期间</w:t>
            </w:r>
            <w:r>
              <w:rPr>
                <w:color w:val="000000" w:themeColor="text1"/>
                <w:szCs w:val="24"/>
              </w:rPr>
              <w:t>收集了东川区环境监测站201</w:t>
            </w:r>
            <w:r>
              <w:rPr>
                <w:rFonts w:hint="eastAsia"/>
                <w:color w:val="000000" w:themeColor="text1"/>
                <w:szCs w:val="24"/>
              </w:rPr>
              <w:t>9</w:t>
            </w:r>
            <w:r>
              <w:rPr>
                <w:color w:val="000000" w:themeColor="text1"/>
                <w:szCs w:val="24"/>
              </w:rPr>
              <w:t>年对金沙江</w:t>
            </w:r>
            <w:r>
              <w:rPr>
                <w:rFonts w:hint="eastAsia"/>
                <w:color w:val="000000" w:themeColor="text1"/>
                <w:szCs w:val="24"/>
              </w:rPr>
              <w:t>蒙姑</w:t>
            </w:r>
            <w:r>
              <w:rPr>
                <w:color w:val="000000" w:themeColor="text1"/>
                <w:szCs w:val="24"/>
              </w:rPr>
              <w:t>断面的常规监测数据</w:t>
            </w:r>
            <w:r>
              <w:rPr>
                <w:rFonts w:hint="eastAsia"/>
                <w:color w:val="000000" w:themeColor="text1"/>
                <w:szCs w:val="24"/>
              </w:rPr>
              <w:t>，</w:t>
            </w:r>
            <w:r>
              <w:rPr>
                <w:color w:val="000000" w:themeColor="text1"/>
                <w:szCs w:val="24"/>
              </w:rPr>
              <w:t>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w:t>
            </w:r>
            <w:r>
              <w:rPr>
                <w:rFonts w:hint="eastAsia" w:hAnsi="Times New Roman" w:eastAsia="宋体"/>
                <w:bCs/>
                <w:snapToGrid w:val="0"/>
                <w:color w:val="000000" w:themeColor="text1"/>
                <w:sz w:val="21"/>
                <w:szCs w:val="21"/>
              </w:rPr>
              <w:t>1</w:t>
            </w:r>
            <w:r>
              <w:rPr>
                <w:rFonts w:hAnsi="Times New Roman" w:eastAsia="宋体"/>
                <w:bCs/>
                <w:snapToGrid w:val="0"/>
                <w:color w:val="000000" w:themeColor="text1"/>
                <w:sz w:val="21"/>
                <w:szCs w:val="21"/>
              </w:rPr>
              <w:t>-</w:t>
            </w:r>
            <w:r>
              <w:rPr>
                <w:rFonts w:hint="eastAsia" w:hAnsi="Times New Roman" w:eastAsia="宋体"/>
                <w:bCs/>
                <w:snapToGrid w:val="0"/>
                <w:color w:val="000000" w:themeColor="text1"/>
                <w:sz w:val="21"/>
                <w:szCs w:val="21"/>
              </w:rPr>
              <w:t>3</w:t>
            </w:r>
            <w:r>
              <w:rPr>
                <w:rFonts w:hAnsi="Times New Roman" w:eastAsia="宋体"/>
                <w:bCs/>
                <w:snapToGrid w:val="0"/>
                <w:color w:val="000000" w:themeColor="text1"/>
                <w:sz w:val="21"/>
                <w:szCs w:val="21"/>
              </w:rPr>
              <w:t xml:space="preserve"> 项目区域地表水体水质检测结果一览表  单位：mg/L</w:t>
            </w:r>
          </w:p>
          <w:tbl>
            <w:tblPr>
              <w:tblStyle w:val="20"/>
              <w:tblW w:w="8605" w:type="dxa"/>
              <w:jc w:val="center"/>
              <w:tblInd w:w="0" w:type="dxa"/>
              <w:tblLayout w:type="fixed"/>
              <w:tblCellMar>
                <w:top w:w="0" w:type="dxa"/>
                <w:left w:w="108" w:type="dxa"/>
                <w:bottom w:w="0" w:type="dxa"/>
                <w:right w:w="108" w:type="dxa"/>
              </w:tblCellMar>
            </w:tblPr>
            <w:tblGrid>
              <w:gridCol w:w="1039"/>
              <w:gridCol w:w="2051"/>
              <w:gridCol w:w="2042"/>
              <w:gridCol w:w="1590"/>
              <w:gridCol w:w="1883"/>
            </w:tblGrid>
            <w:tr>
              <w:tblPrEx>
                <w:tblLayout w:type="fixed"/>
                <w:tblCellMar>
                  <w:top w:w="0" w:type="dxa"/>
                  <w:left w:w="108" w:type="dxa"/>
                  <w:bottom w:w="0" w:type="dxa"/>
                  <w:right w:w="108" w:type="dxa"/>
                </w:tblCellMar>
              </w:tblPrEx>
              <w:trPr>
                <w:trHeight w:val="148" w:hRule="atLeast"/>
                <w:jc w:val="center"/>
              </w:trPr>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序号</w:t>
                  </w:r>
                </w:p>
              </w:tc>
              <w:tc>
                <w:tcPr>
                  <w:tcW w:w="2051"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监测项目</w:t>
                  </w:r>
                </w:p>
              </w:tc>
              <w:tc>
                <w:tcPr>
                  <w:tcW w:w="2042"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rFonts w:hint="eastAsia"/>
                      <w:color w:val="000000" w:themeColor="text1"/>
                      <w:szCs w:val="21"/>
                    </w:rPr>
                    <w:t>蒙姑断面</w:t>
                  </w:r>
                </w:p>
              </w:tc>
              <w:tc>
                <w:tcPr>
                  <w:tcW w:w="1590"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标准值</w:t>
                  </w:r>
                </w:p>
              </w:tc>
              <w:tc>
                <w:tcPr>
                  <w:tcW w:w="1883" w:type="dxa"/>
                  <w:tcBorders>
                    <w:top w:val="single" w:color="auto" w:sz="4" w:space="0"/>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达标情况</w:t>
                  </w:r>
                </w:p>
              </w:tc>
            </w:tr>
            <w:tr>
              <w:tblPrEx>
                <w:tblLayout w:type="fixed"/>
                <w:tblCellMar>
                  <w:top w:w="0" w:type="dxa"/>
                  <w:left w:w="108" w:type="dxa"/>
                  <w:bottom w:w="0" w:type="dxa"/>
                  <w:right w:w="108" w:type="dxa"/>
                </w:tblCellMar>
              </w:tblPrEx>
              <w:trPr>
                <w:trHeight w:val="300" w:hRule="atLeast"/>
                <w:jc w:val="center"/>
              </w:trPr>
              <w:tc>
                <w:tcPr>
                  <w:tcW w:w="1039"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1</w:t>
                  </w:r>
                </w:p>
              </w:tc>
              <w:tc>
                <w:tcPr>
                  <w:tcW w:w="2051"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pH（无量纲）</w:t>
                  </w:r>
                </w:p>
              </w:tc>
              <w:tc>
                <w:tcPr>
                  <w:tcW w:w="2042"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rFonts w:hint="eastAsia"/>
                      <w:color w:val="000000" w:themeColor="text1"/>
                      <w:szCs w:val="21"/>
                    </w:rPr>
                    <w:t>8.3</w:t>
                  </w:r>
                </w:p>
              </w:tc>
              <w:tc>
                <w:tcPr>
                  <w:tcW w:w="159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6</w:t>
                  </w:r>
                  <w:r>
                    <w:rPr>
                      <w:rFonts w:hint="eastAsia"/>
                      <w:color w:val="000000" w:themeColor="text1"/>
                      <w:szCs w:val="21"/>
                    </w:rPr>
                    <w:t>-</w:t>
                  </w:r>
                  <w:r>
                    <w:rPr>
                      <w:color w:val="000000" w:themeColor="text1"/>
                      <w:szCs w:val="21"/>
                    </w:rPr>
                    <w:t>9</w:t>
                  </w:r>
                </w:p>
              </w:tc>
              <w:tc>
                <w:tcPr>
                  <w:tcW w:w="1883"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039"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2</w:t>
                  </w:r>
                </w:p>
              </w:tc>
              <w:tc>
                <w:tcPr>
                  <w:tcW w:w="2051"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COD</w:t>
                  </w:r>
                  <w:r>
                    <w:rPr>
                      <w:color w:val="000000" w:themeColor="text1"/>
                      <w:szCs w:val="21"/>
                      <w:vertAlign w:val="subscript"/>
                    </w:rPr>
                    <w:t>Cr</w:t>
                  </w:r>
                </w:p>
              </w:tc>
              <w:tc>
                <w:tcPr>
                  <w:tcW w:w="2042"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rFonts w:hint="eastAsia"/>
                      <w:color w:val="000000" w:themeColor="text1"/>
                      <w:szCs w:val="21"/>
                    </w:rPr>
                    <w:t>6</w:t>
                  </w:r>
                </w:p>
              </w:tc>
              <w:tc>
                <w:tcPr>
                  <w:tcW w:w="159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≤20</w:t>
                  </w:r>
                </w:p>
              </w:tc>
              <w:tc>
                <w:tcPr>
                  <w:tcW w:w="1883"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039"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3</w:t>
                  </w:r>
                </w:p>
              </w:tc>
              <w:tc>
                <w:tcPr>
                  <w:tcW w:w="2051"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BOD</w:t>
                  </w:r>
                  <w:r>
                    <w:rPr>
                      <w:color w:val="000000" w:themeColor="text1"/>
                      <w:szCs w:val="21"/>
                      <w:vertAlign w:val="subscript"/>
                    </w:rPr>
                    <w:t>5</w:t>
                  </w:r>
                </w:p>
              </w:tc>
              <w:tc>
                <w:tcPr>
                  <w:tcW w:w="2042"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rFonts w:hint="eastAsia"/>
                      <w:color w:val="000000" w:themeColor="text1"/>
                      <w:szCs w:val="21"/>
                    </w:rPr>
                    <w:t>2</w:t>
                  </w:r>
                </w:p>
              </w:tc>
              <w:tc>
                <w:tcPr>
                  <w:tcW w:w="159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≤4</w:t>
                  </w:r>
                </w:p>
              </w:tc>
              <w:tc>
                <w:tcPr>
                  <w:tcW w:w="1883"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039"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5</w:t>
                  </w:r>
                </w:p>
              </w:tc>
              <w:tc>
                <w:tcPr>
                  <w:tcW w:w="2051"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2042"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rFonts w:hint="eastAsia"/>
                      <w:color w:val="000000" w:themeColor="text1"/>
                      <w:szCs w:val="21"/>
                    </w:rPr>
                    <w:t>0.05</w:t>
                  </w:r>
                </w:p>
              </w:tc>
              <w:tc>
                <w:tcPr>
                  <w:tcW w:w="159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≤1.0</w:t>
                  </w:r>
                </w:p>
              </w:tc>
              <w:tc>
                <w:tcPr>
                  <w:tcW w:w="1883"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039" w:type="dxa"/>
                  <w:tcBorders>
                    <w:top w:val="nil"/>
                    <w:left w:val="single" w:color="auto" w:sz="4" w:space="0"/>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6</w:t>
                  </w:r>
                </w:p>
              </w:tc>
              <w:tc>
                <w:tcPr>
                  <w:tcW w:w="2051"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TP</w:t>
                  </w:r>
                </w:p>
              </w:tc>
              <w:tc>
                <w:tcPr>
                  <w:tcW w:w="2042"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rFonts w:hint="eastAsia"/>
                      <w:color w:val="000000" w:themeColor="text1"/>
                      <w:szCs w:val="21"/>
                    </w:rPr>
                    <w:t>0.02</w:t>
                  </w:r>
                </w:p>
              </w:tc>
              <w:tc>
                <w:tcPr>
                  <w:tcW w:w="1590"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≤0.2</w:t>
                  </w:r>
                </w:p>
              </w:tc>
              <w:tc>
                <w:tcPr>
                  <w:tcW w:w="1883" w:type="dxa"/>
                  <w:tcBorders>
                    <w:top w:val="nil"/>
                    <w:left w:val="nil"/>
                    <w:bottom w:val="single" w:color="auto" w:sz="4" w:space="0"/>
                    <w:right w:val="single" w:color="auto" w:sz="4" w:space="0"/>
                  </w:tcBorders>
                  <w:shd w:val="clear" w:color="auto" w:fill="auto"/>
                  <w:vAlign w:val="center"/>
                </w:tcPr>
                <w:p>
                  <w:pPr>
                    <w:pStyle w:val="32"/>
                    <w:spacing w:line="360" w:lineRule="exact"/>
                    <w:ind w:left="11"/>
                    <w:rPr>
                      <w:color w:val="000000" w:themeColor="text1"/>
                      <w:szCs w:val="21"/>
                    </w:rPr>
                  </w:pPr>
                  <w:r>
                    <w:rPr>
                      <w:color w:val="000000" w:themeColor="text1"/>
                      <w:szCs w:val="21"/>
                    </w:rPr>
                    <w:t>达标</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根据以上监测结果可知，</w:t>
            </w:r>
            <w:r>
              <w:rPr>
                <w:rFonts w:hint="eastAsia" w:eastAsiaTheme="minorEastAsia"/>
                <w:color w:val="000000" w:themeColor="text1"/>
                <w:szCs w:val="24"/>
              </w:rPr>
              <w:t>金沙江上述监测数据</w:t>
            </w:r>
            <w:r>
              <w:rPr>
                <w:rFonts w:eastAsiaTheme="minorEastAsia"/>
                <w:color w:val="000000" w:themeColor="text1"/>
                <w:szCs w:val="24"/>
              </w:rPr>
              <w:t>水质可达到《地表水环境质量标准》（GB3838-2002）I</w:t>
            </w:r>
            <w:r>
              <w:rPr>
                <w:rFonts w:hint="eastAsia" w:eastAsiaTheme="minorEastAsia"/>
                <w:color w:val="000000" w:themeColor="text1"/>
                <w:szCs w:val="24"/>
              </w:rPr>
              <w:t>II</w:t>
            </w:r>
            <w:r>
              <w:rPr>
                <w:rFonts w:eastAsiaTheme="minorEastAsia"/>
                <w:color w:val="000000" w:themeColor="text1"/>
                <w:szCs w:val="24"/>
              </w:rPr>
              <w:t>类标准。</w:t>
            </w:r>
          </w:p>
          <w:p>
            <w:pPr>
              <w:pStyle w:val="40"/>
              <w:ind w:firstLine="482"/>
              <w:rPr>
                <w:rFonts w:eastAsiaTheme="minorEastAsia"/>
                <w:b/>
                <w:color w:val="000000" w:themeColor="text1"/>
                <w:szCs w:val="24"/>
              </w:rPr>
            </w:pPr>
            <w:r>
              <w:rPr>
                <w:rFonts w:eastAsiaTheme="minorEastAsia"/>
                <w:b/>
                <w:color w:val="000000" w:themeColor="text1"/>
                <w:szCs w:val="24"/>
              </w:rPr>
              <w:t>3.1.3 声环境质量现状</w:t>
            </w:r>
          </w:p>
          <w:p>
            <w:pPr>
              <w:pStyle w:val="40"/>
              <w:ind w:firstLine="480"/>
              <w:rPr>
                <w:rFonts w:eastAsiaTheme="minorEastAsia"/>
                <w:color w:val="000000" w:themeColor="text1"/>
                <w:szCs w:val="24"/>
              </w:rPr>
            </w:pPr>
            <w:r>
              <w:rPr>
                <w:rFonts w:eastAsiaTheme="minorEastAsia"/>
                <w:color w:val="000000" w:themeColor="text1"/>
                <w:szCs w:val="24"/>
              </w:rPr>
              <w:t>该项目位于昆明市东川区因民镇牛厂坪村，按照《声环境功能区划分技术规范》（GB/T15190-2014）的划分要求，项目区域为2类区。在项目区50m范围内无声环境保护目标；根据《建设项目环境影响报告表编制技术指南》（污染影响类）（试行）的要求，可不进行声环境质量现状调查。</w:t>
            </w:r>
          </w:p>
          <w:p>
            <w:pPr>
              <w:pStyle w:val="40"/>
              <w:ind w:firstLine="482"/>
              <w:rPr>
                <w:rFonts w:eastAsiaTheme="minorEastAsia"/>
                <w:b/>
                <w:color w:val="000000" w:themeColor="text1"/>
                <w:szCs w:val="24"/>
              </w:rPr>
            </w:pPr>
            <w:bookmarkStart w:id="2" w:name="_Toc248077256"/>
            <w:r>
              <w:rPr>
                <w:rFonts w:eastAsiaTheme="minorEastAsia"/>
                <w:b/>
                <w:color w:val="000000" w:themeColor="text1"/>
                <w:szCs w:val="24"/>
              </w:rPr>
              <w:t>3.1.4 生态环境质量现状</w:t>
            </w:r>
            <w:bookmarkEnd w:id="2"/>
          </w:p>
          <w:p>
            <w:pPr>
              <w:pStyle w:val="40"/>
              <w:ind w:firstLine="480"/>
              <w:rPr>
                <w:rFonts w:eastAsiaTheme="minorEastAsia"/>
                <w:color w:val="000000" w:themeColor="text1"/>
                <w:szCs w:val="24"/>
              </w:rPr>
            </w:pPr>
            <w:r>
              <w:rPr>
                <w:rFonts w:eastAsiaTheme="minorEastAsia"/>
                <w:color w:val="000000" w:themeColor="text1"/>
                <w:szCs w:val="24"/>
              </w:rPr>
              <w:t>该项目位于昆明市东川区因民镇牛厂坪村，该项目购买原昆明东川众誉矿业有限责任公司砂厂范围内建设，该区域不属于工业园区。根据现场调查，厂区范围主要为人工生态系统，随着原有厂区企业多年的生产经营，该区域的天然植被已较少，生物多样性较差，生态环境自身调控能力较低。评价范围内无国家级和省级保护物种分布，无珍稀濒危物种，无当地特有物种，无古树名木分布。</w:t>
            </w:r>
          </w:p>
          <w:p>
            <w:pPr>
              <w:pStyle w:val="40"/>
              <w:ind w:firstLine="482"/>
              <w:rPr>
                <w:rFonts w:eastAsiaTheme="minorEastAsia"/>
                <w:b/>
                <w:color w:val="000000" w:themeColor="text1"/>
                <w:szCs w:val="24"/>
              </w:rPr>
            </w:pPr>
            <w:r>
              <w:rPr>
                <w:rFonts w:eastAsiaTheme="minorEastAsia"/>
                <w:b/>
                <w:color w:val="000000" w:themeColor="text1"/>
                <w:szCs w:val="24"/>
              </w:rPr>
              <w:t>3.1.5 地下水、土壤环境</w:t>
            </w:r>
          </w:p>
          <w:p>
            <w:pPr>
              <w:pStyle w:val="40"/>
              <w:ind w:firstLine="480"/>
              <w:rPr>
                <w:rFonts w:eastAsiaTheme="minorEastAsia"/>
                <w:color w:val="000000" w:themeColor="text1"/>
                <w:szCs w:val="24"/>
              </w:rPr>
            </w:pPr>
            <w:r>
              <w:rPr>
                <w:rFonts w:eastAsiaTheme="minorEastAsia"/>
                <w:color w:val="000000" w:themeColor="text1"/>
                <w:szCs w:val="24"/>
              </w:rPr>
              <w:t>项目利用废石生产砂石骨料和水泥砖，属于C3039 其他建筑材料制造和C3021 水泥制品制造类项目。根据调查，项目周围50m范围内无农田等设施，因此基本上不存在土壤环境污染途径，且厂界外500m范围内不涉及集中式饮用水水源和热水、矿泉水、温泉等特殊地下水资源，项目不开展地下水和土壤环境质量现状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1" w:type="dxa"/>
            <w:vAlign w:val="center"/>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根据《建设项目环境影响报告表编制技术指南》（污染影响类）（试行）的要求，编制报告表的建设项目环境保护目标类别包括大气环境、声环境、地下水环境和生态环境。该项目设置的环境保护目标具体如下。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40"/>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40"/>
              <w:ind w:firstLine="480"/>
              <w:rPr>
                <w:rFonts w:eastAsiaTheme="minorEastAsia"/>
                <w:color w:val="000000" w:themeColor="text1"/>
                <w:szCs w:val="24"/>
              </w:rPr>
            </w:pPr>
            <w:r>
              <w:rPr>
                <w:rFonts w:eastAsiaTheme="minorEastAsia"/>
                <w:color w:val="000000" w:themeColor="text1"/>
                <w:szCs w:val="24"/>
              </w:rPr>
              <w:t>根据调查，该项目主要大气环境保护目标如下表所示。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表3.2.1-1 环境空气保护目标</w:t>
            </w:r>
          </w:p>
          <w:tbl>
            <w:tblPr>
              <w:tblStyle w:val="21"/>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4"/>
              <w:gridCol w:w="1473"/>
              <w:gridCol w:w="1341"/>
              <w:gridCol w:w="810"/>
              <w:gridCol w:w="896"/>
              <w:gridCol w:w="1418"/>
              <w:gridCol w:w="709"/>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34" w:type="dxa"/>
                  <w:vMerge w:val="restart"/>
                  <w:vAlign w:val="center"/>
                </w:tcPr>
                <w:p>
                  <w:pPr>
                    <w:pStyle w:val="32"/>
                    <w:spacing w:line="360" w:lineRule="exact"/>
                    <w:rPr>
                      <w:color w:val="000000" w:themeColor="text1"/>
                      <w:kern w:val="0"/>
                      <w:szCs w:val="21"/>
                    </w:rPr>
                  </w:pPr>
                  <w:r>
                    <w:rPr>
                      <w:color w:val="000000" w:themeColor="text1"/>
                      <w:kern w:val="0"/>
                      <w:szCs w:val="21"/>
                    </w:rPr>
                    <w:t>名称</w:t>
                  </w:r>
                </w:p>
              </w:tc>
              <w:tc>
                <w:tcPr>
                  <w:tcW w:w="2814" w:type="dxa"/>
                  <w:gridSpan w:val="2"/>
                  <w:vAlign w:val="center"/>
                </w:tcPr>
                <w:p>
                  <w:pPr>
                    <w:pStyle w:val="32"/>
                    <w:spacing w:line="360" w:lineRule="exact"/>
                    <w:rPr>
                      <w:color w:val="000000" w:themeColor="text1"/>
                      <w:kern w:val="0"/>
                      <w:szCs w:val="21"/>
                    </w:rPr>
                  </w:pPr>
                  <w:r>
                    <w:rPr>
                      <w:color w:val="000000" w:themeColor="text1"/>
                      <w:kern w:val="0"/>
                      <w:szCs w:val="21"/>
                    </w:rPr>
                    <w:t>坐标/m</w:t>
                  </w:r>
                </w:p>
              </w:tc>
              <w:tc>
                <w:tcPr>
                  <w:tcW w:w="810" w:type="dxa"/>
                  <w:vMerge w:val="restart"/>
                  <w:vAlign w:val="center"/>
                </w:tcPr>
                <w:p>
                  <w:pPr>
                    <w:pStyle w:val="32"/>
                    <w:spacing w:line="360" w:lineRule="exact"/>
                    <w:rPr>
                      <w:color w:val="000000" w:themeColor="text1"/>
                      <w:kern w:val="0"/>
                      <w:szCs w:val="21"/>
                    </w:rPr>
                  </w:pPr>
                  <w:r>
                    <w:rPr>
                      <w:color w:val="000000" w:themeColor="text1"/>
                      <w:kern w:val="0"/>
                      <w:szCs w:val="21"/>
                    </w:rPr>
                    <w:t>保护对象</w:t>
                  </w:r>
                </w:p>
              </w:tc>
              <w:tc>
                <w:tcPr>
                  <w:tcW w:w="896" w:type="dxa"/>
                  <w:vMerge w:val="restart"/>
                  <w:vAlign w:val="center"/>
                </w:tcPr>
                <w:p>
                  <w:pPr>
                    <w:pStyle w:val="32"/>
                    <w:spacing w:line="360" w:lineRule="exact"/>
                    <w:rPr>
                      <w:color w:val="000000" w:themeColor="text1"/>
                      <w:kern w:val="0"/>
                      <w:szCs w:val="21"/>
                    </w:rPr>
                  </w:pPr>
                  <w:r>
                    <w:rPr>
                      <w:color w:val="000000" w:themeColor="text1"/>
                      <w:kern w:val="0"/>
                      <w:szCs w:val="21"/>
                    </w:rPr>
                    <w:t>保护内容</w:t>
                  </w:r>
                </w:p>
              </w:tc>
              <w:tc>
                <w:tcPr>
                  <w:tcW w:w="1418" w:type="dxa"/>
                  <w:vMerge w:val="restart"/>
                  <w:vAlign w:val="center"/>
                </w:tcPr>
                <w:p>
                  <w:pPr>
                    <w:pStyle w:val="32"/>
                    <w:spacing w:line="360" w:lineRule="exact"/>
                    <w:rPr>
                      <w:color w:val="000000" w:themeColor="text1"/>
                      <w:kern w:val="0"/>
                      <w:szCs w:val="21"/>
                    </w:rPr>
                  </w:pPr>
                  <w:r>
                    <w:rPr>
                      <w:color w:val="000000" w:themeColor="text1"/>
                      <w:kern w:val="0"/>
                      <w:szCs w:val="21"/>
                    </w:rPr>
                    <w:t>保护级别</w:t>
                  </w:r>
                </w:p>
              </w:tc>
              <w:tc>
                <w:tcPr>
                  <w:tcW w:w="709" w:type="dxa"/>
                  <w:vMerge w:val="restart"/>
                  <w:vAlign w:val="center"/>
                </w:tcPr>
                <w:p>
                  <w:pPr>
                    <w:pStyle w:val="32"/>
                    <w:spacing w:line="360" w:lineRule="exact"/>
                    <w:rPr>
                      <w:color w:val="000000" w:themeColor="text1"/>
                      <w:kern w:val="0"/>
                      <w:szCs w:val="21"/>
                    </w:rPr>
                  </w:pPr>
                  <w:r>
                    <w:rPr>
                      <w:color w:val="000000" w:themeColor="text1"/>
                      <w:kern w:val="0"/>
                      <w:szCs w:val="21"/>
                    </w:rPr>
                    <w:t>相对厂址方位</w:t>
                  </w:r>
                </w:p>
              </w:tc>
              <w:tc>
                <w:tcPr>
                  <w:tcW w:w="924" w:type="dxa"/>
                  <w:vMerge w:val="restart"/>
                  <w:vAlign w:val="center"/>
                </w:tcPr>
                <w:p>
                  <w:pPr>
                    <w:pStyle w:val="32"/>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34" w:type="dxa"/>
                  <w:vMerge w:val="continue"/>
                  <w:vAlign w:val="center"/>
                </w:tcPr>
                <w:p>
                  <w:pPr>
                    <w:pStyle w:val="32"/>
                    <w:spacing w:line="360" w:lineRule="exact"/>
                    <w:rPr>
                      <w:color w:val="000000" w:themeColor="text1"/>
                      <w:kern w:val="0"/>
                      <w:szCs w:val="21"/>
                    </w:rPr>
                  </w:pPr>
                </w:p>
              </w:tc>
              <w:tc>
                <w:tcPr>
                  <w:tcW w:w="1473" w:type="dxa"/>
                  <w:vAlign w:val="center"/>
                </w:tcPr>
                <w:p>
                  <w:pPr>
                    <w:pStyle w:val="32"/>
                    <w:spacing w:line="360" w:lineRule="exact"/>
                    <w:rPr>
                      <w:color w:val="000000" w:themeColor="text1"/>
                      <w:kern w:val="0"/>
                      <w:szCs w:val="21"/>
                    </w:rPr>
                  </w:pPr>
                  <w:r>
                    <w:rPr>
                      <w:color w:val="000000" w:themeColor="text1"/>
                      <w:kern w:val="0"/>
                      <w:szCs w:val="21"/>
                    </w:rPr>
                    <w:t>经度</w:t>
                  </w:r>
                </w:p>
              </w:tc>
              <w:tc>
                <w:tcPr>
                  <w:tcW w:w="1341" w:type="dxa"/>
                  <w:vAlign w:val="center"/>
                </w:tcPr>
                <w:p>
                  <w:pPr>
                    <w:pStyle w:val="32"/>
                    <w:spacing w:line="360" w:lineRule="exact"/>
                    <w:rPr>
                      <w:color w:val="000000" w:themeColor="text1"/>
                      <w:kern w:val="0"/>
                      <w:szCs w:val="21"/>
                    </w:rPr>
                  </w:pPr>
                  <w:r>
                    <w:rPr>
                      <w:color w:val="000000" w:themeColor="text1"/>
                      <w:kern w:val="0"/>
                      <w:szCs w:val="21"/>
                    </w:rPr>
                    <w:t>纬度</w:t>
                  </w:r>
                </w:p>
              </w:tc>
              <w:tc>
                <w:tcPr>
                  <w:tcW w:w="810" w:type="dxa"/>
                  <w:vMerge w:val="continue"/>
                  <w:vAlign w:val="center"/>
                </w:tcPr>
                <w:p>
                  <w:pPr>
                    <w:pStyle w:val="32"/>
                    <w:spacing w:line="360" w:lineRule="exact"/>
                    <w:rPr>
                      <w:color w:val="000000" w:themeColor="text1"/>
                      <w:kern w:val="0"/>
                      <w:szCs w:val="21"/>
                    </w:rPr>
                  </w:pPr>
                </w:p>
              </w:tc>
              <w:tc>
                <w:tcPr>
                  <w:tcW w:w="896" w:type="dxa"/>
                  <w:vMerge w:val="continue"/>
                  <w:vAlign w:val="center"/>
                </w:tcPr>
                <w:p>
                  <w:pPr>
                    <w:pStyle w:val="32"/>
                    <w:spacing w:line="360" w:lineRule="exact"/>
                    <w:rPr>
                      <w:color w:val="000000" w:themeColor="text1"/>
                      <w:kern w:val="0"/>
                      <w:szCs w:val="21"/>
                    </w:rPr>
                  </w:pPr>
                </w:p>
              </w:tc>
              <w:tc>
                <w:tcPr>
                  <w:tcW w:w="1418" w:type="dxa"/>
                  <w:vMerge w:val="continue"/>
                  <w:vAlign w:val="center"/>
                </w:tcPr>
                <w:p>
                  <w:pPr>
                    <w:pStyle w:val="32"/>
                    <w:spacing w:line="360" w:lineRule="exact"/>
                    <w:rPr>
                      <w:color w:val="000000" w:themeColor="text1"/>
                      <w:kern w:val="0"/>
                      <w:szCs w:val="21"/>
                    </w:rPr>
                  </w:pPr>
                </w:p>
              </w:tc>
              <w:tc>
                <w:tcPr>
                  <w:tcW w:w="709" w:type="dxa"/>
                  <w:vMerge w:val="continue"/>
                  <w:vAlign w:val="center"/>
                </w:tcPr>
                <w:p>
                  <w:pPr>
                    <w:pStyle w:val="32"/>
                    <w:spacing w:line="360" w:lineRule="exact"/>
                    <w:rPr>
                      <w:color w:val="000000" w:themeColor="text1"/>
                      <w:kern w:val="0"/>
                      <w:szCs w:val="21"/>
                    </w:rPr>
                  </w:pPr>
                </w:p>
              </w:tc>
              <w:tc>
                <w:tcPr>
                  <w:tcW w:w="924" w:type="dxa"/>
                  <w:vMerge w:val="continue"/>
                  <w:vAlign w:val="center"/>
                </w:tcPr>
                <w:p>
                  <w:pPr>
                    <w:pStyle w:val="32"/>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34" w:type="dxa"/>
                  <w:vAlign w:val="center"/>
                </w:tcPr>
                <w:p>
                  <w:pPr>
                    <w:pStyle w:val="32"/>
                    <w:spacing w:line="360" w:lineRule="exact"/>
                    <w:rPr>
                      <w:color w:val="000000" w:themeColor="text1"/>
                      <w:kern w:val="0"/>
                      <w:szCs w:val="21"/>
                    </w:rPr>
                  </w:pPr>
                  <w:r>
                    <w:rPr>
                      <w:color w:val="000000" w:themeColor="text1"/>
                      <w:kern w:val="0"/>
                      <w:szCs w:val="21"/>
                    </w:rPr>
                    <w:t>窝子田</w:t>
                  </w:r>
                </w:p>
              </w:tc>
              <w:tc>
                <w:tcPr>
                  <w:tcW w:w="1473" w:type="dxa"/>
                  <w:vAlign w:val="center"/>
                </w:tcPr>
                <w:p>
                  <w:pPr>
                    <w:pStyle w:val="32"/>
                    <w:spacing w:line="360" w:lineRule="exact"/>
                    <w:rPr>
                      <w:color w:val="000000" w:themeColor="text1"/>
                      <w:kern w:val="0"/>
                      <w:szCs w:val="21"/>
                    </w:rPr>
                  </w:pPr>
                  <w:r>
                    <w:rPr>
                      <w:color w:val="000000" w:themeColor="text1"/>
                      <w:kern w:val="0"/>
                      <w:szCs w:val="21"/>
                    </w:rPr>
                    <w:t>102.931813°</w:t>
                  </w:r>
                </w:p>
              </w:tc>
              <w:tc>
                <w:tcPr>
                  <w:tcW w:w="1341" w:type="dxa"/>
                  <w:vAlign w:val="center"/>
                </w:tcPr>
                <w:p>
                  <w:pPr>
                    <w:pStyle w:val="32"/>
                    <w:spacing w:line="360" w:lineRule="exact"/>
                    <w:rPr>
                      <w:color w:val="000000" w:themeColor="text1"/>
                      <w:kern w:val="0"/>
                      <w:szCs w:val="21"/>
                    </w:rPr>
                  </w:pPr>
                  <w:r>
                    <w:rPr>
                      <w:color w:val="000000" w:themeColor="text1"/>
                      <w:kern w:val="0"/>
                      <w:szCs w:val="21"/>
                    </w:rPr>
                    <w:t>26.328507°</w:t>
                  </w:r>
                </w:p>
              </w:tc>
              <w:tc>
                <w:tcPr>
                  <w:tcW w:w="810" w:type="dxa"/>
                  <w:vAlign w:val="center"/>
                </w:tcPr>
                <w:p>
                  <w:pPr>
                    <w:pStyle w:val="32"/>
                    <w:spacing w:line="360" w:lineRule="exact"/>
                    <w:rPr>
                      <w:color w:val="000000" w:themeColor="text1"/>
                      <w:kern w:val="0"/>
                      <w:szCs w:val="21"/>
                    </w:rPr>
                  </w:pPr>
                  <w:r>
                    <w:rPr>
                      <w:color w:val="000000" w:themeColor="text1"/>
                      <w:kern w:val="0"/>
                      <w:szCs w:val="21"/>
                    </w:rPr>
                    <w:t>居住区</w:t>
                  </w:r>
                </w:p>
              </w:tc>
              <w:tc>
                <w:tcPr>
                  <w:tcW w:w="896" w:type="dxa"/>
                  <w:vAlign w:val="center"/>
                </w:tcPr>
                <w:p>
                  <w:pPr>
                    <w:pStyle w:val="32"/>
                    <w:spacing w:line="360" w:lineRule="exact"/>
                    <w:rPr>
                      <w:color w:val="000000" w:themeColor="text1"/>
                      <w:kern w:val="0"/>
                      <w:szCs w:val="21"/>
                    </w:rPr>
                  </w:pPr>
                  <w:r>
                    <w:rPr>
                      <w:color w:val="000000" w:themeColor="text1"/>
                      <w:kern w:val="0"/>
                      <w:szCs w:val="21"/>
                    </w:rPr>
                    <w:t>39户/172人</w:t>
                  </w:r>
                </w:p>
              </w:tc>
              <w:tc>
                <w:tcPr>
                  <w:tcW w:w="1418" w:type="dxa"/>
                  <w:vMerge w:val="restart"/>
                  <w:vAlign w:val="center"/>
                </w:tcPr>
                <w:p>
                  <w:pPr>
                    <w:pStyle w:val="32"/>
                    <w:spacing w:line="360" w:lineRule="exact"/>
                    <w:rPr>
                      <w:color w:val="000000" w:themeColor="text1"/>
                      <w:kern w:val="0"/>
                      <w:szCs w:val="21"/>
                    </w:rPr>
                  </w:pPr>
                  <w:r>
                    <w:rPr>
                      <w:color w:val="000000" w:themeColor="text1"/>
                      <w:kern w:val="0"/>
                      <w:szCs w:val="21"/>
                    </w:rPr>
                    <w:t>《环境空气质量标准》（GB3095- 2012）二级</w:t>
                  </w:r>
                </w:p>
              </w:tc>
              <w:tc>
                <w:tcPr>
                  <w:tcW w:w="709" w:type="dxa"/>
                  <w:vAlign w:val="center"/>
                </w:tcPr>
                <w:p>
                  <w:pPr>
                    <w:pStyle w:val="32"/>
                    <w:spacing w:line="360" w:lineRule="exact"/>
                    <w:rPr>
                      <w:color w:val="000000" w:themeColor="text1"/>
                      <w:kern w:val="0"/>
                      <w:szCs w:val="21"/>
                    </w:rPr>
                  </w:pPr>
                  <w:r>
                    <w:rPr>
                      <w:color w:val="000000" w:themeColor="text1"/>
                      <w:kern w:val="0"/>
                      <w:szCs w:val="21"/>
                    </w:rPr>
                    <w:t>西北侧</w:t>
                  </w:r>
                </w:p>
              </w:tc>
              <w:tc>
                <w:tcPr>
                  <w:tcW w:w="924" w:type="dxa"/>
                  <w:vAlign w:val="center"/>
                </w:tcPr>
                <w:p>
                  <w:pPr>
                    <w:pStyle w:val="32"/>
                    <w:spacing w:line="360" w:lineRule="exact"/>
                    <w:rPr>
                      <w:color w:val="000000" w:themeColor="text1"/>
                      <w:kern w:val="0"/>
                      <w:szCs w:val="21"/>
                    </w:rPr>
                  </w:pPr>
                  <w:r>
                    <w:rPr>
                      <w:color w:val="000000" w:themeColor="text1"/>
                      <w:kern w:val="0"/>
                      <w:szCs w:val="21"/>
                    </w:rPr>
                    <w:t>361m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34" w:type="dxa"/>
                  <w:vAlign w:val="center"/>
                </w:tcPr>
                <w:p>
                  <w:pPr>
                    <w:pStyle w:val="32"/>
                    <w:spacing w:line="360" w:lineRule="exact"/>
                    <w:rPr>
                      <w:color w:val="000000" w:themeColor="text1"/>
                      <w:kern w:val="0"/>
                      <w:szCs w:val="21"/>
                    </w:rPr>
                  </w:pPr>
                  <w:r>
                    <w:rPr>
                      <w:rFonts w:hint="eastAsia"/>
                      <w:color w:val="000000" w:themeColor="text1"/>
                      <w:kern w:val="0"/>
                      <w:szCs w:val="21"/>
                    </w:rPr>
                    <w:t>福圣寺</w:t>
                  </w:r>
                </w:p>
              </w:tc>
              <w:tc>
                <w:tcPr>
                  <w:tcW w:w="1473" w:type="dxa"/>
                  <w:vAlign w:val="center"/>
                </w:tcPr>
                <w:p>
                  <w:pPr>
                    <w:pStyle w:val="32"/>
                    <w:spacing w:line="360" w:lineRule="exact"/>
                    <w:rPr>
                      <w:color w:val="000000" w:themeColor="text1"/>
                      <w:kern w:val="0"/>
                      <w:szCs w:val="21"/>
                    </w:rPr>
                  </w:pPr>
                  <w:r>
                    <w:rPr>
                      <w:color w:val="000000" w:themeColor="text1"/>
                      <w:kern w:val="0"/>
                      <w:szCs w:val="21"/>
                    </w:rPr>
                    <w:t>102.936485°</w:t>
                  </w:r>
                </w:p>
              </w:tc>
              <w:tc>
                <w:tcPr>
                  <w:tcW w:w="1341" w:type="dxa"/>
                  <w:vAlign w:val="center"/>
                </w:tcPr>
                <w:p>
                  <w:pPr>
                    <w:pStyle w:val="32"/>
                    <w:spacing w:line="360" w:lineRule="exact"/>
                    <w:rPr>
                      <w:color w:val="000000" w:themeColor="text1"/>
                      <w:kern w:val="0"/>
                      <w:szCs w:val="21"/>
                    </w:rPr>
                  </w:pPr>
                  <w:r>
                    <w:rPr>
                      <w:color w:val="000000" w:themeColor="text1"/>
                      <w:kern w:val="0"/>
                      <w:szCs w:val="21"/>
                    </w:rPr>
                    <w:t>26.325224°</w:t>
                  </w:r>
                </w:p>
              </w:tc>
              <w:tc>
                <w:tcPr>
                  <w:tcW w:w="810" w:type="dxa"/>
                  <w:vAlign w:val="center"/>
                </w:tcPr>
                <w:p>
                  <w:pPr>
                    <w:pStyle w:val="32"/>
                    <w:spacing w:line="360" w:lineRule="exact"/>
                    <w:rPr>
                      <w:color w:val="000000" w:themeColor="text1"/>
                      <w:kern w:val="0"/>
                      <w:szCs w:val="21"/>
                    </w:rPr>
                  </w:pPr>
                  <w:r>
                    <w:rPr>
                      <w:color w:val="000000" w:themeColor="text1"/>
                      <w:kern w:val="0"/>
                      <w:szCs w:val="21"/>
                    </w:rPr>
                    <w:t>文化区</w:t>
                  </w:r>
                </w:p>
              </w:tc>
              <w:tc>
                <w:tcPr>
                  <w:tcW w:w="896" w:type="dxa"/>
                  <w:vAlign w:val="center"/>
                </w:tcPr>
                <w:p>
                  <w:pPr>
                    <w:pStyle w:val="32"/>
                    <w:spacing w:line="360" w:lineRule="exact"/>
                    <w:rPr>
                      <w:color w:val="000000" w:themeColor="text1"/>
                      <w:kern w:val="0"/>
                      <w:szCs w:val="21"/>
                    </w:rPr>
                  </w:pPr>
                  <w:r>
                    <w:rPr>
                      <w:rFonts w:hint="eastAsia"/>
                      <w:color w:val="000000" w:themeColor="text1"/>
                      <w:kern w:val="0"/>
                      <w:szCs w:val="21"/>
                    </w:rPr>
                    <w:t>2人</w:t>
                  </w:r>
                </w:p>
              </w:tc>
              <w:tc>
                <w:tcPr>
                  <w:tcW w:w="1418" w:type="dxa"/>
                  <w:vMerge w:val="continue"/>
                  <w:vAlign w:val="center"/>
                </w:tcPr>
                <w:p>
                  <w:pPr>
                    <w:pStyle w:val="32"/>
                    <w:spacing w:line="360" w:lineRule="exact"/>
                    <w:rPr>
                      <w:color w:val="000000" w:themeColor="text1"/>
                      <w:kern w:val="0"/>
                      <w:szCs w:val="21"/>
                    </w:rPr>
                  </w:pPr>
                </w:p>
              </w:tc>
              <w:tc>
                <w:tcPr>
                  <w:tcW w:w="709" w:type="dxa"/>
                  <w:vAlign w:val="center"/>
                </w:tcPr>
                <w:p>
                  <w:pPr>
                    <w:pStyle w:val="32"/>
                    <w:spacing w:line="360" w:lineRule="exact"/>
                    <w:rPr>
                      <w:color w:val="000000" w:themeColor="text1"/>
                      <w:kern w:val="0"/>
                      <w:szCs w:val="21"/>
                    </w:rPr>
                  </w:pPr>
                  <w:r>
                    <w:rPr>
                      <w:rFonts w:hint="eastAsia"/>
                      <w:color w:val="000000" w:themeColor="text1"/>
                      <w:kern w:val="0"/>
                      <w:szCs w:val="21"/>
                    </w:rPr>
                    <w:t>西侧</w:t>
                  </w:r>
                </w:p>
              </w:tc>
              <w:tc>
                <w:tcPr>
                  <w:tcW w:w="924" w:type="dxa"/>
                  <w:vAlign w:val="center"/>
                </w:tcPr>
                <w:p>
                  <w:pPr>
                    <w:pStyle w:val="32"/>
                    <w:spacing w:line="360" w:lineRule="exact"/>
                    <w:rPr>
                      <w:color w:val="000000" w:themeColor="text1"/>
                      <w:kern w:val="0"/>
                      <w:szCs w:val="21"/>
                    </w:rPr>
                  </w:pPr>
                  <w:r>
                    <w:rPr>
                      <w:rFonts w:hint="eastAsia"/>
                      <w:color w:val="000000" w:themeColor="text1"/>
                      <w:kern w:val="0"/>
                      <w:szCs w:val="21"/>
                    </w:rPr>
                    <w:t>3m</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由根据调查发现，项目区域属于大水沟的汇水范围，因此拟将大水沟列入该项目水环境保护目标。</w:t>
            </w:r>
          </w:p>
          <w:p>
            <w:pPr>
              <w:pStyle w:val="40"/>
              <w:ind w:firstLine="480"/>
              <w:rPr>
                <w:rFonts w:eastAsiaTheme="minorEastAsia"/>
                <w:color w:val="000000" w:themeColor="text1"/>
                <w:szCs w:val="24"/>
              </w:rPr>
            </w:pPr>
            <w:r>
              <w:rPr>
                <w:rFonts w:eastAsiaTheme="minorEastAsia"/>
                <w:color w:val="000000" w:themeColor="text1"/>
                <w:szCs w:val="24"/>
              </w:rPr>
              <w:t>根据调查，该项目主要地表水环境保护目标如下表所示。</w:t>
            </w:r>
          </w:p>
          <w:p>
            <w:pPr>
              <w:pStyle w:val="40"/>
              <w:ind w:firstLine="480"/>
              <w:rPr>
                <w:rFonts w:eastAsiaTheme="minorEastAsia"/>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表3.2.2-1  地表水环境保护目标及保护级别一览表</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60"/>
              <w:gridCol w:w="2153"/>
              <w:gridCol w:w="1748"/>
              <w:gridCol w:w="949"/>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类别</w:t>
                  </w:r>
                </w:p>
              </w:tc>
              <w:tc>
                <w:tcPr>
                  <w:tcW w:w="96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保护目标</w:t>
                  </w:r>
                </w:p>
              </w:tc>
              <w:tc>
                <w:tcPr>
                  <w:tcW w:w="2153"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坐标</w:t>
                  </w:r>
                </w:p>
              </w:tc>
              <w:tc>
                <w:tcPr>
                  <w:tcW w:w="1748"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与项目区的方位及距离</w:t>
                  </w:r>
                </w:p>
              </w:tc>
              <w:tc>
                <w:tcPr>
                  <w:tcW w:w="94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高差</w:t>
                  </w:r>
                </w:p>
              </w:tc>
              <w:tc>
                <w:tcPr>
                  <w:tcW w:w="1913"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882" w:type="dxa"/>
                  <w:vMerge w:val="restart"/>
                  <w:tcBorders>
                    <w:top w:val="single" w:color="auto" w:sz="4" w:space="0"/>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地表水</w:t>
                  </w:r>
                </w:p>
              </w:tc>
              <w:tc>
                <w:tcPr>
                  <w:tcW w:w="96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eastAsiaTheme="minorEastAsia"/>
                      <w:color w:val="000000" w:themeColor="text1"/>
                      <w:szCs w:val="24"/>
                    </w:rPr>
                    <w:t>大水沟</w:t>
                  </w:r>
                </w:p>
              </w:tc>
              <w:tc>
                <w:tcPr>
                  <w:tcW w:w="2153" w:type="dxa"/>
                  <w:vMerge w:val="restart"/>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起点：东经102.938511°，北纬26.322484°；</w:t>
                  </w:r>
                </w:p>
                <w:p>
                  <w:pPr>
                    <w:pStyle w:val="32"/>
                    <w:spacing w:line="360" w:lineRule="exact"/>
                    <w:ind w:firstLine="210" w:firstLineChars="100"/>
                    <w:jc w:val="left"/>
                    <w:rPr>
                      <w:color w:val="000000" w:themeColor="text1"/>
                      <w:szCs w:val="21"/>
                    </w:rPr>
                  </w:pPr>
                  <w:r>
                    <w:rPr>
                      <w:color w:val="000000" w:themeColor="text1"/>
                      <w:szCs w:val="21"/>
                    </w:rPr>
                    <w:t>终点：东经102.931655°，北纬26.338480°；</w:t>
                  </w:r>
                </w:p>
              </w:tc>
              <w:tc>
                <w:tcPr>
                  <w:tcW w:w="1748"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4"/>
                    </w:rPr>
                    <w:t>东侧</w:t>
                  </w:r>
                  <w:r>
                    <w:rPr>
                      <w:color w:val="000000" w:themeColor="text1"/>
                      <w:kern w:val="2"/>
                      <w:szCs w:val="24"/>
                    </w:rPr>
                    <w:t>2m</w:t>
                  </w:r>
                </w:p>
              </w:tc>
              <w:tc>
                <w:tcPr>
                  <w:tcW w:w="94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3m</w:t>
                  </w:r>
                </w:p>
              </w:tc>
              <w:tc>
                <w:tcPr>
                  <w:tcW w:w="1913" w:type="dxa"/>
                  <w:vMerge w:val="restart"/>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《地表水环境质量标准》（GB3838-2002）III类标准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882" w:type="dxa"/>
                  <w:vMerge w:val="continue"/>
                  <w:tcBorders>
                    <w:left w:val="single" w:color="auto" w:sz="4" w:space="0"/>
                    <w:right w:val="single" w:color="auto" w:sz="4" w:space="0"/>
                  </w:tcBorders>
                  <w:vAlign w:val="center"/>
                </w:tcPr>
                <w:p>
                  <w:pPr>
                    <w:pStyle w:val="32"/>
                    <w:spacing w:line="360" w:lineRule="exact"/>
                    <w:rPr>
                      <w:color w:val="000000" w:themeColor="text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rFonts w:eastAsiaTheme="minorEastAsia"/>
                      <w:color w:val="000000" w:themeColor="text1"/>
                      <w:szCs w:val="24"/>
                    </w:rPr>
                  </w:pPr>
                  <w:r>
                    <w:rPr>
                      <w:rFonts w:hint="eastAsia" w:eastAsiaTheme="minorEastAsia"/>
                      <w:color w:val="000000" w:themeColor="text1"/>
                      <w:szCs w:val="24"/>
                    </w:rPr>
                    <w:t>金沙江</w:t>
                  </w:r>
                </w:p>
              </w:tc>
              <w:tc>
                <w:tcPr>
                  <w:tcW w:w="2153" w:type="dxa"/>
                  <w:vMerge w:val="continue"/>
                  <w:tcBorders>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4"/>
                    </w:rPr>
                  </w:pPr>
                  <w:r>
                    <w:rPr>
                      <w:rFonts w:hint="eastAsia"/>
                      <w:color w:val="000000" w:themeColor="text1"/>
                      <w:szCs w:val="24"/>
                    </w:rPr>
                    <w:t>北侧1526m</w:t>
                  </w:r>
                </w:p>
              </w:tc>
              <w:tc>
                <w:tcPr>
                  <w:tcW w:w="94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225m</w:t>
                  </w:r>
                </w:p>
              </w:tc>
              <w:tc>
                <w:tcPr>
                  <w:tcW w:w="1913" w:type="dxa"/>
                  <w:vMerge w:val="continue"/>
                  <w:tcBorders>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该项目位于昆明市东川区因民镇牛厂坪村，该项目选址不涉及到地下水集中式饮用水水源和热水、矿泉水、温泉等特殊地下水资源。</w:t>
            </w:r>
          </w:p>
          <w:p>
            <w:pPr>
              <w:pStyle w:val="40"/>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根据《建设项目环境影响报告表编制技术指南》（污染影响类）（试行）的要求，该项目声环境评价范围为50m，根据现场调查，该项目50m范围内无声环境保护目标。</w:t>
            </w:r>
          </w:p>
          <w:p>
            <w:pPr>
              <w:pStyle w:val="40"/>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该项目位于昆明市东川区因民镇牛厂坪村，该项目购买原昆明东川众誉矿业有限责任公司砂厂范围内建设，该区域不属于工业园区。本环评拟定生态环境评价范围为200m，该项目的主要生态环境保护目标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表3.2.5-1  生态环境保护目标一览表</w:t>
            </w:r>
          </w:p>
          <w:tbl>
            <w:tblPr>
              <w:tblStyle w:val="21"/>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8"/>
              <w:gridCol w:w="2310"/>
              <w:gridCol w:w="2368"/>
              <w:gridCol w:w="29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18" w:type="dxa"/>
                  <w:vAlign w:val="center"/>
                </w:tcPr>
                <w:p>
                  <w:pPr>
                    <w:pStyle w:val="32"/>
                    <w:spacing w:line="360" w:lineRule="exact"/>
                    <w:rPr>
                      <w:color w:val="000000" w:themeColor="text1"/>
                      <w:szCs w:val="21"/>
                    </w:rPr>
                  </w:pPr>
                  <w:r>
                    <w:rPr>
                      <w:color w:val="000000" w:themeColor="text1"/>
                      <w:szCs w:val="21"/>
                    </w:rPr>
                    <w:t>类别</w:t>
                  </w:r>
                </w:p>
              </w:tc>
              <w:tc>
                <w:tcPr>
                  <w:tcW w:w="2310" w:type="dxa"/>
                  <w:vAlign w:val="center"/>
                </w:tcPr>
                <w:p>
                  <w:pPr>
                    <w:pStyle w:val="32"/>
                    <w:spacing w:line="360" w:lineRule="exact"/>
                    <w:rPr>
                      <w:color w:val="000000" w:themeColor="text1"/>
                      <w:szCs w:val="21"/>
                    </w:rPr>
                  </w:pPr>
                  <w:r>
                    <w:rPr>
                      <w:color w:val="000000" w:themeColor="text1"/>
                      <w:szCs w:val="21"/>
                    </w:rPr>
                    <w:t>与项目区的方位及距离</w:t>
                  </w:r>
                </w:p>
              </w:tc>
              <w:tc>
                <w:tcPr>
                  <w:tcW w:w="2368" w:type="dxa"/>
                  <w:vAlign w:val="center"/>
                </w:tcPr>
                <w:p>
                  <w:pPr>
                    <w:pStyle w:val="32"/>
                    <w:spacing w:line="360" w:lineRule="exact"/>
                    <w:rPr>
                      <w:color w:val="000000" w:themeColor="text1"/>
                      <w:szCs w:val="21"/>
                    </w:rPr>
                  </w:pPr>
                  <w:r>
                    <w:rPr>
                      <w:color w:val="000000" w:themeColor="text1"/>
                      <w:szCs w:val="21"/>
                    </w:rPr>
                    <w:t>生态保护目标</w:t>
                  </w:r>
                </w:p>
              </w:tc>
              <w:tc>
                <w:tcPr>
                  <w:tcW w:w="2909" w:type="dxa"/>
                  <w:vAlign w:val="center"/>
                </w:tcPr>
                <w:p>
                  <w:pPr>
                    <w:pStyle w:val="32"/>
                    <w:spacing w:line="360" w:lineRule="exact"/>
                    <w:rPr>
                      <w:color w:val="000000" w:themeColor="text1"/>
                      <w:szCs w:val="21"/>
                    </w:rPr>
                  </w:pPr>
                  <w:r>
                    <w:rPr>
                      <w:color w:val="000000" w:themeColor="text1"/>
                      <w:szCs w:val="21"/>
                    </w:rPr>
                    <w:t>保护级别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18" w:type="dxa"/>
                  <w:vAlign w:val="center"/>
                </w:tcPr>
                <w:p>
                  <w:pPr>
                    <w:pStyle w:val="32"/>
                    <w:spacing w:line="360" w:lineRule="exact"/>
                    <w:rPr>
                      <w:color w:val="000000" w:themeColor="text1"/>
                      <w:szCs w:val="21"/>
                    </w:rPr>
                  </w:pPr>
                  <w:r>
                    <w:rPr>
                      <w:color w:val="000000" w:themeColor="text1"/>
                      <w:szCs w:val="21"/>
                    </w:rPr>
                    <w:t>生态环境</w:t>
                  </w:r>
                </w:p>
              </w:tc>
              <w:tc>
                <w:tcPr>
                  <w:tcW w:w="2310" w:type="dxa"/>
                  <w:vAlign w:val="center"/>
                </w:tcPr>
                <w:p>
                  <w:pPr>
                    <w:pStyle w:val="32"/>
                    <w:spacing w:line="360" w:lineRule="exact"/>
                    <w:rPr>
                      <w:color w:val="000000" w:themeColor="text1"/>
                      <w:szCs w:val="21"/>
                    </w:rPr>
                  </w:pPr>
                  <w:r>
                    <w:rPr>
                      <w:color w:val="000000" w:themeColor="text1"/>
                      <w:szCs w:val="21"/>
                    </w:rPr>
                    <w:t>项目区边界200m范围</w:t>
                  </w:r>
                </w:p>
              </w:tc>
              <w:tc>
                <w:tcPr>
                  <w:tcW w:w="2368" w:type="dxa"/>
                  <w:vAlign w:val="center"/>
                </w:tcPr>
                <w:p>
                  <w:pPr>
                    <w:pStyle w:val="32"/>
                    <w:spacing w:line="360" w:lineRule="exact"/>
                    <w:rPr>
                      <w:color w:val="000000" w:themeColor="text1"/>
                      <w:szCs w:val="21"/>
                    </w:rPr>
                  </w:pPr>
                  <w:r>
                    <w:rPr>
                      <w:color w:val="000000" w:themeColor="text1"/>
                      <w:szCs w:val="21"/>
                    </w:rPr>
                    <w:t>土地利用、植被、动植物</w:t>
                  </w:r>
                </w:p>
              </w:tc>
              <w:tc>
                <w:tcPr>
                  <w:tcW w:w="2909" w:type="dxa"/>
                  <w:vAlign w:val="center"/>
                </w:tcPr>
                <w:p>
                  <w:pPr>
                    <w:pStyle w:val="32"/>
                    <w:spacing w:line="360" w:lineRule="exact"/>
                    <w:ind w:firstLine="210" w:firstLineChars="100"/>
                    <w:jc w:val="left"/>
                    <w:rPr>
                      <w:color w:val="000000" w:themeColor="text1"/>
                      <w:szCs w:val="21"/>
                    </w:rPr>
                  </w:pPr>
                  <w:r>
                    <w:rPr>
                      <w:color w:val="000000" w:themeColor="text1"/>
                      <w:szCs w:val="21"/>
                    </w:rPr>
                    <w:t>不得随意破坏、降低当地生态环境质量，使水土流失在可以接受的范围内</w:t>
                  </w:r>
                </w:p>
              </w:tc>
            </w:tr>
          </w:tbl>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污染物排放控制标准</w:t>
            </w:r>
          </w:p>
          <w:p>
            <w:pPr>
              <w:pStyle w:val="40"/>
              <w:ind w:firstLine="482"/>
              <w:rPr>
                <w:rFonts w:eastAsiaTheme="minorEastAsia"/>
                <w:b/>
                <w:color w:val="000000" w:themeColor="text1"/>
                <w:szCs w:val="24"/>
              </w:rPr>
            </w:pPr>
            <w:r>
              <w:rPr>
                <w:rFonts w:eastAsiaTheme="minorEastAsia"/>
                <w:b/>
                <w:color w:val="000000" w:themeColor="text1"/>
                <w:szCs w:val="24"/>
              </w:rPr>
              <w:t>3.3.1 废气排放标准</w:t>
            </w:r>
          </w:p>
          <w:p>
            <w:pPr>
              <w:pStyle w:val="40"/>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施工期大气污染物排放执行《大气污染物综合排放标准》（GB16297-1996）表2中无组织排放浓度排放限值。标准值如下表所示。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20"/>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401"/>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74" w:type="dxa"/>
                </w:tcPr>
                <w:p>
                  <w:pPr>
                    <w:pStyle w:val="32"/>
                    <w:spacing w:line="360" w:lineRule="exact"/>
                    <w:rPr>
                      <w:color w:val="000000" w:themeColor="text1"/>
                      <w:szCs w:val="21"/>
                    </w:rPr>
                  </w:pPr>
                  <w:r>
                    <w:rPr>
                      <w:color w:val="000000" w:themeColor="text1"/>
                      <w:szCs w:val="21"/>
                    </w:rPr>
                    <w:t>污染物</w:t>
                  </w:r>
                </w:p>
              </w:tc>
              <w:tc>
                <w:tcPr>
                  <w:tcW w:w="3401" w:type="dxa"/>
                </w:tcPr>
                <w:p>
                  <w:pPr>
                    <w:pStyle w:val="32"/>
                    <w:spacing w:line="360" w:lineRule="exact"/>
                    <w:rPr>
                      <w:color w:val="000000" w:themeColor="text1"/>
                      <w:szCs w:val="21"/>
                    </w:rPr>
                  </w:pPr>
                  <w:r>
                    <w:rPr>
                      <w:color w:val="000000" w:themeColor="text1"/>
                      <w:szCs w:val="21"/>
                    </w:rPr>
                    <w:t>最高允许排放浓度</w:t>
                  </w:r>
                </w:p>
              </w:tc>
              <w:tc>
                <w:tcPr>
                  <w:tcW w:w="3130" w:type="dxa"/>
                </w:tcPr>
                <w:p>
                  <w:pPr>
                    <w:pStyle w:val="32"/>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pStyle w:val="32"/>
                    <w:spacing w:line="360" w:lineRule="exact"/>
                    <w:rPr>
                      <w:color w:val="000000" w:themeColor="text1"/>
                      <w:szCs w:val="21"/>
                    </w:rPr>
                  </w:pPr>
                  <w:r>
                    <w:rPr>
                      <w:color w:val="000000" w:themeColor="text1"/>
                      <w:szCs w:val="21"/>
                    </w:rPr>
                    <w:t>颗粒物</w:t>
                  </w:r>
                </w:p>
              </w:tc>
              <w:tc>
                <w:tcPr>
                  <w:tcW w:w="3401" w:type="dxa"/>
                </w:tcPr>
                <w:p>
                  <w:pPr>
                    <w:pStyle w:val="32"/>
                    <w:spacing w:line="360" w:lineRule="exact"/>
                    <w:rPr>
                      <w:color w:val="000000" w:themeColor="text1"/>
                      <w:szCs w:val="21"/>
                    </w:rPr>
                  </w:pPr>
                  <w:r>
                    <w:rPr>
                      <w:color w:val="000000" w:themeColor="text1"/>
                      <w:szCs w:val="21"/>
                    </w:rPr>
                    <w:t>--</w:t>
                  </w:r>
                </w:p>
              </w:tc>
              <w:tc>
                <w:tcPr>
                  <w:tcW w:w="3130" w:type="dxa"/>
                </w:tcPr>
                <w:p>
                  <w:pPr>
                    <w:pStyle w:val="32"/>
                    <w:spacing w:line="360" w:lineRule="exact"/>
                    <w:rPr>
                      <w:color w:val="000000" w:themeColor="text1"/>
                      <w:szCs w:val="21"/>
                    </w:rPr>
                  </w:pPr>
                  <w:r>
                    <w:rPr>
                      <w:color w:val="000000" w:themeColor="text1"/>
                      <w:szCs w:val="21"/>
                    </w:rPr>
                    <w:t>1.0</w:t>
                  </w:r>
                </w:p>
              </w:tc>
            </w:tr>
          </w:tbl>
          <w:p>
            <w:pPr>
              <w:pStyle w:val="40"/>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根据设计，本项目生产线包括砂石骨料生产线和水泥砖生产线，其中砂石骨料生产线产生的粉尘为无组织排放，而水泥砖生产线产生的粉尘含有组织排放和无组织排放。又</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砂石骨料属于C3039 其他建筑材料制造项目，无行业标准，</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水泥砖属于C3021 水泥制品制造，</w:t>
            </w:r>
            <w:r>
              <w:rPr>
                <w:rFonts w:hint="eastAsia" w:ascii="Times New Roman" w:hAnsi="Times New Roman" w:cs="Times New Roman"/>
                <w:color w:val="000000" w:themeColor="text1"/>
                <w:sz w:val="24"/>
                <w:szCs w:val="24"/>
              </w:rPr>
              <w:t>有行业标准。具体执行标准如下：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①一期工程运行期间执行标准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执行《大气污染物综合排放标准》（GB16297-1996）无组织排放标准，标准值如下表所示。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.1-</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《大气污染物综合排放标准》无组织排放限值 单位mg/Nm³</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350"/>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9" w:type="dxa"/>
                  <w:vAlign w:val="center"/>
                </w:tcPr>
                <w:p>
                  <w:pPr>
                    <w:pStyle w:val="32"/>
                    <w:spacing w:line="360" w:lineRule="exact"/>
                    <w:rPr>
                      <w:color w:val="000000" w:themeColor="text1"/>
                      <w:szCs w:val="21"/>
                    </w:rPr>
                  </w:pPr>
                  <w:r>
                    <w:rPr>
                      <w:color w:val="000000" w:themeColor="text1"/>
                      <w:szCs w:val="21"/>
                    </w:rPr>
                    <w:t>项目</w:t>
                  </w:r>
                </w:p>
              </w:tc>
              <w:tc>
                <w:tcPr>
                  <w:tcW w:w="2350" w:type="dxa"/>
                  <w:vAlign w:val="center"/>
                </w:tcPr>
                <w:p>
                  <w:pPr>
                    <w:pStyle w:val="32"/>
                    <w:spacing w:line="360" w:lineRule="exact"/>
                    <w:rPr>
                      <w:color w:val="000000" w:themeColor="text1"/>
                      <w:szCs w:val="21"/>
                    </w:rPr>
                  </w:pPr>
                  <w:r>
                    <w:rPr>
                      <w:color w:val="000000" w:themeColor="text1"/>
                      <w:szCs w:val="21"/>
                    </w:rPr>
                    <w:t>最高允许排放浓度限值</w:t>
                  </w:r>
                </w:p>
              </w:tc>
              <w:tc>
                <w:tcPr>
                  <w:tcW w:w="4116" w:type="dxa"/>
                  <w:vAlign w:val="center"/>
                </w:tcPr>
                <w:p>
                  <w:pPr>
                    <w:pStyle w:val="32"/>
                    <w:spacing w:line="360" w:lineRule="exact"/>
                    <w:rPr>
                      <w:color w:val="000000" w:themeColor="text1"/>
                      <w:szCs w:val="21"/>
                    </w:rPr>
                  </w:pPr>
                  <w:r>
                    <w:rPr>
                      <w:color w:val="000000" w:themeColor="text1"/>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9" w:type="dxa"/>
                  <w:vAlign w:val="center"/>
                </w:tcPr>
                <w:p>
                  <w:pPr>
                    <w:pStyle w:val="32"/>
                    <w:spacing w:line="360" w:lineRule="exact"/>
                    <w:rPr>
                      <w:color w:val="000000" w:themeColor="text1"/>
                      <w:szCs w:val="21"/>
                    </w:rPr>
                  </w:pPr>
                  <w:r>
                    <w:rPr>
                      <w:color w:val="000000" w:themeColor="text1"/>
                      <w:szCs w:val="21"/>
                    </w:rPr>
                    <w:t>颗粒物</w:t>
                  </w:r>
                </w:p>
              </w:tc>
              <w:tc>
                <w:tcPr>
                  <w:tcW w:w="2350" w:type="dxa"/>
                  <w:vAlign w:val="center"/>
                </w:tcPr>
                <w:p>
                  <w:pPr>
                    <w:pStyle w:val="32"/>
                    <w:spacing w:line="360" w:lineRule="exact"/>
                    <w:rPr>
                      <w:color w:val="000000" w:themeColor="text1"/>
                      <w:szCs w:val="21"/>
                    </w:rPr>
                  </w:pPr>
                  <w:r>
                    <w:rPr>
                      <w:color w:val="000000" w:themeColor="text1"/>
                      <w:szCs w:val="21"/>
                    </w:rPr>
                    <w:t>≤1.0</w:t>
                  </w:r>
                </w:p>
              </w:tc>
              <w:tc>
                <w:tcPr>
                  <w:tcW w:w="4116" w:type="dxa"/>
                  <w:vAlign w:val="center"/>
                </w:tcPr>
                <w:p>
                  <w:pPr>
                    <w:pStyle w:val="32"/>
                    <w:spacing w:line="360" w:lineRule="exact"/>
                    <w:rPr>
                      <w:color w:val="000000" w:themeColor="text1"/>
                      <w:szCs w:val="21"/>
                    </w:rPr>
                  </w:pPr>
                  <w:r>
                    <w:rPr>
                      <w:color w:val="000000" w:themeColor="text1"/>
                      <w:szCs w:val="21"/>
                    </w:rPr>
                    <w:t>周外界浓度</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②二期工程运行及其执行标准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由于一期工程</w:t>
            </w:r>
            <w:r>
              <w:rPr>
                <w:rFonts w:ascii="Times New Roman" w:hAnsi="Times New Roman" w:cs="Times New Roman"/>
                <w:color w:val="000000" w:themeColor="text1"/>
                <w:sz w:val="24"/>
                <w:szCs w:val="24"/>
              </w:rPr>
              <w:t>砂石骨料生产线产生的粉尘为无组织排放，而</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水泥砖生产线产生的粉尘含有组织排放和无组织排放</w:t>
            </w:r>
            <w:r>
              <w:rPr>
                <w:rFonts w:hint="eastAsia" w:ascii="Times New Roman" w:hAnsi="Times New Roman" w:cs="Times New Roman"/>
                <w:color w:val="000000" w:themeColor="text1"/>
                <w:sz w:val="24"/>
                <w:szCs w:val="24"/>
              </w:rPr>
              <w:t>，因此二期工程运行期间，全厂执行</w:t>
            </w:r>
            <w:r>
              <w:rPr>
                <w:rFonts w:ascii="Times New Roman" w:hAnsi="Times New Roman" w:cs="Times New Roman"/>
                <w:color w:val="000000" w:themeColor="text1"/>
                <w:sz w:val="24"/>
                <w:szCs w:val="24"/>
              </w:rPr>
              <w:t>《水泥工业大气污染物排放标准》（GB4915-2013）表1和表3 标准限值，标准值具体如下。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《水泥工业大气污染物排放标准》表1排放限值 单位mg/m³</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67"/>
              <w:gridCol w:w="3058"/>
              <w:gridCol w:w="19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56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生产过程</w:t>
                  </w:r>
                </w:p>
              </w:tc>
              <w:tc>
                <w:tcPr>
                  <w:tcW w:w="3058" w:type="dxa"/>
                  <w:vAlign w:val="center"/>
                </w:tcPr>
                <w:p>
                  <w:pPr>
                    <w:pStyle w:val="32"/>
                    <w:spacing w:line="360" w:lineRule="exact"/>
                    <w:rPr>
                      <w:color w:val="000000" w:themeColor="text1"/>
                      <w:szCs w:val="21"/>
                    </w:rPr>
                  </w:pPr>
                  <w:r>
                    <w:rPr>
                      <w:color w:val="000000" w:themeColor="text1"/>
                      <w:szCs w:val="21"/>
                    </w:rPr>
                    <w:t>生产设备</w:t>
                  </w:r>
                </w:p>
              </w:tc>
              <w:tc>
                <w:tcPr>
                  <w:tcW w:w="1980"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颗粒物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56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散装水泥中转站及水泥制品生产</w:t>
                  </w:r>
                </w:p>
              </w:tc>
              <w:tc>
                <w:tcPr>
                  <w:tcW w:w="3058" w:type="dxa"/>
                  <w:vAlign w:val="center"/>
                </w:tcPr>
                <w:p>
                  <w:pPr>
                    <w:pStyle w:val="32"/>
                    <w:spacing w:line="360" w:lineRule="exact"/>
                    <w:rPr>
                      <w:color w:val="000000" w:themeColor="text1"/>
                      <w:szCs w:val="21"/>
                    </w:rPr>
                  </w:pPr>
                  <w:r>
                    <w:rPr>
                      <w:color w:val="000000" w:themeColor="text1"/>
                      <w:szCs w:val="21"/>
                    </w:rPr>
                    <w:t>水泥仓及其他通风生产设备</w:t>
                  </w:r>
                </w:p>
              </w:tc>
              <w:tc>
                <w:tcPr>
                  <w:tcW w:w="1980"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20</w:t>
                  </w:r>
                </w:p>
              </w:tc>
            </w:tr>
          </w:tbl>
          <w:p>
            <w:pPr>
              <w:spacing w:line="360" w:lineRule="auto"/>
              <w:ind w:firstLine="422" w:firstLineChars="200"/>
              <w:rPr>
                <w:rFonts w:ascii="Times New Roman" w:hAnsi="Times New Roman" w:cs="Times New Roman"/>
                <w:b/>
                <w:color w:val="000000" w:themeColor="text1"/>
                <w:szCs w:val="24"/>
              </w:rPr>
            </w:pPr>
          </w:p>
          <w:p>
            <w:pPr>
              <w:spacing w:beforeLines="50"/>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《水泥工业大气污染物排放标准》无组织排放限值 单位mg/m³</w:t>
            </w:r>
          </w:p>
          <w:tbl>
            <w:tblPr>
              <w:tblStyle w:val="21"/>
              <w:tblW w:w="86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27"/>
              <w:gridCol w:w="1559"/>
              <w:gridCol w:w="2977"/>
              <w:gridCol w:w="23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27" w:type="dxa"/>
                  <w:vAlign w:val="center"/>
                </w:tcPr>
                <w:p>
                  <w:pPr>
                    <w:pStyle w:val="32"/>
                    <w:spacing w:line="360" w:lineRule="exact"/>
                    <w:rPr>
                      <w:color w:val="000000" w:themeColor="text1"/>
                      <w:szCs w:val="21"/>
                    </w:rPr>
                  </w:pPr>
                  <w:r>
                    <w:rPr>
                      <w:color w:val="000000" w:themeColor="text1"/>
                      <w:szCs w:val="21"/>
                    </w:rPr>
                    <w:t>污染物项目</w:t>
                  </w:r>
                </w:p>
              </w:tc>
              <w:tc>
                <w:tcPr>
                  <w:tcW w:w="1559"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限值</w:t>
                  </w:r>
                </w:p>
              </w:tc>
              <w:tc>
                <w:tcPr>
                  <w:tcW w:w="297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限值含义</w:t>
                  </w:r>
                </w:p>
              </w:tc>
              <w:tc>
                <w:tcPr>
                  <w:tcW w:w="2337" w:type="dxa"/>
                  <w:vAlign w:val="center"/>
                </w:tcPr>
                <w:p>
                  <w:pPr>
                    <w:pStyle w:val="32"/>
                    <w:spacing w:line="360" w:lineRule="exact"/>
                    <w:rPr>
                      <w:color w:val="000000" w:themeColor="text1"/>
                      <w:szCs w:val="21"/>
                    </w:rPr>
                  </w:pPr>
                  <w:r>
                    <w:rPr>
                      <w:color w:val="000000" w:themeColor="text1"/>
                      <w:szCs w:val="21"/>
                    </w:rPr>
                    <w:t>无组织排放点监控位置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27" w:type="dxa"/>
                  <w:vAlign w:val="center"/>
                </w:tcPr>
                <w:p>
                  <w:pPr>
                    <w:pStyle w:val="32"/>
                    <w:spacing w:line="360" w:lineRule="exact"/>
                    <w:rPr>
                      <w:color w:val="000000" w:themeColor="text1"/>
                      <w:szCs w:val="21"/>
                    </w:rPr>
                  </w:pPr>
                  <w:r>
                    <w:rPr>
                      <w:color w:val="000000" w:themeColor="text1"/>
                      <w:szCs w:val="21"/>
                    </w:rPr>
                    <w:t>颗粒物</w:t>
                  </w:r>
                </w:p>
              </w:tc>
              <w:tc>
                <w:tcPr>
                  <w:tcW w:w="1559"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0.5</w:t>
                  </w:r>
                </w:p>
              </w:tc>
              <w:tc>
                <w:tcPr>
                  <w:tcW w:w="297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监控点处1小时浓度平均值</w:t>
                  </w:r>
                </w:p>
              </w:tc>
              <w:tc>
                <w:tcPr>
                  <w:tcW w:w="2337" w:type="dxa"/>
                  <w:vAlign w:val="center"/>
                </w:tcPr>
                <w:p>
                  <w:pPr>
                    <w:pStyle w:val="32"/>
                    <w:spacing w:line="360" w:lineRule="exact"/>
                    <w:rPr>
                      <w:color w:val="000000" w:themeColor="text1"/>
                      <w:szCs w:val="21"/>
                    </w:rPr>
                  </w:pPr>
                  <w:r>
                    <w:rPr>
                      <w:color w:val="000000" w:themeColor="text1"/>
                      <w:szCs w:val="21"/>
                    </w:rPr>
                    <w:t>下风向厂界外10m范围内浓度最高点</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根据项目特点，该项目施工量较小，施工废水和施工生活污水通过施工场地的临时沉淀池沉淀处理后，回用于施工场地洒水抑尘，不外排；因此不设排放标准。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项目运营期废水包括</w:t>
            </w:r>
            <w:r>
              <w:rPr>
                <w:rFonts w:ascii="Times New Roman" w:hAnsi="Times New Roman" w:cs="Times New Roman"/>
                <w:bCs/>
                <w:color w:val="000000" w:themeColor="text1"/>
                <w:sz w:val="24"/>
                <w:szCs w:val="24"/>
              </w:rPr>
              <w:t>砂石骨料生产废水</w:t>
            </w:r>
            <w:r>
              <w:rPr>
                <w:rFonts w:ascii="Times New Roman" w:hAnsi="Times New Roman" w:cs="Times New Roman"/>
                <w:color w:val="000000" w:themeColor="text1"/>
                <w:sz w:val="24"/>
                <w:szCs w:val="24"/>
              </w:rPr>
              <w:t>、养护废水、初期雨水和生活污水。</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砂石骨料生产废水、养护废水和初期雨水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ascii="Times New Roman" w:hAnsi="Times New Roman" w:cs="Times New Roman"/>
                <w:bCs/>
                <w:color w:val="000000" w:themeColor="text1"/>
                <w:sz w:val="24"/>
                <w:szCs w:val="24"/>
              </w:rPr>
              <w:t>砂石骨料生产废水</w:t>
            </w:r>
            <w:r>
              <w:rPr>
                <w:rFonts w:ascii="Times New Roman" w:hAnsi="Times New Roman" w:cs="Times New Roman"/>
                <w:color w:val="000000" w:themeColor="text1"/>
                <w:sz w:val="24"/>
                <w:szCs w:val="24"/>
              </w:rPr>
              <w:t>进入1套砂石骨料生产废水处理系统对其进行处理；首先砂石骨料生产废水进入三级沉淀池进行沉淀，沉淀后，约90%的上层清水进入回水池回用于骨料生产系统，而三级沉淀池产生的含水污泥则进入建设单位建设的昆明市东川金水矿业有限责任公司牛厂坪尾矿充填环境综合治理项目进行井下充填处理；不直接排入环境；养护废水经一个有效容积不低于6m³的养护废水收集池收集沉淀后回用于养护场养护，不外排。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拟配套设置1个有效容积为</w:t>
            </w: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m³的初期雨水收集池</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拟配套设置1个有效容积为</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m³的初期雨水收集池对厂区的初期雨水进行收集，收集后用于该项目生产用水，不外排。因此不设排放标准。</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生活污水执行标准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项目产生的生活污水通过化粪池和一体化污水处理设施处理后，回用于绿化不外排；执行《城市污水再生利用 城市杂用水水质》（GB/T18920 -2020）城市绿化标准。标准限值详见下表。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城市污水再生利用 城市杂用水标准</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394"/>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序号</w:t>
                  </w:r>
                </w:p>
              </w:tc>
              <w:tc>
                <w:tcPr>
                  <w:tcW w:w="4394" w:type="dxa"/>
                  <w:vAlign w:val="center"/>
                </w:tcPr>
                <w:p>
                  <w:pPr>
                    <w:pStyle w:val="32"/>
                    <w:spacing w:line="360" w:lineRule="exact"/>
                    <w:rPr>
                      <w:color w:val="000000" w:themeColor="text1"/>
                      <w:szCs w:val="21"/>
                    </w:rPr>
                  </w:pPr>
                  <w:r>
                    <w:rPr>
                      <w:color w:val="000000" w:themeColor="text1"/>
                      <w:szCs w:val="21"/>
                    </w:rPr>
                    <w:t>项目</w:t>
                  </w:r>
                </w:p>
              </w:tc>
              <w:tc>
                <w:tcPr>
                  <w:tcW w:w="3171" w:type="dxa"/>
                  <w:vAlign w:val="center"/>
                </w:tcPr>
                <w:p>
                  <w:pPr>
                    <w:pStyle w:val="32"/>
                    <w:spacing w:line="360" w:lineRule="exact"/>
                    <w:rPr>
                      <w:color w:val="000000" w:themeColor="text1"/>
                      <w:szCs w:val="21"/>
                    </w:rPr>
                  </w:pPr>
                  <w:r>
                    <w:rPr>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1</w:t>
                  </w:r>
                </w:p>
              </w:tc>
              <w:tc>
                <w:tcPr>
                  <w:tcW w:w="4394" w:type="dxa"/>
                  <w:vAlign w:val="center"/>
                </w:tcPr>
                <w:p>
                  <w:pPr>
                    <w:pStyle w:val="32"/>
                    <w:spacing w:line="360" w:lineRule="exact"/>
                    <w:rPr>
                      <w:color w:val="000000" w:themeColor="text1"/>
                      <w:szCs w:val="21"/>
                    </w:rPr>
                  </w:pPr>
                  <w:r>
                    <w:rPr>
                      <w:color w:val="000000" w:themeColor="text1"/>
                      <w:szCs w:val="21"/>
                    </w:rPr>
                    <w:t>pH</w:t>
                  </w:r>
                </w:p>
              </w:tc>
              <w:tc>
                <w:tcPr>
                  <w:tcW w:w="3171" w:type="dxa"/>
                  <w:vAlign w:val="center"/>
                </w:tcPr>
                <w:p>
                  <w:pPr>
                    <w:pStyle w:val="32"/>
                    <w:spacing w:line="360" w:lineRule="exact"/>
                    <w:rPr>
                      <w:color w:val="000000" w:themeColor="text1"/>
                      <w:szCs w:val="21"/>
                    </w:rPr>
                  </w:pPr>
                  <w:r>
                    <w:rPr>
                      <w:color w:val="000000" w:themeColor="text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2</w:t>
                  </w:r>
                </w:p>
              </w:tc>
              <w:tc>
                <w:tcPr>
                  <w:tcW w:w="4394" w:type="dxa"/>
                  <w:vAlign w:val="center"/>
                </w:tcPr>
                <w:p>
                  <w:pPr>
                    <w:pStyle w:val="32"/>
                    <w:spacing w:line="360" w:lineRule="exact"/>
                    <w:rPr>
                      <w:color w:val="000000" w:themeColor="text1"/>
                      <w:szCs w:val="21"/>
                    </w:rPr>
                  </w:pPr>
                  <w:r>
                    <w:rPr>
                      <w:color w:val="000000" w:themeColor="text1"/>
                      <w:szCs w:val="21"/>
                    </w:rPr>
                    <w:t>色（度）≤</w:t>
                  </w:r>
                </w:p>
              </w:tc>
              <w:tc>
                <w:tcPr>
                  <w:tcW w:w="3171" w:type="dxa"/>
                  <w:vAlign w:val="center"/>
                </w:tcPr>
                <w:p>
                  <w:pPr>
                    <w:pStyle w:val="32"/>
                    <w:spacing w:line="360" w:lineRule="exact"/>
                    <w:rPr>
                      <w:color w:val="000000" w:themeColor="text1"/>
                      <w:szCs w:val="21"/>
                    </w:rPr>
                  </w:pPr>
                  <w:r>
                    <w:rPr>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3</w:t>
                  </w:r>
                </w:p>
              </w:tc>
              <w:tc>
                <w:tcPr>
                  <w:tcW w:w="4394" w:type="dxa"/>
                  <w:vAlign w:val="center"/>
                </w:tcPr>
                <w:p>
                  <w:pPr>
                    <w:pStyle w:val="32"/>
                    <w:spacing w:line="360" w:lineRule="exact"/>
                    <w:rPr>
                      <w:color w:val="000000" w:themeColor="text1"/>
                      <w:szCs w:val="21"/>
                    </w:rPr>
                  </w:pPr>
                  <w:r>
                    <w:rPr>
                      <w:color w:val="000000" w:themeColor="text1"/>
                      <w:szCs w:val="21"/>
                    </w:rPr>
                    <w:t>嗅</w:t>
                  </w:r>
                </w:p>
              </w:tc>
              <w:tc>
                <w:tcPr>
                  <w:tcW w:w="3171" w:type="dxa"/>
                  <w:vAlign w:val="center"/>
                </w:tcPr>
                <w:p>
                  <w:pPr>
                    <w:pStyle w:val="32"/>
                    <w:spacing w:line="360" w:lineRule="exact"/>
                    <w:rPr>
                      <w:color w:val="000000" w:themeColor="text1"/>
                      <w:szCs w:val="21"/>
                    </w:rPr>
                  </w:pPr>
                  <w:r>
                    <w:rPr>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4</w:t>
                  </w:r>
                </w:p>
              </w:tc>
              <w:tc>
                <w:tcPr>
                  <w:tcW w:w="4394" w:type="dxa"/>
                  <w:vAlign w:val="center"/>
                </w:tcPr>
                <w:p>
                  <w:pPr>
                    <w:pStyle w:val="32"/>
                    <w:spacing w:line="360" w:lineRule="exact"/>
                    <w:rPr>
                      <w:color w:val="000000" w:themeColor="text1"/>
                      <w:szCs w:val="21"/>
                    </w:rPr>
                  </w:pPr>
                  <w:r>
                    <w:rPr>
                      <w:color w:val="000000" w:themeColor="text1"/>
                      <w:szCs w:val="21"/>
                    </w:rPr>
                    <w:t>浊度（NTU）≤</w:t>
                  </w:r>
                </w:p>
              </w:tc>
              <w:tc>
                <w:tcPr>
                  <w:tcW w:w="3171"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5</w:t>
                  </w:r>
                </w:p>
              </w:tc>
              <w:tc>
                <w:tcPr>
                  <w:tcW w:w="4394" w:type="dxa"/>
                  <w:vAlign w:val="center"/>
                </w:tcPr>
                <w:p>
                  <w:pPr>
                    <w:pStyle w:val="32"/>
                    <w:spacing w:line="360" w:lineRule="exact"/>
                    <w:rPr>
                      <w:color w:val="000000" w:themeColor="text1"/>
                      <w:szCs w:val="21"/>
                    </w:rPr>
                  </w:pPr>
                  <w:r>
                    <w:rPr>
                      <w:color w:val="000000" w:themeColor="text1"/>
                      <w:szCs w:val="21"/>
                    </w:rPr>
                    <w:t>溶解性总固体（mg/L）≤</w:t>
                  </w:r>
                </w:p>
              </w:tc>
              <w:tc>
                <w:tcPr>
                  <w:tcW w:w="3171" w:type="dxa"/>
                  <w:vAlign w:val="center"/>
                </w:tcPr>
                <w:p>
                  <w:pPr>
                    <w:pStyle w:val="32"/>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6</w:t>
                  </w:r>
                </w:p>
              </w:tc>
              <w:tc>
                <w:tcPr>
                  <w:tcW w:w="4394" w:type="dxa"/>
                  <w:vAlign w:val="center"/>
                </w:tcPr>
                <w:p>
                  <w:pPr>
                    <w:pStyle w:val="32"/>
                    <w:spacing w:line="360" w:lineRule="exact"/>
                    <w:rPr>
                      <w:color w:val="000000" w:themeColor="text1"/>
                      <w:szCs w:val="21"/>
                    </w:rPr>
                  </w:pPr>
                  <w:r>
                    <w:rPr>
                      <w:color w:val="000000" w:themeColor="text1"/>
                      <w:szCs w:val="21"/>
                    </w:rPr>
                    <w:t>五日生化需氧量BOD</w:t>
                  </w:r>
                  <w:r>
                    <w:rPr>
                      <w:color w:val="000000" w:themeColor="text1"/>
                      <w:szCs w:val="21"/>
                      <w:vertAlign w:val="subscript"/>
                    </w:rPr>
                    <w:t>5</w:t>
                  </w:r>
                  <w:r>
                    <w:rPr>
                      <w:color w:val="000000" w:themeColor="text1"/>
                      <w:szCs w:val="21"/>
                    </w:rPr>
                    <w:t>（mg/L）≤</w:t>
                  </w:r>
                </w:p>
              </w:tc>
              <w:tc>
                <w:tcPr>
                  <w:tcW w:w="3171"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7</w:t>
                  </w:r>
                </w:p>
              </w:tc>
              <w:tc>
                <w:tcPr>
                  <w:tcW w:w="4394" w:type="dxa"/>
                  <w:vAlign w:val="center"/>
                </w:tcPr>
                <w:p>
                  <w:pPr>
                    <w:pStyle w:val="32"/>
                    <w:spacing w:line="360" w:lineRule="exact"/>
                    <w:rPr>
                      <w:color w:val="000000" w:themeColor="text1"/>
                      <w:szCs w:val="21"/>
                    </w:rPr>
                  </w:pPr>
                  <w:r>
                    <w:rPr>
                      <w:color w:val="000000" w:themeColor="text1"/>
                      <w:szCs w:val="21"/>
                    </w:rPr>
                    <w:t>氨氮（mg/L）≤</w:t>
                  </w:r>
                </w:p>
              </w:tc>
              <w:tc>
                <w:tcPr>
                  <w:tcW w:w="3171" w:type="dxa"/>
                  <w:vAlign w:val="center"/>
                </w:tcPr>
                <w:p>
                  <w:pPr>
                    <w:pStyle w:val="32"/>
                    <w:spacing w:line="360" w:lineRule="exact"/>
                    <w:rPr>
                      <w:color w:val="000000" w:themeColor="text1"/>
                      <w:szCs w:val="21"/>
                    </w:rPr>
                  </w:pPr>
                  <w:r>
                    <w:rPr>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8</w:t>
                  </w:r>
                </w:p>
              </w:tc>
              <w:tc>
                <w:tcPr>
                  <w:tcW w:w="4394" w:type="dxa"/>
                  <w:vAlign w:val="center"/>
                </w:tcPr>
                <w:p>
                  <w:pPr>
                    <w:pStyle w:val="32"/>
                    <w:spacing w:line="360" w:lineRule="exact"/>
                    <w:rPr>
                      <w:color w:val="000000" w:themeColor="text1"/>
                      <w:szCs w:val="21"/>
                    </w:rPr>
                  </w:pPr>
                  <w:r>
                    <w:rPr>
                      <w:color w:val="000000" w:themeColor="text1"/>
                      <w:szCs w:val="21"/>
                    </w:rPr>
                    <w:t>阴离子表面活性（mg/L）≤</w:t>
                  </w:r>
                </w:p>
              </w:tc>
              <w:tc>
                <w:tcPr>
                  <w:tcW w:w="3171"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9</w:t>
                  </w:r>
                </w:p>
              </w:tc>
              <w:tc>
                <w:tcPr>
                  <w:tcW w:w="4394" w:type="dxa"/>
                  <w:vAlign w:val="center"/>
                </w:tcPr>
                <w:p>
                  <w:pPr>
                    <w:pStyle w:val="32"/>
                    <w:spacing w:line="360" w:lineRule="exact"/>
                    <w:rPr>
                      <w:color w:val="000000" w:themeColor="text1"/>
                      <w:szCs w:val="21"/>
                    </w:rPr>
                  </w:pPr>
                  <w:r>
                    <w:rPr>
                      <w:color w:val="000000" w:themeColor="text1"/>
                      <w:szCs w:val="21"/>
                    </w:rPr>
                    <w:t>铁（mg/L）≤</w:t>
                  </w:r>
                </w:p>
              </w:tc>
              <w:tc>
                <w:tcPr>
                  <w:tcW w:w="3171"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10</w:t>
                  </w:r>
                </w:p>
              </w:tc>
              <w:tc>
                <w:tcPr>
                  <w:tcW w:w="4394" w:type="dxa"/>
                  <w:vAlign w:val="center"/>
                </w:tcPr>
                <w:p>
                  <w:pPr>
                    <w:pStyle w:val="32"/>
                    <w:spacing w:line="360" w:lineRule="exact"/>
                    <w:rPr>
                      <w:color w:val="000000" w:themeColor="text1"/>
                      <w:szCs w:val="21"/>
                    </w:rPr>
                  </w:pPr>
                  <w:r>
                    <w:rPr>
                      <w:color w:val="000000" w:themeColor="text1"/>
                      <w:szCs w:val="21"/>
                    </w:rPr>
                    <w:t>锰（mg/L）≤</w:t>
                  </w:r>
                </w:p>
              </w:tc>
              <w:tc>
                <w:tcPr>
                  <w:tcW w:w="3171"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11</w:t>
                  </w:r>
                </w:p>
              </w:tc>
              <w:tc>
                <w:tcPr>
                  <w:tcW w:w="4394" w:type="dxa"/>
                  <w:vAlign w:val="center"/>
                </w:tcPr>
                <w:p>
                  <w:pPr>
                    <w:pStyle w:val="32"/>
                    <w:spacing w:line="360" w:lineRule="exact"/>
                    <w:rPr>
                      <w:color w:val="000000" w:themeColor="text1"/>
                      <w:szCs w:val="21"/>
                    </w:rPr>
                  </w:pPr>
                  <w:r>
                    <w:rPr>
                      <w:color w:val="000000" w:themeColor="text1"/>
                      <w:szCs w:val="21"/>
                    </w:rPr>
                    <w:t>溶解氧（mg/L）≥</w:t>
                  </w:r>
                </w:p>
              </w:tc>
              <w:tc>
                <w:tcPr>
                  <w:tcW w:w="3171" w:type="dxa"/>
                  <w:vAlign w:val="center"/>
                </w:tcPr>
                <w:p>
                  <w:pPr>
                    <w:pStyle w:val="32"/>
                    <w:spacing w:line="360" w:lineRule="exact"/>
                    <w:rPr>
                      <w:color w:val="000000" w:themeColor="text1"/>
                      <w:szCs w:val="21"/>
                    </w:rPr>
                  </w:pPr>
                  <w:r>
                    <w:rPr>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12</w:t>
                  </w:r>
                </w:p>
              </w:tc>
              <w:tc>
                <w:tcPr>
                  <w:tcW w:w="4394" w:type="dxa"/>
                  <w:vAlign w:val="center"/>
                </w:tcPr>
                <w:p>
                  <w:pPr>
                    <w:pStyle w:val="32"/>
                    <w:spacing w:line="360" w:lineRule="exact"/>
                    <w:rPr>
                      <w:color w:val="000000" w:themeColor="text1"/>
                      <w:szCs w:val="21"/>
                    </w:rPr>
                  </w:pPr>
                  <w:r>
                    <w:rPr>
                      <w:color w:val="000000" w:themeColor="text1"/>
                      <w:szCs w:val="21"/>
                    </w:rPr>
                    <w:t>总余氯（mg/L）≤</w:t>
                  </w:r>
                </w:p>
              </w:tc>
              <w:tc>
                <w:tcPr>
                  <w:tcW w:w="3171" w:type="dxa"/>
                  <w:vAlign w:val="center"/>
                </w:tcPr>
                <w:p>
                  <w:pPr>
                    <w:pStyle w:val="32"/>
                    <w:spacing w:line="360" w:lineRule="exact"/>
                    <w:rPr>
                      <w:color w:val="000000" w:themeColor="text1"/>
                      <w:szCs w:val="21"/>
                    </w:rPr>
                  </w:pPr>
                  <w:r>
                    <w:rPr>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0" w:type="dxa"/>
                  <w:vAlign w:val="center"/>
                </w:tcPr>
                <w:p>
                  <w:pPr>
                    <w:pStyle w:val="32"/>
                    <w:spacing w:line="360" w:lineRule="exact"/>
                    <w:rPr>
                      <w:color w:val="000000" w:themeColor="text1"/>
                      <w:szCs w:val="21"/>
                    </w:rPr>
                  </w:pPr>
                  <w:r>
                    <w:rPr>
                      <w:color w:val="000000" w:themeColor="text1"/>
                      <w:szCs w:val="21"/>
                    </w:rPr>
                    <w:t>13</w:t>
                  </w:r>
                </w:p>
              </w:tc>
              <w:tc>
                <w:tcPr>
                  <w:tcW w:w="4394" w:type="dxa"/>
                  <w:vAlign w:val="center"/>
                </w:tcPr>
                <w:p>
                  <w:pPr>
                    <w:pStyle w:val="32"/>
                    <w:spacing w:line="360" w:lineRule="exact"/>
                    <w:rPr>
                      <w:color w:val="000000" w:themeColor="text1"/>
                      <w:szCs w:val="21"/>
                    </w:rPr>
                  </w:pPr>
                  <w:r>
                    <w:rPr>
                      <w:color w:val="000000" w:themeColor="text1"/>
                      <w:szCs w:val="21"/>
                    </w:rPr>
                    <w:t>大肠埃氏菌/（MPN/100mL，或CFU/100 mL）</w:t>
                  </w:r>
                </w:p>
              </w:tc>
              <w:tc>
                <w:tcPr>
                  <w:tcW w:w="3171" w:type="dxa"/>
                  <w:vAlign w:val="center"/>
                </w:tcPr>
                <w:p>
                  <w:pPr>
                    <w:pStyle w:val="32"/>
                    <w:spacing w:line="360" w:lineRule="exact"/>
                    <w:rPr>
                      <w:color w:val="000000" w:themeColor="text1"/>
                      <w:szCs w:val="21"/>
                    </w:rPr>
                  </w:pPr>
                  <w:r>
                    <w:rPr>
                      <w:color w:val="000000" w:themeColor="text1"/>
                      <w:szCs w:val="21"/>
                    </w:rPr>
                    <w:t>无</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556" w:type="dxa"/>
                  <w:gridSpan w:val="2"/>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32"/>
                    <w:spacing w:line="360" w:lineRule="exact"/>
                    <w:ind w:left="11"/>
                    <w:rPr>
                      <w:rFonts w:eastAsiaTheme="minorEastAsia"/>
                      <w:color w:val="000000" w:themeColor="text1"/>
                      <w:szCs w:val="21"/>
                    </w:rPr>
                  </w:pPr>
                </w:p>
              </w:tc>
              <w:tc>
                <w:tcPr>
                  <w:tcW w:w="282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732"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82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70</w:t>
                  </w:r>
                </w:p>
              </w:tc>
              <w:tc>
                <w:tcPr>
                  <w:tcW w:w="2732"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项目位于昆明市东川区因民镇牛厂坪村，该项目噪声执行《工业企业厂界环境噪声排放标准》（GB12348-2008）2类标准。标准限值详见下表。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20"/>
              <w:tblW w:w="859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3"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5816"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3" w:type="dxa"/>
                  <w:vMerge w:val="continue"/>
                  <w:vAlign w:val="center"/>
                </w:tcPr>
                <w:p>
                  <w:pPr>
                    <w:pStyle w:val="32"/>
                    <w:spacing w:line="360" w:lineRule="exact"/>
                    <w:ind w:left="11"/>
                    <w:rPr>
                      <w:rFonts w:eastAsiaTheme="minorEastAsia"/>
                      <w:color w:val="000000" w:themeColor="text1"/>
                      <w:szCs w:val="21"/>
                    </w:rPr>
                  </w:pPr>
                </w:p>
              </w:tc>
              <w:tc>
                <w:tcPr>
                  <w:tcW w:w="292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289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3"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2类</w:t>
                  </w:r>
                </w:p>
              </w:tc>
              <w:tc>
                <w:tcPr>
                  <w:tcW w:w="292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60</w:t>
                  </w:r>
                </w:p>
              </w:tc>
              <w:tc>
                <w:tcPr>
                  <w:tcW w:w="289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50</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3.4.4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一般固体废物处置执行《一般工业固体废物贮存和填埋污染控制标准》（GB18599-2020）。</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③废石属性判断标准如下：废石执行《危险废物鉴别标准 腐蚀性鉴别》（GB5085.1-2007）和《危险废物鉴别标准 浸出毒性鉴别》（GB5085.3-2007）标准要求，标准值如下表所示。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表3.4.4-1  腐蚀性、浸出毒性限值一览表 mg/L</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59"/>
              <w:gridCol w:w="1137"/>
              <w:gridCol w:w="2838"/>
              <w:gridCol w:w="27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Align w:val="center"/>
                </w:tcPr>
                <w:p>
                  <w:pPr>
                    <w:pStyle w:val="32"/>
                    <w:spacing w:line="360" w:lineRule="exact"/>
                    <w:rPr>
                      <w:color w:val="000000" w:themeColor="text1"/>
                      <w:szCs w:val="21"/>
                    </w:rPr>
                  </w:pPr>
                  <w:r>
                    <w:rPr>
                      <w:color w:val="000000" w:themeColor="text1"/>
                      <w:szCs w:val="21"/>
                    </w:rPr>
                    <w:t>鉴别标准</w:t>
                  </w:r>
                </w:p>
              </w:tc>
              <w:tc>
                <w:tcPr>
                  <w:tcW w:w="1137" w:type="dxa"/>
                  <w:vAlign w:val="center"/>
                </w:tcPr>
                <w:p>
                  <w:pPr>
                    <w:pStyle w:val="32"/>
                    <w:spacing w:line="360" w:lineRule="exact"/>
                    <w:rPr>
                      <w:color w:val="000000" w:themeColor="text1"/>
                      <w:szCs w:val="21"/>
                    </w:rPr>
                  </w:pPr>
                  <w:r>
                    <w:rPr>
                      <w:color w:val="000000" w:themeColor="text1"/>
                      <w:szCs w:val="21"/>
                    </w:rPr>
                    <w:t>序号</w:t>
                  </w:r>
                </w:p>
              </w:tc>
              <w:tc>
                <w:tcPr>
                  <w:tcW w:w="2838" w:type="dxa"/>
                  <w:vAlign w:val="center"/>
                </w:tcPr>
                <w:p>
                  <w:pPr>
                    <w:pStyle w:val="32"/>
                    <w:spacing w:line="360" w:lineRule="exact"/>
                    <w:rPr>
                      <w:color w:val="000000" w:themeColor="text1"/>
                      <w:szCs w:val="21"/>
                    </w:rPr>
                  </w:pPr>
                  <w:r>
                    <w:rPr>
                      <w:color w:val="000000" w:themeColor="text1"/>
                      <w:szCs w:val="21"/>
                    </w:rPr>
                    <w:t>污染因子</w:t>
                  </w:r>
                </w:p>
              </w:tc>
              <w:tc>
                <w:tcPr>
                  <w:tcW w:w="2771" w:type="dxa"/>
                  <w:vAlign w:val="center"/>
                </w:tcPr>
                <w:p>
                  <w:pPr>
                    <w:pStyle w:val="32"/>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Align w:val="center"/>
                </w:tcPr>
                <w:p>
                  <w:pPr>
                    <w:pStyle w:val="32"/>
                    <w:spacing w:line="360" w:lineRule="exact"/>
                    <w:rPr>
                      <w:color w:val="000000" w:themeColor="text1"/>
                      <w:szCs w:val="21"/>
                    </w:rPr>
                  </w:pPr>
                  <w:r>
                    <w:rPr>
                      <w:color w:val="000000" w:themeColor="text1"/>
                      <w:szCs w:val="21"/>
                    </w:rPr>
                    <w:t>腐蚀性鉴别</w:t>
                  </w:r>
                </w:p>
              </w:tc>
              <w:tc>
                <w:tcPr>
                  <w:tcW w:w="1137" w:type="dxa"/>
                  <w:vAlign w:val="center"/>
                </w:tcPr>
                <w:p>
                  <w:pPr>
                    <w:pStyle w:val="32"/>
                    <w:spacing w:line="360" w:lineRule="exact"/>
                    <w:rPr>
                      <w:color w:val="000000" w:themeColor="text1"/>
                      <w:szCs w:val="21"/>
                    </w:rPr>
                  </w:pPr>
                  <w:r>
                    <w:rPr>
                      <w:color w:val="000000" w:themeColor="text1"/>
                      <w:szCs w:val="21"/>
                    </w:rPr>
                    <w:t>1</w:t>
                  </w:r>
                </w:p>
              </w:tc>
              <w:tc>
                <w:tcPr>
                  <w:tcW w:w="2838" w:type="dxa"/>
                  <w:vAlign w:val="center"/>
                </w:tcPr>
                <w:p>
                  <w:pPr>
                    <w:pStyle w:val="32"/>
                    <w:spacing w:line="360" w:lineRule="exact"/>
                    <w:rPr>
                      <w:color w:val="000000" w:themeColor="text1"/>
                      <w:szCs w:val="21"/>
                    </w:rPr>
                  </w:pPr>
                  <w:r>
                    <w:rPr>
                      <w:color w:val="000000" w:themeColor="text1"/>
                      <w:szCs w:val="21"/>
                    </w:rPr>
                    <w:t>pH值</w:t>
                  </w:r>
                </w:p>
              </w:tc>
              <w:tc>
                <w:tcPr>
                  <w:tcW w:w="2771" w:type="dxa"/>
                  <w:vAlign w:val="center"/>
                </w:tcPr>
                <w:p>
                  <w:pPr>
                    <w:pStyle w:val="32"/>
                    <w:spacing w:line="360" w:lineRule="exact"/>
                    <w:rPr>
                      <w:color w:val="000000" w:themeColor="text1"/>
                      <w:szCs w:val="21"/>
                    </w:rPr>
                  </w:pPr>
                  <w:r>
                    <w:rPr>
                      <w:color w:val="000000" w:themeColor="text1"/>
                      <w:szCs w:val="21"/>
                    </w:rPr>
                    <w:t>≥12.5或≤2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restart"/>
                  <w:vAlign w:val="center"/>
                </w:tcPr>
                <w:p>
                  <w:pPr>
                    <w:pStyle w:val="32"/>
                    <w:spacing w:line="360" w:lineRule="exact"/>
                    <w:rPr>
                      <w:color w:val="000000" w:themeColor="text1"/>
                      <w:szCs w:val="21"/>
                    </w:rPr>
                  </w:pPr>
                  <w:r>
                    <w:rPr>
                      <w:color w:val="000000" w:themeColor="text1"/>
                      <w:szCs w:val="21"/>
                    </w:rPr>
                    <w:t>浸出毒性鉴别</w:t>
                  </w:r>
                </w:p>
              </w:tc>
              <w:tc>
                <w:tcPr>
                  <w:tcW w:w="1137" w:type="dxa"/>
                  <w:vAlign w:val="center"/>
                </w:tcPr>
                <w:p>
                  <w:pPr>
                    <w:pStyle w:val="32"/>
                    <w:spacing w:line="360" w:lineRule="exact"/>
                    <w:rPr>
                      <w:color w:val="000000" w:themeColor="text1"/>
                      <w:szCs w:val="21"/>
                    </w:rPr>
                  </w:pPr>
                  <w:r>
                    <w:rPr>
                      <w:color w:val="000000" w:themeColor="text1"/>
                      <w:szCs w:val="21"/>
                    </w:rPr>
                    <w:t>1</w:t>
                  </w:r>
                </w:p>
              </w:tc>
              <w:tc>
                <w:tcPr>
                  <w:tcW w:w="2838" w:type="dxa"/>
                  <w:vAlign w:val="center"/>
                </w:tcPr>
                <w:p>
                  <w:pPr>
                    <w:pStyle w:val="32"/>
                    <w:spacing w:line="360" w:lineRule="exact"/>
                    <w:rPr>
                      <w:color w:val="000000" w:themeColor="text1"/>
                      <w:szCs w:val="21"/>
                    </w:rPr>
                  </w:pPr>
                  <w:r>
                    <w:rPr>
                      <w:color w:val="000000" w:themeColor="text1"/>
                      <w:szCs w:val="21"/>
                    </w:rPr>
                    <w:t>氟化物</w:t>
                  </w:r>
                </w:p>
              </w:tc>
              <w:tc>
                <w:tcPr>
                  <w:tcW w:w="2771"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2</w:t>
                  </w:r>
                </w:p>
              </w:tc>
              <w:tc>
                <w:tcPr>
                  <w:tcW w:w="2838" w:type="dxa"/>
                  <w:vAlign w:val="center"/>
                </w:tcPr>
                <w:p>
                  <w:pPr>
                    <w:pStyle w:val="32"/>
                    <w:spacing w:line="360" w:lineRule="exact"/>
                    <w:rPr>
                      <w:color w:val="000000" w:themeColor="text1"/>
                      <w:szCs w:val="21"/>
                    </w:rPr>
                  </w:pPr>
                  <w:r>
                    <w:rPr>
                      <w:color w:val="000000" w:themeColor="text1"/>
                      <w:szCs w:val="21"/>
                    </w:rPr>
                    <w:t>氰化物</w:t>
                  </w:r>
                </w:p>
              </w:tc>
              <w:tc>
                <w:tcPr>
                  <w:tcW w:w="2771"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3</w:t>
                  </w:r>
                </w:p>
              </w:tc>
              <w:tc>
                <w:tcPr>
                  <w:tcW w:w="2838" w:type="dxa"/>
                  <w:vAlign w:val="center"/>
                </w:tcPr>
                <w:p>
                  <w:pPr>
                    <w:pStyle w:val="32"/>
                    <w:spacing w:line="360" w:lineRule="exact"/>
                    <w:rPr>
                      <w:color w:val="000000" w:themeColor="text1"/>
                      <w:szCs w:val="21"/>
                    </w:rPr>
                  </w:pPr>
                  <w:r>
                    <w:rPr>
                      <w:color w:val="000000" w:themeColor="text1"/>
                      <w:szCs w:val="21"/>
                    </w:rPr>
                    <w:t>六价铬</w:t>
                  </w:r>
                </w:p>
              </w:tc>
              <w:tc>
                <w:tcPr>
                  <w:tcW w:w="2771"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4</w:t>
                  </w:r>
                </w:p>
              </w:tc>
              <w:tc>
                <w:tcPr>
                  <w:tcW w:w="2838" w:type="dxa"/>
                  <w:vAlign w:val="center"/>
                </w:tcPr>
                <w:p>
                  <w:pPr>
                    <w:pStyle w:val="32"/>
                    <w:spacing w:line="360" w:lineRule="exact"/>
                    <w:rPr>
                      <w:color w:val="000000" w:themeColor="text1"/>
                      <w:szCs w:val="21"/>
                    </w:rPr>
                  </w:pPr>
                  <w:r>
                    <w:rPr>
                      <w:color w:val="000000" w:themeColor="text1"/>
                      <w:szCs w:val="21"/>
                    </w:rPr>
                    <w:t>铜</w:t>
                  </w:r>
                </w:p>
              </w:tc>
              <w:tc>
                <w:tcPr>
                  <w:tcW w:w="2771"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5</w:t>
                  </w:r>
                </w:p>
              </w:tc>
              <w:tc>
                <w:tcPr>
                  <w:tcW w:w="2838" w:type="dxa"/>
                  <w:vAlign w:val="center"/>
                </w:tcPr>
                <w:p>
                  <w:pPr>
                    <w:pStyle w:val="32"/>
                    <w:spacing w:line="360" w:lineRule="exact"/>
                    <w:rPr>
                      <w:color w:val="000000" w:themeColor="text1"/>
                      <w:szCs w:val="21"/>
                    </w:rPr>
                  </w:pPr>
                  <w:r>
                    <w:rPr>
                      <w:color w:val="000000" w:themeColor="text1"/>
                      <w:szCs w:val="21"/>
                    </w:rPr>
                    <w:t>锌</w:t>
                  </w:r>
                </w:p>
              </w:tc>
              <w:tc>
                <w:tcPr>
                  <w:tcW w:w="2771"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6</w:t>
                  </w:r>
                </w:p>
              </w:tc>
              <w:tc>
                <w:tcPr>
                  <w:tcW w:w="2838" w:type="dxa"/>
                  <w:vAlign w:val="center"/>
                </w:tcPr>
                <w:p>
                  <w:pPr>
                    <w:pStyle w:val="32"/>
                    <w:spacing w:line="360" w:lineRule="exact"/>
                    <w:rPr>
                      <w:color w:val="000000" w:themeColor="text1"/>
                      <w:szCs w:val="21"/>
                    </w:rPr>
                  </w:pPr>
                  <w:r>
                    <w:rPr>
                      <w:color w:val="000000" w:themeColor="text1"/>
                      <w:szCs w:val="21"/>
                    </w:rPr>
                    <w:t>砷</w:t>
                  </w:r>
                </w:p>
              </w:tc>
              <w:tc>
                <w:tcPr>
                  <w:tcW w:w="2771"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7</w:t>
                  </w:r>
                </w:p>
              </w:tc>
              <w:tc>
                <w:tcPr>
                  <w:tcW w:w="2838" w:type="dxa"/>
                  <w:vAlign w:val="center"/>
                </w:tcPr>
                <w:p>
                  <w:pPr>
                    <w:pStyle w:val="32"/>
                    <w:spacing w:line="360" w:lineRule="exact"/>
                    <w:rPr>
                      <w:color w:val="000000" w:themeColor="text1"/>
                      <w:szCs w:val="21"/>
                    </w:rPr>
                  </w:pPr>
                  <w:r>
                    <w:rPr>
                      <w:color w:val="000000" w:themeColor="text1"/>
                      <w:szCs w:val="21"/>
                    </w:rPr>
                    <w:t>镉</w:t>
                  </w:r>
                </w:p>
              </w:tc>
              <w:tc>
                <w:tcPr>
                  <w:tcW w:w="2771" w:type="dxa"/>
                  <w:vAlign w:val="center"/>
                </w:tcPr>
                <w:p>
                  <w:pPr>
                    <w:pStyle w:val="32"/>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8</w:t>
                  </w:r>
                </w:p>
              </w:tc>
              <w:tc>
                <w:tcPr>
                  <w:tcW w:w="2838" w:type="dxa"/>
                  <w:vAlign w:val="center"/>
                </w:tcPr>
                <w:p>
                  <w:pPr>
                    <w:pStyle w:val="32"/>
                    <w:spacing w:line="360" w:lineRule="exact"/>
                    <w:rPr>
                      <w:color w:val="000000" w:themeColor="text1"/>
                      <w:szCs w:val="21"/>
                    </w:rPr>
                  </w:pPr>
                  <w:r>
                    <w:rPr>
                      <w:color w:val="000000" w:themeColor="text1"/>
                      <w:szCs w:val="21"/>
                    </w:rPr>
                    <w:t>铅</w:t>
                  </w:r>
                </w:p>
              </w:tc>
              <w:tc>
                <w:tcPr>
                  <w:tcW w:w="2771"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9</w:t>
                  </w:r>
                </w:p>
              </w:tc>
              <w:tc>
                <w:tcPr>
                  <w:tcW w:w="2838" w:type="dxa"/>
                  <w:vAlign w:val="center"/>
                </w:tcPr>
                <w:p>
                  <w:pPr>
                    <w:pStyle w:val="32"/>
                    <w:spacing w:line="360" w:lineRule="exact"/>
                    <w:rPr>
                      <w:color w:val="000000" w:themeColor="text1"/>
                      <w:szCs w:val="21"/>
                    </w:rPr>
                  </w:pPr>
                  <w:r>
                    <w:rPr>
                      <w:color w:val="000000" w:themeColor="text1"/>
                      <w:szCs w:val="21"/>
                    </w:rPr>
                    <w:t>硒</w:t>
                  </w:r>
                </w:p>
              </w:tc>
              <w:tc>
                <w:tcPr>
                  <w:tcW w:w="2771" w:type="dxa"/>
                  <w:vAlign w:val="center"/>
                </w:tcPr>
                <w:p>
                  <w:pPr>
                    <w:pStyle w:val="32"/>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10</w:t>
                  </w:r>
                </w:p>
              </w:tc>
              <w:tc>
                <w:tcPr>
                  <w:tcW w:w="2838" w:type="dxa"/>
                  <w:vAlign w:val="center"/>
                </w:tcPr>
                <w:p>
                  <w:pPr>
                    <w:pStyle w:val="32"/>
                    <w:spacing w:line="360" w:lineRule="exact"/>
                    <w:rPr>
                      <w:color w:val="000000" w:themeColor="text1"/>
                      <w:szCs w:val="21"/>
                    </w:rPr>
                  </w:pPr>
                  <w:r>
                    <w:rPr>
                      <w:color w:val="000000" w:themeColor="text1"/>
                      <w:szCs w:val="21"/>
                    </w:rPr>
                    <w:t>汞</w:t>
                  </w:r>
                </w:p>
              </w:tc>
              <w:tc>
                <w:tcPr>
                  <w:tcW w:w="2771" w:type="dxa"/>
                  <w:vAlign w:val="center"/>
                </w:tcPr>
                <w:p>
                  <w:pPr>
                    <w:pStyle w:val="32"/>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11</w:t>
                  </w:r>
                </w:p>
              </w:tc>
              <w:tc>
                <w:tcPr>
                  <w:tcW w:w="2838" w:type="dxa"/>
                  <w:vAlign w:val="center"/>
                </w:tcPr>
                <w:p>
                  <w:pPr>
                    <w:pStyle w:val="32"/>
                    <w:spacing w:line="360" w:lineRule="exact"/>
                    <w:rPr>
                      <w:color w:val="000000" w:themeColor="text1"/>
                      <w:szCs w:val="21"/>
                    </w:rPr>
                  </w:pPr>
                  <w:r>
                    <w:rPr>
                      <w:color w:val="000000" w:themeColor="text1"/>
                      <w:szCs w:val="21"/>
                    </w:rPr>
                    <w:t>铍</w:t>
                  </w:r>
                </w:p>
              </w:tc>
              <w:tc>
                <w:tcPr>
                  <w:tcW w:w="2771" w:type="dxa"/>
                  <w:vAlign w:val="center"/>
                </w:tcPr>
                <w:p>
                  <w:pPr>
                    <w:pStyle w:val="32"/>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12</w:t>
                  </w:r>
                </w:p>
              </w:tc>
              <w:tc>
                <w:tcPr>
                  <w:tcW w:w="2838" w:type="dxa"/>
                  <w:vAlign w:val="center"/>
                </w:tcPr>
                <w:p>
                  <w:pPr>
                    <w:pStyle w:val="32"/>
                    <w:spacing w:line="360" w:lineRule="exact"/>
                    <w:rPr>
                      <w:color w:val="000000" w:themeColor="text1"/>
                      <w:szCs w:val="21"/>
                    </w:rPr>
                  </w:pPr>
                  <w:r>
                    <w:rPr>
                      <w:color w:val="000000" w:themeColor="text1"/>
                      <w:szCs w:val="21"/>
                    </w:rPr>
                    <w:t>镍</w:t>
                  </w:r>
                </w:p>
              </w:tc>
              <w:tc>
                <w:tcPr>
                  <w:tcW w:w="2771"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13</w:t>
                  </w:r>
                </w:p>
              </w:tc>
              <w:tc>
                <w:tcPr>
                  <w:tcW w:w="2838" w:type="dxa"/>
                  <w:vAlign w:val="center"/>
                </w:tcPr>
                <w:p>
                  <w:pPr>
                    <w:pStyle w:val="32"/>
                    <w:spacing w:line="360" w:lineRule="exact"/>
                    <w:rPr>
                      <w:color w:val="000000" w:themeColor="text1"/>
                      <w:szCs w:val="21"/>
                    </w:rPr>
                  </w:pPr>
                  <w:r>
                    <w:rPr>
                      <w:color w:val="000000" w:themeColor="text1"/>
                      <w:szCs w:val="21"/>
                    </w:rPr>
                    <w:t>钡</w:t>
                  </w:r>
                </w:p>
              </w:tc>
              <w:tc>
                <w:tcPr>
                  <w:tcW w:w="2771"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14</w:t>
                  </w:r>
                </w:p>
              </w:tc>
              <w:tc>
                <w:tcPr>
                  <w:tcW w:w="2838" w:type="dxa"/>
                  <w:vAlign w:val="center"/>
                </w:tcPr>
                <w:p>
                  <w:pPr>
                    <w:pStyle w:val="32"/>
                    <w:spacing w:line="360" w:lineRule="exact"/>
                    <w:rPr>
                      <w:color w:val="000000" w:themeColor="text1"/>
                      <w:szCs w:val="21"/>
                    </w:rPr>
                  </w:pPr>
                  <w:r>
                    <w:rPr>
                      <w:color w:val="000000" w:themeColor="text1"/>
                      <w:szCs w:val="21"/>
                    </w:rPr>
                    <w:t>银</w:t>
                  </w:r>
                </w:p>
              </w:tc>
              <w:tc>
                <w:tcPr>
                  <w:tcW w:w="2771"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15</w:t>
                  </w:r>
                </w:p>
              </w:tc>
              <w:tc>
                <w:tcPr>
                  <w:tcW w:w="2838" w:type="dxa"/>
                  <w:vAlign w:val="center"/>
                </w:tcPr>
                <w:p>
                  <w:pPr>
                    <w:pStyle w:val="32"/>
                    <w:spacing w:line="360" w:lineRule="exact"/>
                    <w:rPr>
                      <w:color w:val="000000" w:themeColor="text1"/>
                      <w:szCs w:val="21"/>
                    </w:rPr>
                  </w:pPr>
                  <w:r>
                    <w:rPr>
                      <w:color w:val="000000" w:themeColor="text1"/>
                      <w:szCs w:val="21"/>
                    </w:rPr>
                    <w:t>总铬</w:t>
                  </w:r>
                </w:p>
              </w:tc>
              <w:tc>
                <w:tcPr>
                  <w:tcW w:w="2771" w:type="dxa"/>
                  <w:vAlign w:val="center"/>
                </w:tcPr>
                <w:p>
                  <w:pPr>
                    <w:pStyle w:val="32"/>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59" w:type="dxa"/>
                  <w:vMerge w:val="continue"/>
                  <w:vAlign w:val="center"/>
                </w:tcPr>
                <w:p>
                  <w:pPr>
                    <w:pStyle w:val="32"/>
                    <w:spacing w:line="360" w:lineRule="exact"/>
                    <w:rPr>
                      <w:color w:val="000000" w:themeColor="text1"/>
                      <w:szCs w:val="21"/>
                    </w:rPr>
                  </w:pPr>
                </w:p>
              </w:tc>
              <w:tc>
                <w:tcPr>
                  <w:tcW w:w="1137" w:type="dxa"/>
                  <w:vAlign w:val="center"/>
                </w:tcPr>
                <w:p>
                  <w:pPr>
                    <w:pStyle w:val="32"/>
                    <w:spacing w:line="360" w:lineRule="exact"/>
                    <w:rPr>
                      <w:color w:val="000000" w:themeColor="text1"/>
                      <w:szCs w:val="21"/>
                    </w:rPr>
                  </w:pPr>
                  <w:r>
                    <w:rPr>
                      <w:color w:val="000000" w:themeColor="text1"/>
                      <w:szCs w:val="21"/>
                    </w:rPr>
                    <w:t>16</w:t>
                  </w:r>
                </w:p>
              </w:tc>
              <w:tc>
                <w:tcPr>
                  <w:tcW w:w="2838" w:type="dxa"/>
                  <w:vAlign w:val="center"/>
                </w:tcPr>
                <w:p>
                  <w:pPr>
                    <w:pStyle w:val="32"/>
                    <w:spacing w:line="360" w:lineRule="exact"/>
                    <w:rPr>
                      <w:color w:val="000000" w:themeColor="text1"/>
                      <w:szCs w:val="21"/>
                    </w:rPr>
                  </w:pPr>
                  <w:r>
                    <w:rPr>
                      <w:color w:val="000000" w:themeColor="text1"/>
                      <w:szCs w:val="21"/>
                    </w:rPr>
                    <w:t>烷基汞</w:t>
                  </w:r>
                </w:p>
              </w:tc>
              <w:tc>
                <w:tcPr>
                  <w:tcW w:w="2771" w:type="dxa"/>
                  <w:vAlign w:val="center"/>
                </w:tcPr>
                <w:p>
                  <w:pPr>
                    <w:pStyle w:val="32"/>
                    <w:spacing w:line="360" w:lineRule="exact"/>
                    <w:rPr>
                      <w:color w:val="000000" w:themeColor="text1"/>
                      <w:szCs w:val="21"/>
                    </w:rPr>
                  </w:pPr>
                  <w:r>
                    <w:rPr>
                      <w:color w:val="000000" w:themeColor="text1"/>
                      <w:szCs w:val="21"/>
                    </w:rPr>
                    <w:t>不得检出</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若浸出液中任何一种污染物的浓度均未超过上表限值，则该废物不是危险废物。判断固体废物不属于危险废物后，再将浸出液和《污水综合排放标准》（GB8978-1996）一级标准限值进行对照，达到其标准限值，且pH值在6-9范围之内的一般工业固体废物为第I类一般工业固体废物；反之则一般工业固体废物为第II类一般工业固体废物。《污水综合排放标准》（GB8978-1996）一级标准，标准限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表3.4.4-2  污水综合排放标准排放限值  （单位： mg/L，pH除外）</w:t>
            </w:r>
          </w:p>
          <w:tbl>
            <w:tblPr>
              <w:tblStyle w:val="20"/>
              <w:tblW w:w="8605" w:type="dxa"/>
              <w:tblInd w:w="0" w:type="dxa"/>
              <w:tblLayout w:type="fixed"/>
              <w:tblCellMar>
                <w:top w:w="0" w:type="dxa"/>
                <w:left w:w="108" w:type="dxa"/>
                <w:bottom w:w="0" w:type="dxa"/>
                <w:right w:w="108" w:type="dxa"/>
              </w:tblCellMar>
            </w:tblPr>
            <w:tblGrid>
              <w:gridCol w:w="1649"/>
              <w:gridCol w:w="1120"/>
              <w:gridCol w:w="1114"/>
              <w:gridCol w:w="1110"/>
              <w:gridCol w:w="1110"/>
              <w:gridCol w:w="1110"/>
              <w:gridCol w:w="1392"/>
            </w:tblGrid>
            <w:tr>
              <w:tblPrEx>
                <w:tblLayout w:type="fixed"/>
                <w:tblCellMar>
                  <w:top w:w="0" w:type="dxa"/>
                  <w:left w:w="108" w:type="dxa"/>
                  <w:bottom w:w="0" w:type="dxa"/>
                  <w:right w:w="108" w:type="dxa"/>
                </w:tblCellMar>
              </w:tblPrEx>
              <w:trPr>
                <w:trHeight w:val="280" w:hRule="atLeast"/>
              </w:trPr>
              <w:tc>
                <w:tcPr>
                  <w:tcW w:w="1649" w:type="dxa"/>
                  <w:tcBorders>
                    <w:top w:val="single" w:color="000000" w:sz="4" w:space="0"/>
                    <w:left w:val="single" w:color="000000" w:sz="4"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项目</w:t>
                  </w:r>
                </w:p>
              </w:tc>
              <w:tc>
                <w:tcPr>
                  <w:tcW w:w="1120" w:type="dxa"/>
                  <w:tcBorders>
                    <w:top w:val="single" w:color="000000" w:sz="4"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pH</w:t>
                  </w:r>
                </w:p>
              </w:tc>
              <w:tc>
                <w:tcPr>
                  <w:tcW w:w="1114" w:type="dxa"/>
                  <w:tcBorders>
                    <w:top w:val="single" w:color="000000" w:sz="4"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总铜</w:t>
                  </w:r>
                </w:p>
              </w:tc>
              <w:tc>
                <w:tcPr>
                  <w:tcW w:w="1110" w:type="dxa"/>
                  <w:tcBorders>
                    <w:top w:val="single" w:color="000000" w:sz="4"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总锌</w:t>
                  </w:r>
                </w:p>
              </w:tc>
              <w:tc>
                <w:tcPr>
                  <w:tcW w:w="1110" w:type="dxa"/>
                  <w:tcBorders>
                    <w:top w:val="single" w:color="000000" w:sz="4"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总铅</w:t>
                  </w:r>
                </w:p>
              </w:tc>
              <w:tc>
                <w:tcPr>
                  <w:tcW w:w="1110" w:type="dxa"/>
                  <w:tcBorders>
                    <w:top w:val="single" w:color="000000" w:sz="4"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总镉</w:t>
                  </w:r>
                </w:p>
              </w:tc>
              <w:tc>
                <w:tcPr>
                  <w:tcW w:w="1392" w:type="dxa"/>
                  <w:tcBorders>
                    <w:top w:val="single" w:color="000000" w:sz="4" w:space="0"/>
                    <w:left w:val="single" w:color="000000" w:sz="6" w:space="0"/>
                    <w:bottom w:val="single" w:color="000000" w:sz="6" w:space="0"/>
                    <w:right w:val="single" w:color="000000" w:sz="4" w:space="0"/>
                  </w:tcBorders>
                  <w:vAlign w:val="center"/>
                </w:tcPr>
                <w:p>
                  <w:pPr>
                    <w:pStyle w:val="32"/>
                    <w:spacing w:line="360" w:lineRule="exact"/>
                    <w:rPr>
                      <w:color w:val="000000" w:themeColor="text1"/>
                      <w:szCs w:val="21"/>
                    </w:rPr>
                  </w:pPr>
                  <w:r>
                    <w:rPr>
                      <w:color w:val="000000" w:themeColor="text1"/>
                      <w:szCs w:val="21"/>
                    </w:rPr>
                    <w:t>六价铬</w:t>
                  </w:r>
                </w:p>
              </w:tc>
            </w:tr>
            <w:tr>
              <w:tblPrEx>
                <w:tblLayout w:type="fixed"/>
                <w:tblCellMar>
                  <w:top w:w="0" w:type="dxa"/>
                  <w:left w:w="108" w:type="dxa"/>
                  <w:bottom w:w="0" w:type="dxa"/>
                  <w:right w:w="108" w:type="dxa"/>
                </w:tblCellMar>
              </w:tblPrEx>
              <w:trPr>
                <w:trHeight w:val="294" w:hRule="atLeast"/>
              </w:trPr>
              <w:tc>
                <w:tcPr>
                  <w:tcW w:w="1649" w:type="dxa"/>
                  <w:tcBorders>
                    <w:top w:val="single" w:color="000000" w:sz="6" w:space="0"/>
                    <w:left w:val="single" w:color="000000" w:sz="4"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一级标准值</w:t>
                  </w:r>
                </w:p>
              </w:tc>
              <w:tc>
                <w:tcPr>
                  <w:tcW w:w="112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6-9</w:t>
                  </w:r>
                </w:p>
              </w:tc>
              <w:tc>
                <w:tcPr>
                  <w:tcW w:w="1114"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0.5</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2.0</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1.0</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0.1</w:t>
                  </w:r>
                </w:p>
              </w:tc>
              <w:tc>
                <w:tcPr>
                  <w:tcW w:w="1392" w:type="dxa"/>
                  <w:tcBorders>
                    <w:top w:val="single" w:color="000000" w:sz="6" w:space="0"/>
                    <w:left w:val="single" w:color="000000" w:sz="6" w:space="0"/>
                    <w:bottom w:val="single" w:color="000000" w:sz="6" w:space="0"/>
                    <w:right w:val="single" w:color="000000" w:sz="4" w:space="0"/>
                  </w:tcBorders>
                  <w:vAlign w:val="center"/>
                </w:tcPr>
                <w:p>
                  <w:pPr>
                    <w:pStyle w:val="32"/>
                    <w:spacing w:line="360" w:lineRule="exact"/>
                    <w:rPr>
                      <w:color w:val="000000" w:themeColor="text1"/>
                      <w:szCs w:val="21"/>
                    </w:rPr>
                  </w:pPr>
                  <w:r>
                    <w:rPr>
                      <w:color w:val="000000" w:themeColor="text1"/>
                      <w:szCs w:val="21"/>
                    </w:rPr>
                    <w:t>0.5</w:t>
                  </w:r>
                </w:p>
              </w:tc>
            </w:tr>
            <w:tr>
              <w:tblPrEx>
                <w:tblLayout w:type="fixed"/>
                <w:tblCellMar>
                  <w:top w:w="0" w:type="dxa"/>
                  <w:left w:w="108" w:type="dxa"/>
                  <w:bottom w:w="0" w:type="dxa"/>
                  <w:right w:w="108" w:type="dxa"/>
                </w:tblCellMar>
              </w:tblPrEx>
              <w:trPr>
                <w:trHeight w:val="294" w:hRule="atLeast"/>
              </w:trPr>
              <w:tc>
                <w:tcPr>
                  <w:tcW w:w="1649" w:type="dxa"/>
                  <w:tcBorders>
                    <w:top w:val="single" w:color="000000" w:sz="6" w:space="0"/>
                    <w:left w:val="single" w:color="000000" w:sz="4"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项目</w:t>
                  </w:r>
                </w:p>
              </w:tc>
              <w:tc>
                <w:tcPr>
                  <w:tcW w:w="112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总铬</w:t>
                  </w:r>
                </w:p>
              </w:tc>
              <w:tc>
                <w:tcPr>
                  <w:tcW w:w="1114"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总镍</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总银</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总砷</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氟化物</w:t>
                  </w:r>
                </w:p>
              </w:tc>
              <w:tc>
                <w:tcPr>
                  <w:tcW w:w="1392" w:type="dxa"/>
                  <w:tcBorders>
                    <w:top w:val="single" w:color="000000" w:sz="6" w:space="0"/>
                    <w:left w:val="single" w:color="000000" w:sz="6" w:space="0"/>
                    <w:bottom w:val="single" w:color="000000" w:sz="6" w:space="0"/>
                    <w:right w:val="single" w:color="000000" w:sz="4" w:space="0"/>
                  </w:tcBorders>
                  <w:vAlign w:val="center"/>
                </w:tcPr>
                <w:p>
                  <w:pPr>
                    <w:pStyle w:val="32"/>
                    <w:spacing w:line="360" w:lineRule="exact"/>
                    <w:rPr>
                      <w:color w:val="000000" w:themeColor="text1"/>
                      <w:szCs w:val="21"/>
                    </w:rPr>
                  </w:pPr>
                  <w:r>
                    <w:rPr>
                      <w:color w:val="000000" w:themeColor="text1"/>
                      <w:szCs w:val="21"/>
                    </w:rPr>
                    <w:t>总氰化合物</w:t>
                  </w:r>
                </w:p>
              </w:tc>
            </w:tr>
            <w:tr>
              <w:tblPrEx>
                <w:tblLayout w:type="fixed"/>
                <w:tblCellMar>
                  <w:top w:w="0" w:type="dxa"/>
                  <w:left w:w="108" w:type="dxa"/>
                  <w:bottom w:w="0" w:type="dxa"/>
                  <w:right w:w="108" w:type="dxa"/>
                </w:tblCellMar>
              </w:tblPrEx>
              <w:trPr>
                <w:trHeight w:val="294" w:hRule="atLeast"/>
              </w:trPr>
              <w:tc>
                <w:tcPr>
                  <w:tcW w:w="1649" w:type="dxa"/>
                  <w:tcBorders>
                    <w:top w:val="single" w:color="000000" w:sz="6" w:space="0"/>
                    <w:left w:val="single" w:color="000000" w:sz="4"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一级标准值</w:t>
                  </w:r>
                </w:p>
              </w:tc>
              <w:tc>
                <w:tcPr>
                  <w:tcW w:w="112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1.5</w:t>
                  </w:r>
                </w:p>
              </w:tc>
              <w:tc>
                <w:tcPr>
                  <w:tcW w:w="1114"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1.0</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0.5</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0.5</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10</w:t>
                  </w:r>
                </w:p>
              </w:tc>
              <w:tc>
                <w:tcPr>
                  <w:tcW w:w="1392" w:type="dxa"/>
                  <w:tcBorders>
                    <w:top w:val="single" w:color="000000" w:sz="6" w:space="0"/>
                    <w:left w:val="single" w:color="000000" w:sz="6" w:space="0"/>
                    <w:bottom w:val="single" w:color="000000" w:sz="6" w:space="0"/>
                    <w:right w:val="single" w:color="000000" w:sz="4" w:space="0"/>
                  </w:tcBorders>
                  <w:vAlign w:val="center"/>
                </w:tcPr>
                <w:p>
                  <w:pPr>
                    <w:pStyle w:val="32"/>
                    <w:spacing w:line="360" w:lineRule="exact"/>
                    <w:rPr>
                      <w:color w:val="000000" w:themeColor="text1"/>
                      <w:szCs w:val="21"/>
                    </w:rPr>
                  </w:pPr>
                  <w:r>
                    <w:rPr>
                      <w:color w:val="000000" w:themeColor="text1"/>
                      <w:szCs w:val="21"/>
                    </w:rPr>
                    <w:t>0.5</w:t>
                  </w:r>
                </w:p>
              </w:tc>
            </w:tr>
            <w:tr>
              <w:tblPrEx>
                <w:tblLayout w:type="fixed"/>
                <w:tblCellMar>
                  <w:top w:w="0" w:type="dxa"/>
                  <w:left w:w="108" w:type="dxa"/>
                  <w:bottom w:w="0" w:type="dxa"/>
                  <w:right w:w="108" w:type="dxa"/>
                </w:tblCellMar>
              </w:tblPrEx>
              <w:trPr>
                <w:trHeight w:val="294" w:hRule="atLeast"/>
              </w:trPr>
              <w:tc>
                <w:tcPr>
                  <w:tcW w:w="1649" w:type="dxa"/>
                  <w:tcBorders>
                    <w:top w:val="single" w:color="000000" w:sz="6" w:space="0"/>
                    <w:left w:val="single" w:color="000000" w:sz="4"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项目</w:t>
                  </w:r>
                </w:p>
              </w:tc>
              <w:tc>
                <w:tcPr>
                  <w:tcW w:w="112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总汞</w:t>
                  </w:r>
                </w:p>
              </w:tc>
              <w:tc>
                <w:tcPr>
                  <w:tcW w:w="1114"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烷基汞</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总铍</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总硒</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w:t>
                  </w:r>
                </w:p>
              </w:tc>
              <w:tc>
                <w:tcPr>
                  <w:tcW w:w="1392" w:type="dxa"/>
                  <w:tcBorders>
                    <w:top w:val="single" w:color="000000" w:sz="6" w:space="0"/>
                    <w:left w:val="single" w:color="000000" w:sz="6" w:space="0"/>
                    <w:bottom w:val="single" w:color="000000" w:sz="6" w:space="0"/>
                    <w:right w:val="single" w:color="000000" w:sz="4" w:space="0"/>
                  </w:tcBorders>
                  <w:vAlign w:val="center"/>
                </w:tcPr>
                <w:p>
                  <w:pPr>
                    <w:pStyle w:val="32"/>
                    <w:spacing w:line="360" w:lineRule="exact"/>
                    <w:rPr>
                      <w:color w:val="000000" w:themeColor="text1"/>
                      <w:szCs w:val="21"/>
                    </w:rPr>
                  </w:pPr>
                  <w:r>
                    <w:rPr>
                      <w:color w:val="000000" w:themeColor="text1"/>
                      <w:szCs w:val="21"/>
                    </w:rPr>
                    <w:t>--</w:t>
                  </w:r>
                </w:p>
              </w:tc>
            </w:tr>
            <w:tr>
              <w:tblPrEx>
                <w:tblLayout w:type="fixed"/>
                <w:tblCellMar>
                  <w:top w:w="0" w:type="dxa"/>
                  <w:left w:w="108" w:type="dxa"/>
                  <w:bottom w:w="0" w:type="dxa"/>
                  <w:right w:w="108" w:type="dxa"/>
                </w:tblCellMar>
              </w:tblPrEx>
              <w:trPr>
                <w:trHeight w:val="294" w:hRule="atLeast"/>
              </w:trPr>
              <w:tc>
                <w:tcPr>
                  <w:tcW w:w="1649" w:type="dxa"/>
                  <w:tcBorders>
                    <w:top w:val="single" w:color="000000" w:sz="6" w:space="0"/>
                    <w:left w:val="single" w:color="000000" w:sz="4"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一级标准值</w:t>
                  </w:r>
                </w:p>
              </w:tc>
              <w:tc>
                <w:tcPr>
                  <w:tcW w:w="1120" w:type="dxa"/>
                  <w:tcBorders>
                    <w:top w:val="single" w:color="000000" w:sz="6" w:space="0"/>
                    <w:left w:val="single" w:color="000000" w:sz="6"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0.05</w:t>
                  </w:r>
                </w:p>
              </w:tc>
              <w:tc>
                <w:tcPr>
                  <w:tcW w:w="1114" w:type="dxa"/>
                  <w:tcBorders>
                    <w:top w:val="single" w:color="000000" w:sz="6" w:space="0"/>
                    <w:left w:val="single" w:color="000000" w:sz="6"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不得检出</w:t>
                  </w:r>
                </w:p>
              </w:tc>
              <w:tc>
                <w:tcPr>
                  <w:tcW w:w="1110" w:type="dxa"/>
                  <w:tcBorders>
                    <w:top w:val="single" w:color="000000" w:sz="6" w:space="0"/>
                    <w:left w:val="single" w:color="000000" w:sz="6"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0.005</w:t>
                  </w:r>
                </w:p>
              </w:tc>
              <w:tc>
                <w:tcPr>
                  <w:tcW w:w="1110" w:type="dxa"/>
                  <w:tcBorders>
                    <w:top w:val="single" w:color="000000" w:sz="6" w:space="0"/>
                    <w:left w:val="single" w:color="000000" w:sz="6"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0.1</w:t>
                  </w:r>
                </w:p>
              </w:tc>
              <w:tc>
                <w:tcPr>
                  <w:tcW w:w="1110" w:type="dxa"/>
                  <w:tcBorders>
                    <w:top w:val="single" w:color="000000" w:sz="6" w:space="0"/>
                    <w:left w:val="single" w:color="000000" w:sz="6"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w:t>
                  </w:r>
                </w:p>
              </w:tc>
              <w:tc>
                <w:tcPr>
                  <w:tcW w:w="1392" w:type="dxa"/>
                  <w:tcBorders>
                    <w:top w:val="single" w:color="000000" w:sz="6" w:space="0"/>
                    <w:left w:val="single" w:color="000000" w:sz="6" w:space="0"/>
                    <w:bottom w:val="single" w:color="000000" w:sz="4" w:space="0"/>
                    <w:right w:val="single" w:color="000000" w:sz="4" w:space="0"/>
                  </w:tcBorders>
                  <w:vAlign w:val="center"/>
                </w:tcPr>
                <w:p>
                  <w:pPr>
                    <w:pStyle w:val="32"/>
                    <w:spacing w:line="360" w:lineRule="exact"/>
                    <w:rPr>
                      <w:color w:val="000000" w:themeColor="text1"/>
                      <w:szCs w:val="21"/>
                    </w:rPr>
                  </w:pPr>
                  <w:r>
                    <w:rPr>
                      <w:color w:val="000000" w:themeColor="text1"/>
                      <w:szCs w:val="21"/>
                    </w:rPr>
                    <w:t>--</w:t>
                  </w:r>
                </w:p>
              </w:tc>
            </w:tr>
          </w:tbl>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361" w:firstLineChars="15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（1）废气</w:t>
            </w:r>
          </w:p>
          <w:p>
            <w:pPr>
              <w:pStyle w:val="40"/>
              <w:ind w:firstLine="480"/>
              <w:rPr>
                <w:color w:val="000000" w:themeColor="text1"/>
                <w:kern w:val="0"/>
                <w:szCs w:val="21"/>
              </w:rPr>
            </w:pPr>
            <w:r>
              <w:rPr>
                <w:color w:val="000000" w:themeColor="text1"/>
                <w:kern w:val="0"/>
                <w:szCs w:val="21"/>
              </w:rPr>
              <w:t>有组织排放废气：废气量</w:t>
            </w:r>
            <w:r>
              <w:rPr>
                <w:rFonts w:hint="eastAsia"/>
                <w:color w:val="000000" w:themeColor="text1"/>
                <w:kern w:val="0"/>
                <w:szCs w:val="21"/>
              </w:rPr>
              <w:t>2411.055</w:t>
            </w:r>
            <w:r>
              <w:rPr>
                <w:color w:val="000000" w:themeColor="text1"/>
                <w:kern w:val="0"/>
                <w:szCs w:val="21"/>
              </w:rPr>
              <w:t>万m³/a，颗粒物：</w:t>
            </w:r>
            <w:r>
              <w:rPr>
                <w:rFonts w:hint="eastAsia"/>
                <w:color w:val="000000" w:themeColor="text1"/>
                <w:kern w:val="0"/>
                <w:szCs w:val="21"/>
              </w:rPr>
              <w:t>0.0315</w:t>
            </w:r>
            <w:r>
              <w:rPr>
                <w:color w:val="000000" w:themeColor="text1"/>
                <w:kern w:val="0"/>
                <w:szCs w:val="21"/>
              </w:rPr>
              <w:t>t/a。</w:t>
            </w:r>
          </w:p>
          <w:p>
            <w:pPr>
              <w:pStyle w:val="40"/>
              <w:ind w:firstLine="480"/>
              <w:rPr>
                <w:color w:val="000000" w:themeColor="text1"/>
                <w:kern w:val="0"/>
                <w:szCs w:val="21"/>
              </w:rPr>
            </w:pPr>
            <w:r>
              <w:rPr>
                <w:color w:val="000000" w:themeColor="text1"/>
                <w:kern w:val="0"/>
                <w:szCs w:val="21"/>
              </w:rPr>
              <w:t>无组织排放废气：颗粒物：</w:t>
            </w:r>
            <w:r>
              <w:rPr>
                <w:rFonts w:hint="eastAsia"/>
                <w:color w:val="000000" w:themeColor="text1"/>
                <w:kern w:val="0"/>
                <w:szCs w:val="21"/>
              </w:rPr>
              <w:t>45.04</w:t>
            </w:r>
            <w:r>
              <w:rPr>
                <w:color w:val="000000" w:themeColor="text1"/>
                <w:kern w:val="0"/>
                <w:szCs w:val="21"/>
              </w:rPr>
              <w:t>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w:t>
            </w:r>
          </w:p>
          <w:p>
            <w:pPr>
              <w:pStyle w:val="40"/>
              <w:ind w:firstLine="480"/>
              <w:rPr>
                <w:color w:val="000000" w:themeColor="text1"/>
                <w:kern w:val="0"/>
                <w:szCs w:val="21"/>
              </w:rPr>
            </w:pPr>
            <w:r>
              <w:rPr>
                <w:rFonts w:hint="eastAsia"/>
                <w:color w:val="000000" w:themeColor="text1"/>
                <w:kern w:val="0"/>
                <w:szCs w:val="21"/>
              </w:rPr>
              <w:t>项目砂石骨料生产废水420</w:t>
            </w:r>
            <w:r>
              <w:rPr>
                <w:color w:val="000000" w:themeColor="text1"/>
                <w:kern w:val="0"/>
                <w:szCs w:val="21"/>
              </w:rPr>
              <w:t>m³/d</w:t>
            </w:r>
            <w:r>
              <w:rPr>
                <w:rFonts w:hint="eastAsia"/>
                <w:color w:val="000000" w:themeColor="text1"/>
                <w:kern w:val="0"/>
                <w:szCs w:val="21"/>
              </w:rPr>
              <w:t>，CODcr产生量10.26t/a、石油类产生量1.28t/a，</w:t>
            </w:r>
            <w:r>
              <w:rPr>
                <w:color w:val="000000" w:themeColor="text1"/>
                <w:kern w:val="0"/>
                <w:szCs w:val="21"/>
              </w:rPr>
              <w:t>首先进入三级沉淀池进行沉淀，沉淀后，约90%的上层清水进入回水池回用于骨料生产系统，而三级沉淀池产生的含水污泥则进入</w:t>
            </w:r>
            <w:r>
              <w:rPr>
                <w:rFonts w:hint="eastAsia"/>
                <w:color w:val="000000" w:themeColor="text1"/>
                <w:kern w:val="0"/>
                <w:szCs w:val="21"/>
              </w:rPr>
              <w:t>建设单位建设的</w:t>
            </w:r>
            <w:r>
              <w:rPr>
                <w:color w:val="000000" w:themeColor="text1"/>
                <w:kern w:val="0"/>
                <w:szCs w:val="21"/>
              </w:rPr>
              <w:t>昆明市东川金水矿业有限责任公司牛厂坪尾矿充填环境综合治理项目</w:t>
            </w:r>
            <w:r>
              <w:rPr>
                <w:rFonts w:hint="eastAsia"/>
                <w:color w:val="000000" w:themeColor="text1"/>
                <w:kern w:val="0"/>
                <w:szCs w:val="21"/>
              </w:rPr>
              <w:t>进行井下充填处理；水泥砖养护废水产生量为</w:t>
            </w:r>
            <w:r>
              <w:rPr>
                <w:color w:val="000000" w:themeColor="text1"/>
                <w:kern w:val="0"/>
                <w:szCs w:val="21"/>
              </w:rPr>
              <w:t>2.</w:t>
            </w:r>
            <w:r>
              <w:rPr>
                <w:rFonts w:hint="eastAsia"/>
                <w:color w:val="000000" w:themeColor="text1"/>
                <w:kern w:val="0"/>
                <w:szCs w:val="21"/>
              </w:rPr>
              <w:t>3</w:t>
            </w:r>
            <w:r>
              <w:rPr>
                <w:color w:val="000000" w:themeColor="text1"/>
                <w:kern w:val="0"/>
                <w:szCs w:val="21"/>
              </w:rPr>
              <w:t>m³/d</w:t>
            </w:r>
            <w:r>
              <w:rPr>
                <w:rFonts w:hint="eastAsia"/>
                <w:color w:val="000000" w:themeColor="text1"/>
                <w:kern w:val="0"/>
                <w:szCs w:val="21"/>
              </w:rPr>
              <w:t>，通过1个有效容积为6</w:t>
            </w:r>
            <w:r>
              <w:rPr>
                <w:color w:val="000000" w:themeColor="text1"/>
                <w:kern w:val="0"/>
                <w:szCs w:val="21"/>
              </w:rPr>
              <w:t>m³</w:t>
            </w:r>
            <w:r>
              <w:rPr>
                <w:rFonts w:hint="eastAsia"/>
                <w:color w:val="000000" w:themeColor="text1"/>
                <w:kern w:val="0"/>
                <w:szCs w:val="21"/>
              </w:rPr>
              <w:t>的养护废水收集池对其进行收集后，返回养护工序使用，不外排。生活污水产生量为288</w:t>
            </w:r>
            <w:r>
              <w:rPr>
                <w:color w:val="000000" w:themeColor="text1"/>
                <w:kern w:val="0"/>
                <w:szCs w:val="21"/>
              </w:rPr>
              <w:t>m³/</w:t>
            </w:r>
            <w:r>
              <w:rPr>
                <w:rFonts w:hint="eastAsia"/>
                <w:color w:val="000000" w:themeColor="text1"/>
                <w:kern w:val="0"/>
                <w:szCs w:val="21"/>
              </w:rPr>
              <w:t>a，CODcr产生量</w:t>
            </w:r>
            <w:r>
              <w:rPr>
                <w:color w:val="000000" w:themeColor="text1"/>
                <w:kern w:val="0"/>
                <w:szCs w:val="21"/>
              </w:rPr>
              <w:t>0.101</w:t>
            </w:r>
            <w:r>
              <w:rPr>
                <w:rFonts w:hint="eastAsia"/>
                <w:color w:val="000000" w:themeColor="text1"/>
                <w:kern w:val="0"/>
                <w:szCs w:val="21"/>
              </w:rPr>
              <w:t>t/a、</w:t>
            </w:r>
            <w:r>
              <w:rPr>
                <w:color w:val="000000" w:themeColor="text1"/>
                <w:kern w:val="0"/>
                <w:szCs w:val="21"/>
              </w:rPr>
              <w:t>BOD</w:t>
            </w:r>
            <w:r>
              <w:rPr>
                <w:color w:val="000000" w:themeColor="text1"/>
                <w:kern w:val="0"/>
                <w:szCs w:val="21"/>
                <w:vertAlign w:val="subscript"/>
              </w:rPr>
              <w:t>5</w:t>
            </w:r>
            <w:r>
              <w:rPr>
                <w:rFonts w:hint="eastAsia"/>
                <w:color w:val="000000" w:themeColor="text1"/>
                <w:kern w:val="0"/>
                <w:szCs w:val="21"/>
              </w:rPr>
              <w:t>产生量</w:t>
            </w:r>
            <w:r>
              <w:rPr>
                <w:color w:val="000000" w:themeColor="text1"/>
                <w:kern w:val="0"/>
                <w:szCs w:val="21"/>
              </w:rPr>
              <w:t>0.063</w:t>
            </w:r>
            <w:r>
              <w:rPr>
                <w:rFonts w:hint="eastAsia"/>
                <w:color w:val="000000" w:themeColor="text1"/>
                <w:kern w:val="0"/>
                <w:szCs w:val="21"/>
              </w:rPr>
              <w:t>t/a、</w:t>
            </w:r>
            <w:r>
              <w:rPr>
                <w:color w:val="000000" w:themeColor="text1"/>
                <w:kern w:val="0"/>
                <w:szCs w:val="21"/>
              </w:rPr>
              <w:t>NH</w:t>
            </w:r>
            <w:r>
              <w:rPr>
                <w:color w:val="000000" w:themeColor="text1"/>
                <w:kern w:val="0"/>
                <w:szCs w:val="21"/>
                <w:vertAlign w:val="subscript"/>
              </w:rPr>
              <w:t>3</w:t>
            </w:r>
            <w:r>
              <w:rPr>
                <w:color w:val="000000" w:themeColor="text1"/>
                <w:kern w:val="0"/>
                <w:szCs w:val="21"/>
              </w:rPr>
              <w:t>-N</w:t>
            </w:r>
            <w:r>
              <w:rPr>
                <w:rFonts w:hint="eastAsia"/>
                <w:color w:val="000000" w:themeColor="text1"/>
                <w:kern w:val="0"/>
                <w:szCs w:val="21"/>
              </w:rPr>
              <w:t>产生量</w:t>
            </w:r>
            <w:r>
              <w:rPr>
                <w:color w:val="000000" w:themeColor="text1"/>
                <w:kern w:val="0"/>
                <w:szCs w:val="21"/>
              </w:rPr>
              <w:t>0.011</w:t>
            </w:r>
            <w:r>
              <w:rPr>
                <w:rFonts w:hint="eastAsia"/>
                <w:color w:val="000000" w:themeColor="text1"/>
                <w:kern w:val="0"/>
                <w:szCs w:val="21"/>
              </w:rPr>
              <w:t>t/a、</w:t>
            </w:r>
            <w:r>
              <w:rPr>
                <w:color w:val="000000" w:themeColor="text1"/>
                <w:kern w:val="0"/>
                <w:szCs w:val="21"/>
              </w:rPr>
              <w:t>SS</w:t>
            </w:r>
            <w:r>
              <w:rPr>
                <w:rFonts w:hint="eastAsia"/>
                <w:color w:val="000000" w:themeColor="text1"/>
                <w:kern w:val="0"/>
                <w:szCs w:val="21"/>
              </w:rPr>
              <w:t>产生量</w:t>
            </w:r>
            <w:r>
              <w:rPr>
                <w:color w:val="000000" w:themeColor="text1"/>
                <w:kern w:val="0"/>
                <w:szCs w:val="21"/>
              </w:rPr>
              <w:t>0.086</w:t>
            </w:r>
            <w:r>
              <w:rPr>
                <w:rFonts w:hint="eastAsia"/>
                <w:color w:val="000000" w:themeColor="text1"/>
                <w:kern w:val="0"/>
                <w:szCs w:val="21"/>
              </w:rPr>
              <w:t>t/a、</w:t>
            </w:r>
            <w:r>
              <w:rPr>
                <w:color w:val="000000" w:themeColor="text1"/>
                <w:kern w:val="0"/>
                <w:szCs w:val="21"/>
              </w:rPr>
              <w:t>总磷</w:t>
            </w:r>
            <w:r>
              <w:rPr>
                <w:rFonts w:hint="eastAsia"/>
                <w:color w:val="000000" w:themeColor="text1"/>
                <w:kern w:val="0"/>
                <w:szCs w:val="21"/>
              </w:rPr>
              <w:t>产生量</w:t>
            </w:r>
            <w:r>
              <w:rPr>
                <w:color w:val="000000" w:themeColor="text1"/>
                <w:kern w:val="0"/>
                <w:szCs w:val="21"/>
              </w:rPr>
              <w:t>0.002</w:t>
            </w:r>
            <w:r>
              <w:rPr>
                <w:rFonts w:hint="eastAsia"/>
                <w:color w:val="000000" w:themeColor="text1"/>
                <w:kern w:val="0"/>
                <w:szCs w:val="21"/>
              </w:rPr>
              <w:t>t/a、</w:t>
            </w:r>
            <w:r>
              <w:rPr>
                <w:color w:val="000000" w:themeColor="text1"/>
                <w:kern w:val="0"/>
                <w:szCs w:val="21"/>
              </w:rPr>
              <w:t>总氮</w:t>
            </w:r>
            <w:r>
              <w:rPr>
                <w:rFonts w:hint="eastAsia"/>
                <w:color w:val="000000" w:themeColor="text1"/>
                <w:kern w:val="0"/>
                <w:szCs w:val="21"/>
              </w:rPr>
              <w:t>产生量</w:t>
            </w:r>
            <w:r>
              <w:rPr>
                <w:color w:val="000000" w:themeColor="text1"/>
                <w:kern w:val="0"/>
                <w:szCs w:val="21"/>
              </w:rPr>
              <w:t>0.013</w:t>
            </w:r>
            <w:r>
              <w:rPr>
                <w:rFonts w:hint="eastAsia"/>
                <w:color w:val="000000" w:themeColor="text1"/>
                <w:kern w:val="0"/>
                <w:szCs w:val="21"/>
              </w:rPr>
              <w:t>t/a、</w:t>
            </w:r>
            <w:r>
              <w:rPr>
                <w:color w:val="000000" w:themeColor="text1"/>
                <w:kern w:val="0"/>
                <w:szCs w:val="21"/>
              </w:rPr>
              <w:t>阴离子表面活性剂</w:t>
            </w:r>
            <w:r>
              <w:rPr>
                <w:rFonts w:hint="eastAsia"/>
                <w:color w:val="000000" w:themeColor="text1"/>
                <w:kern w:val="0"/>
                <w:szCs w:val="21"/>
              </w:rPr>
              <w:t>产生量</w:t>
            </w:r>
            <w:r>
              <w:rPr>
                <w:color w:val="000000" w:themeColor="text1"/>
                <w:kern w:val="0"/>
                <w:szCs w:val="21"/>
              </w:rPr>
              <w:t>0.005</w:t>
            </w:r>
            <w:r>
              <w:rPr>
                <w:rFonts w:hint="eastAsia"/>
                <w:color w:val="000000" w:themeColor="text1"/>
                <w:kern w:val="0"/>
                <w:szCs w:val="21"/>
              </w:rPr>
              <w:t>t/a，</w:t>
            </w:r>
            <w:r>
              <w:rPr>
                <w:color w:val="000000" w:themeColor="text1"/>
                <w:kern w:val="0"/>
                <w:szCs w:val="21"/>
              </w:rPr>
              <w:t>生活污水先进入1个有效容积为3m³的化粪池预处理，处理后统一进入1套处理能力为3m³/d的一体化污水处理设施处理，处理达到《城市污水再生利用 城市杂用水水质》（GB/T18920-2020）城市绿化标准后，回用于项目区绿化，不外排。</w:t>
            </w:r>
          </w:p>
          <w:p>
            <w:pPr>
              <w:pStyle w:val="40"/>
              <w:ind w:firstLine="480"/>
              <w:rPr>
                <w:color w:val="000000" w:themeColor="text1"/>
                <w:kern w:val="0"/>
                <w:szCs w:val="21"/>
              </w:rPr>
            </w:pPr>
            <w:r>
              <w:rPr>
                <w:rFonts w:hint="eastAsia"/>
                <w:color w:val="000000" w:themeColor="text1"/>
                <w:kern w:val="0"/>
                <w:szCs w:val="21"/>
              </w:rPr>
              <w:t>一期工程</w:t>
            </w:r>
            <w:r>
              <w:rPr>
                <w:color w:val="000000" w:themeColor="text1"/>
                <w:kern w:val="0"/>
                <w:szCs w:val="21"/>
              </w:rPr>
              <w:t>初期雨水</w:t>
            </w:r>
            <w:r>
              <w:rPr>
                <w:rFonts w:hint="eastAsia"/>
                <w:color w:val="000000" w:themeColor="text1"/>
                <w:kern w:val="0"/>
                <w:szCs w:val="21"/>
              </w:rPr>
              <w:t>产生量为6.71</w:t>
            </w:r>
            <w:r>
              <w:rPr>
                <w:color w:val="000000" w:themeColor="text1"/>
                <w:kern w:val="0"/>
                <w:szCs w:val="21"/>
              </w:rPr>
              <w:t>m³/次</w:t>
            </w:r>
            <w:r>
              <w:rPr>
                <w:rFonts w:hint="eastAsia"/>
                <w:color w:val="000000" w:themeColor="text1"/>
                <w:kern w:val="0"/>
                <w:szCs w:val="21"/>
              </w:rPr>
              <w:t>，经1个有效容积为9m³的初期雨水收集池收集；二期工程</w:t>
            </w:r>
            <w:r>
              <w:rPr>
                <w:color w:val="000000" w:themeColor="text1"/>
                <w:kern w:val="0"/>
                <w:szCs w:val="21"/>
              </w:rPr>
              <w:t>初期雨水</w:t>
            </w:r>
            <w:r>
              <w:rPr>
                <w:rFonts w:hint="eastAsia"/>
                <w:color w:val="000000" w:themeColor="text1"/>
                <w:kern w:val="0"/>
                <w:szCs w:val="21"/>
              </w:rPr>
              <w:t>产生量为2.87</w:t>
            </w:r>
            <w:r>
              <w:rPr>
                <w:color w:val="000000" w:themeColor="text1"/>
                <w:kern w:val="0"/>
                <w:szCs w:val="21"/>
              </w:rPr>
              <w:t>m³/次</w:t>
            </w:r>
            <w:r>
              <w:rPr>
                <w:rFonts w:hint="eastAsia"/>
                <w:color w:val="000000" w:themeColor="text1"/>
                <w:kern w:val="0"/>
                <w:szCs w:val="21"/>
              </w:rPr>
              <w:t>，经1个有效容积为5m³的初期雨水收集池收集，初期雨水收集后用于该项目生产用水</w:t>
            </w:r>
            <w:r>
              <w:rPr>
                <w:color w:val="000000" w:themeColor="text1"/>
                <w:kern w:val="0"/>
                <w:szCs w:val="21"/>
              </w:rPr>
              <w:t>，不外排。不设总量控制指标。</w:t>
            </w: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40"/>
              <w:ind w:firstLine="482"/>
              <w:rPr>
                <w:rFonts w:eastAsiaTheme="minorEastAsia"/>
                <w:b/>
                <w:color w:val="000000" w:themeColor="text1"/>
                <w:szCs w:val="24"/>
              </w:rPr>
            </w:pPr>
            <w:r>
              <w:rPr>
                <w:rFonts w:eastAsiaTheme="minorEastAsia"/>
                <w:b/>
                <w:color w:val="000000" w:themeColor="text1"/>
                <w:szCs w:val="24"/>
              </w:rPr>
              <w:t>4.1.1 施工期废气污染防治措施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项目施工期拟采取的扬尘防治措施主要包括：</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尽量避免在大风天气下进行施工作业。根据同类项目工程经验，4级以上大风天气不宜实施土方施工；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（1）建设单位相关要求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督促施工单位按规定做好工地现场PM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浓度达到规定的临界值时，督促施工单位采取相应的应急措施；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t>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（2）施工单位相关要求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t>按规定做好工地现场PM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浓度超过60时，立即采取洒水抑尘+喷雾降尘等综合降尘措施，12h平均PM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浓度超过100时，必须停工整改、加强综合降尘措施；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④</w:t>
            </w:r>
            <w:r>
              <w:rPr>
                <w:rFonts w:ascii="Times New Roman" w:hAnsi="Times New Roman" w:cs="Times New Roman"/>
                <w:color w:val="000000" w:themeColor="text1"/>
                <w:sz w:val="24"/>
                <w:szCs w:val="24"/>
              </w:rPr>
              <w:t>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⑤</w:t>
            </w:r>
            <w:r>
              <w:rPr>
                <w:rFonts w:ascii="Times New Roman" w:hAnsi="Times New Roman" w:cs="Times New Roman"/>
                <w:color w:val="000000" w:themeColor="text1"/>
                <w:sz w:val="24"/>
                <w:szCs w:val="24"/>
              </w:rPr>
              <w:t>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（3）监理单位</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监督施工单位做好工地现场PM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浓度超过临界值时，督促施工单位及时采取应急措施；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④</w:t>
            </w:r>
            <w:r>
              <w:rPr>
                <w:rFonts w:ascii="Times New Roman" w:hAnsi="Times New Roman" w:cs="Times New Roman"/>
                <w:color w:val="000000" w:themeColor="text1"/>
                <w:sz w:val="24"/>
                <w:szCs w:val="24"/>
              </w:rPr>
              <w:t>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⑤</w:t>
            </w:r>
            <w:r>
              <w:rPr>
                <w:rFonts w:ascii="Times New Roman" w:hAnsi="Times New Roman" w:cs="Times New Roman"/>
                <w:color w:val="000000" w:themeColor="text1"/>
                <w:sz w:val="24"/>
                <w:szCs w:val="24"/>
              </w:rPr>
              <w:t>对施工单位扬尘污染防治工作不到位的，予以责令整改，拒不整改或整改不到位的及时上报建设单位和项目监督机构。</w:t>
            </w:r>
          </w:p>
          <w:p>
            <w:pPr>
              <w:pStyle w:val="40"/>
              <w:ind w:firstLine="482"/>
              <w:rPr>
                <w:rFonts w:eastAsiaTheme="minorEastAsia"/>
                <w:b/>
                <w:color w:val="000000" w:themeColor="text1"/>
                <w:szCs w:val="24"/>
              </w:rPr>
            </w:pPr>
            <w:r>
              <w:rPr>
                <w:rFonts w:eastAsiaTheme="minorEastAsia"/>
                <w:b/>
                <w:color w:val="000000" w:themeColor="text1"/>
                <w:szCs w:val="24"/>
              </w:rPr>
              <w:t>4.1.2 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施工期施工人员不在项目区食宿，生活污水仅为洗手污水，施工废水和施工生活污水通过施工场地的临时沉淀池沉淀处理后，回用于施工场地洒水抑尘，不外排。</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项目在雨季施工时容易造成局部水土流失，施工场地雨天产生的地表径流与施工期间天气状况有较大的关系，难以定量分析。该部分废水含有泥沙，直接外排会使周围水体的悬浮物含量增加，甚至还会阻塞排水管网。针对施工地表径流，拟采取措施如下：施工期应按在施工场地内设置临时截洪沟，引排施工场地雨天产生的地表径流水，施工场地地表径流经施工废水沉淀池沉淀后回用，可减少径流水对项目区域地表水体水质的污染。</w:t>
            </w:r>
          </w:p>
          <w:p>
            <w:pPr>
              <w:pStyle w:val="40"/>
              <w:ind w:firstLine="482"/>
              <w:rPr>
                <w:rFonts w:eastAsiaTheme="minorEastAsia"/>
                <w:b/>
                <w:color w:val="000000" w:themeColor="text1"/>
                <w:szCs w:val="24"/>
              </w:rPr>
            </w:pPr>
            <w:r>
              <w:rPr>
                <w:rFonts w:eastAsiaTheme="minorEastAsia"/>
                <w:b/>
                <w:color w:val="000000" w:themeColor="text1"/>
                <w:szCs w:val="24"/>
              </w:rPr>
              <w:t>4.1.3 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加强与周围居民的沟通，避免扰民事件发生。</w:t>
            </w:r>
          </w:p>
          <w:p>
            <w:pPr>
              <w:pStyle w:val="40"/>
              <w:ind w:firstLine="482"/>
              <w:rPr>
                <w:rFonts w:eastAsiaTheme="minorEastAsia"/>
                <w:b/>
                <w:color w:val="000000" w:themeColor="text1"/>
                <w:szCs w:val="24"/>
              </w:rPr>
            </w:pPr>
            <w:r>
              <w:rPr>
                <w:rFonts w:eastAsiaTheme="minorEastAsia"/>
                <w:b/>
                <w:color w:val="000000" w:themeColor="text1"/>
                <w:szCs w:val="24"/>
              </w:rPr>
              <w:t>4.1.4 施工期固体废物污染防治措施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项目施工期产生的固体废弃物主要包括建筑垃圾、废土石方和施工人员产生的生活垃圾。主要采取的施工固废防治措施如下：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建设垃圾包括混凝土块、废木材、废钢材等，严格按照园区的要求，对其进行分类收集，其中废钢材收集后外售废品收购站，其他不能回收部分运至管理部门指定地点进行合理处置。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产生的少量废土石方直接用于场地低洼处平整。</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生活垃圾委托环卫部门清运处置。</w:t>
            </w:r>
          </w:p>
          <w:p>
            <w:pPr>
              <w:pStyle w:val="40"/>
              <w:ind w:firstLine="482"/>
              <w:rPr>
                <w:rFonts w:eastAsiaTheme="minorEastAsia"/>
                <w:b/>
                <w:color w:val="000000" w:themeColor="text1"/>
                <w:szCs w:val="24"/>
              </w:rPr>
            </w:pPr>
            <w:r>
              <w:rPr>
                <w:rFonts w:eastAsiaTheme="minorEastAsia"/>
                <w:b/>
                <w:color w:val="000000" w:themeColor="text1"/>
                <w:szCs w:val="24"/>
              </w:rPr>
              <w:t>4.1.5 施工期生态环境影响防治措施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该项目位于昆明市东川区因民镇牛厂坪村，该项目购买原昆明东川众誉矿业有限责任公司砂厂范围内建设，因此施工期对生态环境影响较小。</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建设内容及生产工艺，项目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废气主要包括砂石骨料生产线堆场扬尘、装卸扬尘、皮带输送过程扬尘和破碎筛分粉尘。具体产排情况核算如下：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①堆场扬尘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分别设置了</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个废石堆场和1个产品堆场（含1#料场、2#料场和3#料场），堆场扬尘</w:t>
            </w:r>
            <w:r>
              <w:rPr>
                <w:rFonts w:hint="eastAsia" w:ascii="Times New Roman" w:hAnsi="Times New Roman" w:cs="Times New Roman"/>
                <w:color w:val="000000" w:themeColor="text1"/>
                <w:sz w:val="24"/>
                <w:szCs w:val="24"/>
              </w:rPr>
              <w:t>包括</w:t>
            </w:r>
            <w:r>
              <w:rPr>
                <w:rFonts w:ascii="Times New Roman" w:hAnsi="Times New Roman" w:cs="Times New Roman"/>
                <w:color w:val="000000" w:themeColor="text1"/>
                <w:sz w:val="24"/>
                <w:szCs w:val="24"/>
              </w:rPr>
              <w:t>废石堆场扬尘和产品堆场扬尘，具体如下：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废石堆场扬尘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工程内容，项目设置了</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个废石堆场，废石在废石堆场堆存过程中会有一定量的扬尘产生，其扬尘产生量受风速、水分含量等多种因素的影响。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本环评采用西安冶金建筑学院的石块、砂料起尘量推荐公式进行计算，公示如下：</w:t>
            </w:r>
          </w:p>
          <w:p>
            <w:pPr>
              <w:spacing w:line="360" w:lineRule="auto"/>
              <w:ind w:firstLine="480" w:firstLineChars="200"/>
              <w:rPr>
                <w:rFonts w:ascii="Times New Roman" w:hAnsi="Times New Roman" w:cs="Times New Roman"/>
                <w:color w:val="000000" w:themeColor="text1"/>
                <w:sz w:val="24"/>
                <w:szCs w:val="24"/>
              </w:rPr>
            </w:pPr>
            <m:oMathPara>
              <m:oMath>
                <m:r>
                  <m:rPr>
                    <m:sty m:val="p"/>
                  </m:rPr>
                  <w:rPr>
                    <w:rFonts w:ascii="Cambria Math" w:hAnsi="Times New Roman" w:cs="Times New Roman"/>
                    <w:color w:val="000000" w:themeColor="text1"/>
                    <w:sz w:val="24"/>
                    <w:szCs w:val="24"/>
                  </w:rPr>
                  <m:t>Q</m:t>
                </m:r>
                <m:sSup>
                  <m:sSupPr>
                    <m:ctrlPr>
                      <w:rPr>
                        <w:rFonts w:ascii="Cambria Math" w:hAnsi="Times New Roman" w:cs="Times New Roman"/>
                        <w:color w:val="000000" w:themeColor="text1"/>
                        <w:sz w:val="24"/>
                        <w:szCs w:val="24"/>
                      </w:rPr>
                    </m:ctrlPr>
                  </m:sSupPr>
                  <m:e>
                    <m:r>
                      <m:rPr>
                        <m:sty m:val="p"/>
                      </m:rPr>
                      <w:rPr>
                        <w:rFonts w:ascii="Cambria Math" w:hAnsi="Times New Roman" w:cs="Times New Roman"/>
                        <w:color w:val="000000" w:themeColor="text1"/>
                        <w:sz w:val="24"/>
                        <w:szCs w:val="24"/>
                      </w:rPr>
                      <m:t>=4.23×10</m:t>
                    </m:r>
                    <m:ctrlPr>
                      <w:rPr>
                        <w:rFonts w:ascii="Cambria Math" w:hAnsi="Times New Roman" w:cs="Times New Roman"/>
                        <w:color w:val="000000" w:themeColor="text1"/>
                        <w:sz w:val="24"/>
                        <w:szCs w:val="24"/>
                      </w:rPr>
                    </m:ctrlPr>
                  </m:e>
                  <m:sup>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sup>
                </m:sSup>
                <m:r>
                  <m:rPr>
                    <m:sty m:val="p"/>
                  </m:rPr>
                  <w:rPr>
                    <w:rFonts w:ascii="Times New Roman" w:hAnsi="Times New Roman" w:cs="Times New Roman"/>
                    <w:color w:val="000000" w:themeColor="text1"/>
                    <w:sz w:val="24"/>
                    <w:szCs w:val="24"/>
                  </w:rPr>
                  <m:t>×</m:t>
                </m:r>
                <m:sSup>
                  <m:sSupPr>
                    <m:ctrlPr>
                      <w:rPr>
                        <w:rFonts w:ascii="Cambria Math" w:hAnsi="Times New Roman" w:cs="Times New Roman"/>
                        <w:color w:val="000000" w:themeColor="text1"/>
                        <w:sz w:val="24"/>
                        <w:szCs w:val="24"/>
                      </w:rPr>
                    </m:ctrlPr>
                  </m:sSupPr>
                  <m:e>
                    <m:r>
                      <m:rPr>
                        <m:sty m:val="p"/>
                      </m:rPr>
                      <w:rPr>
                        <w:rFonts w:ascii="Cambria Math" w:hAnsi="Times New Roman" w:cs="Times New Roman"/>
                        <w:color w:val="000000" w:themeColor="text1"/>
                        <w:sz w:val="24"/>
                        <w:szCs w:val="24"/>
                      </w:rPr>
                      <m:t>V</m:t>
                    </m:r>
                    <m:ctrlPr>
                      <w:rPr>
                        <w:rFonts w:ascii="Cambria Math" w:hAnsi="Times New Roman" w:cs="Times New Roman"/>
                        <w:color w:val="000000" w:themeColor="text1"/>
                        <w:sz w:val="24"/>
                        <w:szCs w:val="24"/>
                      </w:rPr>
                    </m:ctrlPr>
                  </m:e>
                  <m:sup>
                    <m:r>
                      <m:rPr>
                        <m:sty m:val="p"/>
                      </m:rPr>
                      <w:rPr>
                        <w:rFonts w:ascii="Cambria Math" w:hAnsi="Times New Roman" w:cs="Times New Roman"/>
                        <w:color w:val="000000" w:themeColor="text1"/>
                        <w:sz w:val="24"/>
                        <w:szCs w:val="24"/>
                      </w:rPr>
                      <m:t>4.9</m:t>
                    </m:r>
                    <m:ctrlPr>
                      <w:rPr>
                        <w:rFonts w:ascii="Cambria Math" w:hAnsi="Times New Roman" w:cs="Times New Roman"/>
                        <w:color w:val="000000" w:themeColor="text1"/>
                        <w:sz w:val="24"/>
                        <w:szCs w:val="24"/>
                      </w:rPr>
                    </m:ctrlPr>
                  </m:sup>
                </m:sSup>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S</m:t>
                </m:r>
              </m:oMath>
            </m:oMathPara>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式中：Q--起尘量，（mg/s）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V--当地风速，（m/s）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S--堆场面积，（m²）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根据设计，项目拟设置的废石堆场建筑面积约为500m²</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当地平均风速约为3.4m/s；经计算，该项目废石堆场扬尘产生量约为</w:t>
            </w:r>
            <w:r>
              <w:rPr>
                <w:rFonts w:hint="eastAsia" w:ascii="Times New Roman" w:hAnsi="Times New Roman" w:cs="Times New Roman"/>
                <w:color w:val="000000" w:themeColor="text1"/>
                <w:sz w:val="24"/>
                <w:szCs w:val="24"/>
              </w:rPr>
              <w:t>2.20</w:t>
            </w:r>
            <w:r>
              <w:rPr>
                <w:rFonts w:ascii="Times New Roman" w:hAnsi="Times New Roman" w:cs="Times New Roman"/>
                <w:color w:val="000000" w:themeColor="text1"/>
                <w:sz w:val="24"/>
                <w:szCs w:val="24"/>
              </w:rPr>
              <w:t>t/a；为了降低堆场的扬尘，对废石堆场除车辆进出区域，其他区域均设置不低于物料堆存高度围挡和顶棚，其扬尘抑制率约为80%，则废石堆场堆存扬尘排放量为</w:t>
            </w:r>
            <w:r>
              <w:rPr>
                <w:rFonts w:hint="eastAsia" w:ascii="Times New Roman" w:hAnsi="Times New Roman" w:cs="Times New Roman"/>
                <w:color w:val="000000" w:themeColor="text1"/>
                <w:sz w:val="24"/>
                <w:szCs w:val="24"/>
              </w:rPr>
              <w:t>0.44</w:t>
            </w:r>
            <w:r>
              <w:rPr>
                <w:rFonts w:ascii="Times New Roman" w:hAnsi="Times New Roman" w:cs="Times New Roman"/>
                <w:color w:val="000000" w:themeColor="text1"/>
                <w:sz w:val="24"/>
                <w:szCs w:val="24"/>
              </w:rPr>
              <w:t>t/a；为无组织排放。</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产品堆场扬尘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工程内容，项目设置了1个产品堆场（含1#料场、2#料场和3#料场），砂石骨料在产品堆场堆存过程中会有一定量的扬尘产生，其扬尘产生量受风速、水分含量等多种因素的影响。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本环评采用西安冶金建筑学院的石块、砂料起尘量推荐公式进行计算，公示如下：</w:t>
            </w:r>
          </w:p>
          <w:p>
            <w:pPr>
              <w:spacing w:line="360" w:lineRule="auto"/>
              <w:ind w:firstLine="480" w:firstLineChars="200"/>
              <w:rPr>
                <w:rFonts w:ascii="Times New Roman" w:hAnsi="Times New Roman" w:cs="Times New Roman"/>
                <w:color w:val="000000" w:themeColor="text1"/>
                <w:sz w:val="24"/>
                <w:szCs w:val="24"/>
              </w:rPr>
            </w:pPr>
            <m:oMathPara>
              <m:oMath>
                <m:r>
                  <m:rPr>
                    <m:sty m:val="p"/>
                  </m:rPr>
                  <w:rPr>
                    <w:rFonts w:ascii="Cambria Math" w:hAnsi="Times New Roman" w:cs="Times New Roman"/>
                    <w:color w:val="000000" w:themeColor="text1"/>
                    <w:sz w:val="24"/>
                    <w:szCs w:val="24"/>
                  </w:rPr>
                  <m:t>Q</m:t>
                </m:r>
                <m:sSup>
                  <m:sSupPr>
                    <m:ctrlPr>
                      <w:rPr>
                        <w:rFonts w:ascii="Cambria Math" w:hAnsi="Times New Roman" w:cs="Times New Roman"/>
                        <w:color w:val="000000" w:themeColor="text1"/>
                        <w:sz w:val="24"/>
                        <w:szCs w:val="24"/>
                      </w:rPr>
                    </m:ctrlPr>
                  </m:sSupPr>
                  <m:e>
                    <m:r>
                      <m:rPr>
                        <m:sty m:val="p"/>
                      </m:rPr>
                      <w:rPr>
                        <w:rFonts w:ascii="Cambria Math" w:hAnsi="Times New Roman" w:cs="Times New Roman"/>
                        <w:color w:val="000000" w:themeColor="text1"/>
                        <w:sz w:val="24"/>
                        <w:szCs w:val="24"/>
                      </w:rPr>
                      <m:t>=4.23×10</m:t>
                    </m:r>
                    <m:ctrlPr>
                      <w:rPr>
                        <w:rFonts w:ascii="Cambria Math" w:hAnsi="Times New Roman" w:cs="Times New Roman"/>
                        <w:color w:val="000000" w:themeColor="text1"/>
                        <w:sz w:val="24"/>
                        <w:szCs w:val="24"/>
                      </w:rPr>
                    </m:ctrlPr>
                  </m:e>
                  <m:sup>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sup>
                </m:sSup>
                <m:r>
                  <m:rPr>
                    <m:sty m:val="p"/>
                  </m:rPr>
                  <w:rPr>
                    <w:rFonts w:ascii="Times New Roman" w:hAnsi="Times New Roman" w:cs="Times New Roman"/>
                    <w:color w:val="000000" w:themeColor="text1"/>
                    <w:sz w:val="24"/>
                    <w:szCs w:val="24"/>
                  </w:rPr>
                  <m:t>×</m:t>
                </m:r>
                <m:sSup>
                  <m:sSupPr>
                    <m:ctrlPr>
                      <w:rPr>
                        <w:rFonts w:ascii="Cambria Math" w:hAnsi="Times New Roman" w:cs="Times New Roman"/>
                        <w:color w:val="000000" w:themeColor="text1"/>
                        <w:sz w:val="24"/>
                        <w:szCs w:val="24"/>
                      </w:rPr>
                    </m:ctrlPr>
                  </m:sSupPr>
                  <m:e>
                    <m:r>
                      <m:rPr>
                        <m:sty m:val="p"/>
                      </m:rPr>
                      <w:rPr>
                        <w:rFonts w:ascii="Cambria Math" w:hAnsi="Times New Roman" w:cs="Times New Roman"/>
                        <w:color w:val="000000" w:themeColor="text1"/>
                        <w:sz w:val="24"/>
                        <w:szCs w:val="24"/>
                      </w:rPr>
                      <m:t>V</m:t>
                    </m:r>
                    <m:ctrlPr>
                      <w:rPr>
                        <w:rFonts w:ascii="Cambria Math" w:hAnsi="Times New Roman" w:cs="Times New Roman"/>
                        <w:color w:val="000000" w:themeColor="text1"/>
                        <w:sz w:val="24"/>
                        <w:szCs w:val="24"/>
                      </w:rPr>
                    </m:ctrlPr>
                  </m:e>
                  <m:sup>
                    <m:r>
                      <m:rPr>
                        <m:sty m:val="p"/>
                      </m:rPr>
                      <w:rPr>
                        <w:rFonts w:ascii="Cambria Math" w:hAnsi="Times New Roman" w:cs="Times New Roman"/>
                        <w:color w:val="000000" w:themeColor="text1"/>
                        <w:sz w:val="24"/>
                        <w:szCs w:val="24"/>
                      </w:rPr>
                      <m:t>4.9</m:t>
                    </m:r>
                    <m:ctrlPr>
                      <w:rPr>
                        <w:rFonts w:ascii="Cambria Math" w:hAnsi="Times New Roman" w:cs="Times New Roman"/>
                        <w:color w:val="000000" w:themeColor="text1"/>
                        <w:sz w:val="24"/>
                        <w:szCs w:val="24"/>
                      </w:rPr>
                    </m:ctrlPr>
                  </m:sup>
                </m:sSup>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S</m:t>
                </m:r>
              </m:oMath>
            </m:oMathPara>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式中：Q--起尘量，（mg/s）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V--当地风速，（m/s）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S--堆场面积，（m²）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拟设置的产品堆场（含1#料场、2#料场和3#料场）建筑面积合计为1790m²，当地平均风速约为3.4m/s；经计算，该项目产品堆场扬尘产生量约为7.89t/a；为了降低堆场的扬尘，对产品堆场除车辆进出区域，其他区域均设置不低于物料堆存高度围挡和顶棚，其扬尘抑制率约为80%，则产品堆场堆存扬尘排放量为1.58t/a；为无组织排放。</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堆场扬尘产生量为</w:t>
            </w:r>
            <w:r>
              <w:rPr>
                <w:rFonts w:hint="eastAsia" w:ascii="Times New Roman" w:hAnsi="Times New Roman" w:cs="Times New Roman"/>
                <w:color w:val="000000" w:themeColor="text1"/>
                <w:sz w:val="24"/>
                <w:szCs w:val="24"/>
              </w:rPr>
              <w:t>10.09</w:t>
            </w:r>
            <w:r>
              <w:rPr>
                <w:rFonts w:ascii="Times New Roman" w:hAnsi="Times New Roman" w:cs="Times New Roman"/>
                <w:color w:val="000000" w:themeColor="text1"/>
                <w:sz w:val="24"/>
                <w:szCs w:val="24"/>
              </w:rPr>
              <w:t>t/a，排放量为</w:t>
            </w:r>
            <w:r>
              <w:rPr>
                <w:rFonts w:hint="eastAsia"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②装卸扬尘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装卸扬尘包括废石装卸扬尘和砂石骨料装卸扬尘。</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废石装卸扬尘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废石运输至项目区后卸入堆场并采装、运输过程均会产生一定量的扬尘，项目废石利用量为90万t/a，参考《逸散性工业粉尘控制技术》中“矿物的开采”中的卡车装料作业的逸散尘排放因子，碎石（前端式装载机）为0.025kg/t（卸料），则废石装卸扬尘产生量为22.5t/a，针对废石装卸扬尘，废石卸料均在废石堆场，废石堆场除车辆进出区域，其他区域均设置不低于物料堆存高度围挡和顶棚，并配套1台雾炮机对厂区内废矿石采装、卸料及运输过程扬尘进行洒水抑尘，其扬尘抑制率约为80%，则废石卸料扬尘排放量为4.5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砂石骨料装卸扬尘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砂石骨料在产品堆场采装运输过程均会产生一定量的扬尘，项目砂石骨料生产量为90万t/a，参考《逸散性工业粉尘控制技术》中“砖和粘土产品制造厂逸散尘的排放因子”中的卡车卸料排放因子为0.02kg/t（卸料），则砂石骨料装卸扬尘产生量为18t/a，针对砂石骨料装卸扬尘，砂石骨料卸料均在产品堆场，产品堆场除车辆进出区域，其他区域均设置不低于物料堆存高度围挡和顶棚，且项目生产的砂石骨料含水率较高，因此其其扬尘抑制率约为80%，则砂石骨料卸料扬尘排放量为3.5t/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装卸扬尘产生量为40.5t/a，排放量为8t/a。</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③</w:t>
            </w:r>
            <w:r>
              <w:rPr>
                <w:rFonts w:ascii="Times New Roman" w:hAnsi="Times New Roman" w:cs="Times New Roman"/>
                <w:b/>
                <w:color w:val="000000" w:themeColor="text1"/>
                <w:sz w:val="24"/>
                <w:szCs w:val="24"/>
              </w:rPr>
              <w:t>皮带输送过程扬尘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艺流程，项目物料在各工段之间皮带运输过程会产生少量的粉尘，其产生量主要取决于物料含水率和室内风速，无法对其进行定量计算，为降低扬尘对环境的影响，各工段之间的粉料运输均采用皮带密闭运输，则物料输送过程扬尘排放量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④破碎筛分粉尘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生产工艺，破碎筛分粉尘包括砂石骨料一段筛分、鄂破、反击破、二段筛分、球磨和制砂等六个环节。项目砂石骨料属于C3039 其他建筑材料制造项目，根据《排放源统计调查产排污核算方法和系数手册》中“303砖瓦、石材等建筑材料制造行业系数手册”中“3039其他建筑材料制造”颗粒物的产污系数如下表所示。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表4.2.1-1   3039其他建筑材料制造行业系数表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9"/>
              <w:gridCol w:w="1096"/>
              <w:gridCol w:w="993"/>
              <w:gridCol w:w="708"/>
              <w:gridCol w:w="709"/>
              <w:gridCol w:w="709"/>
              <w:gridCol w:w="992"/>
              <w:gridCol w:w="851"/>
              <w:gridCol w:w="1154"/>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9" w:type="dxa"/>
                  <w:vAlign w:val="center"/>
                </w:tcPr>
                <w:p>
                  <w:pPr>
                    <w:pStyle w:val="32"/>
                    <w:spacing w:line="360" w:lineRule="exact"/>
                    <w:rPr>
                      <w:color w:val="000000" w:themeColor="text1"/>
                      <w:szCs w:val="21"/>
                    </w:rPr>
                  </w:pPr>
                  <w:r>
                    <w:rPr>
                      <w:color w:val="000000" w:themeColor="text1"/>
                      <w:szCs w:val="21"/>
                    </w:rPr>
                    <w:t>工段名称</w:t>
                  </w:r>
                </w:p>
              </w:tc>
              <w:tc>
                <w:tcPr>
                  <w:tcW w:w="1096" w:type="dxa"/>
                  <w:vAlign w:val="center"/>
                </w:tcPr>
                <w:p>
                  <w:pPr>
                    <w:pStyle w:val="32"/>
                    <w:spacing w:line="360" w:lineRule="exact"/>
                    <w:rPr>
                      <w:color w:val="000000" w:themeColor="text1"/>
                      <w:szCs w:val="21"/>
                    </w:rPr>
                  </w:pPr>
                  <w:r>
                    <w:rPr>
                      <w:color w:val="000000" w:themeColor="text1"/>
                      <w:szCs w:val="21"/>
                    </w:rPr>
                    <w:t>产品名称</w:t>
                  </w:r>
                </w:p>
              </w:tc>
              <w:tc>
                <w:tcPr>
                  <w:tcW w:w="993" w:type="dxa"/>
                  <w:vAlign w:val="center"/>
                </w:tcPr>
                <w:p>
                  <w:pPr>
                    <w:pStyle w:val="32"/>
                    <w:spacing w:line="360" w:lineRule="exact"/>
                    <w:rPr>
                      <w:color w:val="000000" w:themeColor="text1"/>
                      <w:szCs w:val="21"/>
                    </w:rPr>
                  </w:pPr>
                  <w:r>
                    <w:rPr>
                      <w:color w:val="000000" w:themeColor="text1"/>
                      <w:szCs w:val="21"/>
                    </w:rPr>
                    <w:t>工艺名称</w:t>
                  </w:r>
                </w:p>
              </w:tc>
              <w:tc>
                <w:tcPr>
                  <w:tcW w:w="708" w:type="dxa"/>
                  <w:vAlign w:val="center"/>
                </w:tcPr>
                <w:p>
                  <w:pPr>
                    <w:pStyle w:val="32"/>
                    <w:spacing w:line="360" w:lineRule="exact"/>
                    <w:rPr>
                      <w:color w:val="000000" w:themeColor="text1"/>
                      <w:szCs w:val="21"/>
                    </w:rPr>
                  </w:pPr>
                  <w:r>
                    <w:rPr>
                      <w:color w:val="000000" w:themeColor="text1"/>
                      <w:szCs w:val="21"/>
                    </w:rPr>
                    <w:t>规模等级</w:t>
                  </w:r>
                </w:p>
              </w:tc>
              <w:tc>
                <w:tcPr>
                  <w:tcW w:w="1418" w:type="dxa"/>
                  <w:gridSpan w:val="2"/>
                  <w:vAlign w:val="center"/>
                </w:tcPr>
                <w:p>
                  <w:pPr>
                    <w:pStyle w:val="32"/>
                    <w:spacing w:line="360" w:lineRule="exact"/>
                    <w:rPr>
                      <w:color w:val="000000" w:themeColor="text1"/>
                      <w:szCs w:val="21"/>
                    </w:rPr>
                  </w:pPr>
                  <w:r>
                    <w:rPr>
                      <w:color w:val="000000" w:themeColor="text1"/>
                      <w:szCs w:val="21"/>
                    </w:rPr>
                    <w:t>污染物指标</w:t>
                  </w:r>
                </w:p>
              </w:tc>
              <w:tc>
                <w:tcPr>
                  <w:tcW w:w="992" w:type="dxa"/>
                  <w:vAlign w:val="center"/>
                </w:tcPr>
                <w:p>
                  <w:pPr>
                    <w:pStyle w:val="32"/>
                    <w:spacing w:line="360" w:lineRule="exact"/>
                    <w:rPr>
                      <w:color w:val="000000" w:themeColor="text1"/>
                      <w:szCs w:val="21"/>
                    </w:rPr>
                  </w:pPr>
                  <w:r>
                    <w:rPr>
                      <w:color w:val="000000" w:themeColor="text1"/>
                      <w:szCs w:val="21"/>
                    </w:rPr>
                    <w:t>系数单位</w:t>
                  </w:r>
                </w:p>
              </w:tc>
              <w:tc>
                <w:tcPr>
                  <w:tcW w:w="851" w:type="dxa"/>
                  <w:vAlign w:val="center"/>
                </w:tcPr>
                <w:p>
                  <w:pPr>
                    <w:pStyle w:val="32"/>
                    <w:spacing w:line="360" w:lineRule="exact"/>
                    <w:rPr>
                      <w:color w:val="000000" w:themeColor="text1"/>
                      <w:szCs w:val="21"/>
                    </w:rPr>
                  </w:pPr>
                  <w:r>
                    <w:rPr>
                      <w:color w:val="000000" w:themeColor="text1"/>
                      <w:szCs w:val="21"/>
                    </w:rPr>
                    <w:t>产污系数</w:t>
                  </w:r>
                </w:p>
              </w:tc>
              <w:tc>
                <w:tcPr>
                  <w:tcW w:w="1154" w:type="dxa"/>
                  <w:vAlign w:val="center"/>
                </w:tcPr>
                <w:p>
                  <w:pPr>
                    <w:pStyle w:val="32"/>
                    <w:spacing w:line="360" w:lineRule="exact"/>
                    <w:rPr>
                      <w:color w:val="000000" w:themeColor="text1"/>
                      <w:szCs w:val="21"/>
                    </w:rPr>
                  </w:pPr>
                  <w:r>
                    <w:rPr>
                      <w:color w:val="000000" w:themeColor="text1"/>
                      <w:szCs w:val="21"/>
                    </w:rPr>
                    <w:t>末端治理技术</w:t>
                  </w:r>
                </w:p>
              </w:tc>
              <w:tc>
                <w:tcPr>
                  <w:tcW w:w="904" w:type="dxa"/>
                  <w:vAlign w:val="center"/>
                </w:tcPr>
                <w:p>
                  <w:pPr>
                    <w:pStyle w:val="32"/>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2" w:hRule="atLeast"/>
              </w:trPr>
              <w:tc>
                <w:tcPr>
                  <w:tcW w:w="489" w:type="dxa"/>
                  <w:vMerge w:val="restart"/>
                  <w:vAlign w:val="center"/>
                </w:tcPr>
                <w:p>
                  <w:pPr>
                    <w:pStyle w:val="32"/>
                    <w:spacing w:line="360" w:lineRule="exact"/>
                    <w:rPr>
                      <w:color w:val="000000" w:themeColor="text1"/>
                      <w:szCs w:val="21"/>
                    </w:rPr>
                  </w:pPr>
                  <w:r>
                    <w:rPr>
                      <w:color w:val="000000" w:themeColor="text1"/>
                      <w:szCs w:val="21"/>
                    </w:rPr>
                    <w:t>/</w:t>
                  </w:r>
                </w:p>
              </w:tc>
              <w:tc>
                <w:tcPr>
                  <w:tcW w:w="1096" w:type="dxa"/>
                  <w:vMerge w:val="restart"/>
                  <w:vAlign w:val="center"/>
                </w:tcPr>
                <w:p>
                  <w:pPr>
                    <w:pStyle w:val="32"/>
                    <w:spacing w:line="360" w:lineRule="exact"/>
                    <w:rPr>
                      <w:color w:val="000000" w:themeColor="text1"/>
                      <w:szCs w:val="21"/>
                    </w:rPr>
                  </w:pPr>
                  <w:r>
                    <w:rPr>
                      <w:color w:val="000000" w:themeColor="text1"/>
                      <w:szCs w:val="21"/>
                    </w:rPr>
                    <w:t>砂石骨料</w:t>
                  </w:r>
                </w:p>
              </w:tc>
              <w:tc>
                <w:tcPr>
                  <w:tcW w:w="993" w:type="dxa"/>
                  <w:vMerge w:val="restart"/>
                  <w:vAlign w:val="center"/>
                </w:tcPr>
                <w:p>
                  <w:pPr>
                    <w:pStyle w:val="32"/>
                    <w:spacing w:line="360" w:lineRule="exact"/>
                    <w:rPr>
                      <w:color w:val="000000" w:themeColor="text1"/>
                      <w:szCs w:val="21"/>
                    </w:rPr>
                  </w:pPr>
                  <w:r>
                    <w:rPr>
                      <w:color w:val="000000" w:themeColor="text1"/>
                      <w:szCs w:val="21"/>
                    </w:rPr>
                    <w:t>岩石、矿石、建筑固体废弃物、尾矿等</w:t>
                  </w:r>
                </w:p>
              </w:tc>
              <w:tc>
                <w:tcPr>
                  <w:tcW w:w="708" w:type="dxa"/>
                  <w:vMerge w:val="restart"/>
                  <w:vAlign w:val="center"/>
                </w:tcPr>
                <w:p>
                  <w:pPr>
                    <w:pStyle w:val="32"/>
                    <w:spacing w:line="360" w:lineRule="exact"/>
                    <w:rPr>
                      <w:color w:val="000000" w:themeColor="text1"/>
                      <w:szCs w:val="21"/>
                    </w:rPr>
                  </w:pPr>
                  <w:r>
                    <w:rPr>
                      <w:color w:val="000000" w:themeColor="text1"/>
                      <w:szCs w:val="21"/>
                    </w:rPr>
                    <w:t>所有规模</w:t>
                  </w:r>
                </w:p>
              </w:tc>
              <w:tc>
                <w:tcPr>
                  <w:tcW w:w="709" w:type="dxa"/>
                  <w:vMerge w:val="restart"/>
                  <w:vAlign w:val="center"/>
                </w:tcPr>
                <w:p>
                  <w:pPr>
                    <w:pStyle w:val="32"/>
                    <w:spacing w:line="360" w:lineRule="exact"/>
                    <w:rPr>
                      <w:color w:val="000000" w:themeColor="text1"/>
                      <w:szCs w:val="21"/>
                    </w:rPr>
                  </w:pPr>
                  <w:r>
                    <w:rPr>
                      <w:color w:val="000000" w:themeColor="text1"/>
                      <w:szCs w:val="21"/>
                    </w:rPr>
                    <w:t>废气</w:t>
                  </w:r>
                </w:p>
              </w:tc>
              <w:tc>
                <w:tcPr>
                  <w:tcW w:w="709" w:type="dxa"/>
                  <w:vMerge w:val="restart"/>
                  <w:vAlign w:val="center"/>
                </w:tcPr>
                <w:p>
                  <w:pPr>
                    <w:pStyle w:val="32"/>
                    <w:spacing w:line="360" w:lineRule="exact"/>
                    <w:rPr>
                      <w:color w:val="000000" w:themeColor="text1"/>
                      <w:szCs w:val="21"/>
                    </w:rPr>
                  </w:pPr>
                  <w:r>
                    <w:rPr>
                      <w:color w:val="000000" w:themeColor="text1"/>
                      <w:szCs w:val="21"/>
                    </w:rPr>
                    <w:t>颗粒物</w:t>
                  </w:r>
                </w:p>
              </w:tc>
              <w:tc>
                <w:tcPr>
                  <w:tcW w:w="992" w:type="dxa"/>
                  <w:vMerge w:val="restart"/>
                  <w:vAlign w:val="center"/>
                </w:tcPr>
                <w:p>
                  <w:pPr>
                    <w:pStyle w:val="32"/>
                    <w:spacing w:line="360" w:lineRule="exact"/>
                    <w:rPr>
                      <w:color w:val="000000" w:themeColor="text1"/>
                      <w:szCs w:val="21"/>
                    </w:rPr>
                  </w:pPr>
                  <w:r>
                    <w:rPr>
                      <w:color w:val="000000" w:themeColor="text1"/>
                      <w:szCs w:val="21"/>
                    </w:rPr>
                    <w:t>千克/吨-产品</w:t>
                  </w:r>
                </w:p>
              </w:tc>
              <w:tc>
                <w:tcPr>
                  <w:tcW w:w="851" w:type="dxa"/>
                  <w:vMerge w:val="restart"/>
                  <w:vAlign w:val="center"/>
                </w:tcPr>
                <w:p>
                  <w:pPr>
                    <w:pStyle w:val="32"/>
                    <w:spacing w:line="360" w:lineRule="exact"/>
                    <w:rPr>
                      <w:color w:val="000000" w:themeColor="text1"/>
                      <w:szCs w:val="21"/>
                    </w:rPr>
                  </w:pPr>
                  <w:r>
                    <w:rPr>
                      <w:color w:val="000000" w:themeColor="text1"/>
                      <w:szCs w:val="21"/>
                    </w:rPr>
                    <w:t>1.89</w:t>
                  </w:r>
                </w:p>
              </w:tc>
              <w:tc>
                <w:tcPr>
                  <w:tcW w:w="1154"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袋式除尘</w:t>
                  </w:r>
                </w:p>
              </w:tc>
              <w:tc>
                <w:tcPr>
                  <w:tcW w:w="904"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7" w:hRule="atLeast"/>
              </w:trPr>
              <w:tc>
                <w:tcPr>
                  <w:tcW w:w="489" w:type="dxa"/>
                  <w:vMerge w:val="continue"/>
                  <w:vAlign w:val="center"/>
                </w:tcPr>
                <w:p>
                  <w:pPr>
                    <w:pStyle w:val="32"/>
                    <w:spacing w:line="360" w:lineRule="exact"/>
                    <w:rPr>
                      <w:color w:val="000000" w:themeColor="text1"/>
                      <w:szCs w:val="21"/>
                    </w:rPr>
                  </w:pPr>
                </w:p>
              </w:tc>
              <w:tc>
                <w:tcPr>
                  <w:tcW w:w="1096" w:type="dxa"/>
                  <w:vMerge w:val="continue"/>
                  <w:vAlign w:val="center"/>
                </w:tcPr>
                <w:p>
                  <w:pPr>
                    <w:pStyle w:val="32"/>
                    <w:spacing w:line="360" w:lineRule="exact"/>
                    <w:rPr>
                      <w:color w:val="000000" w:themeColor="text1"/>
                      <w:szCs w:val="21"/>
                    </w:rPr>
                  </w:pPr>
                </w:p>
              </w:tc>
              <w:tc>
                <w:tcPr>
                  <w:tcW w:w="993"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115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湿式除尘</w:t>
                  </w:r>
                </w:p>
              </w:tc>
              <w:tc>
                <w:tcPr>
                  <w:tcW w:w="90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4" w:hRule="atLeast"/>
              </w:trPr>
              <w:tc>
                <w:tcPr>
                  <w:tcW w:w="489" w:type="dxa"/>
                  <w:vMerge w:val="continue"/>
                  <w:vAlign w:val="center"/>
                </w:tcPr>
                <w:p>
                  <w:pPr>
                    <w:pStyle w:val="32"/>
                    <w:spacing w:line="360" w:lineRule="exact"/>
                    <w:rPr>
                      <w:color w:val="000000" w:themeColor="text1"/>
                      <w:szCs w:val="21"/>
                    </w:rPr>
                  </w:pPr>
                </w:p>
              </w:tc>
              <w:tc>
                <w:tcPr>
                  <w:tcW w:w="1096" w:type="dxa"/>
                  <w:vMerge w:val="continue"/>
                  <w:vAlign w:val="center"/>
                </w:tcPr>
                <w:p>
                  <w:pPr>
                    <w:pStyle w:val="32"/>
                    <w:spacing w:line="360" w:lineRule="exact"/>
                    <w:rPr>
                      <w:color w:val="000000" w:themeColor="text1"/>
                      <w:szCs w:val="21"/>
                    </w:rPr>
                  </w:pPr>
                </w:p>
              </w:tc>
              <w:tc>
                <w:tcPr>
                  <w:tcW w:w="993"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115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其他</w:t>
                  </w:r>
                </w:p>
              </w:tc>
              <w:tc>
                <w:tcPr>
                  <w:tcW w:w="90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 w:hRule="atLeast"/>
              </w:trPr>
              <w:tc>
                <w:tcPr>
                  <w:tcW w:w="8605" w:type="dxa"/>
                  <w:gridSpan w:val="10"/>
                  <w:vAlign w:val="center"/>
                </w:tcPr>
                <w:p>
                  <w:pPr>
                    <w:pStyle w:val="32"/>
                    <w:spacing w:line="360" w:lineRule="exact"/>
                    <w:ind w:firstLine="210" w:firstLineChars="100"/>
                    <w:jc w:val="left"/>
                    <w:rPr>
                      <w:color w:val="000000" w:themeColor="text1"/>
                      <w:szCs w:val="21"/>
                    </w:rPr>
                  </w:pPr>
                  <w:r>
                    <w:rPr>
                      <w:color w:val="000000" w:themeColor="text1"/>
                      <w:szCs w:val="21"/>
                    </w:rPr>
                    <w:t>末端治理技术“其他”指喷雾降尘、机械除尘等。</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上表可知，项目砂石骨料年产量为90万t/a，则各破碎筛分工段粉尘产生量为1701t/a，项目为降低破碎筛分粉尘产生，拟对一段筛分、鄂破、反击破、二段筛分、球磨和制砂等六个环节均采用加水作业，加水量较大，其处理效率大于湿式除尘+喷雾降尘组合，则实际除尘效率约为98%，则破碎筛分粉尘排放量为34.02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㈡</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二期工程</w:t>
            </w:r>
            <w:r>
              <w:rPr>
                <w:rFonts w:ascii="Times New Roman" w:hAnsi="Times New Roman" w:cs="Times New Roman"/>
                <w:b/>
                <w:color w:val="000000" w:themeColor="text1"/>
                <w:sz w:val="24"/>
                <w:szCs w:val="24"/>
              </w:rPr>
              <w:t>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建设内容及生产工艺，项目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废气主要包括水泥砖生产线水泥仓粉尘和搅拌混合粉尘。具体产排情况核算如下：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水泥仓粉尘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水泥砖生产线拟设置1个100t水泥仓对水泥砖生产用水泥进行罐装，水泥在装卸、储存、输送过程会产生一定量粉尘。水泥砖属于C3021 水泥制品制造，根据《排放源统计调查产排污核算方法和系数手册》中“C3021 水泥制品制造行业系数手册”物料输送储存过程颗粒物产污系数如下表所示。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表4.2.1-2   3021 水泥制品制造行业系数表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9"/>
              <w:gridCol w:w="664"/>
              <w:gridCol w:w="858"/>
              <w:gridCol w:w="708"/>
              <w:gridCol w:w="709"/>
              <w:gridCol w:w="567"/>
              <w:gridCol w:w="709"/>
              <w:gridCol w:w="1134"/>
              <w:gridCol w:w="709"/>
              <w:gridCol w:w="1154"/>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9" w:type="dxa"/>
                  <w:vAlign w:val="center"/>
                </w:tcPr>
                <w:p>
                  <w:pPr>
                    <w:pStyle w:val="32"/>
                    <w:spacing w:line="360" w:lineRule="exact"/>
                    <w:rPr>
                      <w:color w:val="000000" w:themeColor="text1"/>
                      <w:szCs w:val="21"/>
                    </w:rPr>
                  </w:pPr>
                  <w:r>
                    <w:rPr>
                      <w:color w:val="000000" w:themeColor="text1"/>
                      <w:szCs w:val="21"/>
                    </w:rPr>
                    <w:t>工段名称</w:t>
                  </w:r>
                </w:p>
              </w:tc>
              <w:tc>
                <w:tcPr>
                  <w:tcW w:w="66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产品名称</w:t>
                  </w:r>
                </w:p>
              </w:tc>
              <w:tc>
                <w:tcPr>
                  <w:tcW w:w="85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原料名称</w:t>
                  </w:r>
                </w:p>
              </w:tc>
              <w:tc>
                <w:tcPr>
                  <w:tcW w:w="708" w:type="dxa"/>
                  <w:vAlign w:val="center"/>
                </w:tcPr>
                <w:p>
                  <w:pPr>
                    <w:pStyle w:val="32"/>
                    <w:spacing w:line="360" w:lineRule="exact"/>
                    <w:rPr>
                      <w:color w:val="000000" w:themeColor="text1"/>
                      <w:szCs w:val="21"/>
                    </w:rPr>
                  </w:pPr>
                  <w:r>
                    <w:rPr>
                      <w:color w:val="000000" w:themeColor="text1"/>
                      <w:szCs w:val="21"/>
                    </w:rPr>
                    <w:t>工艺名称</w:t>
                  </w:r>
                </w:p>
              </w:tc>
              <w:tc>
                <w:tcPr>
                  <w:tcW w:w="709" w:type="dxa"/>
                  <w:vAlign w:val="center"/>
                </w:tcPr>
                <w:p>
                  <w:pPr>
                    <w:pStyle w:val="32"/>
                    <w:spacing w:line="360" w:lineRule="exact"/>
                    <w:rPr>
                      <w:color w:val="000000" w:themeColor="text1"/>
                      <w:szCs w:val="21"/>
                    </w:rPr>
                  </w:pPr>
                  <w:r>
                    <w:rPr>
                      <w:color w:val="000000" w:themeColor="text1"/>
                      <w:szCs w:val="21"/>
                    </w:rPr>
                    <w:t>规模等级</w:t>
                  </w:r>
                </w:p>
              </w:tc>
              <w:tc>
                <w:tcPr>
                  <w:tcW w:w="1276" w:type="dxa"/>
                  <w:gridSpan w:val="2"/>
                  <w:vAlign w:val="center"/>
                </w:tcPr>
                <w:p>
                  <w:pPr>
                    <w:pStyle w:val="32"/>
                    <w:spacing w:line="360" w:lineRule="exact"/>
                    <w:rPr>
                      <w:color w:val="000000" w:themeColor="text1"/>
                      <w:szCs w:val="21"/>
                    </w:rPr>
                  </w:pPr>
                  <w:r>
                    <w:rPr>
                      <w:color w:val="000000" w:themeColor="text1"/>
                      <w:szCs w:val="21"/>
                    </w:rPr>
                    <w:t>污染物指标</w:t>
                  </w:r>
                </w:p>
              </w:tc>
              <w:tc>
                <w:tcPr>
                  <w:tcW w:w="1134" w:type="dxa"/>
                  <w:vAlign w:val="center"/>
                </w:tcPr>
                <w:p>
                  <w:pPr>
                    <w:pStyle w:val="32"/>
                    <w:spacing w:line="360" w:lineRule="exact"/>
                    <w:rPr>
                      <w:color w:val="000000" w:themeColor="text1"/>
                      <w:szCs w:val="21"/>
                    </w:rPr>
                  </w:pPr>
                  <w:r>
                    <w:rPr>
                      <w:color w:val="000000" w:themeColor="text1"/>
                      <w:szCs w:val="21"/>
                    </w:rPr>
                    <w:t>系数单位</w:t>
                  </w:r>
                </w:p>
              </w:tc>
              <w:tc>
                <w:tcPr>
                  <w:tcW w:w="709" w:type="dxa"/>
                  <w:vAlign w:val="center"/>
                </w:tcPr>
                <w:p>
                  <w:pPr>
                    <w:pStyle w:val="32"/>
                    <w:spacing w:line="360" w:lineRule="exact"/>
                    <w:rPr>
                      <w:color w:val="000000" w:themeColor="text1"/>
                      <w:szCs w:val="21"/>
                    </w:rPr>
                  </w:pPr>
                  <w:r>
                    <w:rPr>
                      <w:color w:val="000000" w:themeColor="text1"/>
                      <w:szCs w:val="21"/>
                    </w:rPr>
                    <w:t>产污系数</w:t>
                  </w:r>
                </w:p>
              </w:tc>
              <w:tc>
                <w:tcPr>
                  <w:tcW w:w="1154" w:type="dxa"/>
                  <w:vAlign w:val="center"/>
                </w:tcPr>
                <w:p>
                  <w:pPr>
                    <w:pStyle w:val="32"/>
                    <w:spacing w:line="360" w:lineRule="exact"/>
                    <w:rPr>
                      <w:color w:val="000000" w:themeColor="text1"/>
                      <w:szCs w:val="21"/>
                    </w:rPr>
                  </w:pPr>
                  <w:r>
                    <w:rPr>
                      <w:color w:val="000000" w:themeColor="text1"/>
                      <w:szCs w:val="21"/>
                    </w:rPr>
                    <w:t>末端治理技术</w:t>
                  </w:r>
                </w:p>
              </w:tc>
              <w:tc>
                <w:tcPr>
                  <w:tcW w:w="904" w:type="dxa"/>
                  <w:vAlign w:val="center"/>
                </w:tcPr>
                <w:p>
                  <w:pPr>
                    <w:pStyle w:val="32"/>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9" w:type="dxa"/>
                  <w:vMerge w:val="restart"/>
                  <w:vAlign w:val="center"/>
                </w:tcPr>
                <w:p>
                  <w:pPr>
                    <w:pStyle w:val="32"/>
                    <w:spacing w:line="360" w:lineRule="exact"/>
                    <w:rPr>
                      <w:color w:val="000000" w:themeColor="text1"/>
                      <w:szCs w:val="21"/>
                    </w:rPr>
                  </w:pPr>
                  <w:r>
                    <w:rPr>
                      <w:color w:val="000000" w:themeColor="text1"/>
                      <w:szCs w:val="21"/>
                    </w:rPr>
                    <w:t>物料输送</w:t>
                  </w:r>
                </w:p>
              </w:tc>
              <w:tc>
                <w:tcPr>
                  <w:tcW w:w="664"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各种水泥制品</w:t>
                  </w:r>
                </w:p>
              </w:tc>
              <w:tc>
                <w:tcPr>
                  <w:tcW w:w="858"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水泥、砂子、石子、钢筋</w:t>
                  </w:r>
                </w:p>
              </w:tc>
              <w:tc>
                <w:tcPr>
                  <w:tcW w:w="708" w:type="dxa"/>
                  <w:vMerge w:val="restart"/>
                  <w:vAlign w:val="center"/>
                </w:tcPr>
                <w:p>
                  <w:pPr>
                    <w:pStyle w:val="32"/>
                    <w:spacing w:line="360" w:lineRule="exact"/>
                    <w:rPr>
                      <w:color w:val="000000" w:themeColor="text1"/>
                      <w:szCs w:val="21"/>
                    </w:rPr>
                  </w:pPr>
                  <w:r>
                    <w:rPr>
                      <w:color w:val="000000" w:themeColor="text1"/>
                      <w:szCs w:val="21"/>
                    </w:rPr>
                    <w:t>物料输送储存</w:t>
                  </w:r>
                </w:p>
              </w:tc>
              <w:tc>
                <w:tcPr>
                  <w:tcW w:w="709" w:type="dxa"/>
                  <w:vMerge w:val="restart"/>
                  <w:vAlign w:val="center"/>
                </w:tcPr>
                <w:p>
                  <w:pPr>
                    <w:pStyle w:val="32"/>
                    <w:spacing w:line="360" w:lineRule="exact"/>
                    <w:rPr>
                      <w:color w:val="000000" w:themeColor="text1"/>
                      <w:szCs w:val="21"/>
                    </w:rPr>
                  </w:pPr>
                  <w:r>
                    <w:rPr>
                      <w:color w:val="000000" w:themeColor="text1"/>
                      <w:szCs w:val="21"/>
                    </w:rPr>
                    <w:t>所有规模</w:t>
                  </w:r>
                </w:p>
              </w:tc>
              <w:tc>
                <w:tcPr>
                  <w:tcW w:w="567"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废气</w:t>
                  </w:r>
                </w:p>
              </w:tc>
              <w:tc>
                <w:tcPr>
                  <w:tcW w:w="70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废气量</w:t>
                  </w:r>
                </w:p>
              </w:tc>
              <w:tc>
                <w:tcPr>
                  <w:tcW w:w="1134" w:type="dxa"/>
                  <w:vAlign w:val="center"/>
                </w:tcPr>
                <w:p>
                  <w:pPr>
                    <w:pStyle w:val="32"/>
                    <w:spacing w:line="360" w:lineRule="exact"/>
                    <w:rPr>
                      <w:color w:val="000000" w:themeColor="text1"/>
                      <w:szCs w:val="21"/>
                    </w:rPr>
                  </w:pPr>
                  <w:r>
                    <w:rPr>
                      <w:color w:val="000000" w:themeColor="text1"/>
                      <w:szCs w:val="21"/>
                    </w:rPr>
                    <w:t>标立方米/吨-产品</w:t>
                  </w:r>
                </w:p>
              </w:tc>
              <w:tc>
                <w:tcPr>
                  <w:tcW w:w="709" w:type="dxa"/>
                  <w:vAlign w:val="center"/>
                </w:tcPr>
                <w:p>
                  <w:pPr>
                    <w:pStyle w:val="32"/>
                    <w:spacing w:line="360" w:lineRule="exact"/>
                    <w:rPr>
                      <w:color w:val="000000" w:themeColor="text1"/>
                      <w:szCs w:val="21"/>
                    </w:rPr>
                  </w:pPr>
                  <w:r>
                    <w:rPr>
                      <w:color w:val="000000" w:themeColor="text1"/>
                      <w:szCs w:val="21"/>
                    </w:rPr>
                    <w:t>41.8</w:t>
                  </w:r>
                </w:p>
              </w:tc>
              <w:tc>
                <w:tcPr>
                  <w:tcW w:w="1154" w:type="dxa"/>
                  <w:vAlign w:val="center"/>
                </w:tcPr>
                <w:p>
                  <w:pPr>
                    <w:pStyle w:val="32"/>
                    <w:spacing w:line="360" w:lineRule="exact"/>
                    <w:rPr>
                      <w:color w:val="000000" w:themeColor="text1"/>
                      <w:szCs w:val="21"/>
                    </w:rPr>
                  </w:pPr>
                  <w:r>
                    <w:rPr>
                      <w:color w:val="000000" w:themeColor="text1"/>
                      <w:szCs w:val="21"/>
                    </w:rPr>
                    <w:t>/</w:t>
                  </w:r>
                </w:p>
              </w:tc>
              <w:tc>
                <w:tcPr>
                  <w:tcW w:w="90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7" w:hRule="atLeast"/>
              </w:trPr>
              <w:tc>
                <w:tcPr>
                  <w:tcW w:w="489" w:type="dxa"/>
                  <w:vMerge w:val="continue"/>
                  <w:vAlign w:val="center"/>
                </w:tcPr>
                <w:p>
                  <w:pPr>
                    <w:pStyle w:val="32"/>
                    <w:spacing w:line="360" w:lineRule="exact"/>
                    <w:rPr>
                      <w:color w:val="000000" w:themeColor="text1"/>
                      <w:szCs w:val="21"/>
                    </w:rPr>
                  </w:pPr>
                </w:p>
              </w:tc>
              <w:tc>
                <w:tcPr>
                  <w:tcW w:w="664" w:type="dxa"/>
                  <w:vMerge w:val="continue"/>
                  <w:tcBorders>
                    <w:right w:val="single" w:color="auto" w:sz="4" w:space="0"/>
                  </w:tcBorders>
                  <w:vAlign w:val="center"/>
                </w:tcPr>
                <w:p>
                  <w:pPr>
                    <w:pStyle w:val="32"/>
                    <w:spacing w:line="360" w:lineRule="exact"/>
                    <w:rPr>
                      <w:color w:val="000000" w:themeColor="text1"/>
                      <w:szCs w:val="21"/>
                    </w:rPr>
                  </w:pPr>
                </w:p>
              </w:tc>
              <w:tc>
                <w:tcPr>
                  <w:tcW w:w="858" w:type="dxa"/>
                  <w:vMerge w:val="continue"/>
                  <w:tcBorders>
                    <w:left w:val="single" w:color="auto" w:sz="4" w:space="0"/>
                  </w:tcBorders>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567" w:type="dxa"/>
                  <w:vMerge w:val="continue"/>
                  <w:tcBorders>
                    <w:right w:val="single" w:color="auto" w:sz="4" w:space="0"/>
                  </w:tcBorders>
                  <w:vAlign w:val="center"/>
                </w:tcPr>
                <w:p>
                  <w:pPr>
                    <w:pStyle w:val="32"/>
                    <w:spacing w:line="360" w:lineRule="exact"/>
                    <w:rPr>
                      <w:color w:val="000000" w:themeColor="text1"/>
                      <w:szCs w:val="21"/>
                    </w:rPr>
                  </w:pPr>
                </w:p>
              </w:tc>
              <w:tc>
                <w:tcPr>
                  <w:tcW w:w="709"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颗粒物</w:t>
                  </w:r>
                </w:p>
              </w:tc>
              <w:tc>
                <w:tcPr>
                  <w:tcW w:w="1134" w:type="dxa"/>
                  <w:vMerge w:val="restart"/>
                  <w:vAlign w:val="center"/>
                </w:tcPr>
                <w:p>
                  <w:pPr>
                    <w:pStyle w:val="32"/>
                    <w:spacing w:line="360" w:lineRule="exact"/>
                    <w:rPr>
                      <w:color w:val="000000" w:themeColor="text1"/>
                      <w:szCs w:val="21"/>
                    </w:rPr>
                  </w:pPr>
                  <w:r>
                    <w:rPr>
                      <w:color w:val="000000" w:themeColor="text1"/>
                      <w:szCs w:val="21"/>
                    </w:rPr>
                    <w:t>千克/吨-产品</w:t>
                  </w:r>
                </w:p>
              </w:tc>
              <w:tc>
                <w:tcPr>
                  <w:tcW w:w="709" w:type="dxa"/>
                  <w:vMerge w:val="restart"/>
                  <w:vAlign w:val="center"/>
                </w:tcPr>
                <w:p>
                  <w:pPr>
                    <w:pStyle w:val="32"/>
                    <w:spacing w:line="360" w:lineRule="exact"/>
                    <w:rPr>
                      <w:color w:val="000000" w:themeColor="text1"/>
                      <w:szCs w:val="21"/>
                    </w:rPr>
                  </w:pPr>
                  <w:r>
                    <w:rPr>
                      <w:color w:val="000000" w:themeColor="text1"/>
                      <w:szCs w:val="21"/>
                    </w:rPr>
                    <w:t>0.19</w:t>
                  </w:r>
                </w:p>
              </w:tc>
              <w:tc>
                <w:tcPr>
                  <w:tcW w:w="1154"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袋式除尘</w:t>
                  </w:r>
                </w:p>
              </w:tc>
              <w:tc>
                <w:tcPr>
                  <w:tcW w:w="904"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99.7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489" w:type="dxa"/>
                  <w:vMerge w:val="continue"/>
                  <w:vAlign w:val="center"/>
                </w:tcPr>
                <w:p>
                  <w:pPr>
                    <w:pStyle w:val="32"/>
                    <w:spacing w:line="360" w:lineRule="exact"/>
                    <w:rPr>
                      <w:color w:val="000000" w:themeColor="text1"/>
                      <w:szCs w:val="21"/>
                    </w:rPr>
                  </w:pPr>
                </w:p>
              </w:tc>
              <w:tc>
                <w:tcPr>
                  <w:tcW w:w="664" w:type="dxa"/>
                  <w:vMerge w:val="continue"/>
                  <w:tcBorders>
                    <w:right w:val="single" w:color="auto" w:sz="4" w:space="0"/>
                  </w:tcBorders>
                  <w:vAlign w:val="center"/>
                </w:tcPr>
                <w:p>
                  <w:pPr>
                    <w:pStyle w:val="32"/>
                    <w:spacing w:line="360" w:lineRule="exact"/>
                    <w:rPr>
                      <w:color w:val="000000" w:themeColor="text1"/>
                      <w:szCs w:val="21"/>
                    </w:rPr>
                  </w:pPr>
                </w:p>
              </w:tc>
              <w:tc>
                <w:tcPr>
                  <w:tcW w:w="858" w:type="dxa"/>
                  <w:vMerge w:val="continue"/>
                  <w:tcBorders>
                    <w:left w:val="single" w:color="auto" w:sz="4" w:space="0"/>
                  </w:tcBorders>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567" w:type="dxa"/>
                  <w:vMerge w:val="continue"/>
                  <w:tcBorders>
                    <w:right w:val="single" w:color="auto" w:sz="4" w:space="0"/>
                  </w:tcBorders>
                  <w:vAlign w:val="center"/>
                </w:tcPr>
                <w:p>
                  <w:pPr>
                    <w:pStyle w:val="32"/>
                    <w:spacing w:line="360" w:lineRule="exact"/>
                    <w:rPr>
                      <w:color w:val="000000" w:themeColor="text1"/>
                      <w:szCs w:val="21"/>
                    </w:rPr>
                  </w:pPr>
                </w:p>
              </w:tc>
              <w:tc>
                <w:tcPr>
                  <w:tcW w:w="709" w:type="dxa"/>
                  <w:vMerge w:val="continue"/>
                  <w:tcBorders>
                    <w:left w:val="single" w:color="auto" w:sz="4" w:space="0"/>
                  </w:tcBorders>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115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直排</w:t>
                  </w:r>
                </w:p>
              </w:tc>
              <w:tc>
                <w:tcPr>
                  <w:tcW w:w="90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由上表可知，项目水泥用量为2644.65t/a，水泥仓顶端设置1#袋式除尘器对其处理后通过（DA001）外排，袋式除尘器除尘效率为99.7%，根据上表参数计算，项目水泥仓粉尘产排情况如下表所示。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表4.2.1-3  水泥仓粉尘产排情况一览表</w:t>
            </w:r>
          </w:p>
          <w:tbl>
            <w:tblPr>
              <w:tblStyle w:val="20"/>
              <w:tblW w:w="8595" w:type="dxa"/>
              <w:jc w:val="center"/>
              <w:tblInd w:w="0" w:type="dxa"/>
              <w:tblLayout w:type="fixed"/>
              <w:tblCellMar>
                <w:top w:w="0" w:type="dxa"/>
                <w:left w:w="108" w:type="dxa"/>
                <w:bottom w:w="0" w:type="dxa"/>
                <w:right w:w="108" w:type="dxa"/>
              </w:tblCellMar>
            </w:tblPr>
            <w:tblGrid>
              <w:gridCol w:w="882"/>
              <w:gridCol w:w="1058"/>
              <w:gridCol w:w="1061"/>
              <w:gridCol w:w="1060"/>
              <w:gridCol w:w="1207"/>
              <w:gridCol w:w="1060"/>
              <w:gridCol w:w="1060"/>
              <w:gridCol w:w="1207"/>
            </w:tblGrid>
            <w:tr>
              <w:tblPrEx>
                <w:tblLayout w:type="fixed"/>
                <w:tblCellMar>
                  <w:top w:w="0" w:type="dxa"/>
                  <w:left w:w="108" w:type="dxa"/>
                  <w:bottom w:w="0" w:type="dxa"/>
                  <w:right w:w="108" w:type="dxa"/>
                </w:tblCellMar>
              </w:tblPrEx>
              <w:trPr>
                <w:trHeight w:val="331" w:hRule="atLeast"/>
                <w:jc w:val="center"/>
              </w:trPr>
              <w:tc>
                <w:tcPr>
                  <w:tcW w:w="88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产物环节</w:t>
                  </w:r>
                </w:p>
              </w:tc>
              <w:tc>
                <w:tcPr>
                  <w:tcW w:w="105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污染物类型</w:t>
                  </w:r>
                </w:p>
              </w:tc>
              <w:tc>
                <w:tcPr>
                  <w:tcW w:w="3328" w:type="dxa"/>
                  <w:gridSpan w:val="3"/>
                  <w:tcBorders>
                    <w:top w:val="single" w:color="auto" w:sz="8" w:space="0"/>
                    <w:left w:val="nil"/>
                    <w:right w:val="single" w:color="auto" w:sz="4" w:space="0"/>
                  </w:tcBorders>
                  <w:shd w:val="clear" w:color="auto" w:fill="auto"/>
                  <w:vAlign w:val="center"/>
                </w:tcPr>
                <w:p>
                  <w:pPr>
                    <w:pStyle w:val="32"/>
                    <w:snapToGrid w:val="0"/>
                    <w:spacing w:line="360" w:lineRule="exact"/>
                    <w:rPr>
                      <w:color w:val="000000" w:themeColor="text1"/>
                      <w:szCs w:val="21"/>
                    </w:rPr>
                  </w:pPr>
                  <w:r>
                    <w:rPr>
                      <w:color w:val="000000" w:themeColor="text1"/>
                      <w:szCs w:val="21"/>
                    </w:rPr>
                    <w:t>产生情况</w:t>
                  </w:r>
                </w:p>
              </w:tc>
              <w:tc>
                <w:tcPr>
                  <w:tcW w:w="3327" w:type="dxa"/>
                  <w:gridSpan w:val="3"/>
                  <w:tcBorders>
                    <w:top w:val="single" w:color="auto" w:sz="8" w:space="0"/>
                    <w:left w:val="single" w:color="auto" w:sz="4" w:space="0"/>
                    <w:right w:val="single" w:color="000000" w:sz="8" w:space="0"/>
                  </w:tcBorders>
                  <w:shd w:val="clear" w:color="auto" w:fill="auto"/>
                  <w:vAlign w:val="center"/>
                </w:tcPr>
                <w:p>
                  <w:pPr>
                    <w:pStyle w:val="32"/>
                    <w:snapToGrid w:val="0"/>
                    <w:spacing w:line="360" w:lineRule="exact"/>
                    <w:rPr>
                      <w:color w:val="000000" w:themeColor="text1"/>
                      <w:szCs w:val="21"/>
                    </w:rPr>
                  </w:pPr>
                  <w:r>
                    <w:rPr>
                      <w:color w:val="000000" w:themeColor="text1"/>
                      <w:szCs w:val="21"/>
                    </w:rPr>
                    <w:t>排放情况</w:t>
                  </w:r>
                </w:p>
              </w:tc>
            </w:tr>
            <w:tr>
              <w:tblPrEx>
                <w:tblLayout w:type="fixed"/>
                <w:tblCellMar>
                  <w:top w:w="0" w:type="dxa"/>
                  <w:left w:w="108" w:type="dxa"/>
                  <w:bottom w:w="0" w:type="dxa"/>
                  <w:right w:w="108" w:type="dxa"/>
                </w:tblCellMar>
              </w:tblPrEx>
              <w:trPr>
                <w:trHeight w:val="588" w:hRule="atLeast"/>
                <w:jc w:val="center"/>
              </w:trPr>
              <w:tc>
                <w:tcPr>
                  <w:tcW w:w="882"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05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06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产生量（t/a）</w:t>
                  </w:r>
                </w:p>
              </w:tc>
              <w:tc>
                <w:tcPr>
                  <w:tcW w:w="1060" w:type="dxa"/>
                  <w:tcBorders>
                    <w:top w:val="single" w:color="auto" w:sz="4" w:space="0"/>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产生速率（kg/h）</w:t>
                  </w:r>
                </w:p>
              </w:tc>
              <w:tc>
                <w:tcPr>
                  <w:tcW w:w="1207" w:type="dxa"/>
                  <w:tcBorders>
                    <w:top w:val="single" w:color="auto" w:sz="4" w:space="0"/>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产生浓度（mg/m³）</w:t>
                  </w:r>
                </w:p>
              </w:tc>
              <w:tc>
                <w:tcPr>
                  <w:tcW w:w="106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排放量（t/a）</w:t>
                  </w:r>
                </w:p>
              </w:tc>
              <w:tc>
                <w:tcPr>
                  <w:tcW w:w="1060" w:type="dxa"/>
                  <w:tcBorders>
                    <w:top w:val="single" w:color="auto" w:sz="4" w:space="0"/>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排放速率（kg/h）</w:t>
                  </w:r>
                </w:p>
              </w:tc>
              <w:tc>
                <w:tcPr>
                  <w:tcW w:w="1207" w:type="dxa"/>
                  <w:tcBorders>
                    <w:top w:val="single" w:color="auto" w:sz="4" w:space="0"/>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排放浓度（mg/m³）</w:t>
                  </w:r>
                </w:p>
              </w:tc>
            </w:tr>
            <w:tr>
              <w:tblPrEx>
                <w:tblLayout w:type="fixed"/>
                <w:tblCellMar>
                  <w:top w:w="0" w:type="dxa"/>
                  <w:left w:w="108" w:type="dxa"/>
                  <w:bottom w:w="0" w:type="dxa"/>
                  <w:right w:w="108" w:type="dxa"/>
                </w:tblCellMar>
              </w:tblPrEx>
              <w:trPr>
                <w:trHeight w:val="56" w:hRule="atLeast"/>
                <w:jc w:val="center"/>
              </w:trPr>
              <w:tc>
                <w:tcPr>
                  <w:tcW w:w="882" w:type="dxa"/>
                  <w:vMerge w:val="restart"/>
                  <w:tcBorders>
                    <w:top w:val="single" w:color="auto" w:sz="8" w:space="0"/>
                    <w:left w:val="single" w:color="auto" w:sz="8" w:space="0"/>
                    <w:right w:val="single" w:color="auto" w:sz="8" w:space="0"/>
                  </w:tcBorders>
                  <w:vAlign w:val="center"/>
                </w:tcPr>
                <w:p>
                  <w:pPr>
                    <w:pStyle w:val="32"/>
                    <w:spacing w:line="360" w:lineRule="exact"/>
                    <w:rPr>
                      <w:color w:val="000000" w:themeColor="text1"/>
                      <w:szCs w:val="21"/>
                    </w:rPr>
                  </w:pPr>
                  <w:r>
                    <w:rPr>
                      <w:color w:val="000000" w:themeColor="text1"/>
                      <w:szCs w:val="21"/>
                    </w:rPr>
                    <w:t>水泥仓粉尘</w:t>
                  </w:r>
                </w:p>
              </w:tc>
              <w:tc>
                <w:tcPr>
                  <w:tcW w:w="105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废气量</w:t>
                  </w:r>
                </w:p>
              </w:tc>
              <w:tc>
                <w:tcPr>
                  <w:tcW w:w="3328" w:type="dxa"/>
                  <w:gridSpan w:val="3"/>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110546</w:t>
                  </w:r>
                </w:p>
              </w:tc>
              <w:tc>
                <w:tcPr>
                  <w:tcW w:w="3327" w:type="dxa"/>
                  <w:gridSpan w:val="3"/>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110546</w:t>
                  </w:r>
                </w:p>
              </w:tc>
            </w:tr>
            <w:tr>
              <w:tblPrEx>
                <w:tblLayout w:type="fixed"/>
                <w:tblCellMar>
                  <w:top w:w="0" w:type="dxa"/>
                  <w:left w:w="108" w:type="dxa"/>
                  <w:bottom w:w="0" w:type="dxa"/>
                  <w:right w:w="108" w:type="dxa"/>
                </w:tblCellMar>
              </w:tblPrEx>
              <w:trPr>
                <w:trHeight w:val="56" w:hRule="atLeast"/>
                <w:jc w:val="center"/>
              </w:trPr>
              <w:tc>
                <w:tcPr>
                  <w:tcW w:w="882" w:type="dxa"/>
                  <w:vMerge w:val="continue"/>
                  <w:tcBorders>
                    <w:left w:val="single" w:color="auto" w:sz="8" w:space="0"/>
                    <w:bottom w:val="single" w:color="auto" w:sz="4" w:space="0"/>
                    <w:right w:val="single" w:color="auto" w:sz="8" w:space="0"/>
                  </w:tcBorders>
                  <w:vAlign w:val="center"/>
                </w:tcPr>
                <w:p>
                  <w:pPr>
                    <w:pStyle w:val="32"/>
                    <w:spacing w:line="360" w:lineRule="exact"/>
                    <w:rPr>
                      <w:color w:val="000000" w:themeColor="text1"/>
                      <w:szCs w:val="21"/>
                    </w:rPr>
                  </w:pPr>
                </w:p>
              </w:tc>
              <w:tc>
                <w:tcPr>
                  <w:tcW w:w="105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颗粒物</w:t>
                  </w:r>
                </w:p>
              </w:tc>
              <w:tc>
                <w:tcPr>
                  <w:tcW w:w="10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0.50</w:t>
                  </w:r>
                </w:p>
              </w:tc>
              <w:tc>
                <w:tcPr>
                  <w:tcW w:w="1060"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0.10</w:t>
                  </w:r>
                </w:p>
              </w:tc>
              <w:tc>
                <w:tcPr>
                  <w:tcW w:w="1207"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4523</w:t>
                  </w:r>
                </w:p>
              </w:tc>
              <w:tc>
                <w:tcPr>
                  <w:tcW w:w="1060" w:type="dxa"/>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0.0015</w:t>
                  </w:r>
                </w:p>
              </w:tc>
              <w:tc>
                <w:tcPr>
                  <w:tcW w:w="1060" w:type="dxa"/>
                  <w:tcBorders>
                    <w:top w:val="nil"/>
                    <w:left w:val="nil"/>
                    <w:bottom w:val="single" w:color="auto" w:sz="4"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0.0003</w:t>
                  </w:r>
                </w:p>
              </w:tc>
              <w:tc>
                <w:tcPr>
                  <w:tcW w:w="1207"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13.57</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搅拌混合粉尘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生产工艺，水泥砖在搅拌混合工序在加料过程中会产生一定量的粉尘，根据《排放源统计调查产排污核算方法和系数手册》中“C3021 水泥制品制造行业系数手册”物料输送储存过程颗粒物产污系数如下表所示。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w:t>
            </w:r>
            <w:r>
              <w:rPr>
                <w:rFonts w:hint="eastAsia" w:ascii="Times New Roman" w:hAnsi="Times New Roman" w:eastAsia="宋体" w:cs="Times New Roman"/>
                <w:b/>
                <w:color w:val="000000" w:themeColor="text1"/>
                <w:szCs w:val="24"/>
              </w:rPr>
              <w:t>4</w:t>
            </w:r>
            <w:r>
              <w:rPr>
                <w:rFonts w:ascii="Times New Roman" w:hAnsi="Times New Roman" w:eastAsia="宋体" w:cs="Times New Roman"/>
                <w:b/>
                <w:color w:val="000000" w:themeColor="text1"/>
                <w:szCs w:val="24"/>
              </w:rPr>
              <w:t xml:space="preserve">   3021 水泥制品制造行业系数表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2"/>
              <w:gridCol w:w="664"/>
              <w:gridCol w:w="857"/>
              <w:gridCol w:w="850"/>
              <w:gridCol w:w="851"/>
              <w:gridCol w:w="708"/>
              <w:gridCol w:w="567"/>
              <w:gridCol w:w="709"/>
              <w:gridCol w:w="851"/>
              <w:gridCol w:w="1152"/>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2" w:type="dxa"/>
                  <w:vAlign w:val="center"/>
                </w:tcPr>
                <w:p>
                  <w:pPr>
                    <w:pStyle w:val="32"/>
                    <w:spacing w:line="360" w:lineRule="exact"/>
                    <w:rPr>
                      <w:color w:val="000000" w:themeColor="text1"/>
                      <w:szCs w:val="21"/>
                    </w:rPr>
                  </w:pPr>
                  <w:r>
                    <w:rPr>
                      <w:color w:val="000000" w:themeColor="text1"/>
                      <w:szCs w:val="21"/>
                    </w:rPr>
                    <w:t>工段名称</w:t>
                  </w:r>
                </w:p>
              </w:tc>
              <w:tc>
                <w:tcPr>
                  <w:tcW w:w="66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产品名称</w:t>
                  </w:r>
                </w:p>
              </w:tc>
              <w:tc>
                <w:tcPr>
                  <w:tcW w:w="85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原料名称</w:t>
                  </w:r>
                </w:p>
              </w:tc>
              <w:tc>
                <w:tcPr>
                  <w:tcW w:w="850" w:type="dxa"/>
                  <w:vAlign w:val="center"/>
                </w:tcPr>
                <w:p>
                  <w:pPr>
                    <w:pStyle w:val="32"/>
                    <w:spacing w:line="360" w:lineRule="exact"/>
                    <w:rPr>
                      <w:color w:val="000000" w:themeColor="text1"/>
                      <w:szCs w:val="21"/>
                    </w:rPr>
                  </w:pPr>
                  <w:r>
                    <w:rPr>
                      <w:color w:val="000000" w:themeColor="text1"/>
                      <w:szCs w:val="21"/>
                    </w:rPr>
                    <w:t>工艺名称</w:t>
                  </w:r>
                </w:p>
              </w:tc>
              <w:tc>
                <w:tcPr>
                  <w:tcW w:w="851" w:type="dxa"/>
                  <w:vAlign w:val="center"/>
                </w:tcPr>
                <w:p>
                  <w:pPr>
                    <w:pStyle w:val="32"/>
                    <w:spacing w:line="360" w:lineRule="exact"/>
                    <w:rPr>
                      <w:color w:val="000000" w:themeColor="text1"/>
                      <w:szCs w:val="21"/>
                    </w:rPr>
                  </w:pPr>
                  <w:r>
                    <w:rPr>
                      <w:color w:val="000000" w:themeColor="text1"/>
                      <w:szCs w:val="21"/>
                    </w:rPr>
                    <w:t>规模等级</w:t>
                  </w:r>
                </w:p>
              </w:tc>
              <w:tc>
                <w:tcPr>
                  <w:tcW w:w="1275" w:type="dxa"/>
                  <w:gridSpan w:val="2"/>
                  <w:vAlign w:val="center"/>
                </w:tcPr>
                <w:p>
                  <w:pPr>
                    <w:pStyle w:val="32"/>
                    <w:spacing w:line="360" w:lineRule="exact"/>
                    <w:rPr>
                      <w:color w:val="000000" w:themeColor="text1"/>
                      <w:szCs w:val="21"/>
                    </w:rPr>
                  </w:pPr>
                  <w:r>
                    <w:rPr>
                      <w:color w:val="000000" w:themeColor="text1"/>
                      <w:szCs w:val="21"/>
                    </w:rPr>
                    <w:t>污染物指标</w:t>
                  </w:r>
                </w:p>
              </w:tc>
              <w:tc>
                <w:tcPr>
                  <w:tcW w:w="709" w:type="dxa"/>
                  <w:vAlign w:val="center"/>
                </w:tcPr>
                <w:p>
                  <w:pPr>
                    <w:pStyle w:val="32"/>
                    <w:spacing w:line="360" w:lineRule="exact"/>
                    <w:rPr>
                      <w:color w:val="000000" w:themeColor="text1"/>
                      <w:szCs w:val="21"/>
                    </w:rPr>
                  </w:pPr>
                  <w:r>
                    <w:rPr>
                      <w:color w:val="000000" w:themeColor="text1"/>
                      <w:szCs w:val="21"/>
                    </w:rPr>
                    <w:t>系数单位</w:t>
                  </w:r>
                </w:p>
              </w:tc>
              <w:tc>
                <w:tcPr>
                  <w:tcW w:w="851" w:type="dxa"/>
                  <w:vAlign w:val="center"/>
                </w:tcPr>
                <w:p>
                  <w:pPr>
                    <w:pStyle w:val="32"/>
                    <w:spacing w:line="360" w:lineRule="exact"/>
                    <w:rPr>
                      <w:color w:val="000000" w:themeColor="text1"/>
                      <w:szCs w:val="21"/>
                    </w:rPr>
                  </w:pPr>
                  <w:r>
                    <w:rPr>
                      <w:color w:val="000000" w:themeColor="text1"/>
                      <w:szCs w:val="21"/>
                    </w:rPr>
                    <w:t>产污系数</w:t>
                  </w:r>
                </w:p>
              </w:tc>
              <w:tc>
                <w:tcPr>
                  <w:tcW w:w="1152" w:type="dxa"/>
                  <w:vAlign w:val="center"/>
                </w:tcPr>
                <w:p>
                  <w:pPr>
                    <w:pStyle w:val="32"/>
                    <w:spacing w:line="360" w:lineRule="exact"/>
                    <w:rPr>
                      <w:color w:val="000000" w:themeColor="text1"/>
                      <w:szCs w:val="21"/>
                    </w:rPr>
                  </w:pPr>
                  <w:r>
                    <w:rPr>
                      <w:color w:val="000000" w:themeColor="text1"/>
                      <w:szCs w:val="21"/>
                    </w:rPr>
                    <w:t>末端治理技术</w:t>
                  </w:r>
                </w:p>
              </w:tc>
              <w:tc>
                <w:tcPr>
                  <w:tcW w:w="904" w:type="dxa"/>
                  <w:vAlign w:val="center"/>
                </w:tcPr>
                <w:p>
                  <w:pPr>
                    <w:pStyle w:val="32"/>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2" w:hRule="atLeast"/>
              </w:trPr>
              <w:tc>
                <w:tcPr>
                  <w:tcW w:w="492" w:type="dxa"/>
                  <w:vMerge w:val="restart"/>
                  <w:vAlign w:val="center"/>
                </w:tcPr>
                <w:p>
                  <w:pPr>
                    <w:pStyle w:val="32"/>
                    <w:spacing w:line="360" w:lineRule="exact"/>
                    <w:rPr>
                      <w:color w:val="000000" w:themeColor="text1"/>
                      <w:szCs w:val="21"/>
                    </w:rPr>
                  </w:pPr>
                  <w:r>
                    <w:rPr>
                      <w:color w:val="000000" w:themeColor="text1"/>
                      <w:szCs w:val="21"/>
                    </w:rPr>
                    <w:t>物料搅拌</w:t>
                  </w:r>
                </w:p>
              </w:tc>
              <w:tc>
                <w:tcPr>
                  <w:tcW w:w="664"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各种水泥制品</w:t>
                  </w:r>
                </w:p>
              </w:tc>
              <w:tc>
                <w:tcPr>
                  <w:tcW w:w="857"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水泥、砂子、石子、钢筋</w:t>
                  </w:r>
                </w:p>
              </w:tc>
              <w:tc>
                <w:tcPr>
                  <w:tcW w:w="850" w:type="dxa"/>
                  <w:vMerge w:val="restart"/>
                  <w:vAlign w:val="center"/>
                </w:tcPr>
                <w:p>
                  <w:pPr>
                    <w:pStyle w:val="32"/>
                    <w:spacing w:line="360" w:lineRule="exact"/>
                    <w:rPr>
                      <w:color w:val="000000" w:themeColor="text1"/>
                      <w:szCs w:val="21"/>
                    </w:rPr>
                  </w:pPr>
                  <w:r>
                    <w:rPr>
                      <w:color w:val="000000" w:themeColor="text1"/>
                      <w:szCs w:val="21"/>
                    </w:rPr>
                    <w:t>物料混合搅拌</w:t>
                  </w:r>
                </w:p>
              </w:tc>
              <w:tc>
                <w:tcPr>
                  <w:tcW w:w="851" w:type="dxa"/>
                  <w:vMerge w:val="restart"/>
                  <w:vAlign w:val="center"/>
                </w:tcPr>
                <w:p>
                  <w:pPr>
                    <w:pStyle w:val="32"/>
                    <w:spacing w:line="360" w:lineRule="exact"/>
                    <w:rPr>
                      <w:color w:val="000000" w:themeColor="text1"/>
                      <w:szCs w:val="21"/>
                    </w:rPr>
                  </w:pPr>
                  <w:r>
                    <w:rPr>
                      <w:color w:val="000000" w:themeColor="text1"/>
                      <w:szCs w:val="21"/>
                    </w:rPr>
                    <w:t>所有规模</w:t>
                  </w:r>
                </w:p>
              </w:tc>
              <w:tc>
                <w:tcPr>
                  <w:tcW w:w="708" w:type="dxa"/>
                  <w:vMerge w:val="restart"/>
                  <w:vAlign w:val="center"/>
                </w:tcPr>
                <w:p>
                  <w:pPr>
                    <w:pStyle w:val="32"/>
                    <w:spacing w:line="360" w:lineRule="exact"/>
                    <w:rPr>
                      <w:color w:val="000000" w:themeColor="text1"/>
                      <w:szCs w:val="21"/>
                    </w:rPr>
                  </w:pPr>
                  <w:r>
                    <w:rPr>
                      <w:color w:val="000000" w:themeColor="text1"/>
                      <w:szCs w:val="21"/>
                    </w:rPr>
                    <w:t>废气</w:t>
                  </w:r>
                </w:p>
              </w:tc>
              <w:tc>
                <w:tcPr>
                  <w:tcW w:w="567" w:type="dxa"/>
                  <w:vMerge w:val="restart"/>
                  <w:vAlign w:val="center"/>
                </w:tcPr>
                <w:p>
                  <w:pPr>
                    <w:pStyle w:val="32"/>
                    <w:spacing w:line="360" w:lineRule="exact"/>
                    <w:rPr>
                      <w:color w:val="000000" w:themeColor="text1"/>
                      <w:szCs w:val="21"/>
                    </w:rPr>
                  </w:pPr>
                  <w:r>
                    <w:rPr>
                      <w:color w:val="000000" w:themeColor="text1"/>
                      <w:szCs w:val="21"/>
                    </w:rPr>
                    <w:t>颗粒物</w:t>
                  </w:r>
                </w:p>
              </w:tc>
              <w:tc>
                <w:tcPr>
                  <w:tcW w:w="709" w:type="dxa"/>
                  <w:vMerge w:val="restart"/>
                  <w:vAlign w:val="center"/>
                </w:tcPr>
                <w:p>
                  <w:pPr>
                    <w:pStyle w:val="32"/>
                    <w:spacing w:line="360" w:lineRule="exact"/>
                    <w:rPr>
                      <w:color w:val="000000" w:themeColor="text1"/>
                      <w:szCs w:val="21"/>
                    </w:rPr>
                  </w:pPr>
                  <w:r>
                    <w:rPr>
                      <w:color w:val="000000" w:themeColor="text1"/>
                      <w:szCs w:val="21"/>
                    </w:rPr>
                    <w:t>千克/吨-产品</w:t>
                  </w:r>
                </w:p>
              </w:tc>
              <w:tc>
                <w:tcPr>
                  <w:tcW w:w="851" w:type="dxa"/>
                  <w:vMerge w:val="restart"/>
                  <w:vAlign w:val="center"/>
                </w:tcPr>
                <w:p>
                  <w:pPr>
                    <w:pStyle w:val="32"/>
                    <w:spacing w:line="360" w:lineRule="exact"/>
                    <w:rPr>
                      <w:color w:val="000000" w:themeColor="text1"/>
                      <w:szCs w:val="21"/>
                    </w:rPr>
                  </w:pPr>
                  <w:r>
                    <w:rPr>
                      <w:color w:val="000000" w:themeColor="text1"/>
                      <w:szCs w:val="21"/>
                    </w:rPr>
                    <w:t>0.523</w:t>
                  </w:r>
                </w:p>
              </w:tc>
              <w:tc>
                <w:tcPr>
                  <w:tcW w:w="1152"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袋式除尘</w:t>
                  </w:r>
                </w:p>
              </w:tc>
              <w:tc>
                <w:tcPr>
                  <w:tcW w:w="904"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99.7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4" w:hRule="atLeast"/>
              </w:trPr>
              <w:tc>
                <w:tcPr>
                  <w:tcW w:w="492" w:type="dxa"/>
                  <w:vMerge w:val="continue"/>
                  <w:vAlign w:val="center"/>
                </w:tcPr>
                <w:p>
                  <w:pPr>
                    <w:pStyle w:val="32"/>
                    <w:spacing w:line="360" w:lineRule="exact"/>
                    <w:rPr>
                      <w:color w:val="000000" w:themeColor="text1"/>
                      <w:szCs w:val="21"/>
                    </w:rPr>
                  </w:pPr>
                </w:p>
              </w:tc>
              <w:tc>
                <w:tcPr>
                  <w:tcW w:w="664" w:type="dxa"/>
                  <w:vMerge w:val="continue"/>
                  <w:tcBorders>
                    <w:right w:val="single" w:color="auto" w:sz="4" w:space="0"/>
                  </w:tcBorders>
                  <w:vAlign w:val="center"/>
                </w:tcPr>
                <w:p>
                  <w:pPr>
                    <w:pStyle w:val="32"/>
                    <w:spacing w:line="360" w:lineRule="exact"/>
                    <w:rPr>
                      <w:color w:val="000000" w:themeColor="text1"/>
                      <w:szCs w:val="21"/>
                    </w:rPr>
                  </w:pPr>
                </w:p>
              </w:tc>
              <w:tc>
                <w:tcPr>
                  <w:tcW w:w="857" w:type="dxa"/>
                  <w:vMerge w:val="continue"/>
                  <w:tcBorders>
                    <w:left w:val="single" w:color="auto" w:sz="4" w:space="0"/>
                  </w:tcBorders>
                  <w:vAlign w:val="center"/>
                </w:tcPr>
                <w:p>
                  <w:pPr>
                    <w:pStyle w:val="32"/>
                    <w:spacing w:line="360" w:lineRule="exact"/>
                    <w:rPr>
                      <w:color w:val="000000" w:themeColor="text1"/>
                      <w:szCs w:val="21"/>
                    </w:rPr>
                  </w:pPr>
                </w:p>
              </w:tc>
              <w:tc>
                <w:tcPr>
                  <w:tcW w:w="850" w:type="dxa"/>
                  <w:vMerge w:val="continue"/>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1152" w:type="dxa"/>
                  <w:tcBorders>
                    <w:top w:val="single" w:color="auto" w:sz="4" w:space="0"/>
                    <w:bottom w:val="single" w:color="auto" w:sz="4" w:space="0"/>
                  </w:tcBorders>
                  <w:vAlign w:val="center"/>
                </w:tcPr>
                <w:p>
                  <w:pPr>
                    <w:pStyle w:val="32"/>
                    <w:spacing w:line="360" w:lineRule="exact"/>
                    <w:ind w:left="420"/>
                    <w:rPr>
                      <w:color w:val="000000" w:themeColor="text1"/>
                      <w:szCs w:val="21"/>
                    </w:rPr>
                  </w:pPr>
                  <w:r>
                    <w:rPr>
                      <w:color w:val="000000" w:themeColor="text1"/>
                      <w:szCs w:val="21"/>
                    </w:rPr>
                    <w:t>直排</w:t>
                  </w:r>
                </w:p>
              </w:tc>
              <w:tc>
                <w:tcPr>
                  <w:tcW w:w="904" w:type="dxa"/>
                  <w:tcBorders>
                    <w:top w:val="single" w:color="auto" w:sz="4" w:space="0"/>
                    <w:bottom w:val="single" w:color="auto" w:sz="4" w:space="0"/>
                  </w:tcBorders>
                  <w:vAlign w:val="center"/>
                </w:tcPr>
                <w:p>
                  <w:pPr>
                    <w:pStyle w:val="32"/>
                    <w:spacing w:line="360" w:lineRule="exact"/>
                    <w:ind w:left="420"/>
                    <w:rPr>
                      <w:color w:val="000000" w:themeColor="text1"/>
                      <w:szCs w:val="21"/>
                    </w:rPr>
                  </w:pPr>
                  <w:r>
                    <w:rPr>
                      <w:color w:val="000000" w:themeColor="text1"/>
                      <w:szCs w:val="21"/>
                    </w:rPr>
                    <w:t>/</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由上表可知，项目</w:t>
            </w:r>
            <w:r>
              <w:rPr>
                <w:rFonts w:hint="eastAsia" w:ascii="Times New Roman" w:hAnsi="Times New Roman" w:cs="Times New Roman"/>
                <w:color w:val="000000" w:themeColor="text1"/>
                <w:sz w:val="24"/>
                <w:szCs w:val="24"/>
              </w:rPr>
              <w:t>二期工程</w:t>
            </w:r>
            <w:r>
              <w:rPr>
                <w:rFonts w:ascii="Times New Roman" w:hAnsi="Times New Roman" w:cs="Times New Roman"/>
                <w:bCs/>
                <w:color w:val="000000" w:themeColor="text1"/>
                <w:sz w:val="24"/>
                <w:szCs w:val="24"/>
              </w:rPr>
              <w:t>水泥砖生产项目约为19173.7t/a，针对搅拌混合工序的粉尘，项目拟对该工序产尘点配套设置了集气罩，将其有效统一收集后，通过1台2#袋式除尘器进行处理，处理后通过1根15m高排气筒（DA002）外排。该集气罩风量为5000m³/h，集气效率不低于90%，袋式除尘器除尘效率为99.7%，根据上表参数计算，项目搅拌混合粉尘产排情况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w:t>
            </w:r>
            <w:r>
              <w:rPr>
                <w:rFonts w:hint="eastAsia" w:ascii="Times New Roman" w:hAnsi="Times New Roman" w:eastAsia="宋体" w:cs="Times New Roman"/>
                <w:b/>
                <w:color w:val="000000" w:themeColor="text1"/>
                <w:szCs w:val="24"/>
              </w:rPr>
              <w:t>5</w:t>
            </w:r>
            <w:r>
              <w:rPr>
                <w:rFonts w:ascii="Times New Roman" w:hAnsi="Times New Roman" w:eastAsia="宋体" w:cs="Times New Roman"/>
                <w:b/>
                <w:color w:val="000000" w:themeColor="text1"/>
                <w:szCs w:val="24"/>
              </w:rPr>
              <w:t xml:space="preserve">  搅拌混合粉尘产排情况一览表</w:t>
            </w:r>
          </w:p>
          <w:tbl>
            <w:tblPr>
              <w:tblStyle w:val="20"/>
              <w:tblW w:w="8595" w:type="dxa"/>
              <w:tblInd w:w="0" w:type="dxa"/>
              <w:tblLayout w:type="fixed"/>
              <w:tblCellMar>
                <w:top w:w="0" w:type="dxa"/>
                <w:left w:w="108" w:type="dxa"/>
                <w:bottom w:w="0" w:type="dxa"/>
                <w:right w:w="108" w:type="dxa"/>
              </w:tblCellMar>
            </w:tblPr>
            <w:tblGrid>
              <w:gridCol w:w="729"/>
              <w:gridCol w:w="711"/>
              <w:gridCol w:w="850"/>
              <w:gridCol w:w="1134"/>
              <w:gridCol w:w="855"/>
              <w:gridCol w:w="977"/>
              <w:gridCol w:w="987"/>
              <w:gridCol w:w="1370"/>
              <w:gridCol w:w="982"/>
            </w:tblGrid>
            <w:tr>
              <w:tblPrEx>
                <w:tblLayout w:type="fixed"/>
                <w:tblCellMar>
                  <w:top w:w="0" w:type="dxa"/>
                  <w:left w:w="108" w:type="dxa"/>
                  <w:bottom w:w="0" w:type="dxa"/>
                  <w:right w:w="108" w:type="dxa"/>
                </w:tblCellMar>
              </w:tblPrEx>
              <w:trPr>
                <w:trHeight w:val="300" w:hRule="atLeast"/>
              </w:trPr>
              <w:tc>
                <w:tcPr>
                  <w:tcW w:w="72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产物环节</w:t>
                  </w:r>
                </w:p>
              </w:tc>
              <w:tc>
                <w:tcPr>
                  <w:tcW w:w="71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污染物类型</w:t>
                  </w:r>
                </w:p>
              </w:tc>
              <w:tc>
                <w:tcPr>
                  <w:tcW w:w="2839" w:type="dxa"/>
                  <w:gridSpan w:val="3"/>
                  <w:tcBorders>
                    <w:top w:val="single" w:color="auto" w:sz="8" w:space="0"/>
                    <w:left w:val="single" w:color="auto" w:sz="8" w:space="0"/>
                    <w:bottom w:val="single" w:color="auto" w:sz="4"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产生情况</w:t>
                  </w:r>
                </w:p>
              </w:tc>
              <w:tc>
                <w:tcPr>
                  <w:tcW w:w="4316" w:type="dxa"/>
                  <w:gridSpan w:val="4"/>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排放情况</w:t>
                  </w:r>
                </w:p>
              </w:tc>
            </w:tr>
            <w:tr>
              <w:tblPrEx>
                <w:tblLayout w:type="fixed"/>
                <w:tblCellMar>
                  <w:top w:w="0" w:type="dxa"/>
                  <w:left w:w="108" w:type="dxa"/>
                  <w:bottom w:w="0" w:type="dxa"/>
                  <w:right w:w="108" w:type="dxa"/>
                </w:tblCellMar>
              </w:tblPrEx>
              <w:trPr>
                <w:trHeight w:val="300" w:hRule="atLeast"/>
              </w:trPr>
              <w:tc>
                <w:tcPr>
                  <w:tcW w:w="72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711"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984" w:type="dxa"/>
                  <w:gridSpan w:val="2"/>
                  <w:tcBorders>
                    <w:top w:val="single" w:color="auto" w:sz="4" w:space="0"/>
                    <w:left w:val="single" w:color="auto" w:sz="8" w:space="0"/>
                    <w:bottom w:val="single" w:color="000000" w:sz="8" w:space="0"/>
                    <w:right w:val="single" w:color="auto" w:sz="4" w:space="0"/>
                  </w:tcBorders>
                  <w:vAlign w:val="center"/>
                </w:tcPr>
                <w:p>
                  <w:pPr>
                    <w:pStyle w:val="32"/>
                    <w:spacing w:line="360" w:lineRule="exact"/>
                    <w:rPr>
                      <w:color w:val="000000" w:themeColor="text1"/>
                      <w:szCs w:val="21"/>
                    </w:rPr>
                  </w:pPr>
                  <w:r>
                    <w:rPr>
                      <w:color w:val="000000" w:themeColor="text1"/>
                      <w:szCs w:val="21"/>
                    </w:rPr>
                    <w:t>有组织</w:t>
                  </w:r>
                </w:p>
              </w:tc>
              <w:tc>
                <w:tcPr>
                  <w:tcW w:w="855" w:type="dxa"/>
                  <w:tcBorders>
                    <w:top w:val="single" w:color="auto" w:sz="4" w:space="0"/>
                    <w:left w:val="single" w:color="auto" w:sz="4" w:space="0"/>
                    <w:bottom w:val="single" w:color="000000" w:sz="8" w:space="0"/>
                    <w:right w:val="single" w:color="000000" w:sz="8" w:space="0"/>
                  </w:tcBorders>
                  <w:vAlign w:val="center"/>
                </w:tcPr>
                <w:p>
                  <w:pPr>
                    <w:pStyle w:val="32"/>
                    <w:spacing w:line="360" w:lineRule="exact"/>
                    <w:rPr>
                      <w:color w:val="000000" w:themeColor="text1"/>
                      <w:szCs w:val="21"/>
                    </w:rPr>
                  </w:pPr>
                  <w:r>
                    <w:rPr>
                      <w:color w:val="000000" w:themeColor="text1"/>
                      <w:szCs w:val="21"/>
                    </w:rPr>
                    <w:t>无组织</w:t>
                  </w:r>
                </w:p>
              </w:tc>
              <w:tc>
                <w:tcPr>
                  <w:tcW w:w="3334" w:type="dxa"/>
                  <w:gridSpan w:val="3"/>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有组织</w:t>
                  </w:r>
                </w:p>
              </w:tc>
              <w:tc>
                <w:tcPr>
                  <w:tcW w:w="982" w:type="dxa"/>
                  <w:tcBorders>
                    <w:top w:val="nil"/>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无组织</w:t>
                  </w:r>
                </w:p>
              </w:tc>
            </w:tr>
            <w:tr>
              <w:tblPrEx>
                <w:tblLayout w:type="fixed"/>
                <w:tblCellMar>
                  <w:top w:w="0" w:type="dxa"/>
                  <w:left w:w="108" w:type="dxa"/>
                  <w:bottom w:w="0" w:type="dxa"/>
                  <w:right w:w="108" w:type="dxa"/>
                </w:tblCellMar>
              </w:tblPrEx>
              <w:trPr>
                <w:trHeight w:val="56" w:hRule="atLeast"/>
              </w:trPr>
              <w:tc>
                <w:tcPr>
                  <w:tcW w:w="72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711"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850"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产生量（t/a）</w:t>
                  </w:r>
                </w:p>
              </w:tc>
              <w:tc>
                <w:tcPr>
                  <w:tcW w:w="1134" w:type="dxa"/>
                  <w:tcBorders>
                    <w:top w:val="nil"/>
                    <w:left w:val="single" w:color="auto" w:sz="4" w:space="0"/>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产生浓度（mg/m³）</w:t>
                  </w:r>
                </w:p>
              </w:tc>
              <w:tc>
                <w:tcPr>
                  <w:tcW w:w="85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产生量（t/a）</w:t>
                  </w:r>
                </w:p>
              </w:tc>
              <w:tc>
                <w:tcPr>
                  <w:tcW w:w="9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排放量（t/a）</w:t>
                  </w:r>
                </w:p>
              </w:tc>
              <w:tc>
                <w:tcPr>
                  <w:tcW w:w="98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排放速率（kg/h）</w:t>
                  </w:r>
                </w:p>
              </w:tc>
              <w:tc>
                <w:tcPr>
                  <w:tcW w:w="137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排放浓度（mg/m³）</w:t>
                  </w:r>
                </w:p>
              </w:tc>
              <w:tc>
                <w:tcPr>
                  <w:tcW w:w="98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排放量（t/a）</w:t>
                  </w:r>
                </w:p>
              </w:tc>
            </w:tr>
            <w:tr>
              <w:tblPrEx>
                <w:tblLayout w:type="fixed"/>
                <w:tblCellMar>
                  <w:top w:w="0" w:type="dxa"/>
                  <w:left w:w="108" w:type="dxa"/>
                  <w:bottom w:w="0" w:type="dxa"/>
                  <w:right w:w="108" w:type="dxa"/>
                </w:tblCellMar>
              </w:tblPrEx>
              <w:trPr>
                <w:trHeight w:val="56" w:hRule="atLeast"/>
              </w:trPr>
              <w:tc>
                <w:tcPr>
                  <w:tcW w:w="729" w:type="dxa"/>
                  <w:vMerge w:val="restart"/>
                  <w:tcBorders>
                    <w:top w:val="nil"/>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搅拌混合</w:t>
                  </w:r>
                </w:p>
              </w:tc>
              <w:tc>
                <w:tcPr>
                  <w:tcW w:w="711" w:type="dxa"/>
                  <w:tcBorders>
                    <w:top w:val="nil"/>
                    <w:left w:val="nil"/>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废气量</w:t>
                  </w:r>
                </w:p>
              </w:tc>
              <w:tc>
                <w:tcPr>
                  <w:tcW w:w="1984" w:type="dxa"/>
                  <w:gridSpan w:val="2"/>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2400万m³/a</w:t>
                  </w:r>
                </w:p>
              </w:tc>
              <w:tc>
                <w:tcPr>
                  <w:tcW w:w="85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c>
                <w:tcPr>
                  <w:tcW w:w="3334" w:type="dxa"/>
                  <w:gridSpan w:val="3"/>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2400万m³/a</w:t>
                  </w:r>
                </w:p>
              </w:tc>
              <w:tc>
                <w:tcPr>
                  <w:tcW w:w="98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r>
            <w:tr>
              <w:tblPrEx>
                <w:tblLayout w:type="fixed"/>
                <w:tblCellMar>
                  <w:top w:w="0" w:type="dxa"/>
                  <w:left w:w="108" w:type="dxa"/>
                  <w:bottom w:w="0" w:type="dxa"/>
                  <w:right w:w="108" w:type="dxa"/>
                </w:tblCellMar>
              </w:tblPrEx>
              <w:trPr>
                <w:trHeight w:val="56" w:hRule="atLeast"/>
              </w:trPr>
              <w:tc>
                <w:tcPr>
                  <w:tcW w:w="729"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71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粉尘</w:t>
                  </w:r>
                </w:p>
              </w:tc>
              <w:tc>
                <w:tcPr>
                  <w:tcW w:w="85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9.03</w:t>
                  </w:r>
                </w:p>
              </w:tc>
              <w:tc>
                <w:tcPr>
                  <w:tcW w:w="113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376.25</w:t>
                  </w:r>
                </w:p>
              </w:tc>
              <w:tc>
                <w:tcPr>
                  <w:tcW w:w="85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1.0</w:t>
                  </w:r>
                </w:p>
              </w:tc>
              <w:tc>
                <w:tcPr>
                  <w:tcW w:w="9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0.03</w:t>
                  </w:r>
                </w:p>
              </w:tc>
              <w:tc>
                <w:tcPr>
                  <w:tcW w:w="98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0.006</w:t>
                  </w:r>
                </w:p>
              </w:tc>
              <w:tc>
                <w:tcPr>
                  <w:tcW w:w="137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1.25</w:t>
                  </w:r>
                </w:p>
              </w:tc>
              <w:tc>
                <w:tcPr>
                  <w:tcW w:w="98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1.0</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废气污染物治理措施及排放方式一览表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
              <w:gridCol w:w="567"/>
              <w:gridCol w:w="851"/>
              <w:gridCol w:w="709"/>
              <w:gridCol w:w="3260"/>
              <w:gridCol w:w="567"/>
              <w:gridCol w:w="709"/>
              <w:gridCol w:w="14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工程</w:t>
                  </w:r>
                </w:p>
              </w:tc>
              <w:tc>
                <w:tcPr>
                  <w:tcW w:w="1418"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产排污环节</w:t>
                  </w:r>
                </w:p>
              </w:tc>
              <w:tc>
                <w:tcPr>
                  <w:tcW w:w="709" w:type="dxa"/>
                  <w:vAlign w:val="center"/>
                </w:tcPr>
                <w:p>
                  <w:pPr>
                    <w:pStyle w:val="32"/>
                    <w:spacing w:line="360" w:lineRule="exact"/>
                    <w:rPr>
                      <w:color w:val="000000" w:themeColor="text1"/>
                      <w:szCs w:val="21"/>
                    </w:rPr>
                  </w:pPr>
                  <w:r>
                    <w:rPr>
                      <w:color w:val="000000" w:themeColor="text1"/>
                      <w:szCs w:val="21"/>
                    </w:rPr>
                    <w:t>污染物种类</w:t>
                  </w:r>
                </w:p>
              </w:tc>
              <w:tc>
                <w:tcPr>
                  <w:tcW w:w="3260" w:type="dxa"/>
                  <w:vAlign w:val="center"/>
                </w:tcPr>
                <w:p>
                  <w:pPr>
                    <w:pStyle w:val="32"/>
                    <w:spacing w:line="360" w:lineRule="exact"/>
                    <w:rPr>
                      <w:color w:val="000000" w:themeColor="text1"/>
                      <w:szCs w:val="21"/>
                    </w:rPr>
                  </w:pPr>
                  <w:r>
                    <w:rPr>
                      <w:color w:val="000000" w:themeColor="text1"/>
                      <w:szCs w:val="21"/>
                    </w:rPr>
                    <w:t>治理设施及效率</w:t>
                  </w:r>
                </w:p>
              </w:tc>
              <w:tc>
                <w:tcPr>
                  <w:tcW w:w="56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200" w:type="dxa"/>
                  <w:gridSpan w:val="2"/>
                  <w:vAlign w:val="center"/>
                </w:tcPr>
                <w:p>
                  <w:pPr>
                    <w:pStyle w:val="32"/>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一期工程</w:t>
                  </w:r>
                </w:p>
              </w:tc>
              <w:tc>
                <w:tcPr>
                  <w:tcW w:w="1418"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堆场扬尘</w:t>
                  </w:r>
                </w:p>
              </w:tc>
              <w:tc>
                <w:tcPr>
                  <w:tcW w:w="709" w:type="dxa"/>
                  <w:vMerge w:val="restart"/>
                  <w:vAlign w:val="center"/>
                </w:tcPr>
                <w:p>
                  <w:pPr>
                    <w:pStyle w:val="32"/>
                    <w:spacing w:line="360" w:lineRule="exact"/>
                    <w:rPr>
                      <w:color w:val="000000" w:themeColor="text1"/>
                      <w:szCs w:val="21"/>
                    </w:rPr>
                  </w:pPr>
                  <w:r>
                    <w:rPr>
                      <w:color w:val="000000" w:themeColor="text1"/>
                      <w:szCs w:val="21"/>
                    </w:rPr>
                    <w:t>颗粒物</w:t>
                  </w: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为了降低废石堆场和产品堆场的扬尘，对废石堆场和产品堆场除车辆进出区域，其他区域均设置不低于物料堆存高度围挡和顶棚，其扬尘抑制率约为80%。</w:t>
                  </w:r>
                </w:p>
              </w:tc>
              <w:tc>
                <w:tcPr>
                  <w:tcW w:w="567" w:type="dxa"/>
                  <w:vMerge w:val="restart"/>
                  <w:vAlign w:val="center"/>
                </w:tcPr>
                <w:p>
                  <w:pPr>
                    <w:pStyle w:val="32"/>
                    <w:spacing w:line="360" w:lineRule="exact"/>
                    <w:rPr>
                      <w:bCs w:val="0"/>
                      <w:color w:val="000000" w:themeColor="text1"/>
                      <w:szCs w:val="21"/>
                    </w:rPr>
                  </w:pPr>
                  <w:r>
                    <w:rPr>
                      <w:color w:val="000000" w:themeColor="text1"/>
                      <w:szCs w:val="21"/>
                    </w:rPr>
                    <w:t>无组织</w:t>
                  </w:r>
                </w:p>
              </w:tc>
              <w:tc>
                <w:tcPr>
                  <w:tcW w:w="2200" w:type="dxa"/>
                  <w:gridSpan w:val="2"/>
                  <w:vMerge w:val="restart"/>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1418"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装卸</w:t>
                  </w:r>
                </w:p>
              </w:tc>
              <w:tc>
                <w:tcPr>
                  <w:tcW w:w="709" w:type="dxa"/>
                  <w:vMerge w:val="continue"/>
                  <w:vAlign w:val="center"/>
                </w:tcPr>
                <w:p>
                  <w:pPr>
                    <w:pStyle w:val="32"/>
                    <w:spacing w:line="360" w:lineRule="exact"/>
                    <w:rPr>
                      <w:color w:val="000000" w:themeColor="text1"/>
                      <w:szCs w:val="21"/>
                    </w:rPr>
                  </w:pP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①针对废石装卸扬尘，废石卸料均在废石堆场，废石堆场除车辆进出区域，其他区域均设置不低于物料堆存高度围挡和顶棚，并配套1台雾炮机对厂区内废矿石采装、卸料及运输过程扬尘进行洒水抑尘，其扬尘抑制率约为80%；</w:t>
                  </w:r>
                </w:p>
                <w:p>
                  <w:pPr>
                    <w:pStyle w:val="32"/>
                    <w:spacing w:line="360" w:lineRule="exact"/>
                    <w:ind w:firstLine="210" w:firstLineChars="100"/>
                    <w:jc w:val="both"/>
                    <w:rPr>
                      <w:color w:val="000000" w:themeColor="text1"/>
                      <w:szCs w:val="21"/>
                    </w:rPr>
                  </w:pPr>
                  <w:r>
                    <w:rPr>
                      <w:color w:val="000000" w:themeColor="text1"/>
                      <w:szCs w:val="21"/>
                    </w:rPr>
                    <w:t>针对砂石骨料装卸扬尘，砂石骨料卸料均在产品堆场，产品堆场除车辆进出区域，其他区域均设置不低于物料堆存高度围挡和顶棚，且项目生产的砂石骨料含水率较高，因此其其扬尘抑制率约为80%。</w:t>
                  </w:r>
                </w:p>
              </w:tc>
              <w:tc>
                <w:tcPr>
                  <w:tcW w:w="567" w:type="dxa"/>
                  <w:vMerge w:val="continue"/>
                  <w:vAlign w:val="center"/>
                </w:tcPr>
                <w:p>
                  <w:pPr>
                    <w:pStyle w:val="32"/>
                    <w:spacing w:line="360" w:lineRule="exact"/>
                    <w:rPr>
                      <w:color w:val="000000" w:themeColor="text1"/>
                      <w:szCs w:val="21"/>
                    </w:rPr>
                  </w:pPr>
                </w:p>
              </w:tc>
              <w:tc>
                <w:tcPr>
                  <w:tcW w:w="2200" w:type="dxa"/>
                  <w:gridSpan w:val="2"/>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1418"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皮带输送</w:t>
                  </w:r>
                </w:p>
              </w:tc>
              <w:tc>
                <w:tcPr>
                  <w:tcW w:w="709" w:type="dxa"/>
                  <w:vMerge w:val="continue"/>
                  <w:vAlign w:val="center"/>
                </w:tcPr>
                <w:p>
                  <w:pPr>
                    <w:pStyle w:val="32"/>
                    <w:spacing w:line="360" w:lineRule="exact"/>
                    <w:rPr>
                      <w:color w:val="000000" w:themeColor="text1"/>
                      <w:szCs w:val="21"/>
                    </w:rPr>
                  </w:pP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w:t>
                  </w:r>
                </w:p>
              </w:tc>
              <w:tc>
                <w:tcPr>
                  <w:tcW w:w="567" w:type="dxa"/>
                  <w:vMerge w:val="continue"/>
                  <w:vAlign w:val="center"/>
                </w:tcPr>
                <w:p>
                  <w:pPr>
                    <w:pStyle w:val="32"/>
                    <w:spacing w:line="360" w:lineRule="exact"/>
                    <w:rPr>
                      <w:color w:val="000000" w:themeColor="text1"/>
                      <w:szCs w:val="21"/>
                    </w:rPr>
                  </w:pPr>
                </w:p>
              </w:tc>
              <w:tc>
                <w:tcPr>
                  <w:tcW w:w="2200" w:type="dxa"/>
                  <w:gridSpan w:val="2"/>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1418"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破碎筛分</w:t>
                  </w:r>
                </w:p>
              </w:tc>
              <w:tc>
                <w:tcPr>
                  <w:tcW w:w="709" w:type="dxa"/>
                  <w:vMerge w:val="continue"/>
                  <w:vAlign w:val="center"/>
                </w:tcPr>
                <w:p>
                  <w:pPr>
                    <w:pStyle w:val="32"/>
                    <w:spacing w:line="360" w:lineRule="exact"/>
                    <w:rPr>
                      <w:color w:val="000000" w:themeColor="text1"/>
                      <w:szCs w:val="21"/>
                    </w:rPr>
                  </w:pP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项目为降低破碎筛分粉尘产生，拟对一段筛分、鄂破、反击破、二段筛分、球磨和制砂等六个环节均采用加水作业，加水量较大，其处理效率大于湿式除尘+喷雾降尘组合，则实际除尘效率约为98%。</w:t>
                  </w:r>
                </w:p>
              </w:tc>
              <w:tc>
                <w:tcPr>
                  <w:tcW w:w="567" w:type="dxa"/>
                  <w:vMerge w:val="continue"/>
                  <w:vAlign w:val="center"/>
                </w:tcPr>
                <w:p>
                  <w:pPr>
                    <w:pStyle w:val="32"/>
                    <w:spacing w:line="360" w:lineRule="exact"/>
                    <w:rPr>
                      <w:color w:val="000000" w:themeColor="text1"/>
                      <w:szCs w:val="21"/>
                    </w:rPr>
                  </w:pPr>
                </w:p>
              </w:tc>
              <w:tc>
                <w:tcPr>
                  <w:tcW w:w="2200" w:type="dxa"/>
                  <w:gridSpan w:val="2"/>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二期工程</w:t>
                  </w:r>
                </w:p>
              </w:tc>
              <w:tc>
                <w:tcPr>
                  <w:tcW w:w="567"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水泥仓</w:t>
                  </w:r>
                </w:p>
              </w:tc>
              <w:tc>
                <w:tcPr>
                  <w:tcW w:w="851" w:type="dxa"/>
                  <w:vMerge w:val="restart"/>
                  <w:vAlign w:val="center"/>
                </w:tcPr>
                <w:p>
                  <w:pPr>
                    <w:pStyle w:val="32"/>
                    <w:spacing w:line="360" w:lineRule="exact"/>
                    <w:rPr>
                      <w:color w:val="000000" w:themeColor="text1"/>
                      <w:szCs w:val="21"/>
                    </w:rPr>
                  </w:pPr>
                  <w:r>
                    <w:rPr>
                      <w:color w:val="000000" w:themeColor="text1"/>
                      <w:szCs w:val="21"/>
                    </w:rPr>
                    <w:t>水泥装卸、储存、输送过程</w:t>
                  </w:r>
                </w:p>
              </w:tc>
              <w:tc>
                <w:tcPr>
                  <w:tcW w:w="709" w:type="dxa"/>
                  <w:vMerge w:val="restart"/>
                  <w:vAlign w:val="center"/>
                </w:tcPr>
                <w:p>
                  <w:pPr>
                    <w:pStyle w:val="32"/>
                    <w:spacing w:line="360" w:lineRule="exact"/>
                    <w:rPr>
                      <w:color w:val="000000" w:themeColor="text1"/>
                      <w:szCs w:val="21"/>
                    </w:rPr>
                  </w:pPr>
                  <w:r>
                    <w:rPr>
                      <w:color w:val="000000" w:themeColor="text1"/>
                      <w:szCs w:val="21"/>
                    </w:rPr>
                    <w:t>颗粒物</w:t>
                  </w:r>
                </w:p>
              </w:tc>
              <w:tc>
                <w:tcPr>
                  <w:tcW w:w="3260"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水泥仓顶端设置1#袋式除尘器对其处理后通过（DA001）外排，袋式除尘器除尘效率为99.7%。</w:t>
                  </w:r>
                </w:p>
              </w:tc>
              <w:tc>
                <w:tcPr>
                  <w:tcW w:w="567" w:type="dxa"/>
                  <w:vMerge w:val="restart"/>
                  <w:vAlign w:val="center"/>
                </w:tcPr>
                <w:p>
                  <w:pPr>
                    <w:pStyle w:val="32"/>
                    <w:spacing w:line="360" w:lineRule="exact"/>
                    <w:rPr>
                      <w:color w:val="000000" w:themeColor="text1"/>
                      <w:szCs w:val="21"/>
                    </w:rPr>
                  </w:pPr>
                  <w:r>
                    <w:rPr>
                      <w:color w:val="000000" w:themeColor="text1"/>
                      <w:szCs w:val="21"/>
                    </w:rPr>
                    <w:t>有组织</w:t>
                  </w:r>
                </w:p>
              </w:tc>
              <w:tc>
                <w:tcPr>
                  <w:tcW w:w="2200" w:type="dxa"/>
                  <w:gridSpan w:val="2"/>
                  <w:vAlign w:val="center"/>
                </w:tcPr>
                <w:p>
                  <w:pPr>
                    <w:pStyle w:val="32"/>
                    <w:spacing w:line="360" w:lineRule="exact"/>
                    <w:rPr>
                      <w:color w:val="000000" w:themeColor="text1"/>
                      <w:szCs w:val="21"/>
                    </w:rPr>
                  </w:pPr>
                  <w:r>
                    <w:rPr>
                      <w:color w:val="000000" w:themeColor="text1"/>
                      <w:szCs w:val="21"/>
                    </w:rPr>
                    <w:t>排放口参数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高度</w:t>
                  </w:r>
                </w:p>
              </w:tc>
              <w:tc>
                <w:tcPr>
                  <w:tcW w:w="1491" w:type="dxa"/>
                  <w:vAlign w:val="center"/>
                </w:tcPr>
                <w:p>
                  <w:pPr>
                    <w:pStyle w:val="32"/>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内径</w:t>
                  </w:r>
                </w:p>
              </w:tc>
              <w:tc>
                <w:tcPr>
                  <w:tcW w:w="1491" w:type="dxa"/>
                  <w:vAlign w:val="center"/>
                </w:tcPr>
                <w:p>
                  <w:pPr>
                    <w:pStyle w:val="32"/>
                    <w:spacing w:line="360" w:lineRule="exact"/>
                    <w:rPr>
                      <w:color w:val="000000" w:themeColor="text1"/>
                      <w:szCs w:val="21"/>
                    </w:rPr>
                  </w:pPr>
                  <w:r>
                    <w:rPr>
                      <w:color w:val="000000" w:themeColor="text1"/>
                      <w:szCs w:val="21"/>
                    </w:rPr>
                    <w:t>0.2m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温度</w:t>
                  </w:r>
                </w:p>
              </w:tc>
              <w:tc>
                <w:tcPr>
                  <w:tcW w:w="1491" w:type="dxa"/>
                  <w:vAlign w:val="center"/>
                </w:tcPr>
                <w:p>
                  <w:pPr>
                    <w:pStyle w:val="32"/>
                    <w:spacing w:line="360" w:lineRule="exact"/>
                    <w:rPr>
                      <w:color w:val="000000" w:themeColor="text1"/>
                      <w:szCs w:val="21"/>
                    </w:rPr>
                  </w:pPr>
                  <w:r>
                    <w:rPr>
                      <w:color w:val="000000" w:themeColor="text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编号</w:t>
                  </w:r>
                </w:p>
              </w:tc>
              <w:tc>
                <w:tcPr>
                  <w:tcW w:w="1491" w:type="dxa"/>
                  <w:vAlign w:val="center"/>
                </w:tcPr>
                <w:p>
                  <w:pPr>
                    <w:pStyle w:val="32"/>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类型</w:t>
                  </w:r>
                </w:p>
              </w:tc>
              <w:tc>
                <w:tcPr>
                  <w:tcW w:w="1491"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坐标</w:t>
                  </w:r>
                </w:p>
              </w:tc>
              <w:tc>
                <w:tcPr>
                  <w:tcW w:w="1491" w:type="dxa"/>
                  <w:vAlign w:val="center"/>
                </w:tcPr>
                <w:p>
                  <w:pPr>
                    <w:pStyle w:val="32"/>
                    <w:spacing w:line="360" w:lineRule="exact"/>
                    <w:rPr>
                      <w:color w:val="000000" w:themeColor="text1"/>
                      <w:szCs w:val="21"/>
                    </w:rPr>
                  </w:pPr>
                  <w:r>
                    <w:rPr>
                      <w:color w:val="000000" w:themeColor="text1"/>
                      <w:szCs w:val="21"/>
                    </w:rPr>
                    <w:t>E102.936169°、N26.326189°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搅拌混合车间</w:t>
                  </w:r>
                </w:p>
              </w:tc>
              <w:tc>
                <w:tcPr>
                  <w:tcW w:w="851" w:type="dxa"/>
                  <w:vMerge w:val="restart"/>
                  <w:vAlign w:val="center"/>
                </w:tcPr>
                <w:p>
                  <w:pPr>
                    <w:pStyle w:val="32"/>
                    <w:spacing w:line="360" w:lineRule="exact"/>
                    <w:rPr>
                      <w:color w:val="000000" w:themeColor="text1"/>
                      <w:szCs w:val="21"/>
                    </w:rPr>
                  </w:pPr>
                  <w:r>
                    <w:rPr>
                      <w:color w:val="000000" w:themeColor="text1"/>
                      <w:szCs w:val="21"/>
                    </w:rPr>
                    <w:t>搅拌混合</w:t>
                  </w:r>
                </w:p>
              </w:tc>
              <w:tc>
                <w:tcPr>
                  <w:tcW w:w="709" w:type="dxa"/>
                  <w:vMerge w:val="restart"/>
                  <w:vAlign w:val="center"/>
                </w:tcPr>
                <w:p>
                  <w:pPr>
                    <w:pStyle w:val="32"/>
                    <w:spacing w:line="360" w:lineRule="exact"/>
                    <w:rPr>
                      <w:color w:val="000000" w:themeColor="text1"/>
                      <w:szCs w:val="21"/>
                    </w:rPr>
                  </w:pPr>
                  <w:r>
                    <w:rPr>
                      <w:color w:val="000000" w:themeColor="text1"/>
                      <w:szCs w:val="21"/>
                    </w:rPr>
                    <w:t>颗粒物</w:t>
                  </w:r>
                </w:p>
              </w:tc>
              <w:tc>
                <w:tcPr>
                  <w:tcW w:w="3260"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针对搅拌混合工序的粉尘，项目拟对该工序产尘点配套设置了集气罩，将其有效统一收集后，通过1台2#袋式除尘器进行处理，处理后通过1根15m高排气筒（DA002）外排。该集气罩风量为5000m³/h，集气效率不低于90%，袋式除尘器除尘效率为99.7%。</w:t>
                  </w:r>
                </w:p>
              </w:tc>
              <w:tc>
                <w:tcPr>
                  <w:tcW w:w="567" w:type="dxa"/>
                  <w:vMerge w:val="restart"/>
                  <w:vAlign w:val="center"/>
                </w:tcPr>
                <w:p>
                  <w:pPr>
                    <w:pStyle w:val="32"/>
                    <w:spacing w:line="360" w:lineRule="exact"/>
                    <w:rPr>
                      <w:color w:val="000000" w:themeColor="text1"/>
                      <w:szCs w:val="21"/>
                    </w:rPr>
                  </w:pPr>
                  <w:r>
                    <w:rPr>
                      <w:color w:val="000000" w:themeColor="text1"/>
                      <w:szCs w:val="21"/>
                    </w:rPr>
                    <w:t>有组织</w:t>
                  </w:r>
                </w:p>
              </w:tc>
              <w:tc>
                <w:tcPr>
                  <w:tcW w:w="2200" w:type="dxa"/>
                  <w:gridSpan w:val="2"/>
                  <w:vAlign w:val="center"/>
                </w:tcPr>
                <w:p>
                  <w:pPr>
                    <w:pStyle w:val="32"/>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高度</w:t>
                  </w:r>
                </w:p>
              </w:tc>
              <w:tc>
                <w:tcPr>
                  <w:tcW w:w="1491" w:type="dxa"/>
                  <w:vAlign w:val="center"/>
                </w:tcPr>
                <w:p>
                  <w:pPr>
                    <w:pStyle w:val="32"/>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内径</w:t>
                  </w:r>
                </w:p>
              </w:tc>
              <w:tc>
                <w:tcPr>
                  <w:tcW w:w="1491" w:type="dxa"/>
                  <w:vAlign w:val="center"/>
                </w:tcPr>
                <w:p>
                  <w:pPr>
                    <w:pStyle w:val="32"/>
                    <w:spacing w:line="360" w:lineRule="exact"/>
                    <w:rPr>
                      <w:color w:val="000000" w:themeColor="text1"/>
                      <w:szCs w:val="21"/>
                    </w:rPr>
                  </w:pPr>
                  <w:r>
                    <w:rPr>
                      <w:color w:val="000000" w:themeColor="text1"/>
                      <w:szCs w:val="21"/>
                    </w:rPr>
                    <w:t>0.4m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温度</w:t>
                  </w:r>
                </w:p>
              </w:tc>
              <w:tc>
                <w:tcPr>
                  <w:tcW w:w="1491" w:type="dxa"/>
                  <w:vAlign w:val="center"/>
                </w:tcPr>
                <w:p>
                  <w:pPr>
                    <w:pStyle w:val="32"/>
                    <w:spacing w:line="360" w:lineRule="exact"/>
                    <w:rPr>
                      <w:color w:val="000000" w:themeColor="text1"/>
                      <w:szCs w:val="21"/>
                    </w:rPr>
                  </w:pPr>
                  <w:r>
                    <w:rPr>
                      <w:color w:val="000000" w:themeColor="text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编号</w:t>
                  </w:r>
                </w:p>
              </w:tc>
              <w:tc>
                <w:tcPr>
                  <w:tcW w:w="1491" w:type="dxa"/>
                  <w:vAlign w:val="center"/>
                </w:tcPr>
                <w:p>
                  <w:pPr>
                    <w:pStyle w:val="32"/>
                    <w:spacing w:line="360" w:lineRule="exact"/>
                    <w:rPr>
                      <w:color w:val="000000" w:themeColor="text1"/>
                      <w:szCs w:val="21"/>
                    </w:rPr>
                  </w:pPr>
                  <w:r>
                    <w:rPr>
                      <w:color w:val="000000" w:themeColor="text1"/>
                      <w:szCs w:val="21"/>
                    </w:rPr>
                    <w:t>DA002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类型</w:t>
                  </w:r>
                </w:p>
              </w:tc>
              <w:tc>
                <w:tcPr>
                  <w:tcW w:w="1491"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坐标</w:t>
                  </w:r>
                </w:p>
              </w:tc>
              <w:tc>
                <w:tcPr>
                  <w:tcW w:w="1491" w:type="dxa"/>
                  <w:vAlign w:val="center"/>
                </w:tcPr>
                <w:p>
                  <w:pPr>
                    <w:pStyle w:val="32"/>
                    <w:spacing w:line="360" w:lineRule="exact"/>
                    <w:rPr>
                      <w:color w:val="000000" w:themeColor="text1"/>
                      <w:szCs w:val="21"/>
                    </w:rPr>
                  </w:pPr>
                  <w:r>
                    <w:rPr>
                      <w:color w:val="000000" w:themeColor="text1"/>
                      <w:szCs w:val="21"/>
                    </w:rPr>
                    <w:t>E102.936464°、N26.326300°</w:t>
                  </w: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7</w:t>
            </w:r>
            <w:r>
              <w:rPr>
                <w:rFonts w:ascii="Times New Roman" w:hAnsi="Times New Roman" w:cs="Times New Roman"/>
                <w:b/>
                <w:color w:val="000000" w:themeColor="text1"/>
                <w:szCs w:val="24"/>
              </w:rPr>
              <w:t xml:space="preserve">  废气污染物排放源产排量及达标情况一览表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0"/>
              <w:gridCol w:w="621"/>
              <w:gridCol w:w="709"/>
              <w:gridCol w:w="1274"/>
              <w:gridCol w:w="850"/>
              <w:gridCol w:w="851"/>
              <w:gridCol w:w="850"/>
              <w:gridCol w:w="851"/>
              <w:gridCol w:w="708"/>
              <w:gridCol w:w="706"/>
              <w:gridCol w:w="6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项目</w:t>
                  </w:r>
                </w:p>
              </w:tc>
              <w:tc>
                <w:tcPr>
                  <w:tcW w:w="1330" w:type="dxa"/>
                  <w:gridSpan w:val="2"/>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产排污环节</w:t>
                  </w:r>
                </w:p>
              </w:tc>
              <w:tc>
                <w:tcPr>
                  <w:tcW w:w="1274" w:type="dxa"/>
                  <w:vMerge w:val="restart"/>
                  <w:vAlign w:val="center"/>
                </w:tcPr>
                <w:p>
                  <w:pPr>
                    <w:pStyle w:val="32"/>
                    <w:spacing w:line="360" w:lineRule="exact"/>
                    <w:rPr>
                      <w:color w:val="000000" w:themeColor="text1"/>
                      <w:szCs w:val="21"/>
                    </w:rPr>
                  </w:pPr>
                  <w:r>
                    <w:rPr>
                      <w:color w:val="000000" w:themeColor="text1"/>
                      <w:szCs w:val="21"/>
                    </w:rPr>
                    <w:t>污染物种类</w:t>
                  </w:r>
                </w:p>
              </w:tc>
              <w:tc>
                <w:tcPr>
                  <w:tcW w:w="1701" w:type="dxa"/>
                  <w:gridSpan w:val="2"/>
                  <w:vAlign w:val="center"/>
                </w:tcPr>
                <w:p>
                  <w:pPr>
                    <w:pStyle w:val="32"/>
                    <w:spacing w:line="360" w:lineRule="exact"/>
                    <w:rPr>
                      <w:color w:val="000000" w:themeColor="text1"/>
                      <w:szCs w:val="21"/>
                    </w:rPr>
                  </w:pPr>
                  <w:r>
                    <w:rPr>
                      <w:color w:val="000000" w:themeColor="text1"/>
                      <w:szCs w:val="21"/>
                    </w:rPr>
                    <w:t>污染物产生情况</w:t>
                  </w:r>
                </w:p>
              </w:tc>
              <w:tc>
                <w:tcPr>
                  <w:tcW w:w="2409"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706"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645"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1330" w:type="dxa"/>
                  <w:gridSpan w:val="2"/>
                  <w:vMerge w:val="continue"/>
                  <w:tcBorders>
                    <w:left w:val="single" w:color="auto" w:sz="4" w:space="0"/>
                  </w:tcBorders>
                  <w:vAlign w:val="center"/>
                </w:tcPr>
                <w:p>
                  <w:pPr>
                    <w:pStyle w:val="32"/>
                    <w:spacing w:line="360" w:lineRule="exact"/>
                    <w:rPr>
                      <w:color w:val="000000" w:themeColor="text1"/>
                      <w:szCs w:val="21"/>
                    </w:rPr>
                  </w:pPr>
                </w:p>
              </w:tc>
              <w:tc>
                <w:tcPr>
                  <w:tcW w:w="1274" w:type="dxa"/>
                  <w:vMerge w:val="continue"/>
                  <w:vAlign w:val="center"/>
                </w:tcPr>
                <w:p>
                  <w:pPr>
                    <w:pStyle w:val="32"/>
                    <w:spacing w:line="360" w:lineRule="exact"/>
                    <w:rPr>
                      <w:color w:val="000000" w:themeColor="text1"/>
                      <w:szCs w:val="21"/>
                    </w:rPr>
                  </w:pPr>
                </w:p>
              </w:tc>
              <w:tc>
                <w:tcPr>
                  <w:tcW w:w="850" w:type="dxa"/>
                  <w:vAlign w:val="center"/>
                </w:tcPr>
                <w:p>
                  <w:pPr>
                    <w:pStyle w:val="32"/>
                    <w:spacing w:line="360" w:lineRule="exact"/>
                    <w:rPr>
                      <w:color w:val="000000" w:themeColor="text1"/>
                      <w:szCs w:val="21"/>
                    </w:rPr>
                  </w:pPr>
                  <w:r>
                    <w:rPr>
                      <w:color w:val="000000" w:themeColor="text1"/>
                      <w:szCs w:val="21"/>
                    </w:rPr>
                    <w:t>产生浓度mg/m³</w:t>
                  </w:r>
                </w:p>
              </w:tc>
              <w:tc>
                <w:tcPr>
                  <w:tcW w:w="851" w:type="dxa"/>
                  <w:vAlign w:val="center"/>
                </w:tcPr>
                <w:p>
                  <w:pPr>
                    <w:pStyle w:val="32"/>
                    <w:spacing w:line="360" w:lineRule="exact"/>
                    <w:rPr>
                      <w:color w:val="000000" w:themeColor="text1"/>
                      <w:szCs w:val="21"/>
                    </w:rPr>
                  </w:pPr>
                  <w:r>
                    <w:rPr>
                      <w:color w:val="000000" w:themeColor="text1"/>
                      <w:szCs w:val="21"/>
                    </w:rPr>
                    <w:t>产生量t/a</w:t>
                  </w:r>
                </w:p>
              </w:tc>
              <w:tc>
                <w:tcPr>
                  <w:tcW w:w="850" w:type="dxa"/>
                  <w:vAlign w:val="center"/>
                </w:tcPr>
                <w:p>
                  <w:pPr>
                    <w:pStyle w:val="32"/>
                    <w:spacing w:line="360" w:lineRule="exact"/>
                    <w:rPr>
                      <w:color w:val="000000" w:themeColor="text1"/>
                      <w:szCs w:val="21"/>
                    </w:rPr>
                  </w:pPr>
                  <w:r>
                    <w:rPr>
                      <w:color w:val="000000" w:themeColor="text1"/>
                      <w:szCs w:val="21"/>
                    </w:rPr>
                    <w:t>排放浓度mg/m³</w:t>
                  </w: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排放量t/a</w:t>
                  </w:r>
                </w:p>
              </w:tc>
              <w:tc>
                <w:tcPr>
                  <w:tcW w:w="708" w:type="dxa"/>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排放速率kg/h</w:t>
                  </w:r>
                </w:p>
              </w:tc>
              <w:tc>
                <w:tcPr>
                  <w:tcW w:w="70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一期工程</w:t>
                  </w:r>
                </w:p>
              </w:tc>
              <w:tc>
                <w:tcPr>
                  <w:tcW w:w="133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堆场扬尘</w:t>
                  </w:r>
                </w:p>
              </w:tc>
              <w:tc>
                <w:tcPr>
                  <w:tcW w:w="1274" w:type="dxa"/>
                  <w:vMerge w:val="restart"/>
                  <w:vAlign w:val="center"/>
                </w:tcPr>
                <w:p>
                  <w:pPr>
                    <w:pStyle w:val="32"/>
                    <w:spacing w:line="360" w:lineRule="exact"/>
                    <w:rPr>
                      <w:color w:val="000000" w:themeColor="text1"/>
                      <w:szCs w:val="21"/>
                    </w:rPr>
                  </w:pPr>
                  <w:r>
                    <w:rPr>
                      <w:color w:val="000000" w:themeColor="text1"/>
                      <w:szCs w:val="21"/>
                    </w:rPr>
                    <w:t>颗粒物（无组织）</w:t>
                  </w:r>
                </w:p>
              </w:tc>
              <w:tc>
                <w:tcPr>
                  <w:tcW w:w="850" w:type="dxa"/>
                  <w:vAlign w:val="center"/>
                </w:tcPr>
                <w:p>
                  <w:pPr>
                    <w:pStyle w:val="32"/>
                    <w:spacing w:line="360" w:lineRule="exact"/>
                    <w:rPr>
                      <w:color w:val="000000" w:themeColor="text1"/>
                      <w:szCs w:val="21"/>
                    </w:rPr>
                  </w:pPr>
                  <w:r>
                    <w:rPr>
                      <w:color w:val="000000" w:themeColor="text1"/>
                      <w:szCs w:val="21"/>
                    </w:rPr>
                    <w:t>--</w:t>
                  </w:r>
                </w:p>
              </w:tc>
              <w:tc>
                <w:tcPr>
                  <w:tcW w:w="851" w:type="dxa"/>
                  <w:vAlign w:val="center"/>
                </w:tcPr>
                <w:p>
                  <w:pPr>
                    <w:pStyle w:val="32"/>
                    <w:spacing w:line="360" w:lineRule="exact"/>
                    <w:rPr>
                      <w:color w:val="000000" w:themeColor="text1"/>
                      <w:szCs w:val="21"/>
                    </w:rPr>
                  </w:pPr>
                  <w:r>
                    <w:rPr>
                      <w:rFonts w:hint="eastAsia"/>
                      <w:color w:val="000000" w:themeColor="text1"/>
                      <w:szCs w:val="21"/>
                    </w:rPr>
                    <w:t>10.09</w:t>
                  </w:r>
                </w:p>
              </w:tc>
              <w:tc>
                <w:tcPr>
                  <w:tcW w:w="850" w:type="dxa"/>
                  <w:vMerge w:val="restart"/>
                  <w:vAlign w:val="center"/>
                </w:tcPr>
                <w:p>
                  <w:pPr>
                    <w:pStyle w:val="32"/>
                    <w:spacing w:line="360" w:lineRule="exact"/>
                    <w:rPr>
                      <w:color w:val="000000" w:themeColor="text1"/>
                      <w:szCs w:val="21"/>
                    </w:rPr>
                  </w:pPr>
                  <w:r>
                    <w:rPr>
                      <w:color w:val="000000" w:themeColor="text1"/>
                      <w:szCs w:val="21"/>
                    </w:rPr>
                    <w:t>0.42</w:t>
                  </w: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2.02</w:t>
                  </w:r>
                </w:p>
              </w:tc>
              <w:tc>
                <w:tcPr>
                  <w:tcW w:w="708" w:type="dxa"/>
                  <w:tcBorders>
                    <w:top w:val="single" w:color="auto" w:sz="4" w:space="0"/>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706" w:type="dxa"/>
                  <w:vMerge w:val="restart"/>
                  <w:vAlign w:val="center"/>
                </w:tcPr>
                <w:p>
                  <w:pPr>
                    <w:pStyle w:val="32"/>
                    <w:spacing w:line="360" w:lineRule="exact"/>
                    <w:rPr>
                      <w:color w:val="000000" w:themeColor="text1"/>
                      <w:szCs w:val="21"/>
                    </w:rPr>
                  </w:pPr>
                  <w:r>
                    <w:rPr>
                      <w:color w:val="000000" w:themeColor="text1"/>
                      <w:szCs w:val="21"/>
                    </w:rPr>
                    <w:t>≤0.5</w:t>
                  </w:r>
                </w:p>
              </w:tc>
              <w:tc>
                <w:tcPr>
                  <w:tcW w:w="645"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133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装卸</w:t>
                  </w:r>
                </w:p>
              </w:tc>
              <w:tc>
                <w:tcPr>
                  <w:tcW w:w="1274" w:type="dxa"/>
                  <w:vMerge w:val="continue"/>
                  <w:vAlign w:val="center"/>
                </w:tcPr>
                <w:p>
                  <w:pPr>
                    <w:pStyle w:val="32"/>
                    <w:spacing w:line="360" w:lineRule="exact"/>
                    <w:rPr>
                      <w:color w:val="000000" w:themeColor="text1"/>
                      <w:szCs w:val="21"/>
                    </w:rPr>
                  </w:pPr>
                </w:p>
              </w:tc>
              <w:tc>
                <w:tcPr>
                  <w:tcW w:w="850" w:type="dxa"/>
                  <w:vAlign w:val="center"/>
                </w:tcPr>
                <w:p>
                  <w:pPr>
                    <w:pStyle w:val="32"/>
                    <w:spacing w:line="360" w:lineRule="exact"/>
                    <w:rPr>
                      <w:color w:val="000000" w:themeColor="text1"/>
                      <w:szCs w:val="21"/>
                    </w:rPr>
                  </w:pPr>
                  <w:r>
                    <w:rPr>
                      <w:color w:val="000000" w:themeColor="text1"/>
                      <w:szCs w:val="21"/>
                    </w:rPr>
                    <w:t>--</w:t>
                  </w:r>
                </w:p>
              </w:tc>
              <w:tc>
                <w:tcPr>
                  <w:tcW w:w="851" w:type="dxa"/>
                  <w:vAlign w:val="center"/>
                </w:tcPr>
                <w:p>
                  <w:pPr>
                    <w:pStyle w:val="32"/>
                    <w:spacing w:line="360" w:lineRule="exact"/>
                    <w:rPr>
                      <w:color w:val="000000" w:themeColor="text1"/>
                      <w:szCs w:val="21"/>
                    </w:rPr>
                  </w:pPr>
                  <w:r>
                    <w:rPr>
                      <w:color w:val="000000" w:themeColor="text1"/>
                      <w:szCs w:val="21"/>
                    </w:rPr>
                    <w:t>40.5</w:t>
                  </w:r>
                </w:p>
              </w:tc>
              <w:tc>
                <w:tcPr>
                  <w:tcW w:w="850" w:type="dxa"/>
                  <w:vMerge w:val="continue"/>
                  <w:vAlign w:val="center"/>
                </w:tcPr>
                <w:p>
                  <w:pPr>
                    <w:pStyle w:val="32"/>
                    <w:spacing w:line="360" w:lineRule="exact"/>
                    <w:rPr>
                      <w:color w:val="000000" w:themeColor="text1"/>
                      <w:szCs w:val="21"/>
                    </w:rPr>
                  </w:pP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8</w:t>
                  </w:r>
                </w:p>
              </w:tc>
              <w:tc>
                <w:tcPr>
                  <w:tcW w:w="708" w:type="dxa"/>
                  <w:tcBorders>
                    <w:top w:val="single" w:color="auto" w:sz="4" w:space="0"/>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70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133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皮带输送</w:t>
                  </w:r>
                </w:p>
              </w:tc>
              <w:tc>
                <w:tcPr>
                  <w:tcW w:w="1274" w:type="dxa"/>
                  <w:vMerge w:val="continue"/>
                  <w:vAlign w:val="center"/>
                </w:tcPr>
                <w:p>
                  <w:pPr>
                    <w:pStyle w:val="32"/>
                    <w:spacing w:line="360" w:lineRule="exact"/>
                    <w:rPr>
                      <w:color w:val="000000" w:themeColor="text1"/>
                      <w:szCs w:val="21"/>
                    </w:rPr>
                  </w:pPr>
                </w:p>
              </w:tc>
              <w:tc>
                <w:tcPr>
                  <w:tcW w:w="850" w:type="dxa"/>
                  <w:vAlign w:val="center"/>
                </w:tcPr>
                <w:p>
                  <w:pPr>
                    <w:pStyle w:val="32"/>
                    <w:spacing w:line="360" w:lineRule="exact"/>
                    <w:rPr>
                      <w:color w:val="000000" w:themeColor="text1"/>
                      <w:szCs w:val="21"/>
                    </w:rPr>
                  </w:pPr>
                  <w:r>
                    <w:rPr>
                      <w:color w:val="000000" w:themeColor="text1"/>
                      <w:szCs w:val="21"/>
                    </w:rPr>
                    <w:t>--</w:t>
                  </w:r>
                </w:p>
              </w:tc>
              <w:tc>
                <w:tcPr>
                  <w:tcW w:w="851" w:type="dxa"/>
                  <w:vAlign w:val="center"/>
                </w:tcPr>
                <w:p>
                  <w:pPr>
                    <w:pStyle w:val="32"/>
                    <w:spacing w:line="360" w:lineRule="exact"/>
                    <w:rPr>
                      <w:color w:val="000000" w:themeColor="text1"/>
                      <w:szCs w:val="21"/>
                    </w:rPr>
                  </w:pPr>
                  <w:r>
                    <w:rPr>
                      <w:color w:val="000000" w:themeColor="text1"/>
                      <w:szCs w:val="21"/>
                    </w:rPr>
                    <w:t>--</w:t>
                  </w:r>
                </w:p>
              </w:tc>
              <w:tc>
                <w:tcPr>
                  <w:tcW w:w="850" w:type="dxa"/>
                  <w:vMerge w:val="continue"/>
                  <w:vAlign w:val="center"/>
                </w:tcPr>
                <w:p>
                  <w:pPr>
                    <w:pStyle w:val="32"/>
                    <w:spacing w:line="360" w:lineRule="exact"/>
                    <w:rPr>
                      <w:color w:val="000000" w:themeColor="text1"/>
                      <w:szCs w:val="21"/>
                    </w:rPr>
                  </w:pP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708" w:type="dxa"/>
                  <w:tcBorders>
                    <w:top w:val="single" w:color="auto" w:sz="4" w:space="0"/>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70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133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破碎筛分</w:t>
                  </w:r>
                </w:p>
              </w:tc>
              <w:tc>
                <w:tcPr>
                  <w:tcW w:w="1274" w:type="dxa"/>
                  <w:vMerge w:val="continue"/>
                  <w:vAlign w:val="center"/>
                </w:tcPr>
                <w:p>
                  <w:pPr>
                    <w:pStyle w:val="32"/>
                    <w:spacing w:line="360" w:lineRule="exact"/>
                    <w:rPr>
                      <w:color w:val="000000" w:themeColor="text1"/>
                      <w:szCs w:val="21"/>
                    </w:rPr>
                  </w:pPr>
                </w:p>
              </w:tc>
              <w:tc>
                <w:tcPr>
                  <w:tcW w:w="850" w:type="dxa"/>
                  <w:vAlign w:val="center"/>
                </w:tcPr>
                <w:p>
                  <w:pPr>
                    <w:pStyle w:val="32"/>
                    <w:spacing w:line="360" w:lineRule="exact"/>
                    <w:rPr>
                      <w:color w:val="000000" w:themeColor="text1"/>
                      <w:szCs w:val="21"/>
                    </w:rPr>
                  </w:pPr>
                  <w:r>
                    <w:rPr>
                      <w:color w:val="000000" w:themeColor="text1"/>
                      <w:szCs w:val="21"/>
                    </w:rPr>
                    <w:t>--</w:t>
                  </w:r>
                </w:p>
              </w:tc>
              <w:tc>
                <w:tcPr>
                  <w:tcW w:w="851" w:type="dxa"/>
                  <w:vAlign w:val="center"/>
                </w:tcPr>
                <w:p>
                  <w:pPr>
                    <w:pStyle w:val="32"/>
                    <w:spacing w:line="360" w:lineRule="exact"/>
                    <w:rPr>
                      <w:color w:val="000000" w:themeColor="text1"/>
                      <w:szCs w:val="21"/>
                    </w:rPr>
                  </w:pPr>
                  <w:r>
                    <w:rPr>
                      <w:color w:val="000000" w:themeColor="text1"/>
                      <w:szCs w:val="21"/>
                    </w:rPr>
                    <w:t>1701</w:t>
                  </w:r>
                </w:p>
              </w:tc>
              <w:tc>
                <w:tcPr>
                  <w:tcW w:w="850" w:type="dxa"/>
                  <w:vMerge w:val="continue"/>
                  <w:vAlign w:val="center"/>
                </w:tcPr>
                <w:p>
                  <w:pPr>
                    <w:pStyle w:val="32"/>
                    <w:spacing w:line="360" w:lineRule="exact"/>
                    <w:rPr>
                      <w:color w:val="000000" w:themeColor="text1"/>
                      <w:szCs w:val="21"/>
                    </w:rPr>
                  </w:pP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34.02</w:t>
                  </w:r>
                </w:p>
              </w:tc>
              <w:tc>
                <w:tcPr>
                  <w:tcW w:w="708" w:type="dxa"/>
                  <w:tcBorders>
                    <w:top w:val="single" w:color="auto" w:sz="4" w:space="0"/>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w:t>
                  </w:r>
                </w:p>
              </w:tc>
              <w:tc>
                <w:tcPr>
                  <w:tcW w:w="70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0" w:hRule="atLeast"/>
              </w:trPr>
              <w:tc>
                <w:tcPr>
                  <w:tcW w:w="540" w:type="dxa"/>
                  <w:vMerge w:val="restart"/>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二期工程</w:t>
                  </w:r>
                </w:p>
              </w:tc>
              <w:tc>
                <w:tcPr>
                  <w:tcW w:w="621" w:type="dxa"/>
                  <w:vMerge w:val="restart"/>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水泥仓</w:t>
                  </w:r>
                </w:p>
              </w:tc>
              <w:tc>
                <w:tcPr>
                  <w:tcW w:w="709" w:type="dxa"/>
                  <w:vMerge w:val="restart"/>
                  <w:tcBorders>
                    <w:top w:val="single" w:color="auto" w:sz="4" w:space="0"/>
                  </w:tcBorders>
                  <w:vAlign w:val="center"/>
                </w:tcPr>
                <w:p>
                  <w:pPr>
                    <w:pStyle w:val="32"/>
                    <w:spacing w:line="360" w:lineRule="exact"/>
                    <w:rPr>
                      <w:color w:val="000000" w:themeColor="text1"/>
                      <w:szCs w:val="21"/>
                    </w:rPr>
                  </w:pPr>
                  <w:r>
                    <w:rPr>
                      <w:color w:val="000000" w:themeColor="text1"/>
                      <w:szCs w:val="21"/>
                    </w:rPr>
                    <w:t>水泥装卸、储存、输送过程</w:t>
                  </w:r>
                </w:p>
              </w:tc>
              <w:tc>
                <w:tcPr>
                  <w:tcW w:w="1274" w:type="dxa"/>
                  <w:vAlign w:val="center"/>
                </w:tcPr>
                <w:p>
                  <w:pPr>
                    <w:pStyle w:val="32"/>
                    <w:spacing w:line="360" w:lineRule="exact"/>
                    <w:rPr>
                      <w:color w:val="000000" w:themeColor="text1"/>
                      <w:szCs w:val="21"/>
                    </w:rPr>
                  </w:pPr>
                  <w:r>
                    <w:rPr>
                      <w:color w:val="000000" w:themeColor="text1"/>
                      <w:szCs w:val="21"/>
                    </w:rPr>
                    <w:t>废气量</w:t>
                  </w:r>
                </w:p>
              </w:tc>
              <w:tc>
                <w:tcPr>
                  <w:tcW w:w="1701" w:type="dxa"/>
                  <w:gridSpan w:val="2"/>
                  <w:vAlign w:val="center"/>
                </w:tcPr>
                <w:p>
                  <w:pPr>
                    <w:pStyle w:val="32"/>
                    <w:spacing w:line="360" w:lineRule="exact"/>
                    <w:rPr>
                      <w:color w:val="000000" w:themeColor="text1"/>
                      <w:szCs w:val="21"/>
                    </w:rPr>
                  </w:pPr>
                  <w:r>
                    <w:rPr>
                      <w:color w:val="000000" w:themeColor="text1"/>
                      <w:szCs w:val="21"/>
                    </w:rPr>
                    <w:t>110546m³/a</w:t>
                  </w:r>
                </w:p>
              </w:tc>
              <w:tc>
                <w:tcPr>
                  <w:tcW w:w="2409" w:type="dxa"/>
                  <w:gridSpan w:val="3"/>
                  <w:vAlign w:val="center"/>
                </w:tcPr>
                <w:p>
                  <w:pPr>
                    <w:pStyle w:val="32"/>
                    <w:spacing w:line="360" w:lineRule="exact"/>
                    <w:rPr>
                      <w:color w:val="000000" w:themeColor="text1"/>
                      <w:szCs w:val="21"/>
                    </w:rPr>
                  </w:pPr>
                  <w:r>
                    <w:rPr>
                      <w:color w:val="000000" w:themeColor="text1"/>
                      <w:szCs w:val="21"/>
                    </w:rPr>
                    <w:t>110546m³/a</w:t>
                  </w:r>
                </w:p>
              </w:tc>
              <w:tc>
                <w:tcPr>
                  <w:tcW w:w="706" w:type="dxa"/>
                  <w:vAlign w:val="center"/>
                </w:tcPr>
                <w:p>
                  <w:pPr>
                    <w:pStyle w:val="32"/>
                    <w:spacing w:line="360" w:lineRule="exact"/>
                    <w:rPr>
                      <w:color w:val="000000" w:themeColor="text1"/>
                      <w:szCs w:val="21"/>
                    </w:rPr>
                  </w:pPr>
                  <w:r>
                    <w:rPr>
                      <w:color w:val="000000" w:themeColor="text1"/>
                      <w:szCs w:val="21"/>
                    </w:rPr>
                    <w:t>--</w:t>
                  </w:r>
                </w:p>
              </w:tc>
              <w:tc>
                <w:tcPr>
                  <w:tcW w:w="645"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2" w:hRule="atLeast"/>
              </w:trPr>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621" w:type="dxa"/>
                  <w:vMerge w:val="continue"/>
                  <w:tcBorders>
                    <w:left w:val="single" w:color="auto" w:sz="4" w:space="0"/>
                  </w:tcBorders>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1274" w:type="dxa"/>
                  <w:vAlign w:val="center"/>
                </w:tcPr>
                <w:p>
                  <w:pPr>
                    <w:pStyle w:val="32"/>
                    <w:spacing w:line="360" w:lineRule="exact"/>
                    <w:rPr>
                      <w:color w:val="000000" w:themeColor="text1"/>
                      <w:szCs w:val="21"/>
                    </w:rPr>
                  </w:pPr>
                  <w:r>
                    <w:rPr>
                      <w:color w:val="000000" w:themeColor="text1"/>
                      <w:szCs w:val="21"/>
                    </w:rPr>
                    <w:t>颗粒物（有组织）</w:t>
                  </w:r>
                </w:p>
              </w:tc>
              <w:tc>
                <w:tcPr>
                  <w:tcW w:w="850" w:type="dxa"/>
                  <w:vAlign w:val="center"/>
                </w:tcPr>
                <w:p>
                  <w:pPr>
                    <w:pStyle w:val="32"/>
                    <w:spacing w:line="360" w:lineRule="exact"/>
                    <w:rPr>
                      <w:color w:val="000000" w:themeColor="text1"/>
                      <w:szCs w:val="21"/>
                    </w:rPr>
                  </w:pPr>
                  <w:r>
                    <w:rPr>
                      <w:color w:val="000000" w:themeColor="text1"/>
                      <w:szCs w:val="21"/>
                    </w:rPr>
                    <w:t>4523</w:t>
                  </w:r>
                </w:p>
              </w:tc>
              <w:tc>
                <w:tcPr>
                  <w:tcW w:w="851" w:type="dxa"/>
                  <w:vAlign w:val="center"/>
                </w:tcPr>
                <w:p>
                  <w:pPr>
                    <w:pStyle w:val="32"/>
                    <w:spacing w:line="360" w:lineRule="exact"/>
                    <w:rPr>
                      <w:color w:val="000000" w:themeColor="text1"/>
                      <w:szCs w:val="21"/>
                    </w:rPr>
                  </w:pPr>
                  <w:r>
                    <w:rPr>
                      <w:color w:val="000000" w:themeColor="text1"/>
                      <w:szCs w:val="21"/>
                    </w:rPr>
                    <w:t>0.50</w:t>
                  </w:r>
                </w:p>
              </w:tc>
              <w:tc>
                <w:tcPr>
                  <w:tcW w:w="850" w:type="dxa"/>
                  <w:vAlign w:val="center"/>
                </w:tcPr>
                <w:p>
                  <w:pPr>
                    <w:pStyle w:val="32"/>
                    <w:spacing w:line="360" w:lineRule="exact"/>
                    <w:rPr>
                      <w:color w:val="000000" w:themeColor="text1"/>
                      <w:szCs w:val="21"/>
                    </w:rPr>
                  </w:pPr>
                  <w:r>
                    <w:rPr>
                      <w:color w:val="000000" w:themeColor="text1"/>
                      <w:szCs w:val="21"/>
                    </w:rPr>
                    <w:t>13.57</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0.0015</w:t>
                  </w:r>
                </w:p>
              </w:tc>
              <w:tc>
                <w:tcPr>
                  <w:tcW w:w="70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0.0003</w:t>
                  </w:r>
                </w:p>
              </w:tc>
              <w:tc>
                <w:tcPr>
                  <w:tcW w:w="706" w:type="dxa"/>
                  <w:vAlign w:val="center"/>
                </w:tcPr>
                <w:p>
                  <w:pPr>
                    <w:pStyle w:val="32"/>
                    <w:spacing w:line="360" w:lineRule="exact"/>
                    <w:rPr>
                      <w:color w:val="000000" w:themeColor="text1"/>
                      <w:szCs w:val="21"/>
                    </w:rPr>
                  </w:pPr>
                  <w:r>
                    <w:rPr>
                      <w:color w:val="000000" w:themeColor="text1"/>
                      <w:szCs w:val="21"/>
                    </w:rPr>
                    <w:t>≤20</w:t>
                  </w:r>
                </w:p>
              </w:tc>
              <w:tc>
                <w:tcPr>
                  <w:tcW w:w="645" w:type="dxa"/>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621"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搅拌混合车</w:t>
                  </w:r>
                  <w:r>
                    <w:rPr>
                      <w:rFonts w:hint="eastAsia"/>
                      <w:color w:val="000000" w:themeColor="text1"/>
                      <w:szCs w:val="21"/>
                    </w:rPr>
                    <w:t>间</w:t>
                  </w:r>
                </w:p>
              </w:tc>
              <w:tc>
                <w:tcPr>
                  <w:tcW w:w="709" w:type="dxa"/>
                  <w:vMerge w:val="restart"/>
                  <w:vAlign w:val="center"/>
                </w:tcPr>
                <w:p>
                  <w:pPr>
                    <w:pStyle w:val="32"/>
                    <w:spacing w:line="360" w:lineRule="exact"/>
                    <w:rPr>
                      <w:color w:val="000000" w:themeColor="text1"/>
                      <w:szCs w:val="21"/>
                    </w:rPr>
                  </w:pPr>
                  <w:r>
                    <w:rPr>
                      <w:color w:val="000000" w:themeColor="text1"/>
                      <w:szCs w:val="21"/>
                    </w:rPr>
                    <w:t>搅拌混合</w:t>
                  </w:r>
                </w:p>
              </w:tc>
              <w:tc>
                <w:tcPr>
                  <w:tcW w:w="1274" w:type="dxa"/>
                  <w:vAlign w:val="center"/>
                </w:tcPr>
                <w:p>
                  <w:pPr>
                    <w:pStyle w:val="32"/>
                    <w:spacing w:line="360" w:lineRule="exact"/>
                    <w:rPr>
                      <w:color w:val="000000" w:themeColor="text1"/>
                      <w:szCs w:val="21"/>
                    </w:rPr>
                  </w:pPr>
                  <w:r>
                    <w:rPr>
                      <w:color w:val="000000" w:themeColor="text1"/>
                      <w:szCs w:val="21"/>
                    </w:rPr>
                    <w:t>废气量</w:t>
                  </w:r>
                </w:p>
              </w:tc>
              <w:tc>
                <w:tcPr>
                  <w:tcW w:w="1701" w:type="dxa"/>
                  <w:gridSpan w:val="2"/>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2400万m³/a</w:t>
                  </w:r>
                </w:p>
              </w:tc>
              <w:tc>
                <w:tcPr>
                  <w:tcW w:w="2409" w:type="dxa"/>
                  <w:gridSpan w:val="3"/>
                  <w:vAlign w:val="center"/>
                </w:tcPr>
                <w:p>
                  <w:pPr>
                    <w:pStyle w:val="32"/>
                    <w:spacing w:line="360" w:lineRule="exact"/>
                    <w:rPr>
                      <w:color w:val="000000" w:themeColor="text1"/>
                      <w:szCs w:val="21"/>
                    </w:rPr>
                  </w:pPr>
                  <w:r>
                    <w:rPr>
                      <w:color w:val="000000" w:themeColor="text1"/>
                      <w:szCs w:val="21"/>
                    </w:rPr>
                    <w:t>2400万m³/a</w:t>
                  </w:r>
                </w:p>
              </w:tc>
              <w:tc>
                <w:tcPr>
                  <w:tcW w:w="706" w:type="dxa"/>
                  <w:vAlign w:val="center"/>
                </w:tcPr>
                <w:p>
                  <w:pPr>
                    <w:pStyle w:val="32"/>
                    <w:spacing w:line="360" w:lineRule="exact"/>
                    <w:rPr>
                      <w:color w:val="000000" w:themeColor="text1"/>
                      <w:szCs w:val="21"/>
                    </w:rPr>
                  </w:pPr>
                  <w:r>
                    <w:rPr>
                      <w:color w:val="000000" w:themeColor="text1"/>
                      <w:szCs w:val="21"/>
                    </w:rPr>
                    <w:t>--</w:t>
                  </w:r>
                </w:p>
              </w:tc>
              <w:tc>
                <w:tcPr>
                  <w:tcW w:w="645"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621" w:type="dxa"/>
                  <w:vMerge w:val="continue"/>
                  <w:tcBorders>
                    <w:left w:val="single" w:color="auto" w:sz="4" w:space="0"/>
                  </w:tcBorders>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1274" w:type="dxa"/>
                  <w:vAlign w:val="center"/>
                </w:tcPr>
                <w:p>
                  <w:pPr>
                    <w:pStyle w:val="32"/>
                    <w:spacing w:line="360" w:lineRule="exact"/>
                    <w:rPr>
                      <w:color w:val="000000" w:themeColor="text1"/>
                      <w:szCs w:val="21"/>
                    </w:rPr>
                  </w:pPr>
                  <w:r>
                    <w:rPr>
                      <w:color w:val="000000" w:themeColor="text1"/>
                      <w:szCs w:val="21"/>
                    </w:rPr>
                    <w:t>颗粒物（有组织）</w:t>
                  </w:r>
                </w:p>
              </w:tc>
              <w:tc>
                <w:tcPr>
                  <w:tcW w:w="850"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376.25</w:t>
                  </w:r>
                </w:p>
              </w:tc>
              <w:tc>
                <w:tcPr>
                  <w:tcW w:w="851"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9.03</w:t>
                  </w:r>
                </w:p>
              </w:tc>
              <w:tc>
                <w:tcPr>
                  <w:tcW w:w="850" w:type="dxa"/>
                  <w:vAlign w:val="center"/>
                </w:tcPr>
                <w:p>
                  <w:pPr>
                    <w:pStyle w:val="32"/>
                    <w:spacing w:line="360" w:lineRule="exact"/>
                    <w:rPr>
                      <w:color w:val="000000" w:themeColor="text1"/>
                      <w:szCs w:val="21"/>
                    </w:rPr>
                  </w:pPr>
                  <w:r>
                    <w:rPr>
                      <w:color w:val="000000" w:themeColor="text1"/>
                      <w:szCs w:val="21"/>
                    </w:rPr>
                    <w:t>1.25</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0.03</w:t>
                  </w:r>
                </w:p>
              </w:tc>
              <w:tc>
                <w:tcPr>
                  <w:tcW w:w="70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0.01</w:t>
                  </w:r>
                </w:p>
              </w:tc>
              <w:tc>
                <w:tcPr>
                  <w:tcW w:w="706" w:type="dxa"/>
                  <w:vAlign w:val="center"/>
                </w:tcPr>
                <w:p>
                  <w:pPr>
                    <w:pStyle w:val="32"/>
                    <w:spacing w:line="360" w:lineRule="exact"/>
                    <w:rPr>
                      <w:color w:val="000000" w:themeColor="text1"/>
                      <w:szCs w:val="21"/>
                    </w:rPr>
                  </w:pPr>
                  <w:r>
                    <w:rPr>
                      <w:color w:val="000000" w:themeColor="text1"/>
                      <w:szCs w:val="21"/>
                    </w:rPr>
                    <w:t>≤20</w:t>
                  </w:r>
                </w:p>
              </w:tc>
              <w:tc>
                <w:tcPr>
                  <w:tcW w:w="645" w:type="dxa"/>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621" w:type="dxa"/>
                  <w:vMerge w:val="continue"/>
                  <w:tcBorders>
                    <w:left w:val="single" w:color="auto" w:sz="4" w:space="0"/>
                  </w:tcBorders>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1274" w:type="dxa"/>
                  <w:vAlign w:val="center"/>
                </w:tcPr>
                <w:p>
                  <w:pPr>
                    <w:pStyle w:val="32"/>
                    <w:spacing w:line="360" w:lineRule="exact"/>
                    <w:rPr>
                      <w:color w:val="000000" w:themeColor="text1"/>
                      <w:szCs w:val="21"/>
                    </w:rPr>
                  </w:pPr>
                  <w:r>
                    <w:rPr>
                      <w:color w:val="000000" w:themeColor="text1"/>
                      <w:szCs w:val="21"/>
                    </w:rPr>
                    <w:t>颗粒物（无组织）</w:t>
                  </w:r>
                </w:p>
              </w:tc>
              <w:tc>
                <w:tcPr>
                  <w:tcW w:w="850"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851"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1.0</w:t>
                  </w:r>
                </w:p>
              </w:tc>
              <w:tc>
                <w:tcPr>
                  <w:tcW w:w="850" w:type="dxa"/>
                  <w:vAlign w:val="center"/>
                </w:tcPr>
                <w:p>
                  <w:pPr>
                    <w:pStyle w:val="32"/>
                    <w:spacing w:line="360" w:lineRule="exact"/>
                    <w:rPr>
                      <w:color w:val="000000" w:themeColor="text1"/>
                      <w:szCs w:val="21"/>
                    </w:rPr>
                  </w:pPr>
                  <w:r>
                    <w:rPr>
                      <w:color w:val="000000" w:themeColor="text1"/>
                      <w:szCs w:val="21"/>
                    </w:rPr>
                    <w:t>0.42</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1.0</w:t>
                  </w:r>
                </w:p>
              </w:tc>
              <w:tc>
                <w:tcPr>
                  <w:tcW w:w="70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0.21</w:t>
                  </w:r>
                </w:p>
              </w:tc>
              <w:tc>
                <w:tcPr>
                  <w:tcW w:w="706" w:type="dxa"/>
                  <w:vAlign w:val="center"/>
                </w:tcPr>
                <w:p>
                  <w:pPr>
                    <w:pStyle w:val="32"/>
                    <w:spacing w:line="360" w:lineRule="exact"/>
                    <w:rPr>
                      <w:color w:val="000000" w:themeColor="text1"/>
                      <w:szCs w:val="21"/>
                    </w:rPr>
                  </w:pPr>
                  <w:r>
                    <w:rPr>
                      <w:color w:val="000000" w:themeColor="text1"/>
                      <w:szCs w:val="21"/>
                    </w:rPr>
                    <w:t>≤0.5</w:t>
                  </w:r>
                </w:p>
              </w:tc>
              <w:tc>
                <w:tcPr>
                  <w:tcW w:w="645" w:type="dxa"/>
                  <w:vAlign w:val="center"/>
                </w:tcPr>
                <w:p>
                  <w:pPr>
                    <w:pStyle w:val="32"/>
                    <w:spacing w:line="360" w:lineRule="exact"/>
                    <w:rPr>
                      <w:color w:val="000000" w:themeColor="text1"/>
                      <w:szCs w:val="21"/>
                    </w:rPr>
                  </w:pPr>
                  <w:r>
                    <w:rPr>
                      <w:color w:val="000000" w:themeColor="text1"/>
                      <w:szCs w:val="21"/>
                    </w:rPr>
                    <w:t>达标</w:t>
                  </w:r>
                </w:p>
              </w:tc>
            </w:tr>
          </w:tbl>
          <w:p>
            <w:pPr>
              <w:pStyle w:val="40"/>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无组织排放颗粒物，参照《环境影响评价技术导则-大气环境》（HJ2.2-2018）附录A推荐模型中的AERSCREEN模式进行预测，最大落地浓度为0.48mg/m³，可达到《水泥工业大气污染物排放标准》（GB4915-2013）中无组织排放限值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项目有组织排放颗粒物，可达到《水泥工业大气污染物排放标准》（GB4915-2013）中有组织排放限值要求。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项目设计提出的袋式除尘器、雾炮机、堆场的围挡和顶棚皮带密闭运输等环保措施均为常见可行的废气污染防治措施，属于可行技术，措施可行。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项目砂石骨料属于C3039 其他建筑材料制造项目（简化管理）、水泥砖属于C3021 水泥制品制造（登记管理），根据《排污单位自行监测技术指南 总则》（HJ819-2017）和《排污许可证申请与核发技术规范 总则》（HJ942-2018）的要求，项目废气自行监测要求如下表所示。</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①一期工程运行期间</w:t>
            </w:r>
            <w:r>
              <w:rPr>
                <w:rFonts w:ascii="Times New Roman" w:hAnsi="Times New Roman" w:cs="Times New Roman"/>
                <w:b/>
                <w:color w:val="000000" w:themeColor="text1"/>
                <w:sz w:val="24"/>
                <w:szCs w:val="24"/>
              </w:rPr>
              <w:t>自行监测要求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根据项目特点，项目一期工程</w:t>
            </w:r>
            <w:r>
              <w:rPr>
                <w:rFonts w:ascii="Times New Roman" w:hAnsi="Times New Roman" w:cs="Times New Roman"/>
                <w:color w:val="000000" w:themeColor="text1"/>
                <w:sz w:val="24"/>
                <w:szCs w:val="24"/>
              </w:rPr>
              <w:t>运营期废气自行监测计划</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8</w:t>
            </w:r>
            <w:r>
              <w:rPr>
                <w:rFonts w:ascii="Times New Roman" w:hAnsi="Times New Roman" w:cs="Times New Roman"/>
                <w:b/>
                <w:color w:val="000000" w:themeColor="text1"/>
                <w:szCs w:val="24"/>
              </w:rPr>
              <w:t xml:space="preserve">  项目</w:t>
            </w:r>
            <w:r>
              <w:rPr>
                <w:rFonts w:hint="eastAsia" w:ascii="Times New Roman" w:hAnsi="Times New Roman" w:cs="Times New Roman"/>
                <w:b/>
                <w:color w:val="000000" w:themeColor="text1"/>
                <w:szCs w:val="24"/>
              </w:rPr>
              <w:t>一期工程单独运行期间</w:t>
            </w:r>
            <w:r>
              <w:rPr>
                <w:rFonts w:ascii="Times New Roman" w:hAnsi="Times New Roman" w:cs="Times New Roman"/>
                <w:b/>
                <w:color w:val="000000" w:themeColor="text1"/>
                <w:szCs w:val="24"/>
              </w:rPr>
              <w:t>废气自行监测计划一览表</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19"/>
              <w:gridCol w:w="2155"/>
              <w:gridCol w:w="148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61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215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14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5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6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61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企业边界</w:t>
                  </w:r>
                </w:p>
              </w:tc>
              <w:tc>
                <w:tcPr>
                  <w:tcW w:w="2155"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14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2585" w:type="dxa"/>
                  <w:vAlign w:val="center"/>
                </w:tcPr>
                <w:p>
                  <w:pPr>
                    <w:pStyle w:val="32"/>
                    <w:spacing w:line="360" w:lineRule="exact"/>
                    <w:ind w:firstLine="210" w:firstLineChars="100"/>
                    <w:rPr>
                      <w:rFonts w:eastAsiaTheme="minorEastAsia"/>
                      <w:color w:val="000000" w:themeColor="text1"/>
                      <w:szCs w:val="21"/>
                    </w:rPr>
                  </w:pPr>
                  <w:r>
                    <w:rPr>
                      <w:rFonts w:eastAsiaTheme="minorEastAsia"/>
                      <w:color w:val="000000" w:themeColor="text1"/>
                      <w:szCs w:val="21"/>
                    </w:rPr>
                    <w:t>《大气污染物综合排放标准》（GB16297-1996）</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②二期工程建成后项目</w:t>
            </w:r>
            <w:r>
              <w:rPr>
                <w:rFonts w:ascii="Times New Roman" w:hAnsi="Times New Roman" w:cs="Times New Roman"/>
                <w:b/>
                <w:color w:val="000000" w:themeColor="text1"/>
                <w:sz w:val="24"/>
                <w:szCs w:val="24"/>
              </w:rPr>
              <w:t>自行监测要求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根据项目特点，二期工程建成后项目</w:t>
            </w:r>
            <w:r>
              <w:rPr>
                <w:rFonts w:ascii="Times New Roman" w:hAnsi="Times New Roman" w:cs="Times New Roman"/>
                <w:color w:val="000000" w:themeColor="text1"/>
                <w:sz w:val="24"/>
                <w:szCs w:val="24"/>
              </w:rPr>
              <w:t>运营期废气自行监测计划</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9</w:t>
            </w:r>
            <w:r>
              <w:rPr>
                <w:rFonts w:ascii="Times New Roman" w:hAnsi="Times New Roman" w:cs="Times New Roman"/>
                <w:b/>
                <w:color w:val="000000" w:themeColor="text1"/>
                <w:szCs w:val="24"/>
              </w:rPr>
              <w:t xml:space="preserve">  项目运营期废气自行监测计划一览表</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19"/>
              <w:gridCol w:w="2155"/>
              <w:gridCol w:w="148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61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215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14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5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61"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61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DA001</w:t>
                  </w:r>
                </w:p>
              </w:tc>
              <w:tc>
                <w:tcPr>
                  <w:tcW w:w="2155"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14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2585" w:type="dxa"/>
                  <w:vMerge w:val="restart"/>
                  <w:vAlign w:val="center"/>
                </w:tcPr>
                <w:p>
                  <w:pPr>
                    <w:pStyle w:val="32"/>
                    <w:spacing w:line="360" w:lineRule="exact"/>
                    <w:ind w:firstLine="210" w:firstLineChars="100"/>
                    <w:rPr>
                      <w:rFonts w:eastAsiaTheme="minorEastAsia"/>
                      <w:color w:val="000000" w:themeColor="text1"/>
                      <w:szCs w:val="21"/>
                    </w:rPr>
                  </w:pPr>
                  <w:r>
                    <w:rPr>
                      <w:rFonts w:eastAsiaTheme="minorEastAsia"/>
                      <w:color w:val="000000" w:themeColor="text1"/>
                      <w:szCs w:val="21"/>
                    </w:rPr>
                    <w:t>《水泥工业大气污染物排放标准》（GB4915-2013）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61" w:type="dxa"/>
                  <w:vMerge w:val="continue"/>
                  <w:vAlign w:val="center"/>
                </w:tcPr>
                <w:p>
                  <w:pPr>
                    <w:pStyle w:val="32"/>
                    <w:spacing w:line="360" w:lineRule="exact"/>
                    <w:rPr>
                      <w:rFonts w:eastAsiaTheme="minorEastAsia"/>
                      <w:color w:val="000000" w:themeColor="text1"/>
                      <w:szCs w:val="21"/>
                    </w:rPr>
                  </w:pPr>
                </w:p>
              </w:tc>
              <w:tc>
                <w:tcPr>
                  <w:tcW w:w="161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DA002</w:t>
                  </w:r>
                </w:p>
              </w:tc>
              <w:tc>
                <w:tcPr>
                  <w:tcW w:w="2155"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14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2585"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61" w:type="dxa"/>
                  <w:vMerge w:val="continue"/>
                  <w:vAlign w:val="center"/>
                </w:tcPr>
                <w:p>
                  <w:pPr>
                    <w:pStyle w:val="32"/>
                    <w:spacing w:line="360" w:lineRule="exact"/>
                    <w:rPr>
                      <w:rFonts w:eastAsiaTheme="minorEastAsia"/>
                      <w:color w:val="000000" w:themeColor="text1"/>
                      <w:szCs w:val="21"/>
                    </w:rPr>
                  </w:pPr>
                </w:p>
              </w:tc>
              <w:tc>
                <w:tcPr>
                  <w:tcW w:w="161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企业边界</w:t>
                  </w:r>
                </w:p>
              </w:tc>
              <w:tc>
                <w:tcPr>
                  <w:tcW w:w="2155"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14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2585" w:type="dxa"/>
                  <w:vMerge w:val="continue"/>
                  <w:vAlign w:val="center"/>
                </w:tcPr>
                <w:p>
                  <w:pPr>
                    <w:pStyle w:val="32"/>
                    <w:spacing w:line="360" w:lineRule="exact"/>
                    <w:ind w:firstLine="210" w:firstLineChars="100"/>
                    <w:jc w:val="both"/>
                    <w:rPr>
                      <w:rFonts w:eastAsiaTheme="minorEastAsia"/>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项目非正常排放情形主要为布袋失效情形，若袋式除尘器全部失效，水泥仓、搅拌混合车间产生的经收集后的粉尘未经处理通过排气筒有组织排放。袋式除尘器失效非正常情形下废气污染物排放源产排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 xml:space="preserve">10 </w:t>
            </w:r>
            <w:r>
              <w:rPr>
                <w:rFonts w:ascii="Times New Roman" w:hAnsi="Times New Roman" w:cs="Times New Roman"/>
                <w:b/>
                <w:color w:val="000000" w:themeColor="text1"/>
                <w:szCs w:val="24"/>
              </w:rPr>
              <w:t>非正常情形下废气污染物排放源产排量及达标情况一览表</w:t>
            </w:r>
          </w:p>
          <w:tbl>
            <w:tblPr>
              <w:tblStyle w:val="20"/>
              <w:tblW w:w="8595" w:type="dxa"/>
              <w:tblInd w:w="0" w:type="dxa"/>
              <w:tblLayout w:type="fixed"/>
              <w:tblCellMar>
                <w:top w:w="0" w:type="dxa"/>
                <w:left w:w="108" w:type="dxa"/>
                <w:bottom w:w="0" w:type="dxa"/>
                <w:right w:w="108" w:type="dxa"/>
              </w:tblCellMar>
            </w:tblPr>
            <w:tblGrid>
              <w:gridCol w:w="681"/>
              <w:gridCol w:w="1002"/>
              <w:gridCol w:w="1173"/>
              <w:gridCol w:w="1134"/>
              <w:gridCol w:w="1134"/>
              <w:gridCol w:w="992"/>
              <w:gridCol w:w="993"/>
              <w:gridCol w:w="1486"/>
            </w:tblGrid>
            <w:tr>
              <w:tblPrEx>
                <w:tblLayout w:type="fixed"/>
                <w:tblCellMar>
                  <w:top w:w="0" w:type="dxa"/>
                  <w:left w:w="108" w:type="dxa"/>
                  <w:bottom w:w="0" w:type="dxa"/>
                  <w:right w:w="108" w:type="dxa"/>
                </w:tblCellMar>
              </w:tblPrEx>
              <w:trPr>
                <w:trHeight w:val="576" w:hRule="atLeast"/>
              </w:trPr>
              <w:tc>
                <w:tcPr>
                  <w:tcW w:w="168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产排污环节</w:t>
                  </w:r>
                </w:p>
              </w:tc>
              <w:tc>
                <w:tcPr>
                  <w:tcW w:w="11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污染物种类</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污染物排放量和浓度</w:t>
                  </w:r>
                </w:p>
              </w:tc>
              <w:tc>
                <w:tcPr>
                  <w:tcW w:w="992"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频次</w:t>
                  </w:r>
                </w:p>
              </w:tc>
              <w:tc>
                <w:tcPr>
                  <w:tcW w:w="993"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持续时间</w:t>
                  </w:r>
                </w:p>
              </w:tc>
              <w:tc>
                <w:tcPr>
                  <w:tcW w:w="14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措施</w:t>
                  </w:r>
                </w:p>
              </w:tc>
            </w:tr>
            <w:tr>
              <w:tblPrEx>
                <w:tblLayout w:type="fixed"/>
                <w:tblCellMar>
                  <w:top w:w="0" w:type="dxa"/>
                  <w:left w:w="108" w:type="dxa"/>
                  <w:bottom w:w="0" w:type="dxa"/>
                  <w:right w:w="108" w:type="dxa"/>
                </w:tblCellMar>
              </w:tblPrEx>
              <w:trPr>
                <w:trHeight w:val="588" w:hRule="atLeast"/>
              </w:trPr>
              <w:tc>
                <w:tcPr>
                  <w:tcW w:w="1683"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17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排放浓度mg/m³</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排放量kg/次</w:t>
                  </w:r>
                </w:p>
              </w:tc>
              <w:tc>
                <w:tcPr>
                  <w:tcW w:w="992" w:type="dxa"/>
                  <w:vMerge w:val="continue"/>
                  <w:tcBorders>
                    <w:top w:val="single" w:color="000000" w:sz="8" w:space="0"/>
                    <w:left w:val="single" w:color="000000" w:sz="8" w:space="0"/>
                    <w:bottom w:val="single" w:color="000000" w:sz="8" w:space="0"/>
                    <w:right w:val="single" w:color="auto" w:sz="4" w:space="0"/>
                  </w:tcBorders>
                  <w:vAlign w:val="center"/>
                </w:tcPr>
                <w:p>
                  <w:pPr>
                    <w:widowControl/>
                    <w:jc w:val="center"/>
                    <w:rPr>
                      <w:rFonts w:ascii="Times New Roman" w:hAnsi="Times New Roman" w:eastAsia="宋体" w:cs="Times New Roman"/>
                      <w:color w:val="000000" w:themeColor="text1"/>
                      <w:kern w:val="0"/>
                    </w:rPr>
                  </w:pPr>
                </w:p>
              </w:tc>
              <w:tc>
                <w:tcPr>
                  <w:tcW w:w="993" w:type="dxa"/>
                  <w:vMerge w:val="continue"/>
                  <w:tcBorders>
                    <w:top w:val="single" w:color="000000" w:sz="8" w:space="0"/>
                    <w:left w:val="single" w:color="auto" w:sz="4"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r>
            <w:tr>
              <w:tblPrEx>
                <w:tblLayout w:type="fixed"/>
                <w:tblCellMar>
                  <w:top w:w="0" w:type="dxa"/>
                  <w:left w:w="108" w:type="dxa"/>
                  <w:bottom w:w="0" w:type="dxa"/>
                  <w:right w:w="108" w:type="dxa"/>
                </w:tblCellMar>
              </w:tblPrEx>
              <w:trPr>
                <w:trHeight w:val="300" w:hRule="atLeast"/>
              </w:trPr>
              <w:tc>
                <w:tcPr>
                  <w:tcW w:w="681" w:type="dxa"/>
                  <w:tcBorders>
                    <w:top w:val="nil"/>
                    <w:left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水泥仓</w:t>
                  </w:r>
                </w:p>
              </w:tc>
              <w:tc>
                <w:tcPr>
                  <w:tcW w:w="1002" w:type="dxa"/>
                  <w:tcBorders>
                    <w:top w:val="nil"/>
                    <w:left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水泥装卸、储存、输送过程</w:t>
                  </w:r>
                </w:p>
              </w:tc>
              <w:tc>
                <w:tcPr>
                  <w:tcW w:w="1173" w:type="dxa"/>
                  <w:tcBorders>
                    <w:top w:val="nil"/>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颗粒物（有组织）</w:t>
                  </w:r>
                </w:p>
              </w:tc>
              <w:tc>
                <w:tcPr>
                  <w:tcW w:w="1134" w:type="dxa"/>
                  <w:tcBorders>
                    <w:top w:val="single" w:color="000000" w:sz="8" w:space="0"/>
                    <w:left w:val="nil"/>
                    <w:bottom w:val="single" w:color="000000"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4523</w:t>
                  </w:r>
                </w:p>
              </w:tc>
              <w:tc>
                <w:tcPr>
                  <w:tcW w:w="1134"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0.02</w:t>
                  </w:r>
                </w:p>
              </w:tc>
              <w:tc>
                <w:tcPr>
                  <w:tcW w:w="992" w:type="dxa"/>
                  <w:tcBorders>
                    <w:top w:val="nil"/>
                    <w:left w:val="nil"/>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1次/a</w:t>
                  </w:r>
                </w:p>
              </w:tc>
              <w:tc>
                <w:tcPr>
                  <w:tcW w:w="993" w:type="dxa"/>
                  <w:tcBorders>
                    <w:top w:val="nil"/>
                    <w:left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10min/次</w:t>
                  </w:r>
                </w:p>
              </w:tc>
              <w:tc>
                <w:tcPr>
                  <w:tcW w:w="1486" w:type="dxa"/>
                  <w:tcBorders>
                    <w:top w:val="nil"/>
                    <w:left w:val="nil"/>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立即停机检修</w:t>
                  </w:r>
                </w:p>
              </w:tc>
            </w:tr>
            <w:tr>
              <w:tblPrEx>
                <w:tblLayout w:type="fixed"/>
                <w:tblCellMar>
                  <w:top w:w="0" w:type="dxa"/>
                  <w:left w:w="108" w:type="dxa"/>
                  <w:bottom w:w="0" w:type="dxa"/>
                  <w:right w:w="108" w:type="dxa"/>
                </w:tblCellMar>
              </w:tblPrEx>
              <w:trPr>
                <w:trHeight w:val="300" w:hRule="atLeast"/>
              </w:trPr>
              <w:tc>
                <w:tcPr>
                  <w:tcW w:w="681" w:type="dxa"/>
                  <w:vMerge w:val="restart"/>
                  <w:tcBorders>
                    <w:top w:val="single" w:color="auto" w:sz="4" w:space="0"/>
                    <w:left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搅拌混合车间</w:t>
                  </w:r>
                </w:p>
              </w:tc>
              <w:tc>
                <w:tcPr>
                  <w:tcW w:w="1002" w:type="dxa"/>
                  <w:vMerge w:val="restart"/>
                  <w:tcBorders>
                    <w:top w:val="single" w:color="auto" w:sz="4" w:space="0"/>
                    <w:left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搅拌混合</w:t>
                  </w:r>
                </w:p>
              </w:tc>
              <w:tc>
                <w:tcPr>
                  <w:tcW w:w="117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颗粒物（有组织）</w:t>
                  </w:r>
                </w:p>
              </w:tc>
              <w:tc>
                <w:tcPr>
                  <w:tcW w:w="1134" w:type="dxa"/>
                  <w:tcBorders>
                    <w:top w:val="single" w:color="000000" w:sz="8" w:space="0"/>
                    <w:left w:val="nil"/>
                    <w:bottom w:val="single" w:color="000000"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376.25</w:t>
                  </w:r>
                </w:p>
              </w:tc>
              <w:tc>
                <w:tcPr>
                  <w:tcW w:w="1134"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0.31</w:t>
                  </w:r>
                </w:p>
              </w:tc>
              <w:tc>
                <w:tcPr>
                  <w:tcW w:w="992"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1次/a</w:t>
                  </w:r>
                </w:p>
              </w:tc>
              <w:tc>
                <w:tcPr>
                  <w:tcW w:w="993" w:type="dxa"/>
                  <w:vMerge w:val="restart"/>
                  <w:tcBorders>
                    <w:top w:val="single" w:color="auto" w:sz="4" w:space="0"/>
                    <w:left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10min/次</w:t>
                  </w:r>
                </w:p>
              </w:tc>
              <w:tc>
                <w:tcPr>
                  <w:tcW w:w="1486" w:type="dxa"/>
                  <w:vMerge w:val="restart"/>
                  <w:tcBorders>
                    <w:top w:val="single" w:color="auto" w:sz="4" w:space="0"/>
                    <w:left w:val="nil"/>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立即停机检修</w:t>
                  </w:r>
                </w:p>
              </w:tc>
            </w:tr>
            <w:tr>
              <w:tblPrEx>
                <w:tblLayout w:type="fixed"/>
                <w:tblCellMar>
                  <w:top w:w="0" w:type="dxa"/>
                  <w:left w:w="108" w:type="dxa"/>
                  <w:bottom w:w="0" w:type="dxa"/>
                  <w:right w:w="108" w:type="dxa"/>
                </w:tblCellMar>
              </w:tblPrEx>
              <w:trPr>
                <w:trHeight w:val="300" w:hRule="atLeast"/>
              </w:trPr>
              <w:tc>
                <w:tcPr>
                  <w:tcW w:w="681" w:type="dxa"/>
                  <w:vMerge w:val="continue"/>
                  <w:tcBorders>
                    <w:left w:val="single" w:color="000000" w:sz="8" w:space="0"/>
                    <w:bottom w:val="single" w:color="000000" w:sz="8" w:space="0"/>
                    <w:right w:val="single" w:color="000000" w:sz="8" w:space="0"/>
                  </w:tcBorders>
                  <w:shd w:val="clear" w:color="auto" w:fill="auto"/>
                  <w:vAlign w:val="center"/>
                </w:tcPr>
                <w:p>
                  <w:pPr>
                    <w:pStyle w:val="32"/>
                    <w:spacing w:line="360" w:lineRule="exact"/>
                    <w:rPr>
                      <w:color w:val="000000" w:themeColor="text1"/>
                      <w:szCs w:val="21"/>
                    </w:rPr>
                  </w:pPr>
                </w:p>
              </w:tc>
              <w:tc>
                <w:tcPr>
                  <w:tcW w:w="1002" w:type="dxa"/>
                  <w:vMerge w:val="continue"/>
                  <w:tcBorders>
                    <w:left w:val="single" w:color="000000" w:sz="8" w:space="0"/>
                    <w:bottom w:val="single" w:color="000000" w:sz="8" w:space="0"/>
                    <w:right w:val="single" w:color="000000" w:sz="8" w:space="0"/>
                  </w:tcBorders>
                  <w:shd w:val="clear" w:color="auto" w:fill="auto"/>
                  <w:vAlign w:val="center"/>
                </w:tcPr>
                <w:p>
                  <w:pPr>
                    <w:pStyle w:val="32"/>
                    <w:spacing w:line="360" w:lineRule="exact"/>
                    <w:rPr>
                      <w:color w:val="000000" w:themeColor="text1"/>
                      <w:szCs w:val="21"/>
                    </w:rPr>
                  </w:pPr>
                </w:p>
              </w:tc>
              <w:tc>
                <w:tcPr>
                  <w:tcW w:w="1173" w:type="dxa"/>
                  <w:tcBorders>
                    <w:top w:val="single" w:color="auto" w:sz="4" w:space="0"/>
                    <w:left w:val="nil"/>
                    <w:bottom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颗粒物（无组织）</w:t>
                  </w:r>
                </w:p>
              </w:tc>
              <w:tc>
                <w:tcPr>
                  <w:tcW w:w="1134" w:type="dxa"/>
                  <w:tcBorders>
                    <w:top w:val="single" w:color="000000" w:sz="8" w:space="0"/>
                    <w:left w:val="nil"/>
                    <w:bottom w:val="single" w:color="000000"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w:t>
                  </w:r>
                </w:p>
              </w:tc>
              <w:tc>
                <w:tcPr>
                  <w:tcW w:w="1134" w:type="dxa"/>
                  <w:tcBorders>
                    <w:top w:val="single" w:color="000000" w:sz="8" w:space="0"/>
                    <w:left w:val="single" w:color="auto" w:sz="4" w:space="0"/>
                    <w:bottom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0.03</w:t>
                  </w:r>
                </w:p>
              </w:tc>
              <w:tc>
                <w:tcPr>
                  <w:tcW w:w="992"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993" w:type="dxa"/>
                  <w:vMerge w:val="continue"/>
                  <w:tcBorders>
                    <w:left w:val="single" w:color="auto" w:sz="4"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1486" w:type="dxa"/>
                  <w:vMerge w:val="continue"/>
                  <w:tcBorders>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项目废气主要包括砂石骨料生产线堆场扬尘、装卸扬尘、皮带输送过程扬尘、破碎筛分粉尘，以及水泥砖生产线水泥仓粉尘和搅拌混合粉尘。经各自配套的废气污染防治措施处理后，有组织和无组织颗粒物分别可达到《水泥工业大气污染物排放标准》（GB4915-2013）中有组织和无组织排放限值要求。且项目位于环境空气质量达标区，项目所在区域基本污染因子和特征污染因子环境质量现状均可达到《环境空气质量标准》（GB3095-2012）二级标准；而项目环境保护目标西北侧361m的窝子田，距离该项目较远，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根据项目水平衡计算可知，项目供排水统计情况详见下表。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表4.2.2-1 项目废水总产排情况一览表（单位：m³/d）</w:t>
            </w:r>
          </w:p>
          <w:tbl>
            <w:tblPr>
              <w:tblStyle w:val="20"/>
              <w:tblW w:w="8619" w:type="dxa"/>
              <w:tblInd w:w="0" w:type="dxa"/>
              <w:tblLayout w:type="fixed"/>
              <w:tblCellMar>
                <w:top w:w="0" w:type="dxa"/>
                <w:left w:w="108" w:type="dxa"/>
                <w:bottom w:w="0" w:type="dxa"/>
                <w:right w:w="108" w:type="dxa"/>
              </w:tblCellMar>
            </w:tblPr>
            <w:tblGrid>
              <w:gridCol w:w="730"/>
              <w:gridCol w:w="1134"/>
              <w:gridCol w:w="1232"/>
              <w:gridCol w:w="1509"/>
              <w:gridCol w:w="961"/>
              <w:gridCol w:w="1000"/>
              <w:gridCol w:w="1141"/>
              <w:gridCol w:w="912"/>
            </w:tblGrid>
            <w:tr>
              <w:tblPrEx>
                <w:tblLayout w:type="fixed"/>
                <w:tblCellMar>
                  <w:top w:w="0" w:type="dxa"/>
                  <w:left w:w="108" w:type="dxa"/>
                  <w:bottom w:w="0" w:type="dxa"/>
                  <w:right w:w="108" w:type="dxa"/>
                </w:tblCellMar>
              </w:tblPrEx>
              <w:trPr>
                <w:trHeight w:val="125" w:hRule="atLeast"/>
              </w:trPr>
              <w:tc>
                <w:tcPr>
                  <w:tcW w:w="730"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工程</w:t>
                  </w:r>
                </w:p>
              </w:tc>
              <w:tc>
                <w:tcPr>
                  <w:tcW w:w="1134"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用水单元</w:t>
                  </w:r>
                </w:p>
              </w:tc>
              <w:tc>
                <w:tcPr>
                  <w:tcW w:w="123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规模</w:t>
                  </w:r>
                </w:p>
              </w:tc>
              <w:tc>
                <w:tcPr>
                  <w:tcW w:w="150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用水定额</w:t>
                  </w:r>
                </w:p>
              </w:tc>
              <w:tc>
                <w:tcPr>
                  <w:tcW w:w="196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总用水量</w:t>
                  </w:r>
                </w:p>
              </w:tc>
              <w:tc>
                <w:tcPr>
                  <w:tcW w:w="2053"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废水量</w:t>
                  </w:r>
                </w:p>
              </w:tc>
            </w:tr>
            <w:tr>
              <w:tblPrEx>
                <w:tblLayout w:type="fixed"/>
                <w:tblCellMar>
                  <w:top w:w="0" w:type="dxa"/>
                  <w:left w:w="108" w:type="dxa"/>
                  <w:bottom w:w="0" w:type="dxa"/>
                  <w:right w:w="108" w:type="dxa"/>
                </w:tblCellMar>
              </w:tblPrEx>
              <w:trPr>
                <w:trHeight w:val="201" w:hRule="atLeast"/>
              </w:trPr>
              <w:tc>
                <w:tcPr>
                  <w:tcW w:w="730" w:type="dxa"/>
                  <w:vMerge w:val="continue"/>
                  <w:tcBorders>
                    <w:top w:val="single" w:color="auto" w:sz="8" w:space="0"/>
                    <w:left w:val="single" w:color="auto" w:sz="8" w:space="0"/>
                    <w:bottom w:val="single" w:color="000000" w:sz="8" w:space="0"/>
                    <w:right w:val="single" w:color="auto" w:sz="4" w:space="0"/>
                  </w:tcBorders>
                  <w:vAlign w:val="center"/>
                </w:tcPr>
                <w:p>
                  <w:pPr>
                    <w:pStyle w:val="32"/>
                    <w:spacing w:line="360" w:lineRule="exact"/>
                    <w:rPr>
                      <w:rFonts w:eastAsiaTheme="minorEastAsia"/>
                      <w:color w:val="000000" w:themeColor="text1"/>
                      <w:szCs w:val="21"/>
                      <w:lang w:val="en-US"/>
                    </w:rPr>
                  </w:pPr>
                </w:p>
              </w:tc>
              <w:tc>
                <w:tcPr>
                  <w:tcW w:w="1134" w:type="dxa"/>
                  <w:vMerge w:val="continue"/>
                  <w:tcBorders>
                    <w:top w:val="single" w:color="auto" w:sz="8" w:space="0"/>
                    <w:left w:val="single" w:color="auto" w:sz="4"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1232"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150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r>
            <w:tr>
              <w:tblPrEx>
                <w:tblLayout w:type="fixed"/>
                <w:tblCellMar>
                  <w:top w:w="0" w:type="dxa"/>
                  <w:left w:w="108" w:type="dxa"/>
                  <w:bottom w:w="0" w:type="dxa"/>
                  <w:right w:w="108" w:type="dxa"/>
                </w:tblCellMar>
              </w:tblPrEx>
              <w:trPr>
                <w:trHeight w:val="201" w:hRule="atLeast"/>
              </w:trPr>
              <w:tc>
                <w:tcPr>
                  <w:tcW w:w="730" w:type="dxa"/>
                  <w:vMerge w:val="restart"/>
                  <w:tcBorders>
                    <w:top w:val="single" w:color="auto" w:sz="8" w:space="0"/>
                    <w:left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一期工程</w:t>
                  </w:r>
                </w:p>
              </w:tc>
              <w:tc>
                <w:tcPr>
                  <w:tcW w:w="1134" w:type="dxa"/>
                  <w:tcBorders>
                    <w:top w:val="single" w:color="auto" w:sz="8" w:space="0"/>
                    <w:left w:val="single" w:color="auto" w:sz="4"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洒水抑尘</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3</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900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Layout w:type="fixed"/>
                <w:tblCellMar>
                  <w:top w:w="0" w:type="dxa"/>
                  <w:left w:w="108" w:type="dxa"/>
                  <w:bottom w:w="0" w:type="dxa"/>
                  <w:right w:w="108" w:type="dxa"/>
                </w:tblCellMar>
              </w:tblPrEx>
              <w:trPr>
                <w:trHeight w:val="127" w:hRule="atLeast"/>
              </w:trPr>
              <w:tc>
                <w:tcPr>
                  <w:tcW w:w="730" w:type="dxa"/>
                  <w:vMerge w:val="continue"/>
                  <w:tcBorders>
                    <w:left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p>
              </w:tc>
              <w:tc>
                <w:tcPr>
                  <w:tcW w:w="1134" w:type="dxa"/>
                  <w:tcBorders>
                    <w:top w:val="single" w:color="auto" w:sz="8"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砂石骨料生产</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90万t/a</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0.225m³/（t·产品）</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675</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202500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420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126000</w:t>
                  </w:r>
                </w:p>
              </w:tc>
            </w:tr>
            <w:tr>
              <w:tblPrEx>
                <w:tblLayout w:type="fixed"/>
                <w:tblCellMar>
                  <w:top w:w="0" w:type="dxa"/>
                  <w:left w:w="108" w:type="dxa"/>
                  <w:bottom w:w="0" w:type="dxa"/>
                  <w:right w:w="108" w:type="dxa"/>
                </w:tblCellMar>
              </w:tblPrEx>
              <w:trPr>
                <w:trHeight w:val="127" w:hRule="atLeast"/>
              </w:trPr>
              <w:tc>
                <w:tcPr>
                  <w:tcW w:w="730" w:type="dxa"/>
                  <w:vMerge w:val="continue"/>
                  <w:tcBorders>
                    <w:left w:val="single" w:color="auto" w:sz="8" w:space="0"/>
                    <w:bottom w:val="single" w:color="auto" w:sz="4" w:space="0"/>
                    <w:right w:val="single" w:color="auto" w:sz="4" w:space="0"/>
                  </w:tcBorders>
                  <w:vAlign w:val="center"/>
                </w:tcPr>
                <w:p>
                  <w:pPr>
                    <w:pStyle w:val="32"/>
                    <w:spacing w:line="360" w:lineRule="exact"/>
                    <w:rPr>
                      <w:rFonts w:eastAsiaTheme="minorEastAsia"/>
                      <w:color w:val="000000" w:themeColor="text1"/>
                      <w:szCs w:val="21"/>
                      <w:lang w:val="en-US"/>
                    </w:rPr>
                  </w:pPr>
                </w:p>
              </w:tc>
              <w:tc>
                <w:tcPr>
                  <w:tcW w:w="1134" w:type="dxa"/>
                  <w:tcBorders>
                    <w:top w:val="single" w:color="auto" w:sz="8"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初期雨水</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6.71</w:t>
                  </w:r>
                  <w:r>
                    <w:rPr>
                      <w:rFonts w:eastAsiaTheme="minorEastAsia"/>
                      <w:color w:val="000000" w:themeColor="text1"/>
                      <w:szCs w:val="21"/>
                      <w:lang w:val="en-US"/>
                    </w:rPr>
                    <w:t>m³/次</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r>
            <w:tr>
              <w:tblPrEx>
                <w:tblLayout w:type="fixed"/>
                <w:tblCellMar>
                  <w:top w:w="0" w:type="dxa"/>
                  <w:left w:w="108" w:type="dxa"/>
                  <w:bottom w:w="0" w:type="dxa"/>
                  <w:right w:w="108" w:type="dxa"/>
                </w:tblCellMar>
              </w:tblPrEx>
              <w:trPr>
                <w:trHeight w:val="127" w:hRule="atLeast"/>
              </w:trPr>
              <w:tc>
                <w:tcPr>
                  <w:tcW w:w="730" w:type="dxa"/>
                  <w:vMerge w:val="restart"/>
                  <w:tcBorders>
                    <w:top w:val="single" w:color="auto" w:sz="8" w:space="0"/>
                    <w:left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二期工程</w:t>
                  </w:r>
                </w:p>
              </w:tc>
              <w:tc>
                <w:tcPr>
                  <w:tcW w:w="1134" w:type="dxa"/>
                  <w:tcBorders>
                    <w:top w:val="single" w:color="auto" w:sz="8"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水泥砖搅拌混合</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水泥砖的总干重19173.7t/a</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含水率20%</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6.26</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1876.5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Layout w:type="fixed"/>
                <w:tblCellMar>
                  <w:top w:w="0" w:type="dxa"/>
                  <w:left w:w="108" w:type="dxa"/>
                  <w:bottom w:w="0" w:type="dxa"/>
                  <w:right w:w="108" w:type="dxa"/>
                </w:tblCellMar>
              </w:tblPrEx>
              <w:trPr>
                <w:trHeight w:val="127" w:hRule="atLeast"/>
              </w:trPr>
              <w:tc>
                <w:tcPr>
                  <w:tcW w:w="730" w:type="dxa"/>
                  <w:vMerge w:val="continue"/>
                  <w:tcBorders>
                    <w:left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p>
              </w:tc>
              <w:tc>
                <w:tcPr>
                  <w:tcW w:w="1134" w:type="dxa"/>
                  <w:tcBorders>
                    <w:top w:val="single" w:color="auto" w:sz="8"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水泥砖养护</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8</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2400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2.3</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p>
              </w:tc>
            </w:tr>
            <w:tr>
              <w:tblPrEx>
                <w:tblLayout w:type="fixed"/>
                <w:tblCellMar>
                  <w:top w:w="0" w:type="dxa"/>
                  <w:left w:w="108" w:type="dxa"/>
                  <w:bottom w:w="0" w:type="dxa"/>
                  <w:right w:w="108" w:type="dxa"/>
                </w:tblCellMar>
              </w:tblPrEx>
              <w:trPr>
                <w:trHeight w:val="127" w:hRule="atLeast"/>
              </w:trPr>
              <w:tc>
                <w:tcPr>
                  <w:tcW w:w="730" w:type="dxa"/>
                  <w:vMerge w:val="continue"/>
                  <w:tcBorders>
                    <w:left w:val="single" w:color="auto" w:sz="8" w:space="0"/>
                    <w:bottom w:val="single" w:color="auto" w:sz="4" w:space="0"/>
                    <w:right w:val="single" w:color="auto" w:sz="4" w:space="0"/>
                  </w:tcBorders>
                  <w:vAlign w:val="center"/>
                </w:tcPr>
                <w:p>
                  <w:pPr>
                    <w:pStyle w:val="32"/>
                    <w:spacing w:line="360" w:lineRule="exact"/>
                    <w:rPr>
                      <w:rFonts w:eastAsiaTheme="minorEastAsia"/>
                      <w:color w:val="000000" w:themeColor="text1"/>
                      <w:szCs w:val="21"/>
                      <w:lang w:val="en-US"/>
                    </w:rPr>
                  </w:pPr>
                </w:p>
              </w:tc>
              <w:tc>
                <w:tcPr>
                  <w:tcW w:w="1134" w:type="dxa"/>
                  <w:tcBorders>
                    <w:top w:val="single" w:color="auto" w:sz="8"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初期雨水</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2.87</w:t>
                  </w:r>
                  <w:r>
                    <w:rPr>
                      <w:rFonts w:eastAsiaTheme="minorEastAsia"/>
                      <w:color w:val="000000" w:themeColor="text1"/>
                      <w:szCs w:val="21"/>
                      <w:lang w:val="en-US"/>
                    </w:rPr>
                    <w:t>m³/次</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r>
            <w:tr>
              <w:tblPrEx>
                <w:tblLayout w:type="fixed"/>
                <w:tblCellMar>
                  <w:top w:w="0" w:type="dxa"/>
                  <w:left w:w="108" w:type="dxa"/>
                  <w:bottom w:w="0" w:type="dxa"/>
                  <w:right w:w="108" w:type="dxa"/>
                </w:tblCellMar>
              </w:tblPrEx>
              <w:trPr>
                <w:trHeight w:val="137" w:hRule="atLeast"/>
              </w:trPr>
              <w:tc>
                <w:tcPr>
                  <w:tcW w:w="730" w:type="dxa"/>
                  <w:vMerge w:val="restart"/>
                  <w:tcBorders>
                    <w:top w:val="single" w:color="auto" w:sz="4" w:space="0"/>
                    <w:left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厂区</w:t>
                  </w:r>
                </w:p>
              </w:tc>
              <w:tc>
                <w:tcPr>
                  <w:tcW w:w="1134" w:type="dxa"/>
                  <w:tcBorders>
                    <w:top w:val="single" w:color="auto" w:sz="4"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绿化用水</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1500m²</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3L/（m²·次）</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4.5</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1147.5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Layout w:type="fixed"/>
                <w:tblCellMar>
                  <w:top w:w="0" w:type="dxa"/>
                  <w:left w:w="108" w:type="dxa"/>
                  <w:bottom w:w="0" w:type="dxa"/>
                  <w:right w:w="108" w:type="dxa"/>
                </w:tblCellMar>
              </w:tblPrEx>
              <w:trPr>
                <w:trHeight w:val="67" w:hRule="atLeast"/>
              </w:trPr>
              <w:tc>
                <w:tcPr>
                  <w:tcW w:w="730" w:type="dxa"/>
                  <w:vMerge w:val="continue"/>
                  <w:tcBorders>
                    <w:left w:val="single" w:color="auto" w:sz="8" w:space="0"/>
                    <w:bottom w:val="single" w:color="auto" w:sz="4" w:space="0"/>
                    <w:right w:val="single" w:color="auto" w:sz="4" w:space="0"/>
                  </w:tcBorders>
                  <w:shd w:val="clear" w:color="auto" w:fill="auto"/>
                  <w:vAlign w:val="center"/>
                </w:tcPr>
                <w:p>
                  <w:pPr>
                    <w:pStyle w:val="32"/>
                    <w:spacing w:line="360" w:lineRule="exact"/>
                    <w:rPr>
                      <w:rFonts w:eastAsiaTheme="minorEastAsia"/>
                      <w:color w:val="000000" w:themeColor="text1"/>
                      <w:szCs w:val="21"/>
                      <w:lang w:val="en-US"/>
                    </w:rPr>
                  </w:pPr>
                </w:p>
              </w:tc>
              <w:tc>
                <w:tcPr>
                  <w:tcW w:w="1134" w:type="dxa"/>
                  <w:tcBorders>
                    <w:top w:val="single" w:color="auto" w:sz="4" w:space="0"/>
                    <w:left w:val="single" w:color="auto" w:sz="4" w:space="0"/>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生活用水</w:t>
                  </w:r>
                </w:p>
              </w:tc>
              <w:tc>
                <w:tcPr>
                  <w:tcW w:w="12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20人</w:t>
                  </w:r>
                </w:p>
              </w:tc>
              <w:tc>
                <w:tcPr>
                  <w:tcW w:w="150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6</w:t>
                  </w:r>
                  <w:r>
                    <w:rPr>
                      <w:rFonts w:eastAsiaTheme="minorEastAsia"/>
                      <w:color w:val="000000" w:themeColor="text1"/>
                      <w:szCs w:val="21"/>
                      <w:lang w:val="en-US"/>
                    </w:rPr>
                    <w:t>0L/d·人</w:t>
                  </w:r>
                </w:p>
              </w:tc>
              <w:tc>
                <w:tcPr>
                  <w:tcW w:w="96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1.2</w:t>
                  </w:r>
                </w:p>
              </w:tc>
              <w:tc>
                <w:tcPr>
                  <w:tcW w:w="1000"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360</w:t>
                  </w:r>
                </w:p>
              </w:tc>
              <w:tc>
                <w:tcPr>
                  <w:tcW w:w="114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0.96</w:t>
                  </w:r>
                </w:p>
              </w:tc>
              <w:tc>
                <w:tcPr>
                  <w:tcW w:w="912"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288</w:t>
                  </w:r>
                </w:p>
              </w:tc>
            </w:tr>
            <w:tr>
              <w:tblPrEx>
                <w:tblLayout w:type="fixed"/>
                <w:tblCellMar>
                  <w:top w:w="0" w:type="dxa"/>
                  <w:left w:w="108" w:type="dxa"/>
                  <w:bottom w:w="0" w:type="dxa"/>
                  <w:right w:w="108" w:type="dxa"/>
                </w:tblCellMar>
              </w:tblPrEx>
              <w:trPr>
                <w:trHeight w:val="67" w:hRule="atLeast"/>
              </w:trPr>
              <w:tc>
                <w:tcPr>
                  <w:tcW w:w="4605" w:type="dxa"/>
                  <w:gridSpan w:val="4"/>
                  <w:tcBorders>
                    <w:left w:val="single" w:color="auto" w:sz="8" w:space="0"/>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合计</w:t>
                  </w:r>
                </w:p>
              </w:tc>
              <w:tc>
                <w:tcPr>
                  <w:tcW w:w="961" w:type="dxa"/>
                  <w:tcBorders>
                    <w:top w:val="single" w:color="auto" w:sz="4" w:space="0"/>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697.96</w:t>
                  </w:r>
                </w:p>
              </w:tc>
              <w:tc>
                <w:tcPr>
                  <w:tcW w:w="1000" w:type="dxa"/>
                  <w:tcBorders>
                    <w:top w:val="single" w:color="auto" w:sz="4" w:space="0"/>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209184</w:t>
                  </w:r>
                </w:p>
              </w:tc>
              <w:tc>
                <w:tcPr>
                  <w:tcW w:w="1141" w:type="dxa"/>
                  <w:tcBorders>
                    <w:top w:val="single" w:color="auto" w:sz="4" w:space="0"/>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423.26</w:t>
                  </w:r>
                </w:p>
              </w:tc>
              <w:tc>
                <w:tcPr>
                  <w:tcW w:w="912" w:type="dxa"/>
                  <w:tcBorders>
                    <w:top w:val="single" w:color="auto" w:sz="4" w:space="0"/>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126288</w:t>
                  </w:r>
                </w:p>
              </w:tc>
            </w:tr>
            <w:tr>
              <w:tblPrEx>
                <w:tblLayout w:type="fixed"/>
                <w:tblCellMar>
                  <w:top w:w="0" w:type="dxa"/>
                  <w:left w:w="108" w:type="dxa"/>
                  <w:bottom w:w="0" w:type="dxa"/>
                  <w:right w:w="108" w:type="dxa"/>
                </w:tblCellMar>
              </w:tblPrEx>
              <w:trPr>
                <w:trHeight w:val="67" w:hRule="atLeast"/>
              </w:trPr>
              <w:tc>
                <w:tcPr>
                  <w:tcW w:w="8619" w:type="dxa"/>
                  <w:gridSpan w:val="8"/>
                  <w:tcBorders>
                    <w:left w:val="single" w:color="auto" w:sz="8" w:space="0"/>
                    <w:bottom w:val="single" w:color="auto" w:sz="8" w:space="0"/>
                    <w:right w:val="single" w:color="auto" w:sz="8" w:space="0"/>
                  </w:tcBorders>
                  <w:shd w:val="clear" w:color="auto" w:fill="auto"/>
                  <w:vAlign w:val="center"/>
                </w:tcPr>
                <w:p>
                  <w:pPr>
                    <w:pStyle w:val="32"/>
                    <w:spacing w:line="360" w:lineRule="exact"/>
                    <w:ind w:firstLine="210" w:firstLineChars="100"/>
                    <w:jc w:val="left"/>
                    <w:rPr>
                      <w:rFonts w:eastAsiaTheme="minorEastAsia"/>
                      <w:color w:val="000000" w:themeColor="text1"/>
                      <w:szCs w:val="21"/>
                      <w:lang w:val="en-US"/>
                    </w:rPr>
                  </w:pPr>
                  <w:r>
                    <w:rPr>
                      <w:color w:val="000000" w:themeColor="text1"/>
                      <w:kern w:val="0"/>
                    </w:rPr>
                    <w:t>备注：初期雨水具有偶然性，不纳入总量统计。</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由上表可知，该项目分期建设，但生活污水配套的废水处理设施在一期全部建成，为分析废水处理设施相关的可行性，则单独统一对生活污水进行分析。</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5"/>
              <w:gridCol w:w="737"/>
              <w:gridCol w:w="709"/>
              <w:gridCol w:w="1275"/>
              <w:gridCol w:w="3686"/>
              <w:gridCol w:w="850"/>
              <w:gridCol w:w="7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tcBorders>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工程</w:t>
                  </w:r>
                </w:p>
              </w:tc>
              <w:tc>
                <w:tcPr>
                  <w:tcW w:w="737"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产排污环节</w:t>
                  </w:r>
                </w:p>
              </w:tc>
              <w:tc>
                <w:tcPr>
                  <w:tcW w:w="7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类别</w:t>
                  </w: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污染物种类</w:t>
                  </w:r>
                </w:p>
              </w:tc>
              <w:tc>
                <w:tcPr>
                  <w:tcW w:w="368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85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78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91" w:hRule="atLeast"/>
              </w:trPr>
              <w:tc>
                <w:tcPr>
                  <w:tcW w:w="565" w:type="dxa"/>
                  <w:vMerge w:val="restart"/>
                  <w:tcBorders>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一期工程</w:t>
                  </w:r>
                </w:p>
              </w:tc>
              <w:tc>
                <w:tcPr>
                  <w:tcW w:w="737" w:type="dxa"/>
                  <w:vMerge w:val="restart"/>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砂石骨料</w:t>
                  </w:r>
                  <w:r>
                    <w:rPr>
                      <w:rFonts w:eastAsiaTheme="minorEastAsia"/>
                      <w:color w:val="000000" w:themeColor="text1"/>
                      <w:szCs w:val="21"/>
                    </w:rPr>
                    <w:t>生产</w:t>
                  </w:r>
                </w:p>
              </w:tc>
              <w:tc>
                <w:tcPr>
                  <w:tcW w:w="709"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砂石骨料</w:t>
                  </w:r>
                  <w:r>
                    <w:rPr>
                      <w:rFonts w:eastAsiaTheme="minorEastAsia"/>
                      <w:color w:val="000000" w:themeColor="text1"/>
                      <w:szCs w:val="21"/>
                    </w:rPr>
                    <w:t>生产</w:t>
                  </w:r>
                  <w:r>
                    <w:rPr>
                      <w:rFonts w:hint="eastAsia" w:eastAsiaTheme="minorEastAsia"/>
                      <w:color w:val="000000" w:themeColor="text1"/>
                      <w:szCs w:val="21"/>
                    </w:rPr>
                    <w:t>废水</w:t>
                  </w:r>
                </w:p>
              </w:tc>
              <w:tc>
                <w:tcPr>
                  <w:tcW w:w="12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CODcr</w:t>
                  </w:r>
                </w:p>
              </w:tc>
              <w:tc>
                <w:tcPr>
                  <w:tcW w:w="3686" w:type="dxa"/>
                  <w:vMerge w:val="restar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针对项目砂石骨料生产废水，</w:t>
                  </w:r>
                  <w:r>
                    <w:rPr>
                      <w:color w:val="000000" w:themeColor="text1"/>
                      <w:szCs w:val="21"/>
                    </w:rPr>
                    <w:t>项目拟设置</w:t>
                  </w:r>
                  <w:r>
                    <w:rPr>
                      <w:rFonts w:hint="eastAsia"/>
                      <w:color w:val="000000" w:themeColor="text1"/>
                      <w:szCs w:val="21"/>
                    </w:rPr>
                    <w:t>1</w:t>
                  </w:r>
                  <w:r>
                    <w:rPr>
                      <w:color w:val="000000" w:themeColor="text1"/>
                      <w:szCs w:val="21"/>
                    </w:rPr>
                    <w:t>套砂石骨料生产废水处理系统对生产废水进行处理，该系统由1组有效容积为60m³的三级沉淀池、1个10m³回水池和回水管道组成。砂石骨料生产废水主要污染物为CODcr、SS和石油类，首先进入三级沉淀池进行沉淀，沉淀后，约90%的上层清水进入回水池回用于骨料生产系统，而三级沉淀池产生的含水污泥则进入</w:t>
                  </w:r>
                  <w:r>
                    <w:rPr>
                      <w:rFonts w:hint="eastAsia"/>
                      <w:color w:val="000000" w:themeColor="text1"/>
                      <w:szCs w:val="21"/>
                    </w:rPr>
                    <w:t>建设单位建设的</w:t>
                  </w:r>
                  <w:r>
                    <w:rPr>
                      <w:color w:val="000000" w:themeColor="text1"/>
                      <w:szCs w:val="21"/>
                    </w:rPr>
                    <w:t>昆明市东川金水矿业有限责任公司牛厂坪尾矿充填环境综合治理项目</w:t>
                  </w:r>
                  <w:r>
                    <w:rPr>
                      <w:rFonts w:hint="eastAsia"/>
                      <w:color w:val="000000" w:themeColor="text1"/>
                      <w:szCs w:val="21"/>
                    </w:rPr>
                    <w:t>进行井下充填处理。</w:t>
                  </w:r>
                </w:p>
              </w:tc>
              <w:tc>
                <w:tcPr>
                  <w:tcW w:w="850" w:type="dxa"/>
                  <w:vMerge w:val="restart"/>
                  <w:vAlign w:val="center"/>
                </w:tcPr>
                <w:p>
                  <w:pPr>
                    <w:spacing w:line="360" w:lineRule="exact"/>
                    <w:ind w:firstLine="105" w:firstLineChars="5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废水不外排、含水污泥委托处置</w:t>
                  </w:r>
                </w:p>
              </w:tc>
              <w:tc>
                <w:tcPr>
                  <w:tcW w:w="783"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97" w:hRule="atLeast"/>
              </w:trPr>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SS</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8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石油类</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8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厂区一期</w:t>
                  </w:r>
                  <w:r>
                    <w:rPr>
                      <w:rFonts w:eastAsiaTheme="minorEastAsia"/>
                      <w:color w:val="000000" w:themeColor="text1"/>
                      <w:szCs w:val="21"/>
                    </w:rPr>
                    <w:t>范围</w:t>
                  </w:r>
                </w:p>
              </w:tc>
              <w:tc>
                <w:tcPr>
                  <w:tcW w:w="7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初期雨水</w:t>
                  </w: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368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一期工程拟配套设置1个有效容积为9m³的初期雨水收集池对厂区一期工程范围初期雨水进行收集；收集后用于该项目生产，不外排。</w:t>
                  </w:r>
                </w:p>
              </w:tc>
              <w:tc>
                <w:tcPr>
                  <w:tcW w:w="85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78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restart"/>
                  <w:tcBorders>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二期工程</w:t>
                  </w:r>
                </w:p>
              </w:tc>
              <w:tc>
                <w:tcPr>
                  <w:tcW w:w="737" w:type="dxa"/>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水泥砖养护</w:t>
                  </w:r>
                </w:p>
              </w:tc>
              <w:tc>
                <w:tcPr>
                  <w:tcW w:w="70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水泥砖养护废水</w:t>
                  </w:r>
                </w:p>
              </w:tc>
              <w:tc>
                <w:tcPr>
                  <w:tcW w:w="12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SS</w:t>
                  </w:r>
                </w:p>
              </w:tc>
              <w:tc>
                <w:tcPr>
                  <w:tcW w:w="368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项目拟设置1个有效容积为6</w:t>
                  </w:r>
                  <w:r>
                    <w:rPr>
                      <w:color w:val="000000" w:themeColor="text1"/>
                      <w:szCs w:val="21"/>
                    </w:rPr>
                    <w:t>m³</w:t>
                  </w:r>
                  <w:r>
                    <w:rPr>
                      <w:rFonts w:hint="eastAsia"/>
                      <w:color w:val="000000" w:themeColor="text1"/>
                      <w:szCs w:val="21"/>
                    </w:rPr>
                    <w:t>的养护废水收集池对其进行收集后，返回养护工序使用，不外排。</w:t>
                  </w:r>
                </w:p>
              </w:tc>
              <w:tc>
                <w:tcPr>
                  <w:tcW w:w="850" w:type="dxa"/>
                  <w:vAlign w:val="center"/>
                </w:tcPr>
                <w:p>
                  <w:pPr>
                    <w:pStyle w:val="32"/>
                    <w:spacing w:line="360" w:lineRule="exact"/>
                    <w:rPr>
                      <w:bCs w:val="0"/>
                      <w:color w:val="000000" w:themeColor="text1"/>
                    </w:rPr>
                  </w:pPr>
                  <w:r>
                    <w:rPr>
                      <w:rFonts w:eastAsiaTheme="minorEastAsia"/>
                      <w:color w:val="000000" w:themeColor="text1"/>
                      <w:szCs w:val="21"/>
                    </w:rPr>
                    <w:t>不外排</w:t>
                  </w:r>
                </w:p>
              </w:tc>
              <w:tc>
                <w:tcPr>
                  <w:tcW w:w="78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厂区二期</w:t>
                  </w:r>
                  <w:r>
                    <w:rPr>
                      <w:rFonts w:eastAsiaTheme="minorEastAsia"/>
                      <w:color w:val="000000" w:themeColor="text1"/>
                      <w:szCs w:val="21"/>
                    </w:rPr>
                    <w:t>范围</w:t>
                  </w:r>
                </w:p>
              </w:tc>
              <w:tc>
                <w:tcPr>
                  <w:tcW w:w="7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初期雨水</w:t>
                  </w: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368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二期工程拟配套设置1个有效容积为5m³的初期雨水收集池对厂区二期范围初期雨水进行收集；收集后用于该项目生产，不外排。</w:t>
                  </w:r>
                </w:p>
              </w:tc>
              <w:tc>
                <w:tcPr>
                  <w:tcW w:w="85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78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restart"/>
                  <w:tcBorders>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厂区</w:t>
                  </w:r>
                </w:p>
              </w:tc>
              <w:tc>
                <w:tcPr>
                  <w:tcW w:w="737" w:type="dxa"/>
                  <w:vMerge w:val="restart"/>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70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3686"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生活污水</w:t>
                  </w:r>
                  <w:r>
                    <w:rPr>
                      <w:rFonts w:hint="eastAsia"/>
                      <w:color w:val="000000" w:themeColor="text1"/>
                      <w:szCs w:val="21"/>
                    </w:rPr>
                    <w:t>先</w:t>
                  </w:r>
                  <w:r>
                    <w:rPr>
                      <w:color w:val="000000" w:themeColor="text1"/>
                      <w:szCs w:val="21"/>
                    </w:rPr>
                    <w:t>进入1个有效容积为3m³的化粪池</w:t>
                  </w:r>
                  <w:r>
                    <w:rPr>
                      <w:rFonts w:hint="eastAsia"/>
                      <w:color w:val="000000" w:themeColor="text1"/>
                      <w:szCs w:val="21"/>
                    </w:rPr>
                    <w:t>预</w:t>
                  </w:r>
                  <w:r>
                    <w:rPr>
                      <w:color w:val="000000" w:themeColor="text1"/>
                      <w:szCs w:val="21"/>
                    </w:rPr>
                    <w:t>处理，处理后统一进入1套处理能力为3m³/d的一体化污水处理设施处理，处理达到《城市污水再生利用 城市杂用水水质》（GB/T18920-2020）城市绿化标准后，回用于项目区绿化，不外排。</w:t>
                  </w:r>
                </w:p>
              </w:tc>
              <w:tc>
                <w:tcPr>
                  <w:tcW w:w="850" w:type="dxa"/>
                  <w:vMerge w:val="restart"/>
                  <w:vAlign w:val="center"/>
                </w:tcPr>
                <w:p>
                  <w:pPr>
                    <w:pStyle w:val="32"/>
                    <w:spacing w:line="360" w:lineRule="exact"/>
                    <w:rPr>
                      <w:rFonts w:eastAsiaTheme="minorEastAsia"/>
                      <w:color w:val="000000" w:themeColor="text1"/>
                      <w:szCs w:val="21"/>
                    </w:rPr>
                  </w:pPr>
                  <w:r>
                    <w:rPr>
                      <w:bCs w:val="0"/>
                      <w:color w:val="000000" w:themeColor="text1"/>
                    </w:rPr>
                    <w:t>不外排</w:t>
                  </w:r>
                </w:p>
              </w:tc>
              <w:tc>
                <w:tcPr>
                  <w:tcW w:w="783" w:type="dxa"/>
                  <w:vMerge w:val="restart"/>
                  <w:vAlign w:val="center"/>
                </w:tcPr>
                <w:p>
                  <w:pPr>
                    <w:pStyle w:val="3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一期工程废水</w:t>
            </w:r>
            <w:r>
              <w:rPr>
                <w:rFonts w:ascii="Times New Roman" w:hAnsi="Times New Roman" w:cs="Times New Roman"/>
                <w:b/>
                <w:color w:val="000000" w:themeColor="text1"/>
                <w:sz w:val="24"/>
                <w:szCs w:val="24"/>
              </w:rPr>
              <w:t>污染源产排情况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砂石骨料</w:t>
            </w:r>
            <w:r>
              <w:rPr>
                <w:rFonts w:ascii="Times New Roman" w:hAnsi="Times New Roman" w:cs="Times New Roman"/>
                <w:b/>
                <w:color w:val="000000" w:themeColor="text1"/>
                <w:sz w:val="24"/>
                <w:szCs w:val="24"/>
              </w:rPr>
              <w:t>生产</w:t>
            </w:r>
            <w:r>
              <w:rPr>
                <w:rFonts w:hint="eastAsia" w:ascii="Times New Roman" w:hAnsi="Times New Roman" w:cs="Times New Roman"/>
                <w:b/>
                <w:color w:val="000000" w:themeColor="text1"/>
                <w:sz w:val="24"/>
                <w:szCs w:val="24"/>
              </w:rPr>
              <w:t>废水</w:t>
            </w:r>
            <w:r>
              <w:rPr>
                <w:rFonts w:ascii="Times New Roman" w:hAnsi="Times New Roman" w:cs="Times New Roman"/>
                <w:b/>
                <w:color w:val="000000" w:themeColor="text1"/>
                <w:sz w:val="24"/>
                <w:szCs w:val="24"/>
              </w:rPr>
              <w:t>污染源产排情况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bCs/>
                <w:color w:val="000000" w:themeColor="text1"/>
                <w:sz w:val="24"/>
                <w:szCs w:val="24"/>
              </w:rPr>
              <w:t>根据水平衡可知，项目</w:t>
            </w:r>
            <w:r>
              <w:rPr>
                <w:rFonts w:ascii="Times New Roman" w:hAnsi="Times New Roman" w:cs="Times New Roman"/>
                <w:bCs/>
                <w:color w:val="000000" w:themeColor="text1"/>
                <w:sz w:val="24"/>
                <w:szCs w:val="24"/>
              </w:rPr>
              <w:t>砂石骨料生产废水量为420m³/d（合计126000m³/a）</w:t>
            </w:r>
            <w:r>
              <w:rPr>
                <w:rFonts w:hint="eastAsia" w:ascii="Times New Roman" w:hAnsi="Times New Roman" w:cs="Times New Roman"/>
                <w:bCs/>
                <w:color w:val="000000" w:themeColor="text1"/>
                <w:sz w:val="24"/>
                <w:szCs w:val="24"/>
              </w:rPr>
              <w:t>，</w:t>
            </w:r>
            <w:r>
              <w:rPr>
                <w:rFonts w:hint="eastAsia" w:ascii="Times New Roman" w:hAnsi="Times New Roman" w:cs="Times New Roman"/>
                <w:color w:val="000000" w:themeColor="text1"/>
                <w:sz w:val="24"/>
                <w:szCs w:val="24"/>
              </w:rPr>
              <w:t>按照</w:t>
            </w:r>
            <w:r>
              <w:rPr>
                <w:rFonts w:ascii="Times New Roman" w:hAnsi="Times New Roman" w:cs="Times New Roman"/>
                <w:color w:val="000000" w:themeColor="text1"/>
                <w:sz w:val="24"/>
                <w:szCs w:val="24"/>
              </w:rPr>
              <w:t>《排放源统计调查产排污核算方法和系数手册》中“303砖瓦、石材等建筑材料制造行业系数手册”中“3039其他建筑材料制造”废水的产污系数如下表所示。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hint="eastAsia" w:ascii="Times New Roman" w:hAnsi="Times New Roman" w:eastAsia="宋体" w:cs="Times New Roman"/>
                <w:b/>
                <w:color w:val="000000" w:themeColor="text1"/>
                <w:szCs w:val="24"/>
              </w:rPr>
              <w:t>4.2.2-3</w:t>
            </w:r>
            <w:r>
              <w:rPr>
                <w:rFonts w:ascii="Times New Roman" w:hAnsi="Times New Roman" w:eastAsia="宋体" w:cs="Times New Roman"/>
                <w:b/>
                <w:color w:val="000000" w:themeColor="text1"/>
                <w:szCs w:val="24"/>
              </w:rPr>
              <w:t xml:space="preserve">   3039其他建筑材料制造行业系数表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716"/>
              <w:gridCol w:w="859"/>
              <w:gridCol w:w="715"/>
              <w:gridCol w:w="573"/>
              <w:gridCol w:w="859"/>
              <w:gridCol w:w="858"/>
              <w:gridCol w:w="716"/>
              <w:gridCol w:w="1574"/>
              <w:gridCol w:w="10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6" w:hRule="atLeast"/>
              </w:trPr>
              <w:tc>
                <w:tcPr>
                  <w:tcW w:w="68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工段名称</w:t>
                  </w:r>
                </w:p>
              </w:tc>
              <w:tc>
                <w:tcPr>
                  <w:tcW w:w="716"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产品名称</w:t>
                  </w:r>
                </w:p>
              </w:tc>
              <w:tc>
                <w:tcPr>
                  <w:tcW w:w="859"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工艺名称</w:t>
                  </w:r>
                </w:p>
              </w:tc>
              <w:tc>
                <w:tcPr>
                  <w:tcW w:w="715"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规模等级</w:t>
                  </w:r>
                </w:p>
              </w:tc>
              <w:tc>
                <w:tcPr>
                  <w:tcW w:w="1432" w:type="dxa"/>
                  <w:gridSpan w:val="2"/>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污染物指标</w:t>
                  </w:r>
                </w:p>
              </w:tc>
              <w:tc>
                <w:tcPr>
                  <w:tcW w:w="858"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系数单位</w:t>
                  </w:r>
                </w:p>
              </w:tc>
              <w:tc>
                <w:tcPr>
                  <w:tcW w:w="716"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产污系数</w:t>
                  </w:r>
                </w:p>
              </w:tc>
              <w:tc>
                <w:tcPr>
                  <w:tcW w:w="1574"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末端治理技术</w:t>
                  </w:r>
                </w:p>
              </w:tc>
              <w:tc>
                <w:tcPr>
                  <w:tcW w:w="1053"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6" w:hRule="atLeast"/>
              </w:trPr>
              <w:tc>
                <w:tcPr>
                  <w:tcW w:w="682"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716"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砂石骨料</w:t>
                  </w:r>
                </w:p>
              </w:tc>
              <w:tc>
                <w:tcPr>
                  <w:tcW w:w="859"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岩石、矿石、建筑固体废弃物、尾矿等</w:t>
                  </w:r>
                </w:p>
              </w:tc>
              <w:tc>
                <w:tcPr>
                  <w:tcW w:w="715"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所有规模</w:t>
                  </w:r>
                </w:p>
              </w:tc>
              <w:tc>
                <w:tcPr>
                  <w:tcW w:w="573"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废水</w:t>
                  </w:r>
                </w:p>
              </w:tc>
              <w:tc>
                <w:tcPr>
                  <w:tcW w:w="859"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化学需氧量</w:t>
                  </w:r>
                </w:p>
              </w:tc>
              <w:tc>
                <w:tcPr>
                  <w:tcW w:w="858"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克/吨-产品</w:t>
                  </w:r>
                </w:p>
              </w:tc>
              <w:tc>
                <w:tcPr>
                  <w:tcW w:w="716"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11.4</w:t>
                  </w:r>
                </w:p>
              </w:tc>
              <w:tc>
                <w:tcPr>
                  <w:tcW w:w="1574"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沉淀分离+循环利用</w:t>
                  </w:r>
                </w:p>
              </w:tc>
              <w:tc>
                <w:tcPr>
                  <w:tcW w:w="105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5" w:hRule="atLeast"/>
              </w:trPr>
              <w:tc>
                <w:tcPr>
                  <w:tcW w:w="682"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6"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5"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573"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8"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6"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1574"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压滤（过来）+循环利用</w:t>
                  </w:r>
                </w:p>
              </w:tc>
              <w:tc>
                <w:tcPr>
                  <w:tcW w:w="105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682"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6"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5"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573"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8"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6"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1574"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105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7" w:hRule="atLeast"/>
              </w:trPr>
              <w:tc>
                <w:tcPr>
                  <w:tcW w:w="682"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6"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5"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573"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9"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石油类</w:t>
                  </w:r>
                </w:p>
              </w:tc>
              <w:tc>
                <w:tcPr>
                  <w:tcW w:w="858"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克/吨-产品</w:t>
                  </w:r>
                </w:p>
              </w:tc>
              <w:tc>
                <w:tcPr>
                  <w:tcW w:w="716"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1.42</w:t>
                  </w:r>
                </w:p>
              </w:tc>
              <w:tc>
                <w:tcPr>
                  <w:tcW w:w="1574"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沉淀分离+循环利用</w:t>
                  </w:r>
                </w:p>
              </w:tc>
              <w:tc>
                <w:tcPr>
                  <w:tcW w:w="105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8" w:hRule="atLeast"/>
              </w:trPr>
              <w:tc>
                <w:tcPr>
                  <w:tcW w:w="682"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6"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5"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573"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8"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6"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1574"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压滤（过来）+循环利用</w:t>
                  </w:r>
                </w:p>
              </w:tc>
              <w:tc>
                <w:tcPr>
                  <w:tcW w:w="105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682"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6"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5"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573"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8"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16"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1574"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105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0</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由上表可知，项目砂石骨料年产量为90万t/a，则</w:t>
            </w:r>
            <w:r>
              <w:rPr>
                <w:rFonts w:hint="eastAsia" w:ascii="Times New Roman" w:hAnsi="Times New Roman" w:cs="Times New Roman"/>
                <w:color w:val="000000" w:themeColor="text1"/>
                <w:sz w:val="24"/>
                <w:szCs w:val="24"/>
              </w:rPr>
              <w:t>CODcr产生量为10.26t/a，石油类产生量为1.28t/a；针对项目砂石骨料生产废水，</w:t>
            </w:r>
            <w:r>
              <w:rPr>
                <w:rFonts w:ascii="Times New Roman" w:hAnsi="Times New Roman" w:cs="Times New Roman"/>
                <w:color w:val="000000" w:themeColor="text1"/>
                <w:sz w:val="24"/>
                <w:szCs w:val="24"/>
              </w:rPr>
              <w:t>项目拟设置</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套砂石骨料生产废水处理系统对生产废水进行处理，该系统由</w:t>
            </w:r>
            <w:r>
              <w:rPr>
                <w:rFonts w:hint="eastAsia" w:ascii="Times New Roman" w:hAnsi="Times New Roman" w:cs="Times New Roman"/>
                <w:color w:val="000000" w:themeColor="text1"/>
                <w:sz w:val="24"/>
                <w:szCs w:val="24"/>
              </w:rPr>
              <w:t>1组有效容积为60m³的三级沉淀池、1个10m³回水池和回水管道</w:t>
            </w:r>
            <w:r>
              <w:rPr>
                <w:rFonts w:ascii="Times New Roman" w:hAnsi="Times New Roman" w:cs="Times New Roman"/>
                <w:color w:val="000000" w:themeColor="text1"/>
                <w:sz w:val="24"/>
                <w:szCs w:val="24"/>
              </w:rPr>
              <w:t>组成。首先进入三级沉淀池进行沉淀，沉淀后，约90%的上层清水进入回水池回用于骨料生产系统，而三级沉淀池产生的含水污泥则进入</w:t>
            </w:r>
            <w:r>
              <w:rPr>
                <w:rFonts w:hint="eastAsia" w:ascii="Times New Roman" w:hAnsi="Times New Roman" w:cs="Times New Roman"/>
                <w:color w:val="000000" w:themeColor="text1"/>
                <w:sz w:val="24"/>
                <w:szCs w:val="24"/>
              </w:rPr>
              <w:t>建设单位建设的</w:t>
            </w:r>
            <w:r>
              <w:rPr>
                <w:rFonts w:ascii="Times New Roman" w:hAnsi="Times New Roman" w:cs="Times New Roman"/>
                <w:color w:val="000000" w:themeColor="text1"/>
                <w:sz w:val="24"/>
                <w:szCs w:val="24"/>
              </w:rPr>
              <w:t>昆明市东川金水矿业有限责任公司牛厂坪尾矿充填环境综合治理项目</w:t>
            </w:r>
            <w:r>
              <w:rPr>
                <w:rFonts w:hint="eastAsia" w:ascii="Times New Roman" w:hAnsi="Times New Roman" w:cs="Times New Roman"/>
                <w:color w:val="000000" w:themeColor="text1"/>
                <w:sz w:val="24"/>
                <w:szCs w:val="24"/>
              </w:rPr>
              <w:t>进行井下充填处理。则CODcr和石油类的去除效率为30%，去除后约CODcr回用量为2.77t/a，石油类回用量为0.31t/a；CODcr依托处置量为0.31t/a，石油类依托处置量为0.04t/a。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初期雨水产排量情况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水平衡和废水污染物治理措施可知，项目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初期雨水产生量约为</w:t>
            </w:r>
            <w:r>
              <w:rPr>
                <w:rFonts w:hint="eastAsia" w:ascii="Times New Roman" w:hAnsi="Times New Roman" w:cs="Times New Roman"/>
                <w:color w:val="000000" w:themeColor="text1"/>
                <w:sz w:val="24"/>
              </w:rPr>
              <w:t>6.71</w:t>
            </w:r>
            <w:r>
              <w:rPr>
                <w:rFonts w:ascii="Times New Roman" w:hAnsi="Times New Roman" w:cs="Times New Roman"/>
                <w:color w:val="000000" w:themeColor="text1"/>
                <w:sz w:val="24"/>
              </w:rPr>
              <w:t>m³/次，</w:t>
            </w:r>
            <w:r>
              <w:rPr>
                <w:rFonts w:hint="eastAsia" w:ascii="Times New Roman" w:hAnsi="Times New Roman" w:cs="Times New Roman"/>
                <w:color w:val="000000" w:themeColor="text1"/>
                <w:sz w:val="24"/>
              </w:rPr>
              <w:t>一期工程拟配套设置1个有效容积为9m³的初期雨水收集池对厂区一期工程范围初期雨水进行收集；收集后用于该项目生产，不外排。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二期工程废水</w:t>
            </w:r>
            <w:r>
              <w:rPr>
                <w:rFonts w:ascii="Times New Roman" w:hAnsi="Times New Roman" w:cs="Times New Roman"/>
                <w:b/>
                <w:color w:val="000000" w:themeColor="text1"/>
                <w:sz w:val="24"/>
                <w:szCs w:val="24"/>
              </w:rPr>
              <w:t>污染源产排情况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水泥砖养护废水污染源产排情况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根据水平衡和废水污染物治理措施可知，项目水泥砖养护废水</w:t>
            </w:r>
            <w:r>
              <w:rPr>
                <w:rFonts w:hint="eastAsia" w:ascii="Times New Roman" w:hAnsi="Times New Roman" w:cs="Times New Roman"/>
                <w:color w:val="000000" w:themeColor="text1"/>
                <w:sz w:val="24"/>
              </w:rPr>
              <w:t>产生量为2.3</w:t>
            </w:r>
            <w:r>
              <w:rPr>
                <w:rFonts w:ascii="Times New Roman" w:hAnsi="Times New Roman" w:cs="Times New Roman"/>
                <w:color w:val="000000" w:themeColor="text1"/>
                <w:sz w:val="24"/>
              </w:rPr>
              <w:t>m³/d，</w:t>
            </w:r>
            <w:r>
              <w:rPr>
                <w:rFonts w:hint="eastAsia" w:ascii="Times New Roman" w:hAnsi="Times New Roman" w:cs="Times New Roman"/>
                <w:color w:val="000000" w:themeColor="text1"/>
                <w:sz w:val="24"/>
              </w:rPr>
              <w:t>项目拟设置1个有效容积为6</w:t>
            </w:r>
            <w:r>
              <w:rPr>
                <w:rFonts w:ascii="Times New Roman" w:hAnsi="Times New Roman" w:cs="Times New Roman"/>
                <w:color w:val="000000" w:themeColor="text1"/>
                <w:sz w:val="24"/>
              </w:rPr>
              <w:t>m³</w:t>
            </w:r>
            <w:r>
              <w:rPr>
                <w:rFonts w:hint="eastAsia" w:ascii="Times New Roman" w:hAnsi="Times New Roman" w:cs="Times New Roman"/>
                <w:color w:val="000000" w:themeColor="text1"/>
                <w:sz w:val="24"/>
              </w:rPr>
              <w:t>的养护废水收集池对其进行收集后，返回养护工序使用，不外排。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二期工程</w:t>
            </w:r>
            <w:r>
              <w:rPr>
                <w:rFonts w:ascii="Times New Roman" w:hAnsi="Times New Roman" w:cs="Times New Roman"/>
                <w:b/>
                <w:color w:val="000000" w:themeColor="text1"/>
                <w:sz w:val="24"/>
                <w:szCs w:val="24"/>
              </w:rPr>
              <w:t>初期雨水产排量情况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w:t>
            </w:r>
            <w:r>
              <w:rPr>
                <w:rFonts w:hint="eastAsia" w:ascii="Times New Roman" w:hAnsi="Times New Roman" w:cs="Times New Roman"/>
                <w:color w:val="000000" w:themeColor="text1"/>
                <w:sz w:val="24"/>
              </w:rPr>
              <w:t>二期工程</w:t>
            </w:r>
            <w:r>
              <w:rPr>
                <w:rFonts w:ascii="Times New Roman" w:hAnsi="Times New Roman" w:cs="Times New Roman"/>
                <w:color w:val="000000" w:themeColor="text1"/>
                <w:sz w:val="24"/>
              </w:rPr>
              <w:t>水平衡和废水污染物治理措施可知，项目</w:t>
            </w:r>
            <w:r>
              <w:rPr>
                <w:rFonts w:hint="eastAsia" w:ascii="Times New Roman" w:hAnsi="Times New Roman" w:cs="Times New Roman"/>
                <w:color w:val="000000" w:themeColor="text1"/>
                <w:sz w:val="24"/>
              </w:rPr>
              <w:t>二期工程</w:t>
            </w:r>
            <w:r>
              <w:rPr>
                <w:rFonts w:ascii="Times New Roman" w:hAnsi="Times New Roman" w:cs="Times New Roman"/>
                <w:color w:val="000000" w:themeColor="text1"/>
                <w:sz w:val="24"/>
              </w:rPr>
              <w:t>初期雨水产生量约为</w:t>
            </w:r>
            <w:r>
              <w:rPr>
                <w:rFonts w:hint="eastAsia" w:ascii="Times New Roman" w:hAnsi="Times New Roman" w:cs="Times New Roman"/>
                <w:color w:val="000000" w:themeColor="text1"/>
                <w:sz w:val="24"/>
              </w:rPr>
              <w:t>2.87</w:t>
            </w:r>
            <w:r>
              <w:rPr>
                <w:rFonts w:ascii="Times New Roman" w:hAnsi="Times New Roman" w:cs="Times New Roman"/>
                <w:color w:val="000000" w:themeColor="text1"/>
                <w:sz w:val="24"/>
              </w:rPr>
              <w:t>m³/次，</w:t>
            </w:r>
            <w:r>
              <w:rPr>
                <w:rFonts w:hint="eastAsia" w:ascii="Times New Roman" w:hAnsi="Times New Roman" w:cs="Times New Roman"/>
                <w:color w:val="000000" w:themeColor="text1"/>
                <w:sz w:val="24"/>
              </w:rPr>
              <w:t>二期工程拟配套设置1个有效容积为5m³的初期雨水收集池对厂区二期工程范围初期雨水进行收集；收集后用于该项目生产，不外排。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3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㈢</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生活污水产排量及达标情况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根据水平衡可知，项目</w:t>
            </w:r>
            <w:r>
              <w:rPr>
                <w:rFonts w:hint="eastAsia" w:ascii="Times New Roman" w:hAnsi="Times New Roman" w:cs="Times New Roman"/>
                <w:color w:val="000000" w:themeColor="text1"/>
                <w:sz w:val="24"/>
              </w:rPr>
              <w:t>生活污水</w:t>
            </w:r>
            <w:r>
              <w:rPr>
                <w:rFonts w:ascii="Times New Roman" w:hAnsi="Times New Roman" w:cs="Times New Roman"/>
                <w:color w:val="000000" w:themeColor="text1"/>
                <w:sz w:val="24"/>
              </w:rPr>
              <w:t>量为</w:t>
            </w:r>
            <w:r>
              <w:rPr>
                <w:rFonts w:hint="eastAsia" w:ascii="Times New Roman" w:hAnsi="Times New Roman" w:cs="Times New Roman"/>
                <w:color w:val="000000" w:themeColor="text1"/>
                <w:sz w:val="24"/>
              </w:rPr>
              <w:t>0.96</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288</w:t>
            </w:r>
            <w:r>
              <w:rPr>
                <w:rFonts w:ascii="Times New Roman" w:hAnsi="Times New Roman" w:cs="Times New Roman"/>
                <w:color w:val="000000" w:themeColor="text1"/>
                <w:sz w:val="24"/>
              </w:rPr>
              <w:t>m³/a；根据类比调查，生活污水水质如下表所示。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4.2.2-4</w:t>
            </w:r>
            <w:r>
              <w:rPr>
                <w:rFonts w:ascii="Times New Roman" w:hAnsi="Times New Roman" w:cs="Times New Roman"/>
                <w:b/>
                <w:bCs/>
                <w:color w:val="000000" w:themeColor="text1"/>
                <w:kern w:val="0"/>
              </w:rPr>
              <w:t xml:space="preserve"> 生活污水水质指标一览表 mg/L</w:t>
            </w:r>
          </w:p>
          <w:tbl>
            <w:tblPr>
              <w:tblStyle w:val="20"/>
              <w:tblW w:w="8600" w:type="dxa"/>
              <w:jc w:val="center"/>
              <w:tblInd w:w="0" w:type="dxa"/>
              <w:tblLayout w:type="fixed"/>
              <w:tblCellMar>
                <w:top w:w="0" w:type="dxa"/>
                <w:left w:w="108" w:type="dxa"/>
                <w:bottom w:w="0" w:type="dxa"/>
                <w:right w:w="108" w:type="dxa"/>
              </w:tblCellMar>
            </w:tblPr>
            <w:tblGrid>
              <w:gridCol w:w="808"/>
              <w:gridCol w:w="846"/>
              <w:gridCol w:w="926"/>
              <w:gridCol w:w="879"/>
              <w:gridCol w:w="693"/>
              <w:gridCol w:w="894"/>
              <w:gridCol w:w="642"/>
              <w:gridCol w:w="575"/>
              <w:gridCol w:w="1012"/>
              <w:gridCol w:w="1325"/>
            </w:tblGrid>
            <w:tr>
              <w:tblPrEx>
                <w:tblLayout w:type="fixed"/>
                <w:tblCellMar>
                  <w:top w:w="0" w:type="dxa"/>
                  <w:left w:w="108" w:type="dxa"/>
                  <w:bottom w:w="0" w:type="dxa"/>
                  <w:right w:w="108" w:type="dxa"/>
                </w:tblCellMar>
              </w:tblPrEx>
              <w:trPr>
                <w:trHeight w:val="285" w:hRule="atLeast"/>
                <w:jc w:val="center"/>
              </w:trPr>
              <w:tc>
                <w:tcPr>
                  <w:tcW w:w="808" w:type="dxa"/>
                  <w:tcBorders>
                    <w:top w:val="single" w:color="auto" w:sz="4"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污染物</w:t>
                  </w:r>
                </w:p>
              </w:tc>
              <w:tc>
                <w:tcPr>
                  <w:tcW w:w="846"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pH</w:t>
                  </w:r>
                </w:p>
              </w:tc>
              <w:tc>
                <w:tcPr>
                  <w:tcW w:w="926"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CODcr</w:t>
                  </w:r>
                </w:p>
              </w:tc>
              <w:tc>
                <w:tcPr>
                  <w:tcW w:w="879"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BOD</w:t>
                  </w:r>
                  <w:r>
                    <w:rPr>
                      <w:rFonts w:eastAsiaTheme="minorEastAsia"/>
                      <w:color w:val="000000" w:themeColor="text1"/>
                      <w:szCs w:val="21"/>
                      <w:vertAlign w:val="subscript"/>
                      <w:lang w:val="en-US"/>
                    </w:rPr>
                    <w:t>5</w:t>
                  </w:r>
                </w:p>
              </w:tc>
              <w:tc>
                <w:tcPr>
                  <w:tcW w:w="693"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SS</w:t>
                  </w:r>
                </w:p>
              </w:tc>
              <w:tc>
                <w:tcPr>
                  <w:tcW w:w="894"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NH</w:t>
                  </w:r>
                  <w:r>
                    <w:rPr>
                      <w:rFonts w:eastAsiaTheme="minorEastAsia"/>
                      <w:color w:val="000000" w:themeColor="text1"/>
                      <w:szCs w:val="21"/>
                      <w:vertAlign w:val="subscript"/>
                      <w:lang w:val="en-US"/>
                    </w:rPr>
                    <w:t>3</w:t>
                  </w:r>
                  <w:r>
                    <w:rPr>
                      <w:rFonts w:eastAsiaTheme="minorEastAsia"/>
                      <w:color w:val="000000" w:themeColor="text1"/>
                      <w:szCs w:val="21"/>
                      <w:lang w:val="en-US"/>
                    </w:rPr>
                    <w:t>-N</w:t>
                  </w:r>
                </w:p>
              </w:tc>
              <w:tc>
                <w:tcPr>
                  <w:tcW w:w="642"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TN</w:t>
                  </w:r>
                </w:p>
              </w:tc>
              <w:tc>
                <w:tcPr>
                  <w:tcW w:w="575"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TP</w:t>
                  </w:r>
                </w:p>
              </w:tc>
              <w:tc>
                <w:tcPr>
                  <w:tcW w:w="1012" w:type="dxa"/>
                  <w:tcBorders>
                    <w:top w:val="single" w:color="auto" w:sz="4"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rPr>
                    <w:t>阴离子表面活性剂</w:t>
                  </w:r>
                </w:p>
              </w:tc>
              <w:tc>
                <w:tcPr>
                  <w:tcW w:w="1325" w:type="dxa"/>
                  <w:tcBorders>
                    <w:top w:val="single" w:color="auto" w:sz="4" w:space="0"/>
                    <w:left w:val="nil"/>
                    <w:bottom w:val="single" w:color="auto" w:sz="8"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Layout w:type="fixed"/>
                <w:tblCellMar>
                  <w:top w:w="0" w:type="dxa"/>
                  <w:left w:w="108" w:type="dxa"/>
                  <w:bottom w:w="0" w:type="dxa"/>
                  <w:right w:w="108" w:type="dxa"/>
                </w:tblCellMar>
              </w:tblPrEx>
              <w:trPr>
                <w:trHeight w:val="300" w:hRule="atLeast"/>
                <w:jc w:val="center"/>
              </w:trPr>
              <w:tc>
                <w:tcPr>
                  <w:tcW w:w="808" w:type="dxa"/>
                  <w:tcBorders>
                    <w:top w:val="nil"/>
                    <w:left w:val="single" w:color="auto" w:sz="8" w:space="0"/>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84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926"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879"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693"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894"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642"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575" w:type="dxa"/>
                  <w:tcBorders>
                    <w:top w:val="nil"/>
                    <w:left w:val="nil"/>
                    <w:bottom w:val="single" w:color="auto" w:sz="8" w:space="0"/>
                    <w:right w:val="single" w:color="auto" w:sz="8"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101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325"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根据废水污染物治理措施可知，</w:t>
            </w:r>
            <w:r>
              <w:rPr>
                <w:rFonts w:hint="eastAsia" w:ascii="Times New Roman" w:hAnsi="Times New Roman" w:cs="Times New Roman"/>
                <w:color w:val="000000" w:themeColor="text1"/>
                <w:sz w:val="24"/>
              </w:rPr>
              <w:t>项目</w:t>
            </w:r>
            <w:r>
              <w:rPr>
                <w:rFonts w:ascii="Times New Roman" w:hAnsi="Times New Roman" w:cs="Times New Roman"/>
                <w:color w:val="000000" w:themeColor="text1"/>
                <w:sz w:val="24"/>
              </w:rPr>
              <w:t>生活污水先进入1个有效容积为3m³的化粪池预处理，处理后统一进入1套处理能力为3m³/d的一体化污水处理设施处理</w:t>
            </w:r>
            <w:r>
              <w:rPr>
                <w:rFonts w:ascii="Times New Roman" w:hAnsi="Times New Roman" w:cs="Times New Roman"/>
                <w:color w:val="000000" w:themeColor="text1"/>
                <w:sz w:val="24"/>
                <w:szCs w:val="24"/>
              </w:rPr>
              <w:t>。根据一体化污水处理设施的设计参数，项目生活污水经处理后其污染产排及达标情况如下表所示。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w:t>
            </w:r>
            <w:r>
              <w:rPr>
                <w:rFonts w:ascii="Times New Roman" w:hAnsi="Times New Roman" w:cs="Times New Roman"/>
                <w:b/>
                <w:color w:val="000000" w:themeColor="text1"/>
              </w:rPr>
              <w:t>生活污水</w:t>
            </w:r>
            <w:r>
              <w:rPr>
                <w:rFonts w:ascii="Times New Roman" w:hAnsi="Times New Roman" w:cs="Times New Roman"/>
                <w:b/>
                <w:color w:val="000000" w:themeColor="text1"/>
                <w:szCs w:val="24"/>
              </w:rPr>
              <w:t>污染物排放源产排量及达标情况一览表</w:t>
            </w:r>
          </w:p>
          <w:tbl>
            <w:tblPr>
              <w:tblStyle w:val="20"/>
              <w:tblW w:w="8595" w:type="dxa"/>
              <w:jc w:val="center"/>
              <w:tblInd w:w="0" w:type="dxa"/>
              <w:tblLayout w:type="fixed"/>
              <w:tblCellMar>
                <w:top w:w="0" w:type="dxa"/>
                <w:left w:w="108" w:type="dxa"/>
                <w:bottom w:w="0" w:type="dxa"/>
                <w:right w:w="108" w:type="dxa"/>
              </w:tblCellMar>
            </w:tblPr>
            <w:tblGrid>
              <w:gridCol w:w="738"/>
              <w:gridCol w:w="739"/>
              <w:gridCol w:w="1240"/>
              <w:gridCol w:w="1131"/>
              <w:gridCol w:w="946"/>
              <w:gridCol w:w="1077"/>
              <w:gridCol w:w="1092"/>
              <w:gridCol w:w="797"/>
              <w:gridCol w:w="835"/>
            </w:tblGrid>
            <w:tr>
              <w:tblPrEx>
                <w:tblLayout w:type="fixed"/>
                <w:tblCellMar>
                  <w:top w:w="0" w:type="dxa"/>
                  <w:left w:w="108" w:type="dxa"/>
                  <w:bottom w:w="0" w:type="dxa"/>
                  <w:right w:w="108" w:type="dxa"/>
                </w:tblCellMar>
              </w:tblPrEx>
              <w:trPr>
                <w:jc w:val="center"/>
              </w:trPr>
              <w:tc>
                <w:tcPr>
                  <w:tcW w:w="7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产排污环节</w:t>
                  </w:r>
                </w:p>
              </w:tc>
              <w:tc>
                <w:tcPr>
                  <w:tcW w:w="73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类别</w:t>
                  </w:r>
                </w:p>
              </w:tc>
              <w:tc>
                <w:tcPr>
                  <w:tcW w:w="12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污染物种类</w:t>
                  </w:r>
                </w:p>
              </w:tc>
              <w:tc>
                <w:tcPr>
                  <w:tcW w:w="2077"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污染物产生情况</w:t>
                  </w:r>
                </w:p>
              </w:tc>
              <w:tc>
                <w:tcPr>
                  <w:tcW w:w="2169"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污染物排放量和浓度</w:t>
                  </w:r>
                </w:p>
              </w:tc>
              <w:tc>
                <w:tcPr>
                  <w:tcW w:w="797" w:type="dxa"/>
                  <w:vMerge w:val="restart"/>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回用标准</w:t>
                  </w:r>
                </w:p>
              </w:tc>
              <w:tc>
                <w:tcPr>
                  <w:tcW w:w="8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达标情况</w:t>
                  </w:r>
                </w:p>
              </w:tc>
            </w:tr>
            <w:tr>
              <w:tblPrEx>
                <w:tblLayout w:type="fixed"/>
                <w:tblCellMar>
                  <w:top w:w="0" w:type="dxa"/>
                  <w:left w:w="108" w:type="dxa"/>
                  <w:bottom w:w="0" w:type="dxa"/>
                  <w:right w:w="108" w:type="dxa"/>
                </w:tblCellMar>
              </w:tblPrEx>
              <w:trPr>
                <w:jc w:val="center"/>
              </w:trPr>
              <w:tc>
                <w:tcPr>
                  <w:tcW w:w="738"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131"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产生浓度mg/m³</w:t>
                  </w:r>
                </w:p>
              </w:tc>
              <w:tc>
                <w:tcPr>
                  <w:tcW w:w="94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产生量t/a</w:t>
                  </w:r>
                </w:p>
              </w:tc>
              <w:tc>
                <w:tcPr>
                  <w:tcW w:w="107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回用浓度mg/m³</w:t>
                  </w:r>
                </w:p>
              </w:tc>
              <w:tc>
                <w:tcPr>
                  <w:tcW w:w="1092" w:type="dxa"/>
                  <w:tcBorders>
                    <w:top w:val="single" w:color="000000"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回用量t/a</w:t>
                  </w:r>
                </w:p>
              </w:tc>
              <w:tc>
                <w:tcPr>
                  <w:tcW w:w="797" w:type="dxa"/>
                  <w:vMerge w:val="continue"/>
                  <w:tcBorders>
                    <w:top w:val="single" w:color="000000" w:sz="8" w:space="0"/>
                    <w:left w:val="nil"/>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835"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r>
            <w:tr>
              <w:tblPrEx>
                <w:tblLayout w:type="fixed"/>
                <w:tblCellMar>
                  <w:top w:w="0" w:type="dxa"/>
                  <w:left w:w="108" w:type="dxa"/>
                  <w:bottom w:w="0" w:type="dxa"/>
                  <w:right w:w="108" w:type="dxa"/>
                </w:tblCellMar>
              </w:tblPrEx>
              <w:trPr>
                <w:jc w:val="center"/>
              </w:trPr>
              <w:tc>
                <w:tcPr>
                  <w:tcW w:w="738" w:type="dxa"/>
                  <w:vMerge w:val="restart"/>
                  <w:tcBorders>
                    <w:top w:val="nil"/>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739" w:type="dxa"/>
                  <w:vMerge w:val="restart"/>
                  <w:tcBorders>
                    <w:top w:val="nil"/>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2077"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288</w:t>
                  </w:r>
                  <w:r>
                    <w:rPr>
                      <w:rFonts w:eastAsiaTheme="minorEastAsia"/>
                      <w:color w:val="000000" w:themeColor="text1"/>
                      <w:szCs w:val="21"/>
                    </w:rPr>
                    <w:t>m³/a</w:t>
                  </w:r>
                </w:p>
              </w:tc>
              <w:tc>
                <w:tcPr>
                  <w:tcW w:w="2169"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288</w:t>
                  </w:r>
                  <w:r>
                    <w:rPr>
                      <w:rFonts w:eastAsiaTheme="minorEastAsia"/>
                      <w:color w:val="000000" w:themeColor="text1"/>
                      <w:szCs w:val="21"/>
                    </w:rPr>
                    <w:t>m³/a</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109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6.0-9.0</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0.101</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26</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0.007</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0.063</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0.002</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≤10</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0.011</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7</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0.002</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≤8</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0.086</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0.009</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0.002</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0.001</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0.013</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0.005</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0.005</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0.0001</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≤0.5</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16000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8000</w:t>
                  </w:r>
                </w:p>
              </w:tc>
              <w:tc>
                <w:tcPr>
                  <w:tcW w:w="1092" w:type="dxa"/>
                  <w:tcBorders>
                    <w:top w:val="nil"/>
                    <w:left w:val="nil"/>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bl>
          <w:p>
            <w:pPr>
              <w:pStyle w:val="40"/>
              <w:spacing w:beforeLines="50"/>
              <w:ind w:firstLine="480"/>
              <w:rPr>
                <w:rFonts w:eastAsiaTheme="minorEastAsia"/>
                <w:color w:val="000000" w:themeColor="text1"/>
              </w:rPr>
            </w:pPr>
            <w:r>
              <w:rPr>
                <w:rFonts w:eastAsiaTheme="minorEastAsia"/>
                <w:color w:val="000000" w:themeColor="text1"/>
              </w:rPr>
              <w:t>由上表可知，项目生活污水经化粪池和</w:t>
            </w:r>
            <w:r>
              <w:rPr>
                <w:color w:val="000000" w:themeColor="text1"/>
                <w:szCs w:val="24"/>
              </w:rPr>
              <w:t>一体化污水处理设施处理后可达到《城市污水再生利用 城市杂用水水质》（GB/T18920-2020）城市绿化标准后，回用于项目区绿化，不外排。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废水污染治理设施可行性分析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①砂石骨料</w:t>
            </w:r>
            <w:r>
              <w:rPr>
                <w:rFonts w:ascii="Times New Roman" w:hAnsi="Times New Roman" w:cs="Times New Roman"/>
                <w:b/>
                <w:color w:val="000000" w:themeColor="text1"/>
                <w:sz w:val="24"/>
                <w:szCs w:val="24"/>
              </w:rPr>
              <w:t>生产</w:t>
            </w:r>
            <w:r>
              <w:rPr>
                <w:rFonts w:hint="eastAsia" w:ascii="Times New Roman" w:hAnsi="Times New Roman" w:cs="Times New Roman"/>
                <w:b/>
                <w:color w:val="000000" w:themeColor="text1"/>
                <w:sz w:val="24"/>
                <w:szCs w:val="24"/>
              </w:rPr>
              <w:t>废水</w:t>
            </w:r>
            <w:r>
              <w:rPr>
                <w:rFonts w:ascii="Times New Roman" w:hAnsi="Times New Roman" w:cs="Times New Roman"/>
                <w:b/>
                <w:color w:val="000000" w:themeColor="text1"/>
                <w:sz w:val="24"/>
                <w:szCs w:val="24"/>
              </w:rPr>
              <w:t>环境影响减缓措施有效性分析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根据设计，项目拟设置</w:t>
            </w:r>
            <w:r>
              <w:rPr>
                <w:rFonts w:hint="eastAsia" w:ascii="Times New Roman" w:hAnsi="Times New Roman" w:cs="Times New Roman"/>
                <w:color w:val="000000" w:themeColor="text1"/>
                <w:sz w:val="24"/>
              </w:rPr>
              <w:t>1</w:t>
            </w:r>
            <w:r>
              <w:rPr>
                <w:rFonts w:ascii="Times New Roman" w:hAnsi="Times New Roman" w:cs="Times New Roman"/>
                <w:color w:val="000000" w:themeColor="text1"/>
                <w:sz w:val="24"/>
              </w:rPr>
              <w:t>套砂石骨料生产废水处理系统对生产废水进行处理，该系统由</w:t>
            </w:r>
            <w:r>
              <w:rPr>
                <w:rFonts w:hint="eastAsia" w:ascii="Times New Roman" w:hAnsi="Times New Roman" w:cs="Times New Roman"/>
                <w:color w:val="000000" w:themeColor="text1"/>
                <w:sz w:val="24"/>
              </w:rPr>
              <w:t>1组有效容积为60m³的三级沉淀池、1个10m³回水池和回水管道</w:t>
            </w:r>
            <w:r>
              <w:rPr>
                <w:rFonts w:ascii="Times New Roman" w:hAnsi="Times New Roman" w:cs="Times New Roman"/>
                <w:color w:val="000000" w:themeColor="text1"/>
                <w:sz w:val="24"/>
              </w:rPr>
              <w:t>组成。首先进入三级沉淀池进行沉淀，沉淀后，约90%的上层清水进入回水池回用于骨料生产系统，而三级沉淀池产生的含水污泥则进入建设单位建设的昆明市东川金水矿业有限责任公司牛厂坪尾矿充填环境综合治理项目进行井下充填处理。三级沉淀池</w:t>
            </w:r>
            <w:r>
              <w:rPr>
                <w:rFonts w:hint="eastAsia" w:ascii="Times New Roman" w:hAnsi="Times New Roman" w:cs="Times New Roman"/>
                <w:color w:val="000000" w:themeColor="text1"/>
                <w:sz w:val="24"/>
              </w:rPr>
              <w:t>的废水停留时间约为30min，则项目</w:t>
            </w:r>
            <w:r>
              <w:rPr>
                <w:rFonts w:ascii="Times New Roman" w:hAnsi="Times New Roman" w:cs="Times New Roman"/>
                <w:color w:val="000000" w:themeColor="text1"/>
                <w:sz w:val="24"/>
              </w:rPr>
              <w:t>砂石骨料生产废水处理系统</w:t>
            </w:r>
            <w:r>
              <w:rPr>
                <w:rFonts w:hint="eastAsia" w:ascii="Times New Roman" w:hAnsi="Times New Roman" w:cs="Times New Roman"/>
                <w:color w:val="000000" w:themeColor="text1"/>
                <w:sz w:val="24"/>
              </w:rPr>
              <w:t>废水处理能力可达到640m³/d</w:t>
            </w:r>
            <w:r>
              <w:rPr>
                <w:rFonts w:ascii="Times New Roman" w:hAnsi="Times New Roman" w:cs="Times New Roman"/>
                <w:color w:val="000000" w:themeColor="text1"/>
                <w:sz w:val="24"/>
              </w:rPr>
              <w:t>而本项目产生的生产废水量为420m³/d，则处理规模可达到要求，</w:t>
            </w:r>
            <w:r>
              <w:rPr>
                <w:rFonts w:hint="eastAsia" w:ascii="Times New Roman" w:hAnsi="Times New Roman" w:cs="Times New Roman"/>
                <w:color w:val="000000" w:themeColor="text1"/>
                <w:sz w:val="24"/>
              </w:rPr>
              <w:t>该工艺属于可行技术，该系统主要对砂石骨料</w:t>
            </w:r>
            <w:r>
              <w:rPr>
                <w:rFonts w:ascii="Times New Roman" w:hAnsi="Times New Roman" w:cs="Times New Roman"/>
                <w:color w:val="000000" w:themeColor="text1"/>
                <w:sz w:val="24"/>
              </w:rPr>
              <w:t>生产</w:t>
            </w:r>
            <w:r>
              <w:rPr>
                <w:rFonts w:hint="eastAsia" w:ascii="Times New Roman" w:hAnsi="Times New Roman" w:cs="Times New Roman"/>
                <w:color w:val="000000" w:themeColor="text1"/>
                <w:sz w:val="24"/>
              </w:rPr>
              <w:t>废水中</w:t>
            </w:r>
            <w:r>
              <w:rPr>
                <w:rFonts w:ascii="Times New Roman" w:hAnsi="Times New Roman" w:cs="Times New Roman"/>
                <w:color w:val="000000" w:themeColor="text1"/>
                <w:sz w:val="24"/>
              </w:rPr>
              <w:t>SS沉淀方式进行处理</w:t>
            </w:r>
            <w:r>
              <w:rPr>
                <w:rFonts w:hint="eastAsia" w:ascii="Times New Roman" w:hAnsi="Times New Roman" w:cs="Times New Roman"/>
                <w:color w:val="000000" w:themeColor="text1"/>
                <w:sz w:val="24"/>
              </w:rPr>
              <w:t>后，清水回用于生产，因此项目废水经处理回用部分技术可行。项目三级沉淀池产生的含水污泥依托</w:t>
            </w:r>
            <w:r>
              <w:rPr>
                <w:rFonts w:ascii="Times New Roman" w:hAnsi="Times New Roman" w:cs="Times New Roman"/>
                <w:color w:val="000000" w:themeColor="text1"/>
                <w:sz w:val="24"/>
              </w:rPr>
              <w:t>昆明市东川金水矿业有限责任公司牛厂坪尾矿充填环境综合治理项目</w:t>
            </w:r>
            <w:r>
              <w:rPr>
                <w:rFonts w:hint="eastAsia" w:ascii="Times New Roman" w:hAnsi="Times New Roman" w:cs="Times New Roman"/>
                <w:color w:val="000000" w:themeColor="text1"/>
                <w:sz w:val="24"/>
              </w:rPr>
              <w:t>（以下简称“尾矿充填项目”）进行处理；因此，本次环评重点分析项目含水污泥依托处置措施的有效性。环评拟从依托工程建设情况、位置关系、处理规模、处理合理性等方面进行有效性分析，具体如下：</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 1 \* GB2 </w:instrText>
            </w:r>
            <w:r>
              <w:rPr>
                <w:b/>
                <w:color w:val="000000" w:themeColor="text1"/>
                <w:szCs w:val="24"/>
              </w:rPr>
              <w:fldChar w:fldCharType="separate"/>
            </w:r>
            <w:r>
              <w:rPr>
                <w:rFonts w:hint="eastAsia"/>
                <w:b/>
                <w:color w:val="000000" w:themeColor="text1"/>
                <w:szCs w:val="24"/>
              </w:rPr>
              <w:t>⑴</w:t>
            </w:r>
            <w:r>
              <w:rPr>
                <w:b/>
                <w:color w:val="000000" w:themeColor="text1"/>
                <w:szCs w:val="24"/>
              </w:rPr>
              <w:fldChar w:fldCharType="end"/>
            </w:r>
            <w:r>
              <w:rPr>
                <w:rFonts w:hint="eastAsia"/>
                <w:b/>
                <w:color w:val="000000" w:themeColor="text1"/>
                <w:szCs w:val="24"/>
              </w:rPr>
              <w:t>尾矿充填项目建设情况</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根据调查，该项目已于2019年7月编制完成《</w:t>
            </w:r>
            <w:r>
              <w:rPr>
                <w:rFonts w:ascii="Times New Roman" w:hAnsi="Times New Roman" w:cs="Times New Roman"/>
                <w:color w:val="000000" w:themeColor="text1"/>
                <w:sz w:val="24"/>
              </w:rPr>
              <w:t>昆明</w:t>
            </w:r>
            <w:r>
              <w:rPr>
                <w:rFonts w:hint="eastAsia" w:ascii="Times New Roman" w:hAnsi="Times New Roman" w:cs="Times New Roman"/>
                <w:color w:val="000000" w:themeColor="text1"/>
                <w:sz w:val="24"/>
              </w:rPr>
              <w:t>市</w:t>
            </w:r>
            <w:r>
              <w:rPr>
                <w:rFonts w:ascii="Times New Roman" w:hAnsi="Times New Roman" w:cs="Times New Roman"/>
                <w:color w:val="000000" w:themeColor="text1"/>
                <w:sz w:val="24"/>
              </w:rPr>
              <w:t>东川金水矿业有限责任公司</w:t>
            </w:r>
            <w:r>
              <w:rPr>
                <w:rFonts w:hint="eastAsia" w:ascii="Times New Roman" w:hAnsi="Times New Roman" w:cs="Times New Roman"/>
                <w:color w:val="000000" w:themeColor="text1"/>
                <w:sz w:val="24"/>
              </w:rPr>
              <w:t>牛厂坪</w:t>
            </w:r>
            <w:r>
              <w:rPr>
                <w:rFonts w:ascii="Times New Roman" w:hAnsi="Times New Roman" w:cs="Times New Roman"/>
                <w:color w:val="000000" w:themeColor="text1"/>
                <w:sz w:val="24"/>
              </w:rPr>
              <w:t>尾矿充填环境综合治理项目</w:t>
            </w:r>
            <w:r>
              <w:rPr>
                <w:rFonts w:hint="eastAsia" w:ascii="Times New Roman" w:hAnsi="Times New Roman" w:cs="Times New Roman"/>
                <w:color w:val="000000" w:themeColor="text1"/>
                <w:sz w:val="24"/>
              </w:rPr>
              <w:t>环境影响报告书》，并于201</w:t>
            </w:r>
            <w:r>
              <w:rPr>
                <w:rFonts w:ascii="Times New Roman" w:hAnsi="Times New Roman" w:cs="Times New Roman"/>
                <w:color w:val="000000" w:themeColor="text1"/>
                <w:sz w:val="24"/>
              </w:rPr>
              <w:t>9</w:t>
            </w:r>
            <w:r>
              <w:rPr>
                <w:rFonts w:hint="eastAsia" w:ascii="Times New Roman" w:hAnsi="Times New Roman" w:cs="Times New Roman"/>
                <w:color w:val="000000" w:themeColor="text1"/>
                <w:sz w:val="24"/>
              </w:rPr>
              <w:t>年</w:t>
            </w:r>
            <w:r>
              <w:rPr>
                <w:rFonts w:ascii="Times New Roman" w:hAnsi="Times New Roman" w:cs="Times New Roman"/>
                <w:color w:val="000000" w:themeColor="text1"/>
                <w:sz w:val="24"/>
              </w:rPr>
              <w:t>8</w:t>
            </w:r>
            <w:r>
              <w:rPr>
                <w:rFonts w:hint="eastAsia" w:ascii="Times New Roman" w:hAnsi="Times New Roman" w:cs="Times New Roman"/>
                <w:color w:val="000000" w:themeColor="text1"/>
                <w:sz w:val="24"/>
              </w:rPr>
              <w:t>月</w:t>
            </w:r>
            <w:r>
              <w:rPr>
                <w:rFonts w:ascii="Times New Roman" w:hAnsi="Times New Roman" w:cs="Times New Roman"/>
                <w:color w:val="000000" w:themeColor="text1"/>
                <w:sz w:val="24"/>
              </w:rPr>
              <w:t>3</w:t>
            </w:r>
            <w:r>
              <w:rPr>
                <w:rFonts w:hint="eastAsia" w:ascii="Times New Roman" w:hAnsi="Times New Roman" w:cs="Times New Roman"/>
                <w:color w:val="000000" w:themeColor="text1"/>
                <w:sz w:val="24"/>
              </w:rPr>
              <w:t>日取得昆明市生态环境局东川分局下发的《关于对牛厂坪尾矿充填环境综合治理项目环境影响报告书</w:t>
            </w:r>
            <w:r>
              <w:rPr>
                <w:rFonts w:ascii="Times New Roman" w:hAnsi="Times New Roman" w:cs="Times New Roman"/>
                <w:color w:val="000000" w:themeColor="text1"/>
                <w:sz w:val="24"/>
              </w:rPr>
              <w:t>的</w:t>
            </w:r>
            <w:r>
              <w:rPr>
                <w:rFonts w:hint="eastAsia" w:ascii="Times New Roman" w:hAnsi="Times New Roman" w:cs="Times New Roman"/>
                <w:color w:val="000000" w:themeColor="text1"/>
                <w:sz w:val="24"/>
              </w:rPr>
              <w:t>批复》（昆生环（东）复【201</w:t>
            </w:r>
            <w:r>
              <w:rPr>
                <w:rFonts w:ascii="Times New Roman" w:hAnsi="Times New Roman" w:cs="Times New Roman"/>
                <w:color w:val="000000" w:themeColor="text1"/>
                <w:sz w:val="24"/>
              </w:rPr>
              <w:t>9</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8</w:t>
            </w:r>
            <w:r>
              <w:rPr>
                <w:rFonts w:hint="eastAsia" w:ascii="Times New Roman" w:hAnsi="Times New Roman" w:cs="Times New Roman"/>
                <w:color w:val="000000" w:themeColor="text1"/>
                <w:sz w:val="24"/>
              </w:rPr>
              <w:t>号），该项目拟分两期建设其中一期工程于2019年8月开工建设，2020年11月17日建设完成；2020年10月建设单位组织编制完成《昆明市东川金水矿业有限责任公司牛厂坪尾矿充填环境综合治理项目突发环境事件应急预案》，已报昆明市生态环境局东川分局备案（备案证编号：530113-2020-030-L），该项目于</w:t>
            </w:r>
            <w:r>
              <w:rPr>
                <w:rFonts w:ascii="Times New Roman" w:hAnsi="Times New Roman" w:cs="Times New Roman"/>
                <w:color w:val="000000" w:themeColor="text1"/>
                <w:sz w:val="24"/>
              </w:rPr>
              <w:t>2021年</w:t>
            </w:r>
            <w:r>
              <w:rPr>
                <w:rFonts w:hint="eastAsia" w:ascii="Times New Roman" w:hAnsi="Times New Roman" w:cs="Times New Roman"/>
                <w:color w:val="000000" w:themeColor="text1"/>
                <w:sz w:val="24"/>
              </w:rPr>
              <w:t>3</w:t>
            </w:r>
            <w:r>
              <w:rPr>
                <w:rFonts w:ascii="Times New Roman" w:hAnsi="Times New Roman" w:cs="Times New Roman"/>
                <w:color w:val="000000" w:themeColor="text1"/>
                <w:sz w:val="24"/>
              </w:rPr>
              <w:t>月</w:t>
            </w:r>
            <w:r>
              <w:rPr>
                <w:rFonts w:hint="eastAsia" w:ascii="Times New Roman" w:hAnsi="Times New Roman" w:cs="Times New Roman"/>
                <w:color w:val="000000" w:themeColor="text1"/>
                <w:sz w:val="24"/>
              </w:rPr>
              <w:t>14</w:t>
            </w:r>
            <w:r>
              <w:rPr>
                <w:rFonts w:ascii="Times New Roman" w:hAnsi="Times New Roman" w:cs="Times New Roman"/>
                <w:color w:val="000000" w:themeColor="text1"/>
                <w:sz w:val="24"/>
              </w:rPr>
              <w:t>日</w:t>
            </w:r>
            <w:r>
              <w:rPr>
                <w:rFonts w:hint="eastAsia" w:ascii="Times New Roman" w:hAnsi="Times New Roman" w:cs="Times New Roman"/>
                <w:color w:val="000000" w:themeColor="text1"/>
                <w:sz w:val="24"/>
              </w:rPr>
              <w:t>通过建设单位组织的竣工环境保护验收。该项目主要将建设单位三分厂产生的尾矿通过浓密后管道输送至人占石铜矿和鹦鸽嘴铁矿</w:t>
            </w:r>
            <w:r>
              <w:rPr>
                <w:rFonts w:ascii="Times New Roman" w:hAnsi="Times New Roman" w:cs="Times New Roman"/>
                <w:color w:val="000000" w:themeColor="text1"/>
                <w:sz w:val="24"/>
              </w:rPr>
              <w:t>采空区进行充填</w:t>
            </w:r>
            <w:r>
              <w:rPr>
                <w:rFonts w:hint="eastAsia" w:ascii="Times New Roman" w:hAnsi="Times New Roman" w:cs="Times New Roman"/>
                <w:color w:val="000000" w:themeColor="text1"/>
                <w:sz w:val="24"/>
              </w:rPr>
              <w:t>。其中浓密机及其配套设施位于三分厂厂区内，充填设施位于充填矿区内。</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综上，项目依托工程已建成，项目具备依托条件。</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尾矿充填项目与本项目的位置关系</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w:t>
            </w:r>
            <w:r>
              <w:rPr>
                <w:rFonts w:ascii="Times New Roman" w:hAnsi="Times New Roman" w:cs="Times New Roman"/>
                <w:color w:val="000000" w:themeColor="text1"/>
                <w:sz w:val="24"/>
              </w:rPr>
              <w:t>昆明市东川金水矿业有限责任公司牛厂坪尾矿充填环境综合治理项目</w:t>
            </w:r>
            <w:r>
              <w:rPr>
                <w:rFonts w:hint="eastAsia" w:ascii="Times New Roman" w:hAnsi="Times New Roman" w:cs="Times New Roman"/>
                <w:color w:val="000000" w:themeColor="text1"/>
                <w:sz w:val="24"/>
              </w:rPr>
              <w:t>主要将建设单位三分厂产生的尾矿通过浓密后管道输送至人占石铜矿和鹦鸽嘴铁矿</w:t>
            </w:r>
            <w:r>
              <w:rPr>
                <w:rFonts w:ascii="Times New Roman" w:hAnsi="Times New Roman" w:cs="Times New Roman"/>
                <w:color w:val="000000" w:themeColor="text1"/>
                <w:sz w:val="24"/>
              </w:rPr>
              <w:t>采空区进行充填</w:t>
            </w:r>
            <w:r>
              <w:rPr>
                <w:rFonts w:hint="eastAsia" w:ascii="Times New Roman" w:hAnsi="Times New Roman" w:cs="Times New Roman"/>
                <w:color w:val="000000" w:themeColor="text1"/>
                <w:sz w:val="24"/>
              </w:rPr>
              <w:t>；该项目主要由尾矿浓密系统、尾矿输送系统和尾矿充填系统三部分组成，其中浓密系统位于建设单位三分厂内，三分厂位于项目区旁（北侧区域），浓密系统位于本项目区北偏西侧396m处，浓密系统的标高为</w:t>
            </w:r>
            <w:r>
              <w:rPr>
                <w:rFonts w:ascii="Times New Roman" w:hAnsi="Times New Roman" w:cs="Times New Roman"/>
                <w:color w:val="000000" w:themeColor="text1"/>
                <w:sz w:val="24"/>
              </w:rPr>
              <w:t>967</w:t>
            </w:r>
            <w:r>
              <w:rPr>
                <w:rFonts w:hint="eastAsia" w:ascii="Times New Roman" w:hAnsi="Times New Roman" w:cs="Times New Roman"/>
                <w:color w:val="000000" w:themeColor="text1"/>
                <w:sz w:val="24"/>
              </w:rPr>
              <w:t>m、本项目三级沉淀池的标高为</w:t>
            </w:r>
            <w:r>
              <w:rPr>
                <w:rFonts w:ascii="Times New Roman" w:hAnsi="Times New Roman" w:cs="Times New Roman"/>
                <w:color w:val="000000" w:themeColor="text1"/>
                <w:sz w:val="24"/>
              </w:rPr>
              <w:t>997</w:t>
            </w:r>
            <w:r>
              <w:rPr>
                <w:rFonts w:hint="eastAsia" w:ascii="Times New Roman" w:hAnsi="Times New Roman" w:cs="Times New Roman"/>
                <w:color w:val="000000" w:themeColor="text1"/>
                <w:sz w:val="24"/>
              </w:rPr>
              <w:t>m，本项目产生的含水污泥可通过管道自流至</w:t>
            </w:r>
            <w:r>
              <w:rPr>
                <w:rFonts w:ascii="Times New Roman" w:hAnsi="Times New Roman" w:cs="Times New Roman"/>
                <w:color w:val="000000" w:themeColor="text1"/>
                <w:sz w:val="24"/>
              </w:rPr>
              <w:t>昆明市东川金水矿业有限责任公司牛厂坪尾矿充填环境综合治理项目</w:t>
            </w:r>
            <w:r>
              <w:rPr>
                <w:rFonts w:hint="eastAsia" w:ascii="Times New Roman" w:hAnsi="Times New Roman" w:cs="Times New Roman"/>
                <w:color w:val="000000" w:themeColor="text1"/>
                <w:sz w:val="24"/>
              </w:rPr>
              <w:t>浓密系统内进行浓密后进行充填。</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3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尾矿充填项目处理规模合理性分析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建设单位三分厂目前的尾矿砂的产生总量为1446t/d，充填项目为满足三分厂的尾矿砂可完全充填，分两期建设，其中尾矿充填项目一期工程充填设施按尾矿渣量富余10%进行设计和建设，即充填设施尾矿渣充填量可达到1590.6t/d；其富余能力为144.6t/d，而本项目含水污泥的浓度约为60%，其含水量约为42m³/d，则含水污泥的量约为105t/d，则充填项目处理规模可满足本次建设项目的依托需要。</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3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尾矿充填项目对含水污泥处理合理性分析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尾矿充填项目分两期进行建设其中尾矿充填项目一期服务年限为27.73年，二期服务年限为8.17年，其服务年限较久，可完全满足项目依托要求；又根据尾矿充填项目浓缩后的尾矿浓度为68%-72%，而本项目产生的含水污泥浓度为60%，则项目含水污泥带入浓密系统的水量为42m³/d，浓密后约27m³/d进入尾矿充填系统，浓密产生的水量约为15m³/d，全部回用于建设单位三分厂生产，根据业主提供的资料，目前建设单位三分厂雨天用水量为3197.9m³/d（包括回用水量3157m³/d、新鲜水量31.3m³/d）、非雨天用水量为3188.3m³/d（包括回用水量3157m³/d、新鲜水量40.9m³/d），本项目建成后，建设单位三分厂新增15m³/d回用水量，则建设单位三分厂雨天用水量为3197.9m³/d（包括回用水量3172m³/d、新鲜水量16.3m³/d）、非雨天用水量为3188.3m³/d（包括回用水量3172m³/d、新鲜水量25.9m³/d），因此本项目含水污泥进入尾矿充填项目浓密系统后，不会导致建设单位三分厂废水无法回用</w:t>
            </w:r>
            <w:r>
              <w:rPr>
                <w:rFonts w:hint="eastAsia" w:ascii="Times New Roman" w:hAnsi="Times New Roman" w:cs="Times New Roman"/>
                <w:color w:val="000000" w:themeColor="text1"/>
                <w:sz w:val="24"/>
              </w:rPr>
              <w:t>等</w:t>
            </w:r>
            <w:r>
              <w:rPr>
                <w:rFonts w:ascii="Times New Roman" w:hAnsi="Times New Roman" w:cs="Times New Roman"/>
                <w:color w:val="000000" w:themeColor="text1"/>
                <w:sz w:val="24"/>
              </w:rPr>
              <w:t>情况产生，因此基本不会对建设单位三分厂水平衡造成冲击影响；再又</w:t>
            </w:r>
            <w:r>
              <w:rPr>
                <w:rFonts w:hint="eastAsia" w:ascii="Times New Roman" w:hAnsi="Times New Roman" w:cs="Times New Roman"/>
                <w:color w:val="000000" w:themeColor="text1"/>
                <w:sz w:val="24"/>
              </w:rPr>
              <w:t>本项目、三分厂和尾矿充填项目均属于统一责任主体，三分厂紧邻本项目，且其标高低于本项目区，因此项目产生的含水污泥可通过管道自流进入三分厂内的浓密机进行处置。项目产生的含水污泥其主要成分为矿石开采过程产生的泥土，在砂石骨料生产线清洗过程富集而成，其属性属于第I类一般工业固体废物，因此其属性依托其充填可行；项目含水污泥产生量较尾矿充填量比例较小，因此，项目依托其处理，不会对其工艺规模造成影响。</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综上，项目含水污泥依托</w:t>
            </w:r>
            <w:r>
              <w:rPr>
                <w:rFonts w:ascii="Times New Roman" w:hAnsi="Times New Roman" w:cs="Times New Roman"/>
                <w:color w:val="000000" w:themeColor="text1"/>
                <w:sz w:val="24"/>
              </w:rPr>
              <w:t>昆明市东川金水矿业有限责任公司牛厂坪尾矿充填环境综合治理项目进行井下充填处理</w:t>
            </w:r>
            <w:r>
              <w:rPr>
                <w:rFonts w:hint="eastAsia" w:ascii="Times New Roman" w:hAnsi="Times New Roman" w:cs="Times New Roman"/>
                <w:color w:val="000000" w:themeColor="text1"/>
                <w:sz w:val="24"/>
              </w:rPr>
              <w:t>，技术措施可行。</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rPr>
              <w:t>②一期工程</w:t>
            </w:r>
            <w:r>
              <w:rPr>
                <w:rFonts w:ascii="Times New Roman" w:hAnsi="Times New Roman" w:cs="Times New Roman"/>
                <w:b/>
                <w:color w:val="000000" w:themeColor="text1"/>
                <w:sz w:val="24"/>
                <w:szCs w:val="24"/>
              </w:rPr>
              <w:t>初期雨水污染治理措施可行性分析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根据工程分析可知，该项目</w:t>
            </w:r>
            <w:r>
              <w:rPr>
                <w:rFonts w:hint="eastAsia" w:eastAsiaTheme="minorEastAsia"/>
                <w:color w:val="000000" w:themeColor="text1"/>
                <w:szCs w:val="24"/>
              </w:rPr>
              <w:t>一期工程区域</w:t>
            </w:r>
            <w:r>
              <w:rPr>
                <w:rFonts w:eastAsiaTheme="minorEastAsia"/>
                <w:color w:val="000000" w:themeColor="text1"/>
                <w:szCs w:val="24"/>
              </w:rPr>
              <w:t>的初期雨水产生量约为</w:t>
            </w:r>
            <w:r>
              <w:rPr>
                <w:rFonts w:hint="eastAsia" w:eastAsiaTheme="minorEastAsia"/>
                <w:color w:val="000000" w:themeColor="text1"/>
                <w:szCs w:val="24"/>
              </w:rPr>
              <w:t>6.71</w:t>
            </w:r>
            <w:r>
              <w:rPr>
                <w:rFonts w:eastAsiaTheme="minorEastAsia"/>
                <w:color w:val="000000" w:themeColor="text1"/>
                <w:szCs w:val="24"/>
              </w:rPr>
              <w:t>m³/次，该项目</w:t>
            </w:r>
            <w:r>
              <w:rPr>
                <w:rFonts w:hint="eastAsia" w:eastAsiaTheme="minorEastAsia"/>
                <w:color w:val="000000" w:themeColor="text1"/>
                <w:szCs w:val="24"/>
              </w:rPr>
              <w:t>一期工程</w:t>
            </w:r>
            <w:r>
              <w:rPr>
                <w:rFonts w:eastAsiaTheme="minorEastAsia"/>
                <w:color w:val="000000" w:themeColor="text1"/>
                <w:szCs w:val="24"/>
              </w:rPr>
              <w:t>拟配套设置1个有效容积为</w:t>
            </w:r>
            <w:r>
              <w:rPr>
                <w:rFonts w:hint="eastAsia" w:eastAsiaTheme="minorEastAsia"/>
                <w:color w:val="000000" w:themeColor="text1"/>
                <w:szCs w:val="24"/>
              </w:rPr>
              <w:t>9</w:t>
            </w:r>
            <w:r>
              <w:rPr>
                <w:rFonts w:eastAsiaTheme="minorEastAsia"/>
                <w:color w:val="000000" w:themeColor="text1"/>
                <w:szCs w:val="24"/>
              </w:rPr>
              <w:t>m³的初期雨水收集池，</w:t>
            </w:r>
            <w:r>
              <w:rPr>
                <w:rFonts w:hint="eastAsia" w:eastAsiaTheme="minorEastAsia"/>
                <w:color w:val="000000" w:themeColor="text1"/>
                <w:szCs w:val="24"/>
              </w:rPr>
              <w:t>一期工程</w:t>
            </w:r>
            <w:r>
              <w:rPr>
                <w:rFonts w:eastAsiaTheme="minorEastAsia"/>
                <w:color w:val="000000" w:themeColor="text1"/>
                <w:szCs w:val="24"/>
              </w:rPr>
              <w:t>初期雨水收集池的容积可满足收集要求，同时在</w:t>
            </w:r>
            <w:r>
              <w:rPr>
                <w:rFonts w:hint="eastAsia" w:eastAsiaTheme="minorEastAsia"/>
                <w:color w:val="000000" w:themeColor="text1"/>
                <w:szCs w:val="24"/>
              </w:rPr>
              <w:t>一期工程</w:t>
            </w:r>
            <w:r>
              <w:rPr>
                <w:rFonts w:eastAsiaTheme="minorEastAsia"/>
                <w:color w:val="000000" w:themeColor="text1"/>
                <w:szCs w:val="24"/>
              </w:rPr>
              <w:t>初期雨水收集池前端设置阀门，初期雨水收集后，关闭阀门，将中、后期雨水通过雨水管网外排；该措施合理可行。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㈡</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二期工程</w:t>
            </w:r>
            <w:r>
              <w:rPr>
                <w:rFonts w:ascii="Times New Roman" w:hAnsi="Times New Roman" w:cs="Times New Roman"/>
                <w:b/>
                <w:color w:val="000000" w:themeColor="text1"/>
                <w:sz w:val="24"/>
                <w:szCs w:val="24"/>
              </w:rPr>
              <w:t>废水污染治理设施可行性分析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①水泥砖养护废水</w:t>
            </w:r>
            <w:r>
              <w:rPr>
                <w:rFonts w:ascii="Times New Roman" w:hAnsi="Times New Roman" w:cs="Times New Roman"/>
                <w:b/>
                <w:color w:val="000000" w:themeColor="text1"/>
                <w:sz w:val="24"/>
                <w:szCs w:val="24"/>
              </w:rPr>
              <w:t>环境影响减缓措施有效性分析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项目水泥砖养护废水</w:t>
            </w:r>
            <w:r>
              <w:rPr>
                <w:rFonts w:hint="eastAsia" w:ascii="Times New Roman" w:hAnsi="Times New Roman" w:cs="Times New Roman"/>
                <w:color w:val="000000" w:themeColor="text1"/>
                <w:sz w:val="24"/>
              </w:rPr>
              <w:t>产生量为2.3</w:t>
            </w:r>
            <w:r>
              <w:rPr>
                <w:rFonts w:ascii="Times New Roman" w:hAnsi="Times New Roman" w:cs="Times New Roman"/>
                <w:color w:val="000000" w:themeColor="text1"/>
                <w:sz w:val="24"/>
              </w:rPr>
              <w:t>m³/d，</w:t>
            </w:r>
            <w:r>
              <w:rPr>
                <w:rFonts w:hint="eastAsia" w:ascii="Times New Roman" w:hAnsi="Times New Roman" w:cs="Times New Roman"/>
                <w:color w:val="000000" w:themeColor="text1"/>
                <w:sz w:val="24"/>
              </w:rPr>
              <w:t>项目拟设置1个有效容积为6</w:t>
            </w:r>
            <w:r>
              <w:rPr>
                <w:rFonts w:ascii="Times New Roman" w:hAnsi="Times New Roman" w:cs="Times New Roman"/>
                <w:color w:val="000000" w:themeColor="text1"/>
                <w:sz w:val="24"/>
              </w:rPr>
              <w:t>m³</w:t>
            </w:r>
            <w:r>
              <w:rPr>
                <w:rFonts w:hint="eastAsia" w:ascii="Times New Roman" w:hAnsi="Times New Roman" w:cs="Times New Roman"/>
                <w:color w:val="000000" w:themeColor="text1"/>
                <w:sz w:val="24"/>
              </w:rPr>
              <w:t>的养护废水收集池对其进行收集后，返回养护工序使用，由于养护废水的污染因子简单，主要为SS，污染源强较小，项目设置的养护废水收集池容积可达到收集处置要求，可做的废水不外排，因此，</w:t>
            </w:r>
            <w:r>
              <w:rPr>
                <w:rFonts w:ascii="Times New Roman" w:hAnsi="Times New Roman" w:cs="Times New Roman"/>
                <w:color w:val="000000" w:themeColor="text1"/>
                <w:sz w:val="24"/>
              </w:rPr>
              <w:t>因此</w:t>
            </w:r>
            <w:r>
              <w:rPr>
                <w:rFonts w:hint="eastAsia" w:ascii="Times New Roman" w:hAnsi="Times New Roman" w:cs="Times New Roman"/>
                <w:color w:val="000000" w:themeColor="text1"/>
                <w:sz w:val="24"/>
              </w:rPr>
              <w:t>养护废水收集池</w:t>
            </w:r>
            <w:r>
              <w:rPr>
                <w:rFonts w:ascii="Times New Roman" w:hAnsi="Times New Roman" w:cs="Times New Roman"/>
                <w:color w:val="000000" w:themeColor="text1"/>
                <w:sz w:val="24"/>
              </w:rPr>
              <w:t>设置合理。</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rPr>
              <w:t>②二期工程</w:t>
            </w:r>
            <w:r>
              <w:rPr>
                <w:rFonts w:ascii="Times New Roman" w:hAnsi="Times New Roman" w:cs="Times New Roman"/>
                <w:b/>
                <w:color w:val="000000" w:themeColor="text1"/>
                <w:sz w:val="24"/>
                <w:szCs w:val="24"/>
              </w:rPr>
              <w:t>初期雨水污染治理措施可行性分析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根据工程分析可知，该项目</w:t>
            </w:r>
            <w:r>
              <w:rPr>
                <w:rFonts w:hint="eastAsia" w:eastAsiaTheme="minorEastAsia"/>
                <w:color w:val="000000" w:themeColor="text1"/>
                <w:szCs w:val="24"/>
              </w:rPr>
              <w:t>二期工程区域</w:t>
            </w:r>
            <w:r>
              <w:rPr>
                <w:rFonts w:eastAsiaTheme="minorEastAsia"/>
                <w:color w:val="000000" w:themeColor="text1"/>
                <w:szCs w:val="24"/>
              </w:rPr>
              <w:t>的初期雨水产生量约为</w:t>
            </w:r>
            <w:r>
              <w:rPr>
                <w:rFonts w:hint="eastAsia" w:eastAsiaTheme="minorEastAsia"/>
                <w:color w:val="000000" w:themeColor="text1"/>
                <w:szCs w:val="24"/>
              </w:rPr>
              <w:t>2.87</w:t>
            </w:r>
            <w:r>
              <w:rPr>
                <w:rFonts w:eastAsiaTheme="minorEastAsia"/>
                <w:color w:val="000000" w:themeColor="text1"/>
                <w:szCs w:val="24"/>
              </w:rPr>
              <w:t>m³/次，该项目</w:t>
            </w:r>
            <w:r>
              <w:rPr>
                <w:rFonts w:hint="eastAsia" w:eastAsiaTheme="minorEastAsia"/>
                <w:color w:val="000000" w:themeColor="text1"/>
                <w:szCs w:val="24"/>
              </w:rPr>
              <w:t>二期工程</w:t>
            </w:r>
            <w:r>
              <w:rPr>
                <w:rFonts w:eastAsiaTheme="minorEastAsia"/>
                <w:color w:val="000000" w:themeColor="text1"/>
                <w:szCs w:val="24"/>
              </w:rPr>
              <w:t>拟配套设置1个有效容积为</w:t>
            </w:r>
            <w:r>
              <w:rPr>
                <w:rFonts w:hint="eastAsia" w:eastAsiaTheme="minorEastAsia"/>
                <w:color w:val="000000" w:themeColor="text1"/>
                <w:szCs w:val="24"/>
              </w:rPr>
              <w:t>5</w:t>
            </w:r>
            <w:r>
              <w:rPr>
                <w:rFonts w:eastAsiaTheme="minorEastAsia"/>
                <w:color w:val="000000" w:themeColor="text1"/>
                <w:szCs w:val="24"/>
              </w:rPr>
              <w:t>m³的初期雨水收集池，</w:t>
            </w:r>
            <w:r>
              <w:rPr>
                <w:rFonts w:hint="eastAsia" w:eastAsiaTheme="minorEastAsia"/>
                <w:color w:val="000000" w:themeColor="text1"/>
                <w:szCs w:val="24"/>
              </w:rPr>
              <w:t>二期工程</w:t>
            </w:r>
            <w:r>
              <w:rPr>
                <w:rFonts w:eastAsiaTheme="minorEastAsia"/>
                <w:color w:val="000000" w:themeColor="text1"/>
                <w:szCs w:val="24"/>
              </w:rPr>
              <w:t>初期雨水收集池的容积可满足收集要求，同时在</w:t>
            </w:r>
            <w:r>
              <w:rPr>
                <w:rFonts w:hint="eastAsia" w:eastAsiaTheme="minorEastAsia"/>
                <w:color w:val="000000" w:themeColor="text1"/>
                <w:szCs w:val="24"/>
              </w:rPr>
              <w:t>二期工程</w:t>
            </w:r>
            <w:r>
              <w:rPr>
                <w:rFonts w:eastAsiaTheme="minorEastAsia"/>
                <w:color w:val="000000" w:themeColor="text1"/>
                <w:szCs w:val="24"/>
              </w:rPr>
              <w:t>初期雨水收集池前端设置阀门，初期雨水收集后，关闭阀门，将中、后期雨水通过雨水管网外排；该措施合理可行。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3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㈢</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生活污水</w:t>
            </w:r>
            <w:r>
              <w:rPr>
                <w:rFonts w:ascii="Times New Roman" w:hAnsi="Times New Roman" w:cs="Times New Roman"/>
                <w:b/>
                <w:color w:val="000000" w:themeColor="text1"/>
                <w:sz w:val="24"/>
                <w:szCs w:val="24"/>
              </w:rPr>
              <w:t>环境影响减缓措施有效性分析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项目生活污水处置措施包括化粪池、一体化污水处理设施和清水池。具体如下。</w:t>
            </w:r>
          </w:p>
          <w:p>
            <w:pPr>
              <w:spacing w:line="360" w:lineRule="auto"/>
              <w:ind w:firstLine="482" w:firstLineChars="200"/>
              <w:rPr>
                <w:rFonts w:ascii="Times New Roman" w:hAnsi="Times New Roman" w:cs="Times New Roman"/>
                <w:color w:val="000000" w:themeColor="text1"/>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rPr>
              <w:t>化粪池</w:t>
            </w:r>
            <w:r>
              <w:rPr>
                <w:rFonts w:ascii="Times New Roman" w:hAnsi="Times New Roman" w:cs="Times New Roman"/>
                <w:b/>
                <w:color w:val="000000" w:themeColor="text1"/>
                <w:sz w:val="24"/>
                <w:szCs w:val="24"/>
              </w:rPr>
              <w:t>环境影响减缓措施有效性分析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根据工程分析可知，项目生活污水产生量约为</w:t>
            </w:r>
            <w:r>
              <w:rPr>
                <w:rFonts w:hint="eastAsia" w:eastAsiaTheme="minorEastAsia"/>
                <w:color w:val="000000" w:themeColor="text1"/>
                <w:szCs w:val="24"/>
              </w:rPr>
              <w:t>0.96</w:t>
            </w:r>
            <w:r>
              <w:rPr>
                <w:rFonts w:eastAsiaTheme="minorEastAsia"/>
                <w:color w:val="000000" w:themeColor="text1"/>
                <w:szCs w:val="24"/>
              </w:rPr>
              <w:t>m³/d，变化系数按照1.2计，则最大生活污水量约为1.</w:t>
            </w:r>
            <w:r>
              <w:rPr>
                <w:rFonts w:hint="eastAsia" w:eastAsiaTheme="minorEastAsia"/>
                <w:color w:val="000000" w:themeColor="text1"/>
                <w:szCs w:val="24"/>
              </w:rPr>
              <w:t>15</w:t>
            </w:r>
            <w:r>
              <w:rPr>
                <w:rFonts w:eastAsiaTheme="minorEastAsia"/>
                <w:color w:val="000000" w:themeColor="text1"/>
                <w:szCs w:val="24"/>
              </w:rPr>
              <w:t>m³/d，根据《建筑给排水设计规范》（（GB50015-2019），化粪池总容积应满足废水停留时间12-24h的要求，并做好防渗处理，化粪池宜建在便于机动车清掏的位置；项目拟在生活区旁建设1个有效容积为3m³的化粪池对生活污水进行预处理，可满足24h停留时间要求，又该化粪池位于项目生活区旁，清掏车辆可进入进行清掏，且化粪池将严格按照规范要求进行防渗处置，因此化粪池设置合理。</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一体化污水处理设施有效性分析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一体化污水处理设施规模设置合理性分析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根据工程分析可知，该项目生活污水产生量为</w:t>
            </w:r>
            <w:r>
              <w:rPr>
                <w:rFonts w:hint="eastAsia" w:eastAsiaTheme="minorEastAsia"/>
                <w:color w:val="000000" w:themeColor="text1"/>
                <w:szCs w:val="24"/>
              </w:rPr>
              <w:t>0.96</w:t>
            </w:r>
            <w:r>
              <w:rPr>
                <w:rFonts w:eastAsiaTheme="minorEastAsia"/>
                <w:color w:val="000000" w:themeColor="text1"/>
                <w:szCs w:val="24"/>
              </w:rPr>
              <w:t>m³/d，变化系数按照1.2计，则最大废水量约为1.</w:t>
            </w:r>
            <w:r>
              <w:rPr>
                <w:rFonts w:hint="eastAsia" w:eastAsiaTheme="minorEastAsia"/>
                <w:color w:val="000000" w:themeColor="text1"/>
                <w:szCs w:val="24"/>
              </w:rPr>
              <w:t>15</w:t>
            </w:r>
            <w:r>
              <w:rPr>
                <w:rFonts w:eastAsiaTheme="minorEastAsia"/>
                <w:color w:val="000000" w:themeColor="text1"/>
                <w:szCs w:val="24"/>
              </w:rPr>
              <w:t>m³/d，而项目拟设置1套处理能力为3m³/d的一体化污水处理设施其规模可满足要求。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一体化污水处理设施工艺设置合理性分析</w:t>
            </w:r>
          </w:p>
          <w:p>
            <w:pPr>
              <w:pStyle w:val="40"/>
              <w:ind w:firstLine="480"/>
              <w:rPr>
                <w:rFonts w:eastAsiaTheme="minorEastAsia"/>
                <w:color w:val="000000" w:themeColor="text1"/>
                <w:szCs w:val="24"/>
              </w:rPr>
            </w:pPr>
            <w:r>
              <w:rPr>
                <w:rFonts w:eastAsiaTheme="minorEastAsia"/>
                <w:color w:val="000000" w:themeColor="text1"/>
                <w:szCs w:val="24"/>
              </w:rPr>
              <w:t>该项目设置的一体化污水处理设施购买成品进行安装，根据该一体化设施的设计资料，该设施拟采用生化处理工艺对生活污水进行处理，设计工艺如下图所示。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object>
                <v:shape id="_x0000_i1034" o:spt="75" type="#_x0000_t75" style="height:136.25pt;width:392.45pt;" o:ole="t" filled="f" o:preferrelative="t" stroked="f" coordsize="21600,21600">
                  <v:path/>
                  <v:fill on="f" focussize="0,0"/>
                  <v:stroke on="f" joinstyle="miter"/>
                  <v:imagedata r:id="rId24" o:title=""/>
                  <o:lock v:ext="edit" aspectratio="t"/>
                  <w10:wrap type="none"/>
                  <w10:anchorlock/>
                </v:shape>
                <o:OLEObject Type="Embed" ProgID="Visio.Drawing.11" ShapeID="_x0000_i1034" DrawAspect="Content" ObjectID="_1468075734" r:id="rId23">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图4.2.2-1 污水处理工艺流程图</w:t>
            </w:r>
          </w:p>
          <w:p>
            <w:pPr>
              <w:pStyle w:val="40"/>
              <w:ind w:firstLine="480"/>
              <w:rPr>
                <w:rFonts w:eastAsiaTheme="minorEastAsia"/>
                <w:color w:val="000000" w:themeColor="text1"/>
                <w:szCs w:val="24"/>
              </w:rPr>
            </w:pPr>
            <w:r>
              <w:rPr>
                <w:rFonts w:eastAsiaTheme="minorEastAsia"/>
                <w:color w:val="000000" w:themeColor="text1"/>
                <w:szCs w:val="24"/>
              </w:rPr>
              <w:t>污水处理工艺流程简述：</w:t>
            </w:r>
          </w:p>
          <w:p>
            <w:pPr>
              <w:pStyle w:val="40"/>
              <w:ind w:firstLine="480"/>
              <w:rPr>
                <w:rFonts w:eastAsiaTheme="minorEastAsia"/>
                <w:color w:val="000000" w:themeColor="text1"/>
                <w:szCs w:val="24"/>
              </w:rPr>
            </w:pPr>
            <w:r>
              <w:rPr>
                <w:rFonts w:hint="eastAsia" w:eastAsiaTheme="minorEastAsia"/>
                <w:color w:val="000000" w:themeColor="text1"/>
                <w:szCs w:val="24"/>
              </w:rPr>
              <w:t>A：</w:t>
            </w:r>
            <w:r>
              <w:rPr>
                <w:rFonts w:eastAsiaTheme="minorEastAsia"/>
                <w:color w:val="000000" w:themeColor="text1"/>
                <w:szCs w:val="24"/>
              </w:rPr>
              <w:t>调节池</w:t>
            </w:r>
          </w:p>
          <w:p>
            <w:pPr>
              <w:pStyle w:val="40"/>
              <w:ind w:firstLine="480"/>
              <w:rPr>
                <w:rFonts w:eastAsiaTheme="minorEastAsia"/>
                <w:color w:val="000000" w:themeColor="text1"/>
                <w:szCs w:val="24"/>
              </w:rPr>
            </w:pPr>
            <w:r>
              <w:rPr>
                <w:rFonts w:eastAsiaTheme="minorEastAsia"/>
                <w:color w:val="000000" w:themeColor="text1"/>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40"/>
              <w:ind w:firstLine="480"/>
              <w:rPr>
                <w:rFonts w:eastAsiaTheme="minorEastAsia"/>
                <w:color w:val="000000" w:themeColor="text1"/>
                <w:szCs w:val="24"/>
              </w:rPr>
            </w:pPr>
            <w:r>
              <w:rPr>
                <w:rFonts w:hint="eastAsia" w:eastAsiaTheme="minorEastAsia"/>
                <w:color w:val="000000" w:themeColor="text1"/>
                <w:szCs w:val="24"/>
              </w:rPr>
              <w:t>B：</w:t>
            </w:r>
            <w:r>
              <w:rPr>
                <w:rFonts w:eastAsiaTheme="minorEastAsia"/>
                <w:color w:val="000000" w:themeColor="text1"/>
                <w:szCs w:val="24"/>
              </w:rPr>
              <w:t>接触氧化池</w:t>
            </w:r>
          </w:p>
          <w:p>
            <w:pPr>
              <w:pStyle w:val="40"/>
              <w:ind w:firstLine="480"/>
              <w:rPr>
                <w:rFonts w:eastAsiaTheme="minorEastAsia"/>
                <w:color w:val="000000" w:themeColor="text1"/>
                <w:szCs w:val="24"/>
              </w:rPr>
            </w:pPr>
            <w:r>
              <w:rPr>
                <w:rFonts w:eastAsiaTheme="minorEastAsia"/>
                <w:color w:val="000000" w:themeColor="text1"/>
                <w:szCs w:val="24"/>
              </w:rPr>
              <w:t>好氧接触氧化池主要利用好氧菌去除CODcr、BOD</w:t>
            </w:r>
            <w:r>
              <w:rPr>
                <w:rFonts w:eastAsiaTheme="minorEastAsia"/>
                <w:color w:val="000000" w:themeColor="text1"/>
                <w:szCs w:val="24"/>
                <w:vertAlign w:val="subscript"/>
              </w:rPr>
              <w:t>5</w:t>
            </w:r>
            <w:r>
              <w:rPr>
                <w:rFonts w:eastAsiaTheme="minorEastAsia"/>
                <w:color w:val="000000" w:themeColor="text1"/>
                <w:szCs w:val="24"/>
              </w:rPr>
              <w:t>、SS、NH</w:t>
            </w:r>
            <w:r>
              <w:rPr>
                <w:rFonts w:eastAsiaTheme="minorEastAsia"/>
                <w:color w:val="000000" w:themeColor="text1"/>
                <w:szCs w:val="24"/>
                <w:vertAlign w:val="subscript"/>
              </w:rPr>
              <w:t>3</w:t>
            </w:r>
            <w:r>
              <w:rPr>
                <w:rFonts w:eastAsiaTheme="minorEastAsia"/>
                <w:color w:val="000000" w:themeColor="text1"/>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40"/>
              <w:ind w:firstLine="480"/>
              <w:rPr>
                <w:rFonts w:eastAsiaTheme="minorEastAsia"/>
                <w:color w:val="000000" w:themeColor="text1"/>
                <w:szCs w:val="24"/>
              </w:rPr>
            </w:pPr>
            <w:r>
              <w:rPr>
                <w:rFonts w:hint="eastAsia" w:eastAsiaTheme="minorEastAsia"/>
                <w:color w:val="000000" w:themeColor="text1"/>
                <w:szCs w:val="24"/>
              </w:rPr>
              <w:t>C：</w:t>
            </w:r>
            <w:r>
              <w:rPr>
                <w:rFonts w:eastAsiaTheme="minorEastAsia"/>
                <w:color w:val="000000" w:themeColor="text1"/>
                <w:szCs w:val="24"/>
              </w:rPr>
              <w:t>二沉池</w:t>
            </w:r>
          </w:p>
          <w:p>
            <w:pPr>
              <w:pStyle w:val="40"/>
              <w:ind w:firstLine="480"/>
              <w:rPr>
                <w:rFonts w:eastAsiaTheme="minorEastAsia"/>
                <w:color w:val="000000" w:themeColor="text1"/>
                <w:szCs w:val="24"/>
              </w:rPr>
            </w:pPr>
            <w:r>
              <w:rPr>
                <w:rFonts w:eastAsiaTheme="minorEastAsia"/>
                <w:color w:val="000000" w:themeColor="text1"/>
                <w:szCs w:val="24"/>
              </w:rPr>
              <w:t>接触氧化池出水进入二沉池，二沉池前设PAC（絮凝剂）投加系统，投加PAC（絮凝剂），去除SS和部分胶体颗粒，二沉池出水经过石英砂过滤后，进一步降低水中SS和胶体颗粒含量。</w:t>
            </w:r>
          </w:p>
          <w:p>
            <w:pPr>
              <w:pStyle w:val="40"/>
              <w:ind w:firstLine="480"/>
              <w:rPr>
                <w:rFonts w:eastAsiaTheme="minorEastAsia"/>
                <w:color w:val="000000" w:themeColor="text1"/>
                <w:szCs w:val="24"/>
              </w:rPr>
            </w:pPr>
            <w:r>
              <w:rPr>
                <w:rFonts w:hint="eastAsia" w:eastAsiaTheme="minorEastAsia"/>
                <w:color w:val="000000" w:themeColor="text1"/>
                <w:szCs w:val="24"/>
              </w:rPr>
              <w:t>D：</w:t>
            </w:r>
            <w:r>
              <w:rPr>
                <w:rFonts w:eastAsiaTheme="minorEastAsia"/>
                <w:color w:val="000000" w:themeColor="text1"/>
                <w:szCs w:val="24"/>
              </w:rPr>
              <w:t>过滤</w:t>
            </w:r>
          </w:p>
          <w:p>
            <w:pPr>
              <w:pStyle w:val="40"/>
              <w:ind w:firstLine="480"/>
              <w:rPr>
                <w:rFonts w:eastAsiaTheme="minorEastAsia"/>
                <w:color w:val="000000" w:themeColor="text1"/>
                <w:szCs w:val="24"/>
              </w:rPr>
            </w:pPr>
            <w:r>
              <w:rPr>
                <w:rFonts w:eastAsiaTheme="minorEastAsia"/>
                <w:color w:val="000000" w:themeColor="text1"/>
                <w:szCs w:val="24"/>
              </w:rPr>
              <w:t>二沉池出水仍含有一定的悬浮物杂质，因此本方案设置深度处理（过滤）处理单元。二沉池出水进入过滤池进行过滤，去除水中残存的有机物、胶体、细菌残留物、微生物等。根据设计，过滤采用活性砂过滤，长期使用产生的脏砂经反冲洗后，反复使用，无需更换。</w:t>
            </w:r>
          </w:p>
          <w:p>
            <w:pPr>
              <w:pStyle w:val="40"/>
              <w:ind w:firstLine="480"/>
              <w:rPr>
                <w:rFonts w:eastAsiaTheme="minorEastAsia"/>
                <w:color w:val="000000" w:themeColor="text1"/>
                <w:szCs w:val="24"/>
              </w:rPr>
            </w:pPr>
            <w:r>
              <w:rPr>
                <w:rFonts w:hint="eastAsia" w:eastAsiaTheme="minorEastAsia"/>
                <w:color w:val="000000" w:themeColor="text1"/>
                <w:szCs w:val="24"/>
              </w:rPr>
              <w:t>E：</w:t>
            </w:r>
            <w:r>
              <w:rPr>
                <w:rFonts w:eastAsiaTheme="minorEastAsia"/>
                <w:color w:val="000000" w:themeColor="text1"/>
                <w:szCs w:val="24"/>
              </w:rPr>
              <w:t>消毒</w:t>
            </w:r>
          </w:p>
          <w:p>
            <w:pPr>
              <w:pStyle w:val="40"/>
              <w:ind w:firstLine="480"/>
              <w:rPr>
                <w:rFonts w:eastAsiaTheme="minorEastAsia"/>
                <w:color w:val="000000" w:themeColor="text1"/>
                <w:szCs w:val="24"/>
              </w:rPr>
            </w:pPr>
            <w:r>
              <w:rPr>
                <w:rFonts w:eastAsiaTheme="minorEastAsia"/>
                <w:color w:val="000000" w:themeColor="text1"/>
                <w:szCs w:val="24"/>
              </w:rPr>
              <w:t>过滤后的污水经过消毒，即可满足排放要求，消毒采用自动投加方式，定量把次氯酸钠药液投加到消毒池中，可以较彻底的消除细菌、臭味、色度等可能对人群造成的危害。</w:t>
            </w:r>
          </w:p>
          <w:p>
            <w:pPr>
              <w:pStyle w:val="40"/>
              <w:ind w:firstLine="480"/>
              <w:rPr>
                <w:rFonts w:eastAsiaTheme="minorEastAsia"/>
                <w:color w:val="000000" w:themeColor="text1"/>
                <w:szCs w:val="24"/>
              </w:rPr>
            </w:pPr>
            <w:r>
              <w:rPr>
                <w:rFonts w:eastAsiaTheme="minorEastAsia"/>
                <w:color w:val="000000" w:themeColor="text1"/>
                <w:szCs w:val="24"/>
              </w:rPr>
              <w:t>根据工程分析可知，经调节池调节处理后的生活污水BOD/COD约为0.63≥0.3，满足可生化条件，因此项目拟采用废水生化处理工艺技术可行，由根据核算，项目生活污水经一体化污水处理设施处理后可达到《城市污水再生利用 城市杂用水水质》（GB/T18920 -2020）城市绿化标准，因此其技术可行。</w:t>
            </w:r>
          </w:p>
          <w:p>
            <w:pPr>
              <w:pStyle w:val="40"/>
              <w:ind w:firstLine="480"/>
              <w:rPr>
                <w:rFonts w:eastAsiaTheme="minorEastAsia"/>
                <w:color w:val="000000" w:themeColor="text1"/>
                <w:szCs w:val="24"/>
              </w:rPr>
            </w:pPr>
            <w:r>
              <w:rPr>
                <w:rFonts w:eastAsiaTheme="minorEastAsia"/>
                <w:color w:val="000000" w:themeColor="text1"/>
                <w:szCs w:val="24"/>
              </w:rPr>
              <w:t>综上，项目设置1套处理能力为3m³/d的一体化污水处理设施对项目区废水进行处理，处理后回用于项目区绿化，该措施可行。</w:t>
            </w:r>
          </w:p>
          <w:p>
            <w:pPr>
              <w:pStyle w:val="40"/>
              <w:ind w:firstLine="482"/>
              <w:rPr>
                <w:rFonts w:eastAsiaTheme="minorEastAsia"/>
                <w:b/>
                <w:color w:val="000000" w:themeColor="text1"/>
                <w:szCs w:val="24"/>
              </w:rPr>
            </w:pPr>
            <w:r>
              <w:rPr>
                <w:rFonts w:hint="eastAsia" w:ascii="宋体" w:hAnsi="宋体" w:cs="宋体"/>
                <w:b/>
                <w:color w:val="000000" w:themeColor="text1"/>
                <w:szCs w:val="24"/>
              </w:rPr>
              <w:t>④</w:t>
            </w:r>
            <w:r>
              <w:rPr>
                <w:rFonts w:eastAsiaTheme="minorEastAsia"/>
                <w:b/>
                <w:color w:val="000000" w:themeColor="text1"/>
                <w:szCs w:val="24"/>
              </w:rPr>
              <w:t>清水池环境影响减缓措施有效性分析</w:t>
            </w:r>
          </w:p>
          <w:p>
            <w:pPr>
              <w:pStyle w:val="40"/>
              <w:ind w:firstLine="480"/>
              <w:rPr>
                <w:rFonts w:eastAsiaTheme="minorEastAsia"/>
                <w:color w:val="000000" w:themeColor="text1"/>
                <w:szCs w:val="24"/>
              </w:rPr>
            </w:pPr>
            <w:r>
              <w:rPr>
                <w:rFonts w:eastAsiaTheme="minorEastAsia"/>
                <w:color w:val="000000" w:themeColor="text1"/>
                <w:szCs w:val="24"/>
              </w:rPr>
              <w:t>为了满足雨天等特殊情况，处理后生活污水的暂存要求，项目拟配套设置1个有效容积为10m³的清水池对处理后的生活污水进行暂存；项目生活污水最大产生量为</w:t>
            </w:r>
            <w:r>
              <w:rPr>
                <w:rFonts w:hint="eastAsia" w:eastAsiaTheme="minorEastAsia"/>
                <w:color w:val="000000" w:themeColor="text1"/>
                <w:szCs w:val="24"/>
              </w:rPr>
              <w:t>0.96</w:t>
            </w:r>
            <w:r>
              <w:rPr>
                <w:rFonts w:eastAsiaTheme="minorEastAsia"/>
                <w:color w:val="000000" w:themeColor="text1"/>
                <w:szCs w:val="24"/>
              </w:rPr>
              <w:t>m³/d，清水池可满足生活污水超过</w:t>
            </w:r>
            <w:r>
              <w:rPr>
                <w:rFonts w:hint="eastAsia" w:eastAsiaTheme="minorEastAsia"/>
                <w:color w:val="000000" w:themeColor="text1"/>
                <w:szCs w:val="24"/>
              </w:rPr>
              <w:t>10</w:t>
            </w:r>
            <w:r>
              <w:rPr>
                <w:rFonts w:eastAsiaTheme="minorEastAsia"/>
                <w:color w:val="000000" w:themeColor="text1"/>
                <w:szCs w:val="24"/>
              </w:rPr>
              <w:t>d的储存量，可满足雨天暂存后用于非雨天绿化的暂存要求，因此其设置可行。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项目砂石骨料属于C3039 其他建筑材料制造项目（简化管理）、水泥砖属于C3021 水泥制品制造（登记管理），根据《排污单位自行监测技术指南 总则》（HJ819-2017）和《排污许可证申请与核发技术规范 总则》（HJ942-2018）的要求，</w:t>
            </w:r>
            <w:r>
              <w:rPr>
                <w:rFonts w:hint="eastAsia" w:ascii="Times New Roman" w:hAnsi="Times New Roman" w:cs="Times New Roman"/>
                <w:color w:val="000000" w:themeColor="text1"/>
                <w:sz w:val="24"/>
                <w:szCs w:val="24"/>
              </w:rPr>
              <w:t>结合项目的实际情况，该项目废水自行监测主要针对一期工程；二期工程无废水自行监测要求。则</w:t>
            </w:r>
            <w:r>
              <w:rPr>
                <w:rFonts w:ascii="Times New Roman" w:hAnsi="Times New Roman" w:cs="Times New Roman"/>
                <w:color w:val="000000" w:themeColor="text1"/>
                <w:sz w:val="24"/>
                <w:szCs w:val="24"/>
              </w:rPr>
              <w:t>项目废水自行监测要求如下表所示。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表4.2.2-6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78"/>
              <w:gridCol w:w="2258"/>
              <w:gridCol w:w="198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27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22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19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20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w:t>
                  </w:r>
                </w:p>
              </w:tc>
              <w:tc>
                <w:tcPr>
                  <w:tcW w:w="127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一体化污水处理设施出口</w:t>
                  </w:r>
                </w:p>
              </w:tc>
              <w:tc>
                <w:tcPr>
                  <w:tcW w:w="2258" w:type="dxa"/>
                  <w:vAlign w:val="center"/>
                </w:tcPr>
                <w:p>
                  <w:pPr>
                    <w:pStyle w:val="32"/>
                    <w:spacing w:line="360" w:lineRule="exact"/>
                    <w:ind w:firstLine="210" w:firstLineChars="100"/>
                    <w:jc w:val="left"/>
                    <w:rPr>
                      <w:rFonts w:eastAsiaTheme="minorEastAsia"/>
                      <w:color w:val="000000" w:themeColor="text1"/>
                    </w:rPr>
                  </w:pPr>
                  <w:r>
                    <w:rPr>
                      <w:color w:val="000000" w:themeColor="text1"/>
                    </w:rPr>
                    <w:t>pH、CODcr、BOD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-N、SS、总磷、总氮、</w:t>
                  </w:r>
                  <w:r>
                    <w:rPr>
                      <w:bCs w:val="0"/>
                      <w:snapToGrid/>
                      <w:color w:val="000000" w:themeColor="text1"/>
                      <w:kern w:val="0"/>
                      <w:szCs w:val="21"/>
                      <w:lang w:val="en-US"/>
                    </w:rPr>
                    <w:t>阴离子表面活性剂、</w:t>
                  </w:r>
                  <w:r>
                    <w:rPr>
                      <w:color w:val="000000" w:themeColor="text1"/>
                    </w:rPr>
                    <w:t>粪大肠菌群数</w:t>
                  </w:r>
                </w:p>
              </w:tc>
              <w:tc>
                <w:tcPr>
                  <w:tcW w:w="1985" w:type="dxa"/>
                  <w:vAlign w:val="center"/>
                </w:tcPr>
                <w:p>
                  <w:pPr>
                    <w:pStyle w:val="32"/>
                    <w:spacing w:line="360" w:lineRule="exact"/>
                    <w:ind w:firstLine="210" w:firstLineChars="100"/>
                    <w:jc w:val="left"/>
                    <w:rPr>
                      <w:rFonts w:eastAsiaTheme="minorEastAsia"/>
                      <w:color w:val="000000" w:themeColor="text1"/>
                      <w:szCs w:val="21"/>
                    </w:rPr>
                  </w:pPr>
                  <w:r>
                    <w:rPr>
                      <w:color w:val="000000" w:themeColor="text1"/>
                    </w:rPr>
                    <w:t>仅在自行验收时监测</w:t>
                  </w:r>
                </w:p>
              </w:tc>
              <w:tc>
                <w:tcPr>
                  <w:tcW w:w="2200" w:type="dxa"/>
                  <w:vAlign w:val="center"/>
                </w:tcPr>
                <w:p>
                  <w:pPr>
                    <w:pStyle w:val="32"/>
                    <w:spacing w:line="360" w:lineRule="exact"/>
                    <w:ind w:firstLine="210" w:firstLineChars="100"/>
                    <w:jc w:val="both"/>
                    <w:rPr>
                      <w:rFonts w:eastAsiaTheme="minorEastAsia"/>
                      <w:color w:val="000000" w:themeColor="text1"/>
                      <w:szCs w:val="21"/>
                    </w:rPr>
                  </w:pPr>
                  <w:r>
                    <w:rPr>
                      <w:color w:val="000000" w:themeColor="text1"/>
                    </w:rPr>
                    <w:t>《城市污水再生利用 城市杂用水水质》（GB/T18920-2020）城市绿化标准。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 w:type="dxa"/>
                  <w:vMerge w:val="continue"/>
                  <w:vAlign w:val="center"/>
                </w:tcPr>
                <w:p>
                  <w:pPr>
                    <w:pStyle w:val="32"/>
                    <w:spacing w:line="360" w:lineRule="exact"/>
                    <w:rPr>
                      <w:rFonts w:eastAsiaTheme="minorEastAsia"/>
                      <w:color w:val="000000" w:themeColor="text1"/>
                      <w:szCs w:val="21"/>
                    </w:rPr>
                  </w:pPr>
                </w:p>
              </w:tc>
              <w:tc>
                <w:tcPr>
                  <w:tcW w:w="127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三级沉淀池出口</w:t>
                  </w:r>
                </w:p>
              </w:tc>
              <w:tc>
                <w:tcPr>
                  <w:tcW w:w="2258" w:type="dxa"/>
                  <w:vAlign w:val="center"/>
                </w:tcPr>
                <w:p>
                  <w:pPr>
                    <w:pStyle w:val="32"/>
                    <w:spacing w:line="360" w:lineRule="exact"/>
                    <w:ind w:firstLine="210" w:firstLineChars="100"/>
                    <w:jc w:val="left"/>
                    <w:rPr>
                      <w:color w:val="000000" w:themeColor="text1"/>
                    </w:rPr>
                  </w:pPr>
                  <w:r>
                    <w:rPr>
                      <w:color w:val="000000" w:themeColor="text1"/>
                    </w:rPr>
                    <w:t>pH、CODcr、</w:t>
                  </w:r>
                  <w:r>
                    <w:rPr>
                      <w:rFonts w:hint="eastAsia"/>
                      <w:color w:val="000000" w:themeColor="text1"/>
                    </w:rPr>
                    <w:t>石油类</w:t>
                  </w:r>
                  <w:r>
                    <w:rPr>
                      <w:color w:val="000000" w:themeColor="text1"/>
                    </w:rPr>
                    <w:t>、SS</w:t>
                  </w:r>
                  <w:r>
                    <w:rPr>
                      <w:rFonts w:hint="eastAsia"/>
                      <w:color w:val="000000" w:themeColor="text1"/>
                    </w:rPr>
                    <w:t>、</w:t>
                  </w:r>
                  <w:r>
                    <w:rPr>
                      <w:rFonts w:eastAsiaTheme="minorEastAsia"/>
                      <w:color w:val="000000" w:themeColor="text1"/>
                      <w:szCs w:val="21"/>
                      <w:lang w:val="en-US"/>
                    </w:rPr>
                    <w:t>铜</w:t>
                  </w:r>
                  <w:r>
                    <w:rPr>
                      <w:rFonts w:hint="eastAsia" w:eastAsiaTheme="minorEastAsia"/>
                      <w:color w:val="000000" w:themeColor="text1"/>
                      <w:szCs w:val="21"/>
                      <w:lang w:val="en-US"/>
                    </w:rPr>
                    <w:t>、</w:t>
                  </w:r>
                  <w:r>
                    <w:rPr>
                      <w:rFonts w:eastAsiaTheme="minorEastAsia"/>
                      <w:color w:val="000000" w:themeColor="text1"/>
                      <w:szCs w:val="21"/>
                      <w:lang w:val="en-US"/>
                    </w:rPr>
                    <w:t>锌</w:t>
                  </w:r>
                  <w:r>
                    <w:rPr>
                      <w:rFonts w:hint="eastAsia" w:eastAsiaTheme="minorEastAsia"/>
                      <w:color w:val="000000" w:themeColor="text1"/>
                      <w:szCs w:val="21"/>
                      <w:lang w:val="en-US"/>
                    </w:rPr>
                    <w:t>、</w:t>
                  </w:r>
                  <w:r>
                    <w:rPr>
                      <w:rFonts w:eastAsiaTheme="minorEastAsia"/>
                      <w:color w:val="000000" w:themeColor="text1"/>
                      <w:szCs w:val="21"/>
                      <w:lang w:val="en-US"/>
                    </w:rPr>
                    <w:t>铅</w:t>
                  </w:r>
                  <w:r>
                    <w:rPr>
                      <w:rFonts w:hint="eastAsia" w:eastAsiaTheme="minorEastAsia"/>
                      <w:color w:val="000000" w:themeColor="text1"/>
                      <w:szCs w:val="21"/>
                      <w:lang w:val="en-US"/>
                    </w:rPr>
                    <w:t>、</w:t>
                  </w:r>
                  <w:r>
                    <w:rPr>
                      <w:rFonts w:eastAsiaTheme="minorEastAsia"/>
                      <w:color w:val="000000" w:themeColor="text1"/>
                      <w:szCs w:val="21"/>
                      <w:lang w:val="en-US"/>
                    </w:rPr>
                    <w:t>镉</w:t>
                  </w:r>
                  <w:r>
                    <w:rPr>
                      <w:rFonts w:hint="eastAsia" w:eastAsiaTheme="minorEastAsia"/>
                      <w:color w:val="000000" w:themeColor="text1"/>
                      <w:szCs w:val="21"/>
                      <w:lang w:val="en-US"/>
                    </w:rPr>
                    <w:t>、</w:t>
                  </w:r>
                  <w:r>
                    <w:rPr>
                      <w:rFonts w:eastAsiaTheme="minorEastAsia"/>
                      <w:color w:val="000000" w:themeColor="text1"/>
                      <w:szCs w:val="21"/>
                      <w:lang w:val="en-US"/>
                    </w:rPr>
                    <w:t>砷</w:t>
                  </w:r>
                  <w:r>
                    <w:rPr>
                      <w:rFonts w:hint="eastAsia" w:eastAsiaTheme="minorEastAsia"/>
                      <w:color w:val="000000" w:themeColor="text1"/>
                      <w:szCs w:val="21"/>
                      <w:lang w:val="en-US"/>
                    </w:rPr>
                    <w:t>、</w:t>
                  </w:r>
                  <w:r>
                    <w:rPr>
                      <w:rFonts w:eastAsiaTheme="minorEastAsia"/>
                      <w:color w:val="000000" w:themeColor="text1"/>
                      <w:szCs w:val="21"/>
                      <w:lang w:val="en-US"/>
                    </w:rPr>
                    <w:t>汞</w:t>
                  </w:r>
                </w:p>
              </w:tc>
              <w:tc>
                <w:tcPr>
                  <w:tcW w:w="198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1次/a</w:t>
                  </w:r>
                </w:p>
              </w:tc>
              <w:tc>
                <w:tcPr>
                  <w:tcW w:w="2200" w:type="dxa"/>
                  <w:vAlign w:val="center"/>
                </w:tcPr>
                <w:p>
                  <w:pPr>
                    <w:pStyle w:val="32"/>
                    <w:spacing w:line="360" w:lineRule="exact"/>
                    <w:ind w:firstLine="210" w:firstLineChars="100"/>
                    <w:jc w:val="both"/>
                    <w:rPr>
                      <w:color w:val="000000" w:themeColor="text1"/>
                    </w:rPr>
                  </w:pP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雨水</w:t>
                  </w:r>
                </w:p>
              </w:tc>
              <w:tc>
                <w:tcPr>
                  <w:tcW w:w="127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雨水排放口</w:t>
                  </w:r>
                </w:p>
              </w:tc>
              <w:tc>
                <w:tcPr>
                  <w:tcW w:w="2258" w:type="dxa"/>
                  <w:vAlign w:val="center"/>
                </w:tcPr>
                <w:p>
                  <w:pPr>
                    <w:pStyle w:val="32"/>
                    <w:spacing w:line="360" w:lineRule="exact"/>
                    <w:ind w:firstLine="210" w:firstLineChars="100"/>
                    <w:jc w:val="left"/>
                    <w:rPr>
                      <w:color w:val="000000" w:themeColor="text1"/>
                    </w:rPr>
                  </w:pPr>
                  <w:r>
                    <w:rPr>
                      <w:color w:val="000000" w:themeColor="text1"/>
                    </w:rPr>
                    <w:t>CODcr、</w:t>
                  </w:r>
                  <w:r>
                    <w:rPr>
                      <w:rFonts w:hint="eastAsia"/>
                      <w:color w:val="000000" w:themeColor="text1"/>
                    </w:rPr>
                    <w:t>石油类</w:t>
                  </w:r>
                  <w:r>
                    <w:rPr>
                      <w:color w:val="000000" w:themeColor="text1"/>
                    </w:rPr>
                    <w:t>、SS</w:t>
                  </w:r>
                  <w:r>
                    <w:rPr>
                      <w:rFonts w:hint="eastAsia"/>
                      <w:color w:val="000000" w:themeColor="text1"/>
                    </w:rPr>
                    <w:t>、</w:t>
                  </w:r>
                </w:p>
              </w:tc>
              <w:tc>
                <w:tcPr>
                  <w:tcW w:w="1985" w:type="dxa"/>
                  <w:vAlign w:val="center"/>
                </w:tcPr>
                <w:p>
                  <w:pPr>
                    <w:pStyle w:val="32"/>
                    <w:spacing w:line="360" w:lineRule="exact"/>
                    <w:rPr>
                      <w:rFonts w:eastAsiaTheme="minorEastAsia"/>
                      <w:color w:val="000000" w:themeColor="text1"/>
                      <w:szCs w:val="21"/>
                    </w:rPr>
                  </w:pPr>
                  <w:r>
                    <w:rPr>
                      <w:color w:val="000000" w:themeColor="text1"/>
                    </w:rPr>
                    <w:t>雨水排放口有流动水排放时开展监测</w:t>
                  </w:r>
                </w:p>
              </w:tc>
              <w:tc>
                <w:tcPr>
                  <w:tcW w:w="2200" w:type="dxa"/>
                  <w:vAlign w:val="center"/>
                </w:tcPr>
                <w:p>
                  <w:pPr>
                    <w:pStyle w:val="32"/>
                    <w:spacing w:line="360" w:lineRule="exact"/>
                    <w:ind w:firstLine="210" w:firstLineChars="100"/>
                    <w:jc w:val="both"/>
                    <w:rPr>
                      <w:color w:val="000000" w:themeColor="text1"/>
                    </w:rPr>
                  </w:pPr>
                  <w:r>
                    <w:rPr>
                      <w:rFonts w:hint="eastAsia"/>
                      <w:color w:val="000000" w:themeColor="text1"/>
                    </w:rPr>
                    <w:t>--</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经过分析可知，项目产生的废水包括砂石骨料</w:t>
            </w:r>
            <w:r>
              <w:rPr>
                <w:rFonts w:ascii="Times New Roman" w:hAnsi="Times New Roman" w:cs="Times New Roman"/>
                <w:color w:val="000000" w:themeColor="text1"/>
                <w:sz w:val="24"/>
                <w:szCs w:val="24"/>
              </w:rPr>
              <w:t>生产</w:t>
            </w:r>
            <w:r>
              <w:rPr>
                <w:rFonts w:hint="eastAsia" w:ascii="Times New Roman" w:hAnsi="Times New Roman" w:cs="Times New Roman"/>
                <w:color w:val="000000" w:themeColor="text1"/>
                <w:sz w:val="24"/>
                <w:szCs w:val="24"/>
              </w:rPr>
              <w:t>废水、水泥砖养护废水、生活污水和初期雨水，经各自配套的措施处理后，水泥砖养护废水、生活污水和初期雨水完全回用，不外排；而</w:t>
            </w:r>
            <w:r>
              <w:rPr>
                <w:rFonts w:ascii="Times New Roman" w:hAnsi="Times New Roman" w:cs="Times New Roman"/>
                <w:color w:val="000000" w:themeColor="text1"/>
                <w:sz w:val="24"/>
                <w:szCs w:val="24"/>
              </w:rPr>
              <w:t>昆明市东川金水矿业有限责任公司牛厂坪尾矿充填环境综合治理项目</w:t>
            </w:r>
            <w:r>
              <w:rPr>
                <w:rFonts w:hint="eastAsia" w:ascii="Times New Roman" w:hAnsi="Times New Roman" w:cs="Times New Roman"/>
                <w:color w:val="000000" w:themeColor="text1"/>
                <w:sz w:val="24"/>
                <w:szCs w:val="24"/>
              </w:rPr>
              <w:t>进行处理，项目废水可达到合理处置，对环境影响较小。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21"/>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3"/>
              <w:gridCol w:w="709"/>
              <w:gridCol w:w="709"/>
              <w:gridCol w:w="1134"/>
              <w:gridCol w:w="1559"/>
              <w:gridCol w:w="992"/>
              <w:gridCol w:w="992"/>
              <w:gridCol w:w="851"/>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项目</w:t>
                  </w:r>
                </w:p>
              </w:tc>
              <w:tc>
                <w:tcPr>
                  <w:tcW w:w="709"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709"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2693"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992" w:type="dxa"/>
                  <w:tcBorders>
                    <w:left w:val="single" w:color="auto" w:sz="4" w:space="0"/>
                    <w:right w:val="single" w:color="auto" w:sz="4" w:space="0"/>
                  </w:tcBorders>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产生强度〔dB（A）〕</w:t>
                  </w:r>
                </w:p>
              </w:tc>
              <w:tc>
                <w:tcPr>
                  <w:tcW w:w="992" w:type="dxa"/>
                  <w:tcBorders>
                    <w:left w:val="single" w:color="auto" w:sz="4" w:space="0"/>
                  </w:tcBorders>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降噪措施</w:t>
                  </w:r>
                </w:p>
              </w:tc>
              <w:tc>
                <w:tcPr>
                  <w:tcW w:w="851"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排放强度〔dB（A）〕</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一期工程</w:t>
                  </w:r>
                </w:p>
              </w:tc>
              <w:tc>
                <w:tcPr>
                  <w:tcW w:w="709"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709" w:type="dxa"/>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砂石骨料生产线</w:t>
                  </w:r>
                </w:p>
              </w:tc>
              <w:tc>
                <w:tcPr>
                  <w:tcW w:w="1134"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破碎筛分车间</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板式给料机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85</w:t>
                  </w:r>
                </w:p>
              </w:tc>
              <w:tc>
                <w:tcPr>
                  <w:tcW w:w="992" w:type="dxa"/>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color w:val="000000" w:themeColor="text1"/>
                      <w:kern w:val="0"/>
                    </w:rPr>
                    <w:t>减震垫、消声器、墙体阻隔等</w:t>
                  </w: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颚式破碎机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反击破碎机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圆振筛</w:t>
                  </w: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立轴制砂机</w:t>
                  </w: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球磨机</w:t>
                  </w: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皮带运输机</w:t>
                  </w: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65</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洗沙车间</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轮式洗砂机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88</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73</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细砂回收机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88</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73</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高频振脱水筛</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70</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储运工程</w:t>
                  </w:r>
                </w:p>
              </w:tc>
              <w:tc>
                <w:tcPr>
                  <w:tcW w:w="709" w:type="dxa"/>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废石堆场</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履带式挖掘机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产品堆场</w:t>
                  </w:r>
                </w:p>
              </w:tc>
              <w:tc>
                <w:tcPr>
                  <w:tcW w:w="1559" w:type="dxa"/>
                  <w:tcBorders>
                    <w:left w:val="single" w:color="auto" w:sz="4" w:space="0"/>
                    <w:righ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轮式装载机</w:t>
                  </w:r>
                </w:p>
              </w:tc>
              <w:tc>
                <w:tcPr>
                  <w:tcW w:w="992" w:type="dxa"/>
                  <w:tcBorders>
                    <w:left w:val="single" w:color="auto" w:sz="4" w:space="0"/>
                    <w:righ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二期工程</w:t>
                  </w:r>
                </w:p>
              </w:tc>
              <w:tc>
                <w:tcPr>
                  <w:tcW w:w="709" w:type="dxa"/>
                  <w:vMerge w:val="restart"/>
                  <w:tcBorders>
                    <w:top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709" w:type="dxa"/>
                  <w:vMerge w:val="restart"/>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混凝土砖生产线</w:t>
                  </w:r>
                </w:p>
              </w:tc>
              <w:tc>
                <w:tcPr>
                  <w:tcW w:w="1134"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搅拌混合车间</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提升斗</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86</w:t>
                  </w:r>
                </w:p>
              </w:tc>
              <w:tc>
                <w:tcPr>
                  <w:tcW w:w="992" w:type="dxa"/>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color w:val="000000" w:themeColor="text1"/>
                      <w:kern w:val="0"/>
                    </w:rPr>
                    <w:t>减震垫、消声器、墙体阻隔等</w:t>
                  </w: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71</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配料仓</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60</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89</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74</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成型车间</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砌块成型机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88</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73</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养护区</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叠砖机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65</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widowControl/>
                    <w:jc w:val="center"/>
                    <w:textAlignment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合力叉车</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90</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75</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间歇产生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根据建设内容及生产工艺，项目</w:t>
            </w:r>
            <w:r>
              <w:rPr>
                <w:rFonts w:hint="eastAsia" w:ascii="Times New Roman" w:hAnsi="Times New Roman" w:cs="Times New Roman"/>
                <w:color w:val="000000" w:themeColor="text1"/>
                <w:sz w:val="24"/>
              </w:rPr>
              <w:t>两期工程</w:t>
            </w:r>
            <w:r>
              <w:rPr>
                <w:rFonts w:ascii="Times New Roman" w:hAnsi="Times New Roman" w:cs="Times New Roman"/>
                <w:color w:val="000000" w:themeColor="text1"/>
                <w:sz w:val="24"/>
              </w:rPr>
              <w:t>噪声污染源主要</w:t>
            </w:r>
            <w:r>
              <w:rPr>
                <w:rFonts w:hint="eastAsia" w:ascii="Times New Roman" w:hAnsi="Times New Roman" w:cs="Times New Roman"/>
                <w:color w:val="000000" w:themeColor="text1"/>
                <w:sz w:val="24"/>
              </w:rPr>
              <w:t>均</w:t>
            </w:r>
            <w:r>
              <w:rPr>
                <w:rFonts w:ascii="Times New Roman" w:hAnsi="Times New Roman" w:cs="Times New Roman"/>
                <w:color w:val="000000" w:themeColor="text1"/>
                <w:sz w:val="24"/>
              </w:rPr>
              <w:t>为设备噪声。</w:t>
            </w:r>
            <w:r>
              <w:rPr>
                <w:rFonts w:hint="eastAsia" w:ascii="Times New Roman" w:hAnsi="Times New Roman" w:cs="Times New Roman"/>
                <w:color w:val="000000" w:themeColor="text1"/>
                <w:sz w:val="24"/>
              </w:rPr>
              <w:t>项目一期噪声源强主要为</w:t>
            </w:r>
            <w:r>
              <w:rPr>
                <w:rFonts w:ascii="Times New Roman" w:hAnsi="Times New Roman" w:cs="Times New Roman"/>
                <w:color w:val="000000" w:themeColor="text1"/>
                <w:sz w:val="24"/>
              </w:rPr>
              <w:t>砂石骨料生产线</w:t>
            </w:r>
            <w:r>
              <w:rPr>
                <w:rFonts w:hint="eastAsia" w:ascii="Times New Roman" w:hAnsi="Times New Roman" w:cs="Times New Roman"/>
                <w:color w:val="000000" w:themeColor="text1"/>
                <w:sz w:val="24"/>
              </w:rPr>
              <w:t>及储运工程设备噪声源强，而二期工程噪声源强主要为</w:t>
            </w:r>
            <w:r>
              <w:rPr>
                <w:rFonts w:ascii="Times New Roman" w:hAnsi="Times New Roman" w:cs="Times New Roman"/>
                <w:color w:val="000000" w:themeColor="text1"/>
                <w:sz w:val="24"/>
              </w:rPr>
              <w:t>混凝土砖生产线</w:t>
            </w:r>
            <w:r>
              <w:rPr>
                <w:rFonts w:hint="eastAsia" w:ascii="Times New Roman" w:hAnsi="Times New Roman" w:cs="Times New Roman"/>
                <w:color w:val="000000" w:themeColor="text1"/>
                <w:sz w:val="24"/>
              </w:rPr>
              <w:t>设备噪声源强，项目噪声对环境的影响主要为两期建成后的共同影响，项目总体建成后噪声达标排放，则分期噪声也可达标排放，因此环评不对运营期噪声进行分期预测。</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本环评采用环安科技有限公司根据《环境影响评价技术导则 声环境》（HJ2.4-2009）开发的“环境噪声影响评价系统Noisesystem1.1”噪声预测软件，对项目设备厂界噪声进行预测。</w:t>
            </w:r>
          </w:p>
          <w:p>
            <w:pPr>
              <w:spacing w:line="360" w:lineRule="auto"/>
              <w:ind w:firstLine="482" w:firstLineChars="200"/>
              <w:rPr>
                <w:rFonts w:ascii="Times New Roman" w:hAnsi="Times New Roman" w:cs="Times New Roman"/>
                <w:b/>
                <w:color w:val="000000" w:themeColor="text1"/>
                <w:sz w:val="24"/>
                <w:szCs w:val="24"/>
              </w:rPr>
            </w:pPr>
            <w:bookmarkStart w:id="3" w:name="_Toc9337268"/>
            <w:bookmarkStart w:id="4" w:name="_Toc13390404"/>
            <w:r>
              <w:rPr>
                <w:rFonts w:ascii="Times New Roman"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声级计算</w:t>
            </w:r>
            <w:bookmarkEnd w:id="3"/>
            <w:bookmarkEnd w:id="4"/>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建设项目声源在预测点产生的等效声级贡献值（Leq g）计算公式：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5" o:spt="75" type="#_x0000_t75" style="height:33.9pt;width:132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式中：Leqg--建设项目声源在预测点的等效声级贡献值，dB（A）；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LAi-- i声源在预测点产生的A 声级，dB（A）；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T---预测计算的时间段，s；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Ti--i 声源在T 时段内的运行时间，s。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预测点的预测等效声级(L eq )计算公式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6" o:spt="75" type="#_x0000_t75" style="height:20.45pt;width:141.9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 eq g--建设项目声源在预测点的等效声级贡献值，dB（A）；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 eqb--预测点的背景值，dB（A）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户外声传播衰减计算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预测模式如下：</w:t>
            </w:r>
          </w:p>
          <w:p>
            <w:pPr>
              <w:spacing w:line="360" w:lineRule="auto"/>
              <w:jc w:val="center"/>
              <w:rPr>
                <w:rFonts w:ascii="Times New Roman" w:hAnsi="Times New Roman" w:cs="Times New Roman"/>
                <w:color w:val="000000" w:themeColor="text1"/>
                <w:sz w:val="24"/>
                <w:szCs w:val="24"/>
              </w:rPr>
            </w:pPr>
            <w:bookmarkStart w:id="5" w:name="_Toc9337269"/>
            <w:bookmarkStart w:id="6" w:name="_Toc13390405"/>
            <w:r>
              <w:rPr>
                <w:rFonts w:ascii="Times New Roman" w:hAnsi="Times New Roman" w:cs="Times New Roman"/>
                <w:color w:val="000000" w:themeColor="text1"/>
                <w:sz w:val="24"/>
                <w:szCs w:val="24"/>
              </w:rPr>
              <w:t>LA（r）=Lr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-20g（r/r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）-△L</w:t>
            </w:r>
            <w:bookmarkEnd w:id="5"/>
            <w:bookmarkEnd w:id="6"/>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式中：LA（r）--距声源r米处受声点的A声级；</w:t>
            </w:r>
          </w:p>
          <w:p>
            <w:pPr>
              <w:spacing w:line="360" w:lineRule="auto"/>
              <w:ind w:firstLine="480" w:firstLineChars="200"/>
              <w:rPr>
                <w:rFonts w:ascii="Times New Roman" w:hAnsi="Times New Roman" w:cs="Times New Roman"/>
                <w:color w:val="000000" w:themeColor="text1"/>
                <w:sz w:val="24"/>
                <w:szCs w:val="24"/>
              </w:rPr>
            </w:pPr>
            <w:bookmarkStart w:id="7" w:name="_Toc13390406"/>
            <w:bookmarkStart w:id="8" w:name="_Toc9337270"/>
            <w:r>
              <w:rPr>
                <w:rFonts w:ascii="Times New Roman" w:hAnsi="Times New Roman" w:cs="Times New Roman"/>
                <w:color w:val="000000" w:themeColor="text1"/>
                <w:sz w:val="24"/>
                <w:szCs w:val="24"/>
              </w:rPr>
              <w:t xml:space="preserve">      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--参考点声源强度；</w:t>
            </w:r>
            <w:bookmarkEnd w:id="7"/>
            <w:bookmarkEnd w:id="8"/>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r--预测受声点与源之间的距离（m）；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--参考点与源之间的距离（m）。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△L--其它衰减因素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影响△L取值的因素很多，因空气吸收、地面、绿化等引起的衰减值相对较小，本次预测拟忽略它们影响的衰减值，即按ΔL=0计；另外运营期各设备噪声源强考虑按采取措施后厂房外1m噪声级。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各受声点的声源叠加按下列公式计算：</w:t>
            </w:r>
          </w:p>
          <w:p>
            <w:pPr>
              <w:spacing w:line="360" w:lineRule="auto"/>
              <w:jc w:val="center"/>
              <w:rPr>
                <w:rFonts w:ascii="Times New Roman" w:hAnsi="Times New Roman" w:cs="Times New Roman"/>
                <w:color w:val="000000" w:themeColor="text1"/>
                <w:sz w:val="24"/>
                <w:szCs w:val="24"/>
              </w:rPr>
            </w:pPr>
            <w:bookmarkStart w:id="9" w:name="_Toc13390407"/>
            <w:bookmarkStart w:id="10" w:name="_Toc9337271"/>
            <w:r>
              <w:rPr>
                <w:rFonts w:ascii="Times New Roman" w:hAnsi="Times New Roman" w:cs="Times New Roman"/>
                <w:color w:val="000000" w:themeColor="text1"/>
                <w:sz w:val="24"/>
                <w:szCs w:val="24"/>
              </w:rPr>
              <w:t>LA=10g［</w:t>
            </w:r>
            <w:r>
              <w:rPr>
                <w:rFonts w:ascii="Times New Roman" w:hAnsi="Times New Roman" w:cs="Times New Roman"/>
                <w:color w:val="000000" w:themeColor="text1"/>
                <w:sz w:val="24"/>
                <w:szCs w:val="24"/>
              </w:rPr>
              <w:object>
                <v:shape id="_x0000_i1037" o:spt="75" type="#_x0000_t75" style="height:41.65pt;width:50.1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rFonts w:ascii="Times New Roman" w:hAnsi="Times New Roman" w:cs="Times New Roman"/>
                <w:color w:val="000000" w:themeColor="text1"/>
                <w:sz w:val="24"/>
                <w:szCs w:val="24"/>
              </w:rPr>
              <w:t>］</w:t>
            </w:r>
            <w:bookmarkEnd w:id="9"/>
            <w:bookmarkEnd w:id="10"/>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式中：Li--第i个声源声值；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LA--某点噪声总叠加值；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n--声源个数。</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③</w:t>
            </w:r>
            <w:r>
              <w:rPr>
                <w:rFonts w:ascii="Times New Roman" w:hAnsi="Times New Roman" w:cs="Times New Roman"/>
                <w:b/>
                <w:color w:val="000000" w:themeColor="text1"/>
                <w:sz w:val="24"/>
                <w:szCs w:val="24"/>
              </w:rPr>
              <w:t>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④</w:t>
            </w:r>
            <w:r>
              <w:rPr>
                <w:rFonts w:ascii="Times New Roman" w:hAnsi="Times New Roman" w:cs="Times New Roman"/>
                <w:b/>
                <w:color w:val="000000" w:themeColor="text1"/>
                <w:sz w:val="24"/>
                <w:szCs w:val="24"/>
              </w:rPr>
              <w:t>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经过预测，项目厂界东、南、西、北预测点的噪声预测结果如下表所示。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项目建成后预测点的噪声贡献值  单位：dB（A）</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904"/>
              <w:gridCol w:w="1806"/>
              <w:gridCol w:w="1826"/>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301" w:type="dxa"/>
                  <w:vAlign w:val="center"/>
                </w:tcPr>
                <w:p>
                  <w:pPr>
                    <w:pStyle w:val="32"/>
                    <w:spacing w:line="360" w:lineRule="exact"/>
                    <w:rPr>
                      <w:color w:val="000000" w:themeColor="text1"/>
                      <w:szCs w:val="21"/>
                    </w:rPr>
                  </w:pPr>
                  <w:r>
                    <w:rPr>
                      <w:color w:val="000000" w:themeColor="text1"/>
                      <w:szCs w:val="21"/>
                    </w:rPr>
                    <w:t>贡献值</w:t>
                  </w:r>
                </w:p>
              </w:tc>
              <w:tc>
                <w:tcPr>
                  <w:tcW w:w="1904" w:type="dxa"/>
                  <w:vAlign w:val="center"/>
                </w:tcPr>
                <w:p>
                  <w:pPr>
                    <w:pStyle w:val="32"/>
                    <w:spacing w:line="360" w:lineRule="exact"/>
                    <w:rPr>
                      <w:color w:val="000000" w:themeColor="text1"/>
                      <w:szCs w:val="21"/>
                    </w:rPr>
                  </w:pPr>
                  <w:r>
                    <w:rPr>
                      <w:color w:val="000000" w:themeColor="text1"/>
                      <w:szCs w:val="21"/>
                    </w:rPr>
                    <w:t>厂界东</w:t>
                  </w:r>
                </w:p>
              </w:tc>
              <w:tc>
                <w:tcPr>
                  <w:tcW w:w="1806" w:type="dxa"/>
                  <w:vAlign w:val="center"/>
                </w:tcPr>
                <w:p>
                  <w:pPr>
                    <w:pStyle w:val="32"/>
                    <w:spacing w:line="360" w:lineRule="exact"/>
                    <w:rPr>
                      <w:color w:val="000000" w:themeColor="text1"/>
                      <w:szCs w:val="21"/>
                    </w:rPr>
                  </w:pPr>
                  <w:r>
                    <w:rPr>
                      <w:color w:val="000000" w:themeColor="text1"/>
                      <w:szCs w:val="21"/>
                    </w:rPr>
                    <w:t>厂界南</w:t>
                  </w:r>
                </w:p>
              </w:tc>
              <w:tc>
                <w:tcPr>
                  <w:tcW w:w="1826" w:type="dxa"/>
                  <w:vAlign w:val="center"/>
                </w:tcPr>
                <w:p>
                  <w:pPr>
                    <w:pStyle w:val="32"/>
                    <w:spacing w:line="360" w:lineRule="exact"/>
                    <w:rPr>
                      <w:color w:val="000000" w:themeColor="text1"/>
                      <w:szCs w:val="21"/>
                    </w:rPr>
                  </w:pPr>
                  <w:r>
                    <w:rPr>
                      <w:color w:val="000000" w:themeColor="text1"/>
                      <w:szCs w:val="21"/>
                    </w:rPr>
                    <w:t>厂界西</w:t>
                  </w:r>
                </w:p>
              </w:tc>
              <w:tc>
                <w:tcPr>
                  <w:tcW w:w="1768" w:type="dxa"/>
                  <w:vAlign w:val="center"/>
                </w:tcPr>
                <w:p>
                  <w:pPr>
                    <w:pStyle w:val="32"/>
                    <w:spacing w:line="360" w:lineRule="exact"/>
                    <w:rPr>
                      <w:color w:val="000000" w:themeColor="text1"/>
                      <w:szCs w:val="21"/>
                    </w:rPr>
                  </w:pPr>
                  <w:r>
                    <w:rPr>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1" w:type="dxa"/>
                  <w:vAlign w:val="center"/>
                </w:tcPr>
                <w:p>
                  <w:pPr>
                    <w:pStyle w:val="32"/>
                    <w:spacing w:line="360" w:lineRule="exact"/>
                    <w:rPr>
                      <w:color w:val="000000" w:themeColor="text1"/>
                      <w:szCs w:val="21"/>
                    </w:rPr>
                  </w:pPr>
                  <w:r>
                    <w:rPr>
                      <w:color w:val="000000" w:themeColor="text1"/>
                      <w:szCs w:val="21"/>
                    </w:rPr>
                    <w:t>昼</w:t>
                  </w:r>
                </w:p>
              </w:tc>
              <w:tc>
                <w:tcPr>
                  <w:tcW w:w="1904" w:type="dxa"/>
                  <w:vAlign w:val="center"/>
                </w:tcPr>
                <w:p>
                  <w:pPr>
                    <w:pStyle w:val="32"/>
                    <w:spacing w:line="360" w:lineRule="exact"/>
                    <w:rPr>
                      <w:color w:val="000000" w:themeColor="text1"/>
                      <w:szCs w:val="21"/>
                    </w:rPr>
                  </w:pPr>
                  <w:r>
                    <w:rPr>
                      <w:color w:val="000000" w:themeColor="text1"/>
                      <w:szCs w:val="21"/>
                    </w:rPr>
                    <w:t>4</w:t>
                  </w:r>
                  <w:r>
                    <w:rPr>
                      <w:rFonts w:hint="eastAsia"/>
                      <w:color w:val="000000" w:themeColor="text1"/>
                      <w:szCs w:val="21"/>
                    </w:rPr>
                    <w:t>9</w:t>
                  </w:r>
                  <w:r>
                    <w:rPr>
                      <w:color w:val="000000" w:themeColor="text1"/>
                      <w:szCs w:val="21"/>
                    </w:rPr>
                    <w:t>.8</w:t>
                  </w:r>
                </w:p>
              </w:tc>
              <w:tc>
                <w:tcPr>
                  <w:tcW w:w="1806" w:type="dxa"/>
                  <w:vAlign w:val="center"/>
                </w:tcPr>
                <w:p>
                  <w:pPr>
                    <w:pStyle w:val="32"/>
                    <w:spacing w:line="360" w:lineRule="exact"/>
                    <w:rPr>
                      <w:color w:val="000000" w:themeColor="text1"/>
                      <w:szCs w:val="21"/>
                    </w:rPr>
                  </w:pPr>
                  <w:r>
                    <w:rPr>
                      <w:rFonts w:hint="eastAsia"/>
                      <w:color w:val="000000" w:themeColor="text1"/>
                      <w:szCs w:val="21"/>
                    </w:rPr>
                    <w:t>43</w:t>
                  </w:r>
                  <w:r>
                    <w:rPr>
                      <w:color w:val="000000" w:themeColor="text1"/>
                      <w:szCs w:val="21"/>
                    </w:rPr>
                    <w:t>.</w:t>
                  </w:r>
                  <w:r>
                    <w:rPr>
                      <w:rFonts w:hint="eastAsia"/>
                      <w:color w:val="000000" w:themeColor="text1"/>
                      <w:szCs w:val="21"/>
                    </w:rPr>
                    <w:t>2</w:t>
                  </w:r>
                </w:p>
              </w:tc>
              <w:tc>
                <w:tcPr>
                  <w:tcW w:w="1826" w:type="dxa"/>
                  <w:vAlign w:val="center"/>
                </w:tcPr>
                <w:p>
                  <w:pPr>
                    <w:pStyle w:val="32"/>
                    <w:spacing w:line="360" w:lineRule="exact"/>
                    <w:rPr>
                      <w:color w:val="000000" w:themeColor="text1"/>
                      <w:szCs w:val="21"/>
                    </w:rPr>
                  </w:pPr>
                  <w:r>
                    <w:rPr>
                      <w:color w:val="000000" w:themeColor="text1"/>
                      <w:szCs w:val="21"/>
                    </w:rPr>
                    <w:t>4</w:t>
                  </w:r>
                  <w:r>
                    <w:rPr>
                      <w:rFonts w:hint="eastAsia"/>
                      <w:color w:val="000000" w:themeColor="text1"/>
                      <w:szCs w:val="21"/>
                    </w:rPr>
                    <w:t>7</w:t>
                  </w:r>
                  <w:r>
                    <w:rPr>
                      <w:color w:val="000000" w:themeColor="text1"/>
                      <w:szCs w:val="21"/>
                    </w:rPr>
                    <w:t>.</w:t>
                  </w:r>
                  <w:r>
                    <w:rPr>
                      <w:rFonts w:hint="eastAsia"/>
                      <w:color w:val="000000" w:themeColor="text1"/>
                      <w:szCs w:val="21"/>
                    </w:rPr>
                    <w:t>9</w:t>
                  </w:r>
                </w:p>
              </w:tc>
              <w:tc>
                <w:tcPr>
                  <w:tcW w:w="1768" w:type="dxa"/>
                  <w:vAlign w:val="center"/>
                </w:tcPr>
                <w:p>
                  <w:pPr>
                    <w:pStyle w:val="32"/>
                    <w:spacing w:line="360" w:lineRule="exact"/>
                    <w:rPr>
                      <w:color w:val="000000" w:themeColor="text1"/>
                      <w:szCs w:val="21"/>
                    </w:rPr>
                  </w:pPr>
                  <w:r>
                    <w:rPr>
                      <w:rFonts w:hint="eastAsia"/>
                      <w:color w:val="000000" w:themeColor="text1"/>
                      <w:szCs w:val="21"/>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1" w:type="dxa"/>
                  <w:vAlign w:val="center"/>
                </w:tcPr>
                <w:p>
                  <w:pPr>
                    <w:pStyle w:val="32"/>
                    <w:spacing w:line="360" w:lineRule="exact"/>
                    <w:rPr>
                      <w:color w:val="000000" w:themeColor="text1"/>
                      <w:szCs w:val="21"/>
                    </w:rPr>
                  </w:pPr>
                  <w:r>
                    <w:rPr>
                      <w:color w:val="000000" w:themeColor="text1"/>
                      <w:szCs w:val="21"/>
                    </w:rPr>
                    <w:t>夜</w:t>
                  </w:r>
                </w:p>
              </w:tc>
              <w:tc>
                <w:tcPr>
                  <w:tcW w:w="1904" w:type="dxa"/>
                  <w:vAlign w:val="center"/>
                </w:tcPr>
                <w:p>
                  <w:pPr>
                    <w:pStyle w:val="32"/>
                    <w:spacing w:line="360" w:lineRule="exact"/>
                    <w:rPr>
                      <w:color w:val="000000" w:themeColor="text1"/>
                      <w:szCs w:val="21"/>
                    </w:rPr>
                  </w:pPr>
                  <w:r>
                    <w:rPr>
                      <w:color w:val="000000" w:themeColor="text1"/>
                      <w:szCs w:val="21"/>
                    </w:rPr>
                    <w:t>4</w:t>
                  </w:r>
                  <w:r>
                    <w:rPr>
                      <w:rFonts w:hint="eastAsia"/>
                      <w:color w:val="000000" w:themeColor="text1"/>
                      <w:szCs w:val="21"/>
                    </w:rPr>
                    <w:t>9</w:t>
                  </w:r>
                  <w:r>
                    <w:rPr>
                      <w:color w:val="000000" w:themeColor="text1"/>
                      <w:szCs w:val="21"/>
                    </w:rPr>
                    <w:t>.8</w:t>
                  </w:r>
                </w:p>
              </w:tc>
              <w:tc>
                <w:tcPr>
                  <w:tcW w:w="1806" w:type="dxa"/>
                  <w:vAlign w:val="center"/>
                </w:tcPr>
                <w:p>
                  <w:pPr>
                    <w:pStyle w:val="32"/>
                    <w:spacing w:line="360" w:lineRule="exact"/>
                    <w:rPr>
                      <w:color w:val="000000" w:themeColor="text1"/>
                      <w:szCs w:val="21"/>
                    </w:rPr>
                  </w:pPr>
                  <w:r>
                    <w:rPr>
                      <w:rFonts w:hint="eastAsia"/>
                      <w:color w:val="000000" w:themeColor="text1"/>
                      <w:szCs w:val="21"/>
                    </w:rPr>
                    <w:t>43</w:t>
                  </w:r>
                  <w:r>
                    <w:rPr>
                      <w:color w:val="000000" w:themeColor="text1"/>
                      <w:szCs w:val="21"/>
                    </w:rPr>
                    <w:t>.</w:t>
                  </w:r>
                  <w:r>
                    <w:rPr>
                      <w:rFonts w:hint="eastAsia"/>
                      <w:color w:val="000000" w:themeColor="text1"/>
                      <w:szCs w:val="21"/>
                    </w:rPr>
                    <w:t>2</w:t>
                  </w:r>
                </w:p>
              </w:tc>
              <w:tc>
                <w:tcPr>
                  <w:tcW w:w="1826" w:type="dxa"/>
                  <w:vAlign w:val="center"/>
                </w:tcPr>
                <w:p>
                  <w:pPr>
                    <w:pStyle w:val="32"/>
                    <w:spacing w:line="360" w:lineRule="exact"/>
                    <w:rPr>
                      <w:color w:val="000000" w:themeColor="text1"/>
                      <w:szCs w:val="21"/>
                    </w:rPr>
                  </w:pPr>
                  <w:r>
                    <w:rPr>
                      <w:color w:val="000000" w:themeColor="text1"/>
                      <w:szCs w:val="21"/>
                    </w:rPr>
                    <w:t>4</w:t>
                  </w:r>
                  <w:r>
                    <w:rPr>
                      <w:rFonts w:hint="eastAsia"/>
                      <w:color w:val="000000" w:themeColor="text1"/>
                      <w:szCs w:val="21"/>
                    </w:rPr>
                    <w:t>7</w:t>
                  </w:r>
                  <w:r>
                    <w:rPr>
                      <w:color w:val="000000" w:themeColor="text1"/>
                      <w:szCs w:val="21"/>
                    </w:rPr>
                    <w:t>.</w:t>
                  </w:r>
                  <w:r>
                    <w:rPr>
                      <w:rFonts w:hint="eastAsia"/>
                      <w:color w:val="000000" w:themeColor="text1"/>
                      <w:szCs w:val="21"/>
                    </w:rPr>
                    <w:t>9</w:t>
                  </w:r>
                </w:p>
              </w:tc>
              <w:tc>
                <w:tcPr>
                  <w:tcW w:w="1768" w:type="dxa"/>
                  <w:vAlign w:val="center"/>
                </w:tcPr>
                <w:p>
                  <w:pPr>
                    <w:pStyle w:val="32"/>
                    <w:spacing w:line="360" w:lineRule="exact"/>
                    <w:rPr>
                      <w:color w:val="000000" w:themeColor="text1"/>
                      <w:szCs w:val="21"/>
                    </w:rPr>
                  </w:pPr>
                  <w:r>
                    <w:rPr>
                      <w:rFonts w:hint="eastAsia"/>
                      <w:color w:val="000000" w:themeColor="text1"/>
                      <w:szCs w:val="21"/>
                    </w:rPr>
                    <w:t>45.6</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从上表可知，项目运营期选用低噪声设备，产噪设备设置于厂房中，设备基础减震，加强设备维护检修及运输车辆管理等。厂界噪声可达到《工业企业厂界环境噪声排放标准》（GB12348-2008）2类标准要求。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40"/>
              <w:ind w:firstLine="480"/>
              <w:rPr>
                <w:rFonts w:eastAsiaTheme="minorEastAsia"/>
                <w:color w:val="000000" w:themeColor="text1"/>
                <w:szCs w:val="24"/>
              </w:rPr>
            </w:pPr>
            <w:r>
              <w:rPr>
                <w:rFonts w:eastAsiaTheme="minorEastAsia"/>
                <w:color w:val="000000" w:themeColor="text1"/>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40"/>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417"/>
              <w:gridCol w:w="170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最低监测频率</w:t>
                  </w:r>
                </w:p>
              </w:tc>
              <w:tc>
                <w:tcPr>
                  <w:tcW w:w="3476" w:type="dxa"/>
                  <w:vAlign w:val="center"/>
                </w:tcPr>
                <w:p>
                  <w:pPr>
                    <w:pStyle w:val="32"/>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5"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1次/季</w:t>
                  </w:r>
                </w:p>
              </w:tc>
              <w:tc>
                <w:tcPr>
                  <w:tcW w:w="3476" w:type="dxa"/>
                  <w:vAlign w:val="center"/>
                </w:tcPr>
                <w:p>
                  <w:pPr>
                    <w:pStyle w:val="32"/>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《工业企业厂界环境噪声排放标准》（GB12348-2008）中2类标准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spacing w:line="360" w:lineRule="auto"/>
              <w:ind w:firstLine="360" w:firstLineChars="15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根据项目特点，该项目区产生的</w:t>
            </w:r>
            <w:r>
              <w:rPr>
                <w:rFonts w:ascii="Times New Roman" w:hAnsi="Times New Roman" w:cs="Times New Roman"/>
                <w:color w:val="000000" w:themeColor="text1"/>
                <w:sz w:val="24"/>
              </w:rPr>
              <w:t>废机油及废弃沾油抹布和污水处理设施污泥</w:t>
            </w:r>
            <w:r>
              <w:rPr>
                <w:rFonts w:hint="eastAsia" w:ascii="Times New Roman" w:hAnsi="Times New Roman" w:cs="Times New Roman"/>
                <w:color w:val="000000" w:themeColor="text1"/>
                <w:sz w:val="24"/>
              </w:rPr>
              <w:t>，全部纳入一期工程进行管理。</w:t>
            </w:r>
          </w:p>
          <w:p>
            <w:pPr>
              <w:pStyle w:val="40"/>
              <w:ind w:firstLine="482"/>
              <w:rPr>
                <w:b/>
                <w:color w:val="000000" w:themeColor="text1"/>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1 \* GB4</w:instrText>
            </w:r>
            <w:r>
              <w:rPr>
                <w:b/>
                <w:color w:val="000000" w:themeColor="text1"/>
              </w:rPr>
              <w:instrText xml:space="preserve"> </w:instrText>
            </w:r>
            <w:r>
              <w:rPr>
                <w:b/>
                <w:color w:val="000000" w:themeColor="text1"/>
              </w:rPr>
              <w:fldChar w:fldCharType="separate"/>
            </w:r>
            <w:r>
              <w:rPr>
                <w:rFonts w:hint="eastAsia"/>
                <w:b/>
                <w:color w:val="000000" w:themeColor="text1"/>
              </w:rPr>
              <w:t>㈠</w:t>
            </w:r>
            <w:r>
              <w:rPr>
                <w:b/>
                <w:color w:val="000000" w:themeColor="text1"/>
              </w:rPr>
              <w:fldChar w:fldCharType="end"/>
            </w:r>
            <w:r>
              <w:rPr>
                <w:rFonts w:hint="eastAsia"/>
                <w:b/>
                <w:color w:val="000000" w:themeColor="text1"/>
              </w:rPr>
              <w:t>一期工程</w:t>
            </w:r>
            <w:r>
              <w:rPr>
                <w:b/>
                <w:color w:val="000000" w:themeColor="text1"/>
              </w:rPr>
              <w:t>固体废物污染源强分析</w:t>
            </w:r>
          </w:p>
          <w:p>
            <w:pPr>
              <w:pStyle w:val="40"/>
              <w:ind w:firstLine="480"/>
              <w:rPr>
                <w:rFonts w:eastAsiaTheme="minorEastAsia"/>
                <w:color w:val="000000" w:themeColor="text1"/>
                <w:szCs w:val="24"/>
              </w:rPr>
            </w:pPr>
            <w:r>
              <w:rPr>
                <w:rFonts w:eastAsiaTheme="minorEastAsia"/>
                <w:color w:val="000000" w:themeColor="text1"/>
                <w:szCs w:val="21"/>
              </w:rPr>
              <w:t>根据项目</w:t>
            </w:r>
            <w:r>
              <w:rPr>
                <w:rFonts w:hint="eastAsia"/>
                <w:color w:val="000000" w:themeColor="text1"/>
                <w:szCs w:val="21"/>
              </w:rPr>
              <w:t>一期工程</w:t>
            </w:r>
            <w:r>
              <w:rPr>
                <w:rFonts w:eastAsiaTheme="minorEastAsia"/>
                <w:color w:val="000000" w:themeColor="text1"/>
                <w:szCs w:val="21"/>
              </w:rPr>
              <w:t>内容及生产工艺，该项目</w:t>
            </w:r>
            <w:r>
              <w:rPr>
                <w:rFonts w:hint="eastAsia"/>
                <w:color w:val="000000" w:themeColor="text1"/>
                <w:szCs w:val="21"/>
              </w:rPr>
              <w:t>一期工程</w:t>
            </w:r>
            <w:r>
              <w:rPr>
                <w:rFonts w:eastAsiaTheme="minorEastAsia"/>
                <w:color w:val="000000" w:themeColor="text1"/>
                <w:szCs w:val="21"/>
              </w:rPr>
              <w:t>产生的固体废物包括：砂石骨料生产废水处理系统产生的含水污泥</w:t>
            </w:r>
            <w:r>
              <w:rPr>
                <w:rFonts w:hint="eastAsia" w:eastAsiaTheme="minorEastAsia"/>
                <w:color w:val="000000" w:themeColor="text1"/>
                <w:szCs w:val="21"/>
              </w:rPr>
              <w:t>、</w:t>
            </w:r>
            <w:r>
              <w:rPr>
                <w:rFonts w:eastAsiaTheme="minorEastAsia"/>
                <w:color w:val="000000" w:themeColor="text1"/>
                <w:szCs w:val="21"/>
              </w:rPr>
              <w:t>设备维修产生的废机油及废弃沾油抹布、生活垃圾和污水处理设施污泥。</w:t>
            </w:r>
          </w:p>
          <w:p>
            <w:pPr>
              <w:pStyle w:val="40"/>
              <w:ind w:firstLine="482"/>
              <w:rPr>
                <w:b/>
                <w:color w:val="000000" w:themeColor="text1"/>
              </w:rPr>
            </w:pPr>
            <w:r>
              <w:rPr>
                <w:rFonts w:hint="eastAsia"/>
                <w:b/>
                <w:color w:val="000000" w:themeColor="text1"/>
              </w:rPr>
              <w:t>①</w:t>
            </w:r>
            <w:r>
              <w:rPr>
                <w:b/>
                <w:color w:val="000000" w:themeColor="text1"/>
              </w:rPr>
              <w:t>含水污泥</w:t>
            </w:r>
          </w:p>
          <w:p>
            <w:pPr>
              <w:pStyle w:val="40"/>
              <w:ind w:firstLine="480"/>
              <w:rPr>
                <w:rFonts w:eastAsiaTheme="minorEastAsia"/>
                <w:color w:val="000000" w:themeColor="text1"/>
                <w:szCs w:val="24"/>
              </w:rPr>
            </w:pPr>
            <w:r>
              <w:rPr>
                <w:rFonts w:eastAsiaTheme="minorEastAsia"/>
                <w:color w:val="000000" w:themeColor="text1"/>
                <w:szCs w:val="24"/>
              </w:rPr>
              <w:t>根据设计，项目拟设置</w:t>
            </w:r>
            <w:r>
              <w:rPr>
                <w:rFonts w:hint="eastAsia" w:eastAsiaTheme="minorEastAsia"/>
                <w:color w:val="000000" w:themeColor="text1"/>
                <w:szCs w:val="24"/>
              </w:rPr>
              <w:t>1</w:t>
            </w:r>
            <w:r>
              <w:rPr>
                <w:rFonts w:eastAsiaTheme="minorEastAsia"/>
                <w:color w:val="000000" w:themeColor="text1"/>
                <w:szCs w:val="24"/>
              </w:rPr>
              <w:t>套砂石骨料生产废水处理系统对生产废水进行处理，该系统由</w:t>
            </w:r>
            <w:r>
              <w:rPr>
                <w:rFonts w:hint="eastAsia" w:eastAsiaTheme="minorEastAsia"/>
                <w:color w:val="000000" w:themeColor="text1"/>
                <w:szCs w:val="24"/>
              </w:rPr>
              <w:t>1组有效容积为60m³的三级沉淀池、1个10m³回水池和回水管道</w:t>
            </w:r>
            <w:r>
              <w:rPr>
                <w:rFonts w:eastAsiaTheme="minorEastAsia"/>
                <w:color w:val="000000" w:themeColor="text1"/>
                <w:szCs w:val="24"/>
              </w:rPr>
              <w:t>组成。首先进入三级沉淀池进行沉淀，沉淀后，约90%的上层清水进入回水池回用于骨料生产系统，而三级沉淀池产生的含水污泥</w:t>
            </w:r>
            <w:r>
              <w:rPr>
                <w:rFonts w:hint="eastAsia" w:eastAsiaTheme="minorEastAsia"/>
                <w:color w:val="000000" w:themeColor="text1"/>
                <w:szCs w:val="24"/>
              </w:rPr>
              <w:t>产生量约为105t/d（31500t/a），其含水率为60%，依托</w:t>
            </w:r>
            <w:r>
              <w:rPr>
                <w:rFonts w:eastAsiaTheme="minorEastAsia"/>
                <w:color w:val="000000" w:themeColor="text1"/>
                <w:szCs w:val="24"/>
              </w:rPr>
              <w:t>昆明市东川金水矿业有限责任公司牛厂坪尾矿充填环境综合治理项目进行井下充填处理，处置率为100%。</w:t>
            </w:r>
          </w:p>
          <w:p>
            <w:pPr>
              <w:pStyle w:val="40"/>
              <w:ind w:firstLine="482"/>
              <w:rPr>
                <w:b/>
                <w:color w:val="000000" w:themeColor="text1"/>
              </w:rPr>
            </w:pPr>
            <w:r>
              <w:rPr>
                <w:b/>
                <w:color w:val="000000" w:themeColor="text1"/>
              </w:rPr>
              <w:t>②废机油及废弃沾油抹布</w:t>
            </w:r>
          </w:p>
          <w:p>
            <w:pPr>
              <w:pStyle w:val="40"/>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国家危险废物名录（2021年）（摘抄）</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1"/>
              <w:gridCol w:w="862"/>
              <w:gridCol w:w="1052"/>
              <w:gridCol w:w="301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项目危废</w:t>
                  </w:r>
                </w:p>
              </w:tc>
              <w:tc>
                <w:tcPr>
                  <w:tcW w:w="1301" w:type="dxa"/>
                  <w:vAlign w:val="center"/>
                </w:tcPr>
                <w:p>
                  <w:pPr>
                    <w:pStyle w:val="32"/>
                    <w:spacing w:line="360" w:lineRule="exact"/>
                    <w:rPr>
                      <w:color w:val="000000" w:themeColor="text1"/>
                      <w:szCs w:val="21"/>
                    </w:rPr>
                  </w:pPr>
                  <w:r>
                    <w:rPr>
                      <w:color w:val="000000" w:themeColor="text1"/>
                      <w:szCs w:val="21"/>
                    </w:rPr>
                    <w:t>废物类别</w:t>
                  </w:r>
                </w:p>
              </w:tc>
              <w:tc>
                <w:tcPr>
                  <w:tcW w:w="862" w:type="dxa"/>
                  <w:vAlign w:val="center"/>
                </w:tcPr>
                <w:p>
                  <w:pPr>
                    <w:pStyle w:val="32"/>
                    <w:spacing w:line="360" w:lineRule="exact"/>
                    <w:rPr>
                      <w:color w:val="000000" w:themeColor="text1"/>
                      <w:szCs w:val="21"/>
                    </w:rPr>
                  </w:pPr>
                  <w:r>
                    <w:rPr>
                      <w:color w:val="000000" w:themeColor="text1"/>
                      <w:szCs w:val="21"/>
                    </w:rPr>
                    <w:t>行业来源</w:t>
                  </w:r>
                </w:p>
              </w:tc>
              <w:tc>
                <w:tcPr>
                  <w:tcW w:w="1052" w:type="dxa"/>
                  <w:vAlign w:val="center"/>
                </w:tcPr>
                <w:p>
                  <w:pPr>
                    <w:pStyle w:val="32"/>
                    <w:spacing w:line="360" w:lineRule="exact"/>
                    <w:rPr>
                      <w:color w:val="000000" w:themeColor="text1"/>
                      <w:szCs w:val="21"/>
                    </w:rPr>
                  </w:pPr>
                  <w:r>
                    <w:rPr>
                      <w:color w:val="000000" w:themeColor="text1"/>
                      <w:szCs w:val="21"/>
                    </w:rPr>
                    <w:t>废物代码</w:t>
                  </w:r>
                </w:p>
              </w:tc>
              <w:tc>
                <w:tcPr>
                  <w:tcW w:w="3010" w:type="dxa"/>
                  <w:vAlign w:val="center"/>
                </w:tcPr>
                <w:p>
                  <w:pPr>
                    <w:pStyle w:val="32"/>
                    <w:spacing w:line="360" w:lineRule="exact"/>
                    <w:rPr>
                      <w:color w:val="000000" w:themeColor="text1"/>
                      <w:szCs w:val="21"/>
                    </w:rPr>
                  </w:pPr>
                  <w:r>
                    <w:rPr>
                      <w:color w:val="000000" w:themeColor="text1"/>
                      <w:szCs w:val="21"/>
                    </w:rPr>
                    <w:t>危险废物</w:t>
                  </w:r>
                </w:p>
              </w:tc>
              <w:tc>
                <w:tcPr>
                  <w:tcW w:w="1033" w:type="dxa"/>
                  <w:vAlign w:val="center"/>
                </w:tcPr>
                <w:p>
                  <w:pPr>
                    <w:pStyle w:val="32"/>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废机油</w:t>
                  </w:r>
                </w:p>
              </w:tc>
              <w:tc>
                <w:tcPr>
                  <w:tcW w:w="1301" w:type="dxa"/>
                  <w:vAlign w:val="center"/>
                </w:tcPr>
                <w:p>
                  <w:pPr>
                    <w:pStyle w:val="32"/>
                    <w:spacing w:line="360" w:lineRule="exact"/>
                    <w:rPr>
                      <w:color w:val="000000" w:themeColor="text1"/>
                      <w:szCs w:val="21"/>
                    </w:rPr>
                  </w:pPr>
                  <w:r>
                    <w:rPr>
                      <w:color w:val="000000" w:themeColor="text1"/>
                      <w:szCs w:val="21"/>
                    </w:rPr>
                    <w:t>HW08废矿物油与含矿物油废物</w:t>
                  </w:r>
                </w:p>
              </w:tc>
              <w:tc>
                <w:tcPr>
                  <w:tcW w:w="862" w:type="dxa"/>
                  <w:vAlign w:val="center"/>
                </w:tcPr>
                <w:p>
                  <w:pPr>
                    <w:pStyle w:val="32"/>
                    <w:spacing w:line="360" w:lineRule="exact"/>
                    <w:rPr>
                      <w:color w:val="000000" w:themeColor="text1"/>
                      <w:szCs w:val="21"/>
                    </w:rPr>
                  </w:pPr>
                  <w:r>
                    <w:rPr>
                      <w:color w:val="000000" w:themeColor="text1"/>
                      <w:szCs w:val="21"/>
                    </w:rPr>
                    <w:t>非特定行业</w:t>
                  </w:r>
                </w:p>
              </w:tc>
              <w:tc>
                <w:tcPr>
                  <w:tcW w:w="1052" w:type="dxa"/>
                  <w:vAlign w:val="center"/>
                </w:tcPr>
                <w:p>
                  <w:pPr>
                    <w:pStyle w:val="32"/>
                    <w:spacing w:line="360" w:lineRule="exact"/>
                    <w:rPr>
                      <w:color w:val="000000" w:themeColor="text1"/>
                      <w:szCs w:val="21"/>
                    </w:rPr>
                  </w:pPr>
                  <w:r>
                    <w:rPr>
                      <w:color w:val="000000" w:themeColor="text1"/>
                      <w:szCs w:val="21"/>
                    </w:rPr>
                    <w:t>900-214-08</w:t>
                  </w:r>
                </w:p>
              </w:tc>
              <w:tc>
                <w:tcPr>
                  <w:tcW w:w="3010" w:type="dxa"/>
                  <w:vAlign w:val="center"/>
                </w:tcPr>
                <w:p>
                  <w:pPr>
                    <w:pStyle w:val="32"/>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1033" w:type="dxa"/>
                  <w:vAlign w:val="center"/>
                </w:tcPr>
                <w:p>
                  <w:pPr>
                    <w:pStyle w:val="32"/>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2"/>
                    <w:spacing w:line="360" w:lineRule="exact"/>
                    <w:rPr>
                      <w:color w:val="000000" w:themeColor="text1"/>
                      <w:szCs w:val="21"/>
                    </w:rPr>
                  </w:pPr>
                  <w:r>
                    <w:rPr>
                      <w:color w:val="000000" w:themeColor="text1"/>
                      <w:szCs w:val="21"/>
                    </w:rPr>
                    <w:t>沾油的抹布</w:t>
                  </w:r>
                </w:p>
              </w:tc>
              <w:tc>
                <w:tcPr>
                  <w:tcW w:w="1301" w:type="dxa"/>
                  <w:vAlign w:val="center"/>
                </w:tcPr>
                <w:p>
                  <w:pPr>
                    <w:pStyle w:val="32"/>
                    <w:spacing w:line="360" w:lineRule="exact"/>
                    <w:rPr>
                      <w:color w:val="000000" w:themeColor="text1"/>
                      <w:szCs w:val="21"/>
                    </w:rPr>
                  </w:pPr>
                  <w:r>
                    <w:rPr>
                      <w:color w:val="000000" w:themeColor="text1"/>
                      <w:szCs w:val="21"/>
                    </w:rPr>
                    <w:t>HW49其他废物</w:t>
                  </w:r>
                </w:p>
              </w:tc>
              <w:tc>
                <w:tcPr>
                  <w:tcW w:w="862" w:type="dxa"/>
                  <w:vAlign w:val="center"/>
                </w:tcPr>
                <w:p>
                  <w:pPr>
                    <w:pStyle w:val="32"/>
                    <w:spacing w:line="360" w:lineRule="exact"/>
                    <w:rPr>
                      <w:color w:val="000000" w:themeColor="text1"/>
                      <w:szCs w:val="21"/>
                    </w:rPr>
                  </w:pPr>
                  <w:r>
                    <w:rPr>
                      <w:color w:val="000000" w:themeColor="text1"/>
                      <w:szCs w:val="21"/>
                    </w:rPr>
                    <w:t>非特定行业</w:t>
                  </w:r>
                </w:p>
              </w:tc>
              <w:tc>
                <w:tcPr>
                  <w:tcW w:w="1052" w:type="dxa"/>
                  <w:vAlign w:val="center"/>
                </w:tcPr>
                <w:p>
                  <w:pPr>
                    <w:pStyle w:val="32"/>
                    <w:spacing w:line="360" w:lineRule="exact"/>
                    <w:rPr>
                      <w:color w:val="000000" w:themeColor="text1"/>
                      <w:szCs w:val="21"/>
                    </w:rPr>
                  </w:pPr>
                  <w:r>
                    <w:rPr>
                      <w:color w:val="000000" w:themeColor="text1"/>
                      <w:szCs w:val="21"/>
                    </w:rPr>
                    <w:t>900-041-49</w:t>
                  </w:r>
                </w:p>
              </w:tc>
              <w:tc>
                <w:tcPr>
                  <w:tcW w:w="3010" w:type="dxa"/>
                  <w:vAlign w:val="center"/>
                </w:tcPr>
                <w:p>
                  <w:pPr>
                    <w:pStyle w:val="32"/>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1033" w:type="dxa"/>
                  <w:vAlign w:val="center"/>
                </w:tcPr>
                <w:p>
                  <w:pPr>
                    <w:pStyle w:val="32"/>
                    <w:spacing w:line="360" w:lineRule="exact"/>
                    <w:rPr>
                      <w:color w:val="000000" w:themeColor="text1"/>
                      <w:szCs w:val="21"/>
                    </w:rPr>
                  </w:pPr>
                  <w:r>
                    <w:rPr>
                      <w:color w:val="000000" w:themeColor="text1"/>
                      <w:szCs w:val="21"/>
                    </w:rPr>
                    <w:t>T/In</w:t>
                  </w:r>
                </w:p>
              </w:tc>
            </w:tr>
          </w:tbl>
          <w:p>
            <w:pPr>
              <w:pStyle w:val="40"/>
              <w:spacing w:beforeLines="50"/>
              <w:ind w:firstLine="480"/>
              <w:rPr>
                <w:color w:val="000000" w:themeColor="text1"/>
                <w:szCs w:val="24"/>
              </w:rPr>
            </w:pPr>
            <w:r>
              <w:rPr>
                <w:color w:val="000000" w:themeColor="text1"/>
                <w:szCs w:val="24"/>
              </w:rPr>
              <w:t>根据设计，项目区每年废机油产生量约为80kg，废弃沾油抹布产生量为10kg。针对项目产生的废机油和沾油的抹布，厂区拟建设了1个10m²的危险废物贮存间对项目区产生的危险废物进行分类暂存。废机油部分用于生产设备润滑使用，无法使用部分委托有资质的单位处置，处置率为100%。</w:t>
            </w:r>
          </w:p>
          <w:p>
            <w:pPr>
              <w:pStyle w:val="40"/>
              <w:ind w:firstLine="482"/>
              <w:rPr>
                <w:rFonts w:eastAsiaTheme="minorEastAsia"/>
                <w:b/>
                <w:color w:val="000000" w:themeColor="text1"/>
                <w:szCs w:val="24"/>
              </w:rPr>
            </w:pPr>
            <w:r>
              <w:rPr>
                <w:rFonts w:hint="eastAsia" w:eastAsiaTheme="minorEastAsia"/>
                <w:b/>
                <w:color w:val="000000" w:themeColor="text1"/>
                <w:szCs w:val="24"/>
              </w:rPr>
              <w:t>③一期工程</w:t>
            </w:r>
            <w:r>
              <w:rPr>
                <w:rFonts w:eastAsiaTheme="minorEastAsia"/>
                <w:b/>
                <w:color w:val="000000" w:themeColor="text1"/>
                <w:szCs w:val="24"/>
              </w:rPr>
              <w:t>生活垃圾</w:t>
            </w:r>
          </w:p>
          <w:p>
            <w:pPr>
              <w:pStyle w:val="40"/>
              <w:ind w:firstLine="480"/>
              <w:rPr>
                <w:rFonts w:eastAsiaTheme="minorEastAsia"/>
                <w:color w:val="000000" w:themeColor="text1"/>
                <w:szCs w:val="24"/>
              </w:rPr>
            </w:pPr>
            <w:r>
              <w:rPr>
                <w:rFonts w:eastAsiaTheme="minorEastAsia"/>
                <w:color w:val="000000" w:themeColor="text1"/>
                <w:szCs w:val="24"/>
              </w:rPr>
              <w:t>根据</w:t>
            </w:r>
            <w:r>
              <w:rPr>
                <w:rFonts w:hint="eastAsia" w:eastAsiaTheme="minorEastAsia"/>
                <w:color w:val="000000" w:themeColor="text1"/>
                <w:szCs w:val="24"/>
              </w:rPr>
              <w:t>劳动定员</w:t>
            </w:r>
            <w:r>
              <w:rPr>
                <w:rFonts w:eastAsiaTheme="minorEastAsia"/>
                <w:color w:val="000000" w:themeColor="text1"/>
                <w:szCs w:val="24"/>
              </w:rPr>
              <w:t>，该项目</w:t>
            </w:r>
            <w:r>
              <w:rPr>
                <w:rFonts w:hint="eastAsia" w:eastAsiaTheme="minorEastAsia"/>
                <w:color w:val="000000" w:themeColor="text1"/>
                <w:szCs w:val="24"/>
              </w:rPr>
              <w:t>一期工程</w:t>
            </w:r>
            <w:r>
              <w:rPr>
                <w:rFonts w:eastAsiaTheme="minorEastAsia"/>
                <w:color w:val="000000" w:themeColor="text1"/>
                <w:szCs w:val="24"/>
              </w:rPr>
              <w:t>拟定员工</w:t>
            </w:r>
            <w:r>
              <w:rPr>
                <w:rFonts w:hint="eastAsia" w:eastAsiaTheme="minorEastAsia"/>
                <w:color w:val="000000" w:themeColor="text1"/>
                <w:szCs w:val="24"/>
              </w:rPr>
              <w:t>1</w:t>
            </w:r>
            <w:r>
              <w:rPr>
                <w:rFonts w:eastAsiaTheme="minorEastAsia"/>
                <w:color w:val="000000" w:themeColor="text1"/>
                <w:szCs w:val="24"/>
              </w:rPr>
              <w:t>0人，</w:t>
            </w:r>
            <w:r>
              <w:rPr>
                <w:rFonts w:hint="eastAsia" w:eastAsiaTheme="minorEastAsia"/>
                <w:color w:val="000000" w:themeColor="text1"/>
                <w:szCs w:val="24"/>
              </w:rPr>
              <w:t>一期工程</w:t>
            </w:r>
            <w:r>
              <w:rPr>
                <w:rFonts w:eastAsiaTheme="minorEastAsia"/>
                <w:color w:val="000000" w:themeColor="text1"/>
                <w:szCs w:val="24"/>
              </w:rPr>
              <w:t>生活产生量按</w:t>
            </w:r>
            <w:r>
              <w:rPr>
                <w:rFonts w:hint="eastAsia" w:eastAsiaTheme="minorEastAsia"/>
                <w:color w:val="000000" w:themeColor="text1"/>
                <w:szCs w:val="24"/>
              </w:rPr>
              <w:t>0.3</w:t>
            </w:r>
            <w:r>
              <w:rPr>
                <w:rFonts w:eastAsiaTheme="minorEastAsia"/>
                <w:color w:val="000000" w:themeColor="text1"/>
                <w:szCs w:val="24"/>
              </w:rPr>
              <w:t>kg/（人·d）计，则生活垃圾产生量为</w:t>
            </w:r>
            <w:r>
              <w:rPr>
                <w:rFonts w:hint="eastAsia" w:eastAsiaTheme="minorEastAsia"/>
                <w:color w:val="000000" w:themeColor="text1"/>
                <w:szCs w:val="24"/>
              </w:rPr>
              <w:t>3</w:t>
            </w:r>
            <w:r>
              <w:rPr>
                <w:rFonts w:eastAsiaTheme="minorEastAsia"/>
                <w:color w:val="000000" w:themeColor="text1"/>
                <w:szCs w:val="24"/>
              </w:rPr>
              <w:t>kg/d（</w:t>
            </w:r>
            <w:r>
              <w:rPr>
                <w:rFonts w:hint="eastAsia" w:eastAsiaTheme="minorEastAsia"/>
                <w:color w:val="000000" w:themeColor="text1"/>
                <w:szCs w:val="24"/>
              </w:rPr>
              <w:t>0.99</w:t>
            </w:r>
            <w:r>
              <w:rPr>
                <w:rFonts w:eastAsiaTheme="minorEastAsia"/>
                <w:color w:val="000000" w:themeColor="text1"/>
                <w:szCs w:val="24"/>
              </w:rPr>
              <w:t>t/a）。生活垃圾集中收集后，委托环卫部门定期清运处置，处置率为100%。</w:t>
            </w:r>
          </w:p>
          <w:p>
            <w:pPr>
              <w:pStyle w:val="40"/>
              <w:ind w:firstLine="482"/>
              <w:rPr>
                <w:rFonts w:eastAsiaTheme="minorEastAsia"/>
                <w:b/>
                <w:color w:val="000000" w:themeColor="text1"/>
                <w:szCs w:val="24"/>
              </w:rPr>
            </w:pPr>
            <w:r>
              <w:rPr>
                <w:rFonts w:hint="eastAsia" w:ascii="宋体" w:hAnsi="宋体" w:cs="宋体"/>
                <w:b/>
                <w:color w:val="000000" w:themeColor="text1"/>
                <w:szCs w:val="24"/>
              </w:rPr>
              <w:t>④</w:t>
            </w:r>
            <w:r>
              <w:rPr>
                <w:rFonts w:eastAsiaTheme="minorEastAsia"/>
                <w:b/>
                <w:color w:val="000000" w:themeColor="text1"/>
                <w:szCs w:val="24"/>
              </w:rPr>
              <w:t>污水处理设施污泥</w:t>
            </w:r>
          </w:p>
          <w:p>
            <w:pPr>
              <w:pStyle w:val="40"/>
              <w:ind w:firstLine="480"/>
              <w:rPr>
                <w:color w:val="000000" w:themeColor="text1"/>
              </w:rPr>
            </w:pPr>
            <w:r>
              <w:rPr>
                <w:rFonts w:eastAsiaTheme="minorEastAsia"/>
                <w:color w:val="000000" w:themeColor="text1"/>
                <w:szCs w:val="24"/>
              </w:rPr>
              <w:t>根据项目特点可知，项目化粪池、一体化污水处理设施在处理废水的过程中，将产生一定的污泥，污泥主要来源于SS</w:t>
            </w:r>
            <w:r>
              <w:rPr>
                <w:color w:val="000000" w:themeColor="text1"/>
              </w:rPr>
              <w:t>和BOD</w:t>
            </w:r>
            <w:r>
              <w:rPr>
                <w:color w:val="000000" w:themeColor="text1"/>
                <w:vertAlign w:val="subscript"/>
              </w:rPr>
              <w:t>5</w:t>
            </w:r>
            <w:r>
              <w:rPr>
                <w:color w:val="000000" w:themeColor="text1"/>
              </w:rPr>
              <w:t>的去除，SS消减量为0.1</w:t>
            </w:r>
            <w:r>
              <w:rPr>
                <w:rFonts w:hint="eastAsia"/>
                <w:color w:val="000000" w:themeColor="text1"/>
              </w:rPr>
              <w:t>3</w:t>
            </w:r>
            <w:r>
              <w:rPr>
                <w:color w:val="000000" w:themeColor="text1"/>
              </w:rPr>
              <w:t>t/a，BOD</w:t>
            </w:r>
            <w:r>
              <w:rPr>
                <w:color w:val="000000" w:themeColor="text1"/>
                <w:vertAlign w:val="subscript"/>
              </w:rPr>
              <w:t>5</w:t>
            </w:r>
            <w:r>
              <w:rPr>
                <w:color w:val="000000" w:themeColor="text1"/>
              </w:rPr>
              <w:t>消减量为0.</w:t>
            </w:r>
            <w:r>
              <w:rPr>
                <w:rFonts w:hint="eastAsia"/>
                <w:color w:val="000000" w:themeColor="text1"/>
              </w:rPr>
              <w:t>106</w:t>
            </w:r>
            <w:r>
              <w:rPr>
                <w:color w:val="000000" w:themeColor="text1"/>
              </w:rPr>
              <w:t>t/a，以每去除1kgBOD</w:t>
            </w:r>
            <w:r>
              <w:rPr>
                <w:color w:val="000000" w:themeColor="text1"/>
                <w:vertAlign w:val="subscript"/>
              </w:rPr>
              <w:t>5</w:t>
            </w:r>
            <w:r>
              <w:rPr>
                <w:color w:val="000000" w:themeColor="text1"/>
              </w:rPr>
              <w:t>产生污泥0.8kg和去除1kgSS产生污泥1kg计，则预计污泥产生量为0.21t/a。委托环卫部门清运处理，其处置率为100%。</w:t>
            </w:r>
          </w:p>
          <w:p>
            <w:pPr>
              <w:pStyle w:val="40"/>
              <w:ind w:firstLine="482"/>
              <w:rPr>
                <w:b/>
                <w:color w:val="000000" w:themeColor="text1"/>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2 \* GB4</w:instrText>
            </w:r>
            <w:r>
              <w:rPr>
                <w:b/>
                <w:color w:val="000000" w:themeColor="text1"/>
              </w:rPr>
              <w:instrText xml:space="preserve"> </w:instrText>
            </w:r>
            <w:r>
              <w:rPr>
                <w:b/>
                <w:color w:val="000000" w:themeColor="text1"/>
              </w:rPr>
              <w:fldChar w:fldCharType="separate"/>
            </w:r>
            <w:r>
              <w:rPr>
                <w:rFonts w:hint="eastAsia"/>
                <w:b/>
                <w:color w:val="000000" w:themeColor="text1"/>
              </w:rPr>
              <w:t>㈡</w:t>
            </w:r>
            <w:r>
              <w:rPr>
                <w:b/>
                <w:color w:val="000000" w:themeColor="text1"/>
              </w:rPr>
              <w:fldChar w:fldCharType="end"/>
            </w:r>
            <w:r>
              <w:rPr>
                <w:rFonts w:hint="eastAsia"/>
                <w:b/>
                <w:color w:val="000000" w:themeColor="text1"/>
              </w:rPr>
              <w:t>期工程</w:t>
            </w:r>
            <w:r>
              <w:rPr>
                <w:b/>
                <w:color w:val="000000" w:themeColor="text1"/>
              </w:rPr>
              <w:t>固体废物污染源强分析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根据项目二期工程内容及生产工艺，该项目二期工程产生的固体废物包括：废砖、袋式除尘器收集粉尘、生活垃圾。</w:t>
            </w:r>
          </w:p>
          <w:p>
            <w:pPr>
              <w:pStyle w:val="40"/>
              <w:ind w:firstLine="482"/>
              <w:rPr>
                <w:rFonts w:eastAsiaTheme="minorEastAsia"/>
                <w:color w:val="000000" w:themeColor="text1"/>
                <w:szCs w:val="24"/>
              </w:rPr>
            </w:pPr>
            <w:r>
              <w:rPr>
                <w:rFonts w:hint="eastAsia"/>
                <w:b/>
                <w:color w:val="000000" w:themeColor="text1"/>
              </w:rPr>
              <w:t>①</w:t>
            </w:r>
            <w:r>
              <w:rPr>
                <w:b/>
                <w:color w:val="000000" w:themeColor="text1"/>
              </w:rPr>
              <w:t>废砖</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根据生产工艺，项目</w:t>
            </w:r>
            <w:r>
              <w:rPr>
                <w:rFonts w:hint="eastAsia" w:ascii="Times New Roman" w:hAnsi="Times New Roman" w:cs="Times New Roman"/>
                <w:color w:val="000000" w:themeColor="text1"/>
                <w:sz w:val="24"/>
                <w:szCs w:val="24"/>
              </w:rPr>
              <w:t>检测过程中会出现，应成型养护不到位而产生的废砖，</w:t>
            </w:r>
            <w:r>
              <w:rPr>
                <w:rFonts w:ascii="Times New Roman" w:hAnsi="Times New Roman" w:cs="Times New Roman"/>
                <w:color w:val="000000" w:themeColor="text1"/>
                <w:sz w:val="24"/>
                <w:szCs w:val="24"/>
              </w:rPr>
              <w:t>根据《排放源统计调查产排污核算方法和系数手册》中“C3021 水泥制品制造行业系数手册”</w:t>
            </w:r>
            <w:r>
              <w:rPr>
                <w:rFonts w:hint="eastAsia" w:ascii="Times New Roman" w:hAnsi="Times New Roman" w:cs="Times New Roman"/>
                <w:color w:val="000000" w:themeColor="text1"/>
                <w:sz w:val="24"/>
                <w:szCs w:val="24"/>
              </w:rPr>
              <w:t xml:space="preserve"> 成型养护</w:t>
            </w:r>
            <w:r>
              <w:rPr>
                <w:rFonts w:ascii="Times New Roman" w:hAnsi="Times New Roman" w:cs="Times New Roman"/>
                <w:color w:val="000000" w:themeColor="text1"/>
                <w:sz w:val="24"/>
                <w:szCs w:val="24"/>
              </w:rPr>
              <w:t>过程</w:t>
            </w:r>
            <w:r>
              <w:rPr>
                <w:rFonts w:hint="eastAsia" w:ascii="Times New Roman" w:hAnsi="Times New Roman" w:cs="Times New Roman"/>
                <w:color w:val="000000" w:themeColor="text1"/>
                <w:sz w:val="24"/>
                <w:szCs w:val="24"/>
              </w:rPr>
              <w:t>固体废物</w:t>
            </w:r>
            <w:r>
              <w:rPr>
                <w:rFonts w:ascii="Times New Roman" w:hAnsi="Times New Roman" w:cs="Times New Roman"/>
                <w:color w:val="000000" w:themeColor="text1"/>
                <w:sz w:val="24"/>
                <w:szCs w:val="24"/>
              </w:rPr>
              <w:t>产污系数如下表所示。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w:t>
            </w:r>
            <w:r>
              <w:rPr>
                <w:rFonts w:hint="eastAsia" w:ascii="Times New Roman" w:hAnsi="Times New Roman" w:eastAsia="宋体" w:cs="Times New Roman"/>
                <w:b/>
                <w:color w:val="000000" w:themeColor="text1"/>
                <w:szCs w:val="24"/>
              </w:rPr>
              <w:t>4-2</w:t>
            </w:r>
            <w:r>
              <w:rPr>
                <w:rFonts w:ascii="Times New Roman" w:hAnsi="Times New Roman" w:eastAsia="宋体" w:cs="Times New Roman"/>
                <w:b/>
                <w:color w:val="000000" w:themeColor="text1"/>
                <w:szCs w:val="24"/>
              </w:rPr>
              <w:t xml:space="preserve">   3021 水泥制品制造行业系数表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2"/>
              <w:gridCol w:w="665"/>
              <w:gridCol w:w="857"/>
              <w:gridCol w:w="708"/>
              <w:gridCol w:w="709"/>
              <w:gridCol w:w="567"/>
              <w:gridCol w:w="709"/>
              <w:gridCol w:w="1133"/>
              <w:gridCol w:w="1139"/>
              <w:gridCol w:w="722"/>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2" w:type="dxa"/>
                  <w:vAlign w:val="center"/>
                </w:tcPr>
                <w:p>
                  <w:pPr>
                    <w:pStyle w:val="32"/>
                    <w:spacing w:line="360" w:lineRule="exact"/>
                    <w:rPr>
                      <w:color w:val="000000" w:themeColor="text1"/>
                      <w:szCs w:val="21"/>
                    </w:rPr>
                  </w:pPr>
                  <w:r>
                    <w:rPr>
                      <w:color w:val="000000" w:themeColor="text1"/>
                      <w:szCs w:val="21"/>
                    </w:rPr>
                    <w:t>工段名称</w:t>
                  </w:r>
                </w:p>
              </w:tc>
              <w:tc>
                <w:tcPr>
                  <w:tcW w:w="665"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产品名称</w:t>
                  </w:r>
                </w:p>
              </w:tc>
              <w:tc>
                <w:tcPr>
                  <w:tcW w:w="85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原料名称</w:t>
                  </w:r>
                </w:p>
              </w:tc>
              <w:tc>
                <w:tcPr>
                  <w:tcW w:w="708" w:type="dxa"/>
                  <w:vAlign w:val="center"/>
                </w:tcPr>
                <w:p>
                  <w:pPr>
                    <w:pStyle w:val="32"/>
                    <w:spacing w:line="360" w:lineRule="exact"/>
                    <w:rPr>
                      <w:color w:val="000000" w:themeColor="text1"/>
                      <w:szCs w:val="21"/>
                    </w:rPr>
                  </w:pPr>
                  <w:r>
                    <w:rPr>
                      <w:color w:val="000000" w:themeColor="text1"/>
                      <w:szCs w:val="21"/>
                    </w:rPr>
                    <w:t>工艺名称</w:t>
                  </w:r>
                </w:p>
              </w:tc>
              <w:tc>
                <w:tcPr>
                  <w:tcW w:w="709" w:type="dxa"/>
                  <w:vAlign w:val="center"/>
                </w:tcPr>
                <w:p>
                  <w:pPr>
                    <w:pStyle w:val="32"/>
                    <w:spacing w:line="360" w:lineRule="exact"/>
                    <w:rPr>
                      <w:color w:val="000000" w:themeColor="text1"/>
                      <w:szCs w:val="21"/>
                    </w:rPr>
                  </w:pPr>
                  <w:r>
                    <w:rPr>
                      <w:color w:val="000000" w:themeColor="text1"/>
                      <w:szCs w:val="21"/>
                    </w:rPr>
                    <w:t>规模等级</w:t>
                  </w:r>
                </w:p>
              </w:tc>
              <w:tc>
                <w:tcPr>
                  <w:tcW w:w="1276" w:type="dxa"/>
                  <w:gridSpan w:val="2"/>
                  <w:vAlign w:val="center"/>
                </w:tcPr>
                <w:p>
                  <w:pPr>
                    <w:pStyle w:val="32"/>
                    <w:spacing w:line="360" w:lineRule="exact"/>
                    <w:rPr>
                      <w:color w:val="000000" w:themeColor="text1"/>
                      <w:szCs w:val="21"/>
                    </w:rPr>
                  </w:pPr>
                  <w:r>
                    <w:rPr>
                      <w:color w:val="000000" w:themeColor="text1"/>
                      <w:szCs w:val="21"/>
                    </w:rPr>
                    <w:t>污染物指标</w:t>
                  </w:r>
                </w:p>
              </w:tc>
              <w:tc>
                <w:tcPr>
                  <w:tcW w:w="1133" w:type="dxa"/>
                  <w:vAlign w:val="center"/>
                </w:tcPr>
                <w:p>
                  <w:pPr>
                    <w:pStyle w:val="32"/>
                    <w:spacing w:line="360" w:lineRule="exact"/>
                    <w:rPr>
                      <w:color w:val="000000" w:themeColor="text1"/>
                      <w:szCs w:val="21"/>
                    </w:rPr>
                  </w:pPr>
                  <w:r>
                    <w:rPr>
                      <w:color w:val="000000" w:themeColor="text1"/>
                      <w:szCs w:val="21"/>
                    </w:rPr>
                    <w:t>系数单位</w:t>
                  </w:r>
                </w:p>
              </w:tc>
              <w:tc>
                <w:tcPr>
                  <w:tcW w:w="1139" w:type="dxa"/>
                  <w:vAlign w:val="center"/>
                </w:tcPr>
                <w:p>
                  <w:pPr>
                    <w:pStyle w:val="32"/>
                    <w:spacing w:line="360" w:lineRule="exact"/>
                    <w:rPr>
                      <w:color w:val="000000" w:themeColor="text1"/>
                      <w:szCs w:val="21"/>
                    </w:rPr>
                  </w:pPr>
                  <w:r>
                    <w:rPr>
                      <w:color w:val="000000" w:themeColor="text1"/>
                      <w:szCs w:val="21"/>
                    </w:rPr>
                    <w:t>产污系数</w:t>
                  </w:r>
                </w:p>
              </w:tc>
              <w:tc>
                <w:tcPr>
                  <w:tcW w:w="722" w:type="dxa"/>
                  <w:vAlign w:val="center"/>
                </w:tcPr>
                <w:p>
                  <w:pPr>
                    <w:pStyle w:val="32"/>
                    <w:spacing w:line="360" w:lineRule="exact"/>
                    <w:rPr>
                      <w:color w:val="000000" w:themeColor="text1"/>
                      <w:szCs w:val="21"/>
                    </w:rPr>
                  </w:pPr>
                  <w:r>
                    <w:rPr>
                      <w:color w:val="000000" w:themeColor="text1"/>
                      <w:szCs w:val="21"/>
                    </w:rPr>
                    <w:t>末端治理技术</w:t>
                  </w:r>
                </w:p>
              </w:tc>
              <w:tc>
                <w:tcPr>
                  <w:tcW w:w="904" w:type="dxa"/>
                  <w:vAlign w:val="center"/>
                </w:tcPr>
                <w:p>
                  <w:pPr>
                    <w:pStyle w:val="32"/>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2" w:type="dxa"/>
                  <w:vAlign w:val="center"/>
                </w:tcPr>
                <w:p>
                  <w:pPr>
                    <w:pStyle w:val="32"/>
                    <w:spacing w:line="360" w:lineRule="exact"/>
                    <w:rPr>
                      <w:color w:val="000000" w:themeColor="text1"/>
                      <w:szCs w:val="21"/>
                    </w:rPr>
                  </w:pPr>
                  <w:r>
                    <w:rPr>
                      <w:color w:val="000000" w:themeColor="text1"/>
                      <w:szCs w:val="21"/>
                    </w:rPr>
                    <w:t>物料输送</w:t>
                  </w:r>
                </w:p>
              </w:tc>
              <w:tc>
                <w:tcPr>
                  <w:tcW w:w="665"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各种水泥制品</w:t>
                  </w:r>
                </w:p>
              </w:tc>
              <w:tc>
                <w:tcPr>
                  <w:tcW w:w="857"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水泥、砂子、石子、钢筋</w:t>
                  </w:r>
                </w:p>
              </w:tc>
              <w:tc>
                <w:tcPr>
                  <w:tcW w:w="708" w:type="dxa"/>
                  <w:vAlign w:val="center"/>
                </w:tcPr>
                <w:p>
                  <w:pPr>
                    <w:pStyle w:val="32"/>
                    <w:spacing w:line="360" w:lineRule="exact"/>
                    <w:rPr>
                      <w:color w:val="000000" w:themeColor="text1"/>
                      <w:szCs w:val="21"/>
                    </w:rPr>
                  </w:pPr>
                  <w:r>
                    <w:rPr>
                      <w:rFonts w:hint="eastAsia"/>
                      <w:color w:val="000000" w:themeColor="text1"/>
                      <w:szCs w:val="21"/>
                    </w:rPr>
                    <w:t>成型养护</w:t>
                  </w:r>
                </w:p>
              </w:tc>
              <w:tc>
                <w:tcPr>
                  <w:tcW w:w="709" w:type="dxa"/>
                  <w:vAlign w:val="center"/>
                </w:tcPr>
                <w:p>
                  <w:pPr>
                    <w:pStyle w:val="32"/>
                    <w:spacing w:line="360" w:lineRule="exact"/>
                    <w:rPr>
                      <w:color w:val="000000" w:themeColor="text1"/>
                      <w:szCs w:val="21"/>
                    </w:rPr>
                  </w:pPr>
                  <w:r>
                    <w:rPr>
                      <w:color w:val="000000" w:themeColor="text1"/>
                      <w:szCs w:val="21"/>
                    </w:rPr>
                    <w:t>所有规模</w:t>
                  </w:r>
                </w:p>
              </w:tc>
              <w:tc>
                <w:tcPr>
                  <w:tcW w:w="567"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固废</w:t>
                  </w:r>
                </w:p>
              </w:tc>
              <w:tc>
                <w:tcPr>
                  <w:tcW w:w="709"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一般固体废物</w:t>
                  </w:r>
                </w:p>
              </w:tc>
              <w:tc>
                <w:tcPr>
                  <w:tcW w:w="1133" w:type="dxa"/>
                  <w:vAlign w:val="center"/>
                </w:tcPr>
                <w:p>
                  <w:pPr>
                    <w:pStyle w:val="32"/>
                    <w:spacing w:line="360" w:lineRule="exact"/>
                    <w:rPr>
                      <w:color w:val="000000" w:themeColor="text1"/>
                      <w:szCs w:val="21"/>
                    </w:rPr>
                  </w:pPr>
                  <w:r>
                    <w:rPr>
                      <w:rFonts w:hint="eastAsia"/>
                      <w:color w:val="000000" w:themeColor="text1"/>
                      <w:szCs w:val="21"/>
                    </w:rPr>
                    <w:t>吨</w:t>
                  </w:r>
                  <w:r>
                    <w:rPr>
                      <w:color w:val="000000" w:themeColor="text1"/>
                      <w:szCs w:val="21"/>
                    </w:rPr>
                    <w:t>/吨-产品</w:t>
                  </w:r>
                </w:p>
              </w:tc>
              <w:tc>
                <w:tcPr>
                  <w:tcW w:w="1139" w:type="dxa"/>
                  <w:vAlign w:val="center"/>
                </w:tcPr>
                <w:p>
                  <w:pPr>
                    <w:pStyle w:val="32"/>
                    <w:spacing w:line="360" w:lineRule="exact"/>
                    <w:rPr>
                      <w:color w:val="000000" w:themeColor="text1"/>
                      <w:szCs w:val="21"/>
                    </w:rPr>
                  </w:pPr>
                  <w:r>
                    <w:rPr>
                      <w:rFonts w:hint="eastAsia"/>
                      <w:color w:val="000000" w:themeColor="text1"/>
                      <w:szCs w:val="21"/>
                    </w:rPr>
                    <w:t>4.5×10</w:t>
                  </w:r>
                  <w:r>
                    <w:rPr>
                      <w:rFonts w:hint="eastAsia"/>
                      <w:color w:val="000000" w:themeColor="text1"/>
                      <w:szCs w:val="21"/>
                      <w:vertAlign w:val="superscript"/>
                    </w:rPr>
                    <w:t>-4</w:t>
                  </w:r>
                </w:p>
              </w:tc>
              <w:tc>
                <w:tcPr>
                  <w:tcW w:w="722" w:type="dxa"/>
                  <w:vAlign w:val="center"/>
                </w:tcPr>
                <w:p>
                  <w:pPr>
                    <w:pStyle w:val="32"/>
                    <w:spacing w:line="360" w:lineRule="exact"/>
                    <w:rPr>
                      <w:color w:val="000000" w:themeColor="text1"/>
                      <w:szCs w:val="21"/>
                    </w:rPr>
                  </w:pPr>
                  <w:r>
                    <w:rPr>
                      <w:color w:val="000000" w:themeColor="text1"/>
                      <w:szCs w:val="21"/>
                    </w:rPr>
                    <w:t>/</w:t>
                  </w:r>
                </w:p>
              </w:tc>
              <w:tc>
                <w:tcPr>
                  <w:tcW w:w="904" w:type="dxa"/>
                  <w:vAlign w:val="center"/>
                </w:tcPr>
                <w:p>
                  <w:pPr>
                    <w:pStyle w:val="32"/>
                    <w:spacing w:line="360" w:lineRule="exact"/>
                    <w:rPr>
                      <w:color w:val="000000" w:themeColor="text1"/>
                      <w:szCs w:val="21"/>
                    </w:rPr>
                  </w:pPr>
                  <w:r>
                    <w:rPr>
                      <w:color w:val="000000" w:themeColor="text1"/>
                      <w:szCs w:val="21"/>
                    </w:rPr>
                    <w:t>/</w:t>
                  </w:r>
                </w:p>
              </w:tc>
            </w:tr>
          </w:tbl>
          <w:p>
            <w:pPr>
              <w:pStyle w:val="40"/>
              <w:spacing w:beforeLines="50"/>
              <w:ind w:firstLine="480"/>
              <w:rPr>
                <w:rFonts w:eastAsiaTheme="minorEastAsia"/>
                <w:color w:val="000000" w:themeColor="text1"/>
                <w:szCs w:val="24"/>
              </w:rPr>
            </w:pPr>
            <w:r>
              <w:rPr>
                <w:rFonts w:hint="eastAsia" w:eastAsiaTheme="minorEastAsia"/>
                <w:color w:val="000000" w:themeColor="text1"/>
                <w:szCs w:val="24"/>
              </w:rPr>
              <w:t>根据项目主要产品及产能可知，项目</w:t>
            </w:r>
            <w:r>
              <w:rPr>
                <w:rFonts w:eastAsiaTheme="minorEastAsia"/>
                <w:color w:val="000000" w:themeColor="text1"/>
                <w:szCs w:val="24"/>
              </w:rPr>
              <w:t>水泥砖的总干重约19173.7t/a，</w:t>
            </w:r>
            <w:r>
              <w:rPr>
                <w:rFonts w:hint="eastAsia" w:eastAsiaTheme="minorEastAsia"/>
                <w:color w:val="000000" w:themeColor="text1"/>
                <w:szCs w:val="24"/>
              </w:rPr>
              <w:t>则</w:t>
            </w:r>
            <w:r>
              <w:rPr>
                <w:rFonts w:eastAsiaTheme="minorEastAsia"/>
                <w:color w:val="000000" w:themeColor="text1"/>
                <w:szCs w:val="24"/>
              </w:rPr>
              <w:t>废砖</w:t>
            </w:r>
            <w:r>
              <w:rPr>
                <w:rFonts w:hint="eastAsia" w:eastAsiaTheme="minorEastAsia"/>
                <w:color w:val="000000" w:themeColor="text1"/>
                <w:szCs w:val="24"/>
              </w:rPr>
              <w:t>产生量为8.63t/a，返回砂石骨料生产线处理，</w:t>
            </w:r>
            <w:r>
              <w:rPr>
                <w:rFonts w:eastAsiaTheme="minorEastAsia"/>
                <w:color w:val="000000" w:themeColor="text1"/>
                <w:szCs w:val="24"/>
              </w:rPr>
              <w:t>处置率为100%。</w:t>
            </w:r>
          </w:p>
          <w:p>
            <w:pPr>
              <w:pStyle w:val="40"/>
              <w:ind w:firstLine="482"/>
              <w:rPr>
                <w:b/>
                <w:color w:val="000000" w:themeColor="text1"/>
              </w:rPr>
            </w:pPr>
            <w:r>
              <w:rPr>
                <w:rFonts w:hint="eastAsia" w:ascii="宋体" w:hAnsi="宋体" w:cs="宋体"/>
                <w:b/>
                <w:color w:val="000000" w:themeColor="text1"/>
              </w:rPr>
              <w:t>②</w:t>
            </w:r>
            <w:r>
              <w:rPr>
                <w:b/>
                <w:color w:val="000000" w:themeColor="text1"/>
              </w:rPr>
              <w:t>袋式除尘器收集粉尘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w:t>
            </w:r>
            <w:r>
              <w:rPr>
                <w:rFonts w:ascii="Times New Roman" w:hAnsi="Times New Roman" w:cs="Times New Roman"/>
                <w:color w:val="000000" w:themeColor="text1"/>
                <w:sz w:val="24"/>
                <w:szCs w:val="24"/>
              </w:rPr>
              <w:t>水泥仓顶端设置1#袋式除尘器对其处理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搅拌混合工序</w:t>
            </w:r>
            <w:r>
              <w:rPr>
                <w:rFonts w:hint="eastAsia" w:ascii="Times New Roman" w:hAnsi="Times New Roman" w:cs="Times New Roman"/>
                <w:color w:val="000000" w:themeColor="text1"/>
                <w:sz w:val="24"/>
                <w:szCs w:val="24"/>
              </w:rPr>
              <w:t>设置</w:t>
            </w:r>
            <w:r>
              <w:rPr>
                <w:rFonts w:ascii="Times New Roman" w:hAnsi="Times New Roman" w:cs="Times New Roman"/>
                <w:color w:val="000000" w:themeColor="text1"/>
                <w:sz w:val="24"/>
                <w:szCs w:val="24"/>
              </w:rPr>
              <w:t>1台2#袋式除尘器进行处理，</w:t>
            </w:r>
            <w:r>
              <w:rPr>
                <w:rFonts w:hint="eastAsia" w:ascii="Times New Roman" w:hAnsi="Times New Roman" w:cs="Times New Roman"/>
                <w:color w:val="000000" w:themeColor="text1"/>
                <w:sz w:val="24"/>
                <w:szCs w:val="24"/>
              </w:rPr>
              <w:t>根据废气产排可知，</w:t>
            </w:r>
            <w:r>
              <w:rPr>
                <w:rFonts w:ascii="Times New Roman" w:hAnsi="Times New Roman" w:cs="Times New Roman"/>
                <w:color w:val="000000" w:themeColor="text1"/>
                <w:sz w:val="24"/>
                <w:szCs w:val="24"/>
              </w:rPr>
              <w:t>1#袋式除尘器</w:t>
            </w:r>
            <w:r>
              <w:rPr>
                <w:rFonts w:hint="eastAsia" w:ascii="Times New Roman" w:hAnsi="Times New Roman" w:cs="Times New Roman"/>
                <w:color w:val="000000" w:themeColor="text1"/>
                <w:sz w:val="24"/>
                <w:szCs w:val="24"/>
              </w:rPr>
              <w:t>收集粉尘量为0.4985t/a，其成分为水泥，直接返回水泥仓暂存后利用；2</w:t>
            </w:r>
            <w:r>
              <w:rPr>
                <w:rFonts w:ascii="Times New Roman" w:hAnsi="Times New Roman" w:cs="Times New Roman"/>
                <w:color w:val="000000" w:themeColor="text1"/>
                <w:sz w:val="24"/>
                <w:szCs w:val="24"/>
              </w:rPr>
              <w:t>#袋式除尘器</w:t>
            </w:r>
            <w:r>
              <w:rPr>
                <w:rFonts w:hint="eastAsia" w:ascii="Times New Roman" w:hAnsi="Times New Roman" w:cs="Times New Roman"/>
                <w:color w:val="000000" w:themeColor="text1"/>
                <w:sz w:val="24"/>
                <w:szCs w:val="24"/>
              </w:rPr>
              <w:t>收集粉尘量为9.0t/a，其主要成分为砂石骨料、水泥混合物，收集后作为水泥砖生产原料。处置率为100%。</w:t>
            </w:r>
          </w:p>
          <w:p>
            <w:pPr>
              <w:pStyle w:val="40"/>
              <w:ind w:firstLine="482"/>
              <w:rPr>
                <w:rFonts w:eastAsiaTheme="minorEastAsia"/>
                <w:b/>
                <w:color w:val="000000" w:themeColor="text1"/>
                <w:szCs w:val="24"/>
              </w:rPr>
            </w:pPr>
            <w:r>
              <w:rPr>
                <w:rFonts w:hint="eastAsia" w:eastAsiaTheme="minorEastAsia"/>
                <w:b/>
                <w:color w:val="000000" w:themeColor="text1"/>
                <w:szCs w:val="24"/>
              </w:rPr>
              <w:t>③二期工程</w:t>
            </w:r>
            <w:r>
              <w:rPr>
                <w:rFonts w:eastAsiaTheme="minorEastAsia"/>
                <w:b/>
                <w:color w:val="000000" w:themeColor="text1"/>
                <w:szCs w:val="24"/>
              </w:rPr>
              <w:t>生活垃圾</w:t>
            </w:r>
          </w:p>
          <w:p>
            <w:pPr>
              <w:pStyle w:val="40"/>
              <w:ind w:firstLine="480"/>
              <w:rPr>
                <w:rFonts w:eastAsiaTheme="minorEastAsia"/>
                <w:color w:val="000000" w:themeColor="text1"/>
                <w:szCs w:val="24"/>
              </w:rPr>
            </w:pPr>
            <w:r>
              <w:rPr>
                <w:rFonts w:eastAsiaTheme="minorEastAsia"/>
                <w:color w:val="000000" w:themeColor="text1"/>
                <w:szCs w:val="24"/>
              </w:rPr>
              <w:t>根据</w:t>
            </w:r>
            <w:r>
              <w:rPr>
                <w:rFonts w:hint="eastAsia" w:eastAsiaTheme="minorEastAsia"/>
                <w:color w:val="000000" w:themeColor="text1"/>
                <w:szCs w:val="24"/>
              </w:rPr>
              <w:t>劳动定员</w:t>
            </w:r>
            <w:r>
              <w:rPr>
                <w:rFonts w:eastAsiaTheme="minorEastAsia"/>
                <w:color w:val="000000" w:themeColor="text1"/>
                <w:szCs w:val="24"/>
              </w:rPr>
              <w:t>，该项目</w:t>
            </w:r>
            <w:r>
              <w:rPr>
                <w:rFonts w:hint="eastAsia" w:eastAsiaTheme="minorEastAsia"/>
                <w:color w:val="000000" w:themeColor="text1"/>
                <w:szCs w:val="24"/>
              </w:rPr>
              <w:t>二期工程</w:t>
            </w:r>
            <w:r>
              <w:rPr>
                <w:rFonts w:eastAsiaTheme="minorEastAsia"/>
                <w:color w:val="000000" w:themeColor="text1"/>
                <w:szCs w:val="24"/>
              </w:rPr>
              <w:t>拟定员工</w:t>
            </w:r>
            <w:r>
              <w:rPr>
                <w:rFonts w:hint="eastAsia" w:eastAsiaTheme="minorEastAsia"/>
                <w:color w:val="000000" w:themeColor="text1"/>
                <w:szCs w:val="24"/>
              </w:rPr>
              <w:t>1</w:t>
            </w:r>
            <w:r>
              <w:rPr>
                <w:rFonts w:eastAsiaTheme="minorEastAsia"/>
                <w:color w:val="000000" w:themeColor="text1"/>
                <w:szCs w:val="24"/>
              </w:rPr>
              <w:t>0人，生活产生量按</w:t>
            </w:r>
            <w:r>
              <w:rPr>
                <w:rFonts w:hint="eastAsia" w:eastAsiaTheme="minorEastAsia"/>
                <w:color w:val="000000" w:themeColor="text1"/>
                <w:szCs w:val="24"/>
              </w:rPr>
              <w:t>0.3</w:t>
            </w:r>
            <w:r>
              <w:rPr>
                <w:rFonts w:eastAsiaTheme="minorEastAsia"/>
                <w:color w:val="000000" w:themeColor="text1"/>
                <w:szCs w:val="24"/>
              </w:rPr>
              <w:t>kg/（人·d）计，则</w:t>
            </w:r>
            <w:r>
              <w:rPr>
                <w:rFonts w:hint="eastAsia" w:eastAsiaTheme="minorEastAsia"/>
                <w:color w:val="000000" w:themeColor="text1"/>
                <w:szCs w:val="24"/>
              </w:rPr>
              <w:t>二期工程</w:t>
            </w:r>
            <w:r>
              <w:rPr>
                <w:rFonts w:eastAsiaTheme="minorEastAsia"/>
                <w:color w:val="000000" w:themeColor="text1"/>
                <w:szCs w:val="24"/>
              </w:rPr>
              <w:t>生活垃圾产生量为</w:t>
            </w:r>
            <w:r>
              <w:rPr>
                <w:rFonts w:hint="eastAsia" w:eastAsiaTheme="minorEastAsia"/>
                <w:color w:val="000000" w:themeColor="text1"/>
                <w:szCs w:val="24"/>
              </w:rPr>
              <w:t>3</w:t>
            </w:r>
            <w:r>
              <w:rPr>
                <w:rFonts w:eastAsiaTheme="minorEastAsia"/>
                <w:color w:val="000000" w:themeColor="text1"/>
                <w:szCs w:val="24"/>
              </w:rPr>
              <w:t>kg/d（</w:t>
            </w:r>
            <w:r>
              <w:rPr>
                <w:rFonts w:hint="eastAsia" w:eastAsiaTheme="minorEastAsia"/>
                <w:color w:val="000000" w:themeColor="text1"/>
                <w:szCs w:val="24"/>
              </w:rPr>
              <w:t>0.99</w:t>
            </w:r>
            <w:r>
              <w:rPr>
                <w:rFonts w:eastAsiaTheme="minorEastAsia"/>
                <w:color w:val="000000" w:themeColor="text1"/>
                <w:szCs w:val="24"/>
              </w:rPr>
              <w:t>t/a）。生活垃圾集中收集后，委托环卫部门定期清运处置，处置率为100%。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40"/>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根据固体废物污染源强分析可知，项目产生的固体废物环境影响和保护措施分析具体如下：</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表4.2.4-3  固体废物环境影响和保护措施分析一览表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7"/>
              <w:gridCol w:w="675"/>
              <w:gridCol w:w="1009"/>
              <w:gridCol w:w="854"/>
              <w:gridCol w:w="853"/>
              <w:gridCol w:w="1831"/>
              <w:gridCol w:w="1811"/>
              <w:gridCol w:w="9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工程</w:t>
                  </w:r>
                </w:p>
              </w:tc>
              <w:tc>
                <w:tcPr>
                  <w:tcW w:w="6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产生环节</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名称</w:t>
                  </w:r>
                </w:p>
              </w:tc>
              <w:tc>
                <w:tcPr>
                  <w:tcW w:w="8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属性</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w:t>
                  </w:r>
                </w:p>
              </w:tc>
              <w:tc>
                <w:tcPr>
                  <w:tcW w:w="183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贮存方式</w:t>
                  </w:r>
                </w:p>
              </w:tc>
              <w:tc>
                <w:tcPr>
                  <w:tcW w:w="181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4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一期工程</w:t>
                  </w:r>
                </w:p>
              </w:tc>
              <w:tc>
                <w:tcPr>
                  <w:tcW w:w="6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砂石骨料生产废水处理系统</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含水污泥</w:t>
                  </w:r>
                </w:p>
              </w:tc>
              <w:tc>
                <w:tcPr>
                  <w:tcW w:w="8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5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31500t/a</w:t>
                  </w:r>
                </w:p>
              </w:tc>
              <w:tc>
                <w:tcPr>
                  <w:tcW w:w="1831"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4"/>
                    </w:rPr>
                    <w:t>不贮存，</w:t>
                  </w:r>
                  <w:r>
                    <w:rPr>
                      <w:rFonts w:hint="eastAsia" w:eastAsiaTheme="minorEastAsia"/>
                      <w:color w:val="000000" w:themeColor="text1"/>
                      <w:szCs w:val="24"/>
                    </w:rPr>
                    <w:t>管道输送依托处置</w:t>
                  </w:r>
                </w:p>
              </w:tc>
              <w:tc>
                <w:tcPr>
                  <w:tcW w:w="1811" w:type="dxa"/>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依托</w:t>
                  </w:r>
                  <w:r>
                    <w:rPr>
                      <w:rFonts w:eastAsiaTheme="minorEastAsia"/>
                      <w:color w:val="000000" w:themeColor="text1"/>
                      <w:szCs w:val="24"/>
                    </w:rPr>
                    <w:t>昆明市东川金水矿业有限责任公司牛厂坪尾矿充填环境综合治理项目进行井下充填处理</w:t>
                  </w:r>
                  <w:r>
                    <w:rPr>
                      <w:rFonts w:hint="eastAsia" w:eastAsiaTheme="minorEastAsia"/>
                      <w:color w:val="000000" w:themeColor="text1"/>
                      <w:szCs w:val="24"/>
                    </w:rPr>
                    <w:t>。</w:t>
                  </w:r>
                </w:p>
              </w:tc>
              <w:tc>
                <w:tcPr>
                  <w:tcW w:w="94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31500t/a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Merge w:val="continue"/>
                  <w:vAlign w:val="center"/>
                </w:tcPr>
                <w:p>
                  <w:pPr>
                    <w:pStyle w:val="32"/>
                    <w:spacing w:line="360" w:lineRule="exact"/>
                    <w:rPr>
                      <w:rFonts w:eastAsiaTheme="minorEastAsia"/>
                      <w:color w:val="000000" w:themeColor="text1"/>
                      <w:szCs w:val="21"/>
                    </w:rPr>
                  </w:pPr>
                </w:p>
              </w:tc>
              <w:tc>
                <w:tcPr>
                  <w:tcW w:w="675"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设备维护</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854"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831" w:type="dxa"/>
                  <w:vMerge w:val="restart"/>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厂区拟建设了1个10m²的危险废物贮存间对项目区产生的危险废物进行分类暂存。</w:t>
                  </w: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废机油部分用于生产设备润滑使用，无法使用部分委托有资质的单位处置。</w:t>
                  </w:r>
                </w:p>
              </w:tc>
              <w:tc>
                <w:tcPr>
                  <w:tcW w:w="94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Merge w:val="continue"/>
                  <w:vAlign w:val="center"/>
                </w:tcPr>
                <w:p>
                  <w:pPr>
                    <w:pStyle w:val="32"/>
                    <w:spacing w:line="360" w:lineRule="exact"/>
                    <w:rPr>
                      <w:rFonts w:eastAsiaTheme="minorEastAsia"/>
                      <w:color w:val="000000" w:themeColor="text1"/>
                      <w:szCs w:val="21"/>
                    </w:rPr>
                  </w:pPr>
                </w:p>
              </w:tc>
              <w:tc>
                <w:tcPr>
                  <w:tcW w:w="675" w:type="dxa"/>
                  <w:vMerge w:val="continue"/>
                  <w:vAlign w:val="center"/>
                </w:tcPr>
                <w:p>
                  <w:pPr>
                    <w:pStyle w:val="32"/>
                    <w:spacing w:line="360" w:lineRule="exact"/>
                    <w:rPr>
                      <w:rFonts w:eastAsiaTheme="minorEastAsia"/>
                      <w:color w:val="000000" w:themeColor="text1"/>
                      <w:szCs w:val="21"/>
                    </w:rPr>
                  </w:pP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54" w:type="dxa"/>
                  <w:vMerge w:val="continue"/>
                  <w:vAlign w:val="center"/>
                </w:tcPr>
                <w:p>
                  <w:pPr>
                    <w:pStyle w:val="32"/>
                    <w:spacing w:line="360" w:lineRule="exact"/>
                    <w:rPr>
                      <w:rFonts w:eastAsiaTheme="minorEastAsia"/>
                      <w:color w:val="000000" w:themeColor="text1"/>
                      <w:szCs w:val="21"/>
                    </w:rPr>
                  </w:pP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831" w:type="dxa"/>
                  <w:vMerge w:val="continue"/>
                  <w:vAlign w:val="center"/>
                </w:tcPr>
                <w:p>
                  <w:pPr>
                    <w:pStyle w:val="32"/>
                    <w:spacing w:line="360" w:lineRule="exact"/>
                    <w:ind w:firstLine="210" w:firstLineChars="100"/>
                    <w:jc w:val="both"/>
                    <w:rPr>
                      <w:rFonts w:eastAsiaTheme="minorEastAsia"/>
                      <w:color w:val="000000" w:themeColor="text1"/>
                      <w:szCs w:val="24"/>
                    </w:rPr>
                  </w:pP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委托有资质的单位处置。</w:t>
                  </w:r>
                </w:p>
              </w:tc>
              <w:tc>
                <w:tcPr>
                  <w:tcW w:w="94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二期工程</w:t>
                  </w:r>
                </w:p>
              </w:tc>
              <w:tc>
                <w:tcPr>
                  <w:tcW w:w="6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成型养护</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废砖</w:t>
                  </w:r>
                </w:p>
              </w:tc>
              <w:tc>
                <w:tcPr>
                  <w:tcW w:w="8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5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8.63t/a</w:t>
                  </w:r>
                </w:p>
              </w:tc>
              <w:tc>
                <w:tcPr>
                  <w:tcW w:w="183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不贮存，直接利用</w:t>
                  </w: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w:t>
                  </w:r>
                  <w:r>
                    <w:rPr>
                      <w:rFonts w:hint="eastAsia" w:eastAsiaTheme="minorEastAsia"/>
                      <w:color w:val="000000" w:themeColor="text1"/>
                      <w:szCs w:val="24"/>
                    </w:rPr>
                    <w:t>返回砂石骨料生产线处理</w:t>
                  </w:r>
                </w:p>
              </w:tc>
              <w:tc>
                <w:tcPr>
                  <w:tcW w:w="94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4"/>
                    </w:rPr>
                    <w:t>8.63t/a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Merge w:val="continue"/>
                  <w:vAlign w:val="center"/>
                </w:tcPr>
                <w:p>
                  <w:pPr>
                    <w:pStyle w:val="32"/>
                    <w:spacing w:line="360" w:lineRule="exact"/>
                    <w:rPr>
                      <w:rFonts w:eastAsiaTheme="minorEastAsia"/>
                      <w:color w:val="000000" w:themeColor="text1"/>
                      <w:szCs w:val="21"/>
                    </w:rPr>
                  </w:pPr>
                </w:p>
              </w:tc>
              <w:tc>
                <w:tcPr>
                  <w:tcW w:w="6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袋式除尘器收集粉尘</w:t>
                  </w:r>
                </w:p>
              </w:tc>
              <w:tc>
                <w:tcPr>
                  <w:tcW w:w="8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5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9.4985</w:t>
                  </w:r>
                  <w:r>
                    <w:rPr>
                      <w:rFonts w:eastAsiaTheme="minorEastAsia"/>
                      <w:color w:val="000000" w:themeColor="text1"/>
                      <w:szCs w:val="21"/>
                    </w:rPr>
                    <w:t>t/a</w:t>
                  </w:r>
                </w:p>
              </w:tc>
              <w:tc>
                <w:tcPr>
                  <w:tcW w:w="183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不贮存，直接利用</w:t>
                  </w: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1#袋式除尘器</w:t>
                  </w:r>
                  <w:r>
                    <w:rPr>
                      <w:rFonts w:hint="eastAsia" w:eastAsiaTheme="minorEastAsia"/>
                      <w:color w:val="000000" w:themeColor="text1"/>
                      <w:szCs w:val="24"/>
                    </w:rPr>
                    <w:t>收集粉尘直接返回水泥仓暂存后利用；2</w:t>
                  </w:r>
                  <w:r>
                    <w:rPr>
                      <w:rFonts w:eastAsiaTheme="minorEastAsia"/>
                      <w:color w:val="000000" w:themeColor="text1"/>
                      <w:szCs w:val="24"/>
                    </w:rPr>
                    <w:t>#袋式除尘器</w:t>
                  </w:r>
                  <w:r>
                    <w:rPr>
                      <w:rFonts w:hint="eastAsia" w:eastAsiaTheme="minorEastAsia"/>
                      <w:color w:val="000000" w:themeColor="text1"/>
                      <w:szCs w:val="24"/>
                    </w:rPr>
                    <w:t>收集粉尘收集后作为水泥砖生产原料。</w:t>
                  </w:r>
                </w:p>
              </w:tc>
              <w:tc>
                <w:tcPr>
                  <w:tcW w:w="94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9.4985</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675"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r>
                    <w:rPr>
                      <w:rFonts w:hint="eastAsia" w:eastAsiaTheme="minorEastAsia"/>
                      <w:color w:val="000000" w:themeColor="text1"/>
                      <w:szCs w:val="21"/>
                    </w:rPr>
                    <w:t>（纳入一期管理）</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生活垃圾</w:t>
                  </w:r>
                </w:p>
              </w:tc>
              <w:tc>
                <w:tcPr>
                  <w:tcW w:w="854"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生活固废</w:t>
                  </w:r>
                </w:p>
              </w:tc>
              <w:tc>
                <w:tcPr>
                  <w:tcW w:w="85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1.98</w:t>
                  </w:r>
                  <w:r>
                    <w:rPr>
                      <w:rFonts w:eastAsiaTheme="minorEastAsia"/>
                      <w:color w:val="000000" w:themeColor="text1"/>
                      <w:szCs w:val="21"/>
                    </w:rPr>
                    <w:t>t/a</w:t>
                  </w:r>
                </w:p>
              </w:tc>
              <w:tc>
                <w:tcPr>
                  <w:tcW w:w="183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使用垃圾桶集中收集，日产日清。</w:t>
                  </w: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94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1.98</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Merge w:val="continue"/>
                  <w:vAlign w:val="center"/>
                </w:tcPr>
                <w:p>
                  <w:pPr>
                    <w:pStyle w:val="32"/>
                    <w:spacing w:line="360" w:lineRule="exact"/>
                    <w:rPr>
                      <w:rFonts w:eastAsiaTheme="minorEastAsia"/>
                      <w:color w:val="000000" w:themeColor="text1"/>
                      <w:szCs w:val="21"/>
                    </w:rPr>
                  </w:pPr>
                </w:p>
              </w:tc>
              <w:tc>
                <w:tcPr>
                  <w:tcW w:w="675" w:type="dxa"/>
                  <w:vMerge w:val="continue"/>
                  <w:vAlign w:val="center"/>
                </w:tcPr>
                <w:p>
                  <w:pPr>
                    <w:pStyle w:val="32"/>
                    <w:spacing w:line="360" w:lineRule="exact"/>
                    <w:rPr>
                      <w:rFonts w:eastAsiaTheme="minorEastAsia"/>
                      <w:color w:val="000000" w:themeColor="text1"/>
                      <w:szCs w:val="21"/>
                    </w:rPr>
                  </w:pP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854" w:type="dxa"/>
                  <w:vMerge w:val="continue"/>
                  <w:vAlign w:val="center"/>
                </w:tcPr>
                <w:p>
                  <w:pPr>
                    <w:pStyle w:val="32"/>
                    <w:spacing w:line="360" w:lineRule="exact"/>
                    <w:rPr>
                      <w:rFonts w:eastAsiaTheme="minorEastAsia"/>
                      <w:color w:val="000000" w:themeColor="text1"/>
                      <w:szCs w:val="21"/>
                    </w:rPr>
                  </w:pP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0.21t/a</w:t>
                  </w:r>
                </w:p>
              </w:tc>
              <w:tc>
                <w:tcPr>
                  <w:tcW w:w="183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即清即运，不贮存</w:t>
                  </w: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委托环卫部门清运处理</w:t>
                  </w:r>
                </w:p>
              </w:tc>
              <w:tc>
                <w:tcPr>
                  <w:tcW w:w="94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0.21t/a</w:t>
                  </w:r>
                </w:p>
              </w:tc>
            </w:tr>
          </w:tbl>
          <w:p>
            <w:pPr>
              <w:pStyle w:val="40"/>
              <w:spacing w:beforeLines="50"/>
              <w:ind w:firstLine="480"/>
              <w:rPr>
                <w:rFonts w:eastAsiaTheme="minorEastAsia"/>
                <w:color w:val="000000" w:themeColor="text1"/>
                <w:szCs w:val="21"/>
              </w:rPr>
            </w:pPr>
            <w:r>
              <w:rPr>
                <w:rFonts w:eastAsiaTheme="minorEastAsia"/>
                <w:color w:val="000000" w:themeColor="text1"/>
                <w:szCs w:val="21"/>
              </w:rPr>
              <w:t>由上表可知，项目针对固废废物采取的保护措施具体实施如下：</w:t>
            </w:r>
          </w:p>
          <w:p>
            <w:pPr>
              <w:pStyle w:val="40"/>
              <w:ind w:firstLine="480"/>
              <w:rPr>
                <w:color w:val="000000" w:themeColor="text1"/>
                <w:szCs w:val="24"/>
              </w:rPr>
            </w:pPr>
            <w:r>
              <w:rPr>
                <w:rFonts w:hint="eastAsia"/>
                <w:color w:val="000000" w:themeColor="text1"/>
                <w:szCs w:val="24"/>
              </w:rPr>
              <w:t>①</w:t>
            </w:r>
            <w:r>
              <w:rPr>
                <w:color w:val="000000" w:themeColor="text1"/>
                <w:szCs w:val="24"/>
              </w:rPr>
              <w:t>项目产生的含水污泥</w:t>
            </w:r>
            <w:r>
              <w:rPr>
                <w:rFonts w:hint="eastAsia"/>
                <w:color w:val="000000" w:themeColor="text1"/>
                <w:szCs w:val="24"/>
              </w:rPr>
              <w:t>、</w:t>
            </w:r>
            <w:r>
              <w:rPr>
                <w:color w:val="000000" w:themeColor="text1"/>
                <w:szCs w:val="24"/>
              </w:rPr>
              <w:t>废砖、袋式除尘器收集粉尘</w:t>
            </w:r>
            <w:r>
              <w:rPr>
                <w:rFonts w:hint="eastAsia"/>
                <w:color w:val="000000" w:themeColor="text1"/>
                <w:szCs w:val="24"/>
              </w:rPr>
              <w:t>为一般工业固废，其中</w:t>
            </w:r>
            <w:r>
              <w:rPr>
                <w:color w:val="000000" w:themeColor="text1"/>
                <w:szCs w:val="24"/>
              </w:rPr>
              <w:t>含水污泥</w:t>
            </w:r>
            <w:r>
              <w:rPr>
                <w:rFonts w:hint="eastAsia"/>
                <w:color w:val="000000" w:themeColor="text1"/>
                <w:szCs w:val="24"/>
              </w:rPr>
              <w:t>依托</w:t>
            </w:r>
            <w:r>
              <w:rPr>
                <w:color w:val="000000" w:themeColor="text1"/>
                <w:szCs w:val="24"/>
              </w:rPr>
              <w:t>昆明市东川金水矿业有限责任公司牛厂坪尾矿充填环境综合治理项目进行井下充填处理</w:t>
            </w:r>
            <w:r>
              <w:rPr>
                <w:rFonts w:hint="eastAsia"/>
                <w:color w:val="000000" w:themeColor="text1"/>
                <w:szCs w:val="24"/>
              </w:rPr>
              <w:t>；</w:t>
            </w:r>
            <w:r>
              <w:rPr>
                <w:color w:val="000000" w:themeColor="text1"/>
                <w:szCs w:val="24"/>
              </w:rPr>
              <w:t>废砖直接</w:t>
            </w:r>
            <w:r>
              <w:rPr>
                <w:rFonts w:hint="eastAsia"/>
                <w:color w:val="000000" w:themeColor="text1"/>
                <w:szCs w:val="24"/>
              </w:rPr>
              <w:t>返回砂石骨料生产线处理；而</w:t>
            </w:r>
            <w:r>
              <w:rPr>
                <w:color w:val="000000" w:themeColor="text1"/>
                <w:szCs w:val="24"/>
              </w:rPr>
              <w:t>1#袋式除尘器</w:t>
            </w:r>
            <w:r>
              <w:rPr>
                <w:rFonts w:hint="eastAsia"/>
                <w:color w:val="000000" w:themeColor="text1"/>
                <w:szCs w:val="24"/>
              </w:rPr>
              <w:t>收集粉尘直接返回水泥仓暂存后利用，2</w:t>
            </w:r>
            <w:r>
              <w:rPr>
                <w:color w:val="000000" w:themeColor="text1"/>
                <w:szCs w:val="24"/>
              </w:rPr>
              <w:t>#袋式除尘器</w:t>
            </w:r>
            <w:r>
              <w:rPr>
                <w:rFonts w:hint="eastAsia"/>
                <w:color w:val="000000" w:themeColor="text1"/>
                <w:szCs w:val="24"/>
              </w:rPr>
              <w:t>收集粉尘收集后作为水泥砖生产原料；均可得到合理处置。</w:t>
            </w:r>
          </w:p>
          <w:p>
            <w:pPr>
              <w:pStyle w:val="40"/>
              <w:ind w:firstLine="480"/>
              <w:rPr>
                <w:color w:val="000000" w:themeColor="text1"/>
                <w:szCs w:val="24"/>
              </w:rPr>
            </w:pPr>
            <w:r>
              <w:rPr>
                <w:color w:val="000000" w:themeColor="text1"/>
                <w:szCs w:val="24"/>
              </w:rPr>
              <w:t>②针对项目产生的废机油和废弃沾油抹布，厂区拟建设了1个10m²的危险废物贮存间对项目区产生的危险废物进行分类暂存。废机油部分用于生产设备润滑使用，无法使用部分委托有资质的单位处置，要求项目危险废物贮存间严格进行地面和裙墙防腐防渗，内部设置导流渠和收集池，规范设置标识标牌等。</w:t>
            </w:r>
          </w:p>
          <w:p>
            <w:pPr>
              <w:pStyle w:val="40"/>
              <w:ind w:firstLine="480"/>
              <w:rPr>
                <w:color w:val="000000" w:themeColor="text1"/>
                <w:szCs w:val="24"/>
              </w:rPr>
            </w:pPr>
            <w:r>
              <w:rPr>
                <w:color w:val="000000" w:themeColor="text1"/>
                <w:szCs w:val="24"/>
              </w:rPr>
              <w:t>③针对员工生活产生的生活固废，其中生活垃圾、污水处理设施污泥委托环卫部门定期清运处置。</w:t>
            </w:r>
          </w:p>
          <w:p>
            <w:pPr>
              <w:pStyle w:val="40"/>
              <w:ind w:firstLine="480"/>
              <w:rPr>
                <w:color w:val="000000" w:themeColor="text1"/>
                <w:szCs w:val="24"/>
              </w:rPr>
            </w:pPr>
            <w:r>
              <w:rPr>
                <w:color w:val="000000" w:themeColor="text1"/>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（2）环境管理要求</w:t>
            </w:r>
          </w:p>
          <w:p>
            <w:pPr>
              <w:pStyle w:val="40"/>
              <w:ind w:firstLine="482"/>
              <w:rPr>
                <w:rFonts w:eastAsiaTheme="minorEastAsia"/>
                <w:b/>
                <w:color w:val="000000" w:themeColor="text1"/>
                <w:szCs w:val="24"/>
              </w:rPr>
            </w:pPr>
            <w:r>
              <w:rPr>
                <w:b/>
                <w:color w:val="000000" w:themeColor="text1"/>
                <w:szCs w:val="24"/>
              </w:rPr>
              <w:t>①</w:t>
            </w:r>
            <w:r>
              <w:rPr>
                <w:rFonts w:eastAsiaTheme="minorEastAsia"/>
                <w:b/>
                <w:color w:val="000000" w:themeColor="text1"/>
                <w:szCs w:val="24"/>
              </w:rPr>
              <w:t>危险废物管理要求</w:t>
            </w:r>
          </w:p>
          <w:p>
            <w:pPr>
              <w:pStyle w:val="40"/>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表4.2.4-4 项目危险废物管理要求一览表</w:t>
            </w:r>
          </w:p>
          <w:tbl>
            <w:tblPr>
              <w:tblStyle w:val="21"/>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7"/>
              <w:gridCol w:w="816"/>
              <w:gridCol w:w="7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32"/>
                    <w:spacing w:before="78"/>
                    <w:ind w:left="11"/>
                    <w:rPr>
                      <w:rFonts w:eastAsiaTheme="minorEastAsia"/>
                      <w:color w:val="000000" w:themeColor="text1"/>
                    </w:rPr>
                  </w:pPr>
                  <w:r>
                    <w:rPr>
                      <w:rFonts w:eastAsiaTheme="minorEastAsia"/>
                      <w:color w:val="000000" w:themeColor="text1"/>
                    </w:rPr>
                    <w:t>序号</w:t>
                  </w:r>
                </w:p>
              </w:tc>
              <w:tc>
                <w:tcPr>
                  <w:tcW w:w="816" w:type="dxa"/>
                  <w:vAlign w:val="center"/>
                </w:tcPr>
                <w:p>
                  <w:pPr>
                    <w:pStyle w:val="32"/>
                    <w:spacing w:before="78"/>
                    <w:ind w:left="11"/>
                    <w:rPr>
                      <w:rFonts w:eastAsiaTheme="minorEastAsia"/>
                      <w:color w:val="000000" w:themeColor="text1"/>
                    </w:rPr>
                  </w:pPr>
                  <w:r>
                    <w:rPr>
                      <w:rFonts w:eastAsiaTheme="minorEastAsia"/>
                      <w:color w:val="000000" w:themeColor="text1"/>
                    </w:rPr>
                    <w:t>环节</w:t>
                  </w:r>
                </w:p>
              </w:tc>
              <w:tc>
                <w:tcPr>
                  <w:tcW w:w="7272" w:type="dxa"/>
                  <w:vAlign w:val="center"/>
                </w:tcPr>
                <w:p>
                  <w:pPr>
                    <w:pStyle w:val="32"/>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32"/>
                    <w:spacing w:before="78"/>
                    <w:ind w:left="11"/>
                    <w:rPr>
                      <w:rFonts w:eastAsiaTheme="minorEastAsia"/>
                      <w:color w:val="000000" w:themeColor="text1"/>
                    </w:rPr>
                  </w:pPr>
                  <w:r>
                    <w:rPr>
                      <w:rFonts w:eastAsiaTheme="minorEastAsia"/>
                      <w:color w:val="000000" w:themeColor="text1"/>
                    </w:rPr>
                    <w:t>1</w:t>
                  </w:r>
                </w:p>
              </w:tc>
              <w:tc>
                <w:tcPr>
                  <w:tcW w:w="816" w:type="dxa"/>
                  <w:vAlign w:val="center"/>
                </w:tcPr>
                <w:p>
                  <w:pPr>
                    <w:pStyle w:val="32"/>
                    <w:spacing w:before="78"/>
                    <w:ind w:left="11"/>
                    <w:rPr>
                      <w:rFonts w:eastAsiaTheme="minorEastAsia"/>
                      <w:color w:val="000000" w:themeColor="text1"/>
                    </w:rPr>
                  </w:pPr>
                  <w:r>
                    <w:rPr>
                      <w:rFonts w:eastAsiaTheme="minorEastAsia"/>
                      <w:color w:val="000000" w:themeColor="text1"/>
                    </w:rPr>
                    <w:t>收集过程</w:t>
                  </w:r>
                </w:p>
              </w:tc>
              <w:tc>
                <w:tcPr>
                  <w:tcW w:w="7272"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32"/>
                    <w:spacing w:before="78"/>
                    <w:ind w:left="11"/>
                    <w:rPr>
                      <w:rFonts w:eastAsiaTheme="minorEastAsia"/>
                      <w:color w:val="000000" w:themeColor="text1"/>
                    </w:rPr>
                  </w:pPr>
                  <w:r>
                    <w:rPr>
                      <w:rFonts w:eastAsiaTheme="minorEastAsia"/>
                      <w:color w:val="000000" w:themeColor="text1"/>
                    </w:rPr>
                    <w:t>2</w:t>
                  </w:r>
                </w:p>
              </w:tc>
              <w:tc>
                <w:tcPr>
                  <w:tcW w:w="816" w:type="dxa"/>
                  <w:vAlign w:val="center"/>
                </w:tcPr>
                <w:p>
                  <w:pPr>
                    <w:pStyle w:val="32"/>
                    <w:spacing w:before="78"/>
                    <w:ind w:left="11"/>
                    <w:rPr>
                      <w:rFonts w:eastAsiaTheme="minorEastAsia"/>
                      <w:color w:val="000000" w:themeColor="text1"/>
                    </w:rPr>
                  </w:pPr>
                  <w:r>
                    <w:rPr>
                      <w:rFonts w:eastAsiaTheme="minorEastAsia"/>
                      <w:color w:val="000000" w:themeColor="text1"/>
                    </w:rPr>
                    <w:t>贮存过程</w:t>
                  </w:r>
                </w:p>
              </w:tc>
              <w:tc>
                <w:tcPr>
                  <w:tcW w:w="7272" w:type="dxa"/>
                  <w:vAlign w:val="center"/>
                </w:tcPr>
                <w:p>
                  <w:pPr>
                    <w:pStyle w:val="32"/>
                    <w:spacing w:before="78"/>
                    <w:ind w:left="11" w:firstLine="210" w:firstLineChars="100"/>
                    <w:jc w:val="left"/>
                    <w:rPr>
                      <w:rFonts w:eastAsiaTheme="minorEastAsia"/>
                      <w:color w:val="000000" w:themeColor="text1"/>
                    </w:rPr>
                  </w:pPr>
                  <w:r>
                    <w:rPr>
                      <w:color w:val="000000" w:themeColor="text1"/>
                    </w:rPr>
                    <w:t>①</w:t>
                  </w:r>
                  <w:r>
                    <w:rPr>
                      <w:rFonts w:eastAsiaTheme="minorEastAsia"/>
                      <w:color w:val="000000" w:themeColor="text1"/>
                    </w:rPr>
                    <w:t>要做好危险废物贮存间的防渗、防泄漏工作。</w:t>
                  </w:r>
                </w:p>
                <w:p>
                  <w:pPr>
                    <w:pStyle w:val="32"/>
                    <w:spacing w:before="78"/>
                    <w:ind w:left="11" w:firstLine="210" w:firstLineChars="100"/>
                    <w:jc w:val="left"/>
                    <w:rPr>
                      <w:rFonts w:eastAsiaTheme="minorEastAsia"/>
                      <w:color w:val="000000" w:themeColor="text1"/>
                    </w:rPr>
                  </w:pPr>
                  <w:r>
                    <w:rPr>
                      <w:color w:val="000000" w:themeColor="text1"/>
                    </w:rPr>
                    <w:t>②</w:t>
                  </w:r>
                  <w:r>
                    <w:rPr>
                      <w:rFonts w:eastAsiaTheme="minorEastAsia"/>
                      <w:color w:val="000000" w:themeColor="text1"/>
                    </w:rPr>
                    <w:t>危险废物堆场必须封顶，并做好防雨工作，场内须做好防渗措施。</w:t>
                  </w:r>
                </w:p>
                <w:p>
                  <w:pPr>
                    <w:pStyle w:val="32"/>
                    <w:spacing w:before="78"/>
                    <w:ind w:left="11" w:firstLine="210" w:firstLineChars="100"/>
                    <w:jc w:val="left"/>
                    <w:rPr>
                      <w:rFonts w:eastAsiaTheme="minorEastAsia"/>
                      <w:color w:val="000000" w:themeColor="text1"/>
                    </w:rPr>
                  </w:pPr>
                  <w:r>
                    <w:rPr>
                      <w:color w:val="000000" w:themeColor="text1"/>
                    </w:rPr>
                    <w:t>③</w:t>
                  </w:r>
                  <w:r>
                    <w:rPr>
                      <w:rFonts w:eastAsiaTheme="minorEastAsia"/>
                      <w:color w:val="000000" w:themeColor="text1"/>
                    </w:rPr>
                    <w:t>危险废物需用符合标准的容器盛装，容器上需粘贴符合《危险废物贮存污染控制标准》（GB18597-2001）附录A所示的标签。</w:t>
                  </w:r>
                </w:p>
                <w:p>
                  <w:pPr>
                    <w:pStyle w:val="32"/>
                    <w:spacing w:before="78"/>
                    <w:ind w:left="11" w:firstLine="210" w:firstLineChars="100"/>
                    <w:jc w:val="left"/>
                    <w:rPr>
                      <w:rFonts w:eastAsiaTheme="minorEastAsia"/>
                      <w:color w:val="000000" w:themeColor="text1"/>
                    </w:rPr>
                  </w:pPr>
                  <w:r>
                    <w:rPr>
                      <w:color w:val="000000" w:themeColor="text1"/>
                    </w:rPr>
                    <w:t>④</w:t>
                  </w:r>
                  <w:r>
                    <w:rPr>
                      <w:rFonts w:eastAsiaTheme="minorEastAsia"/>
                      <w:color w:val="000000" w:themeColor="text1"/>
                    </w:rPr>
                    <w:t>危险废物贮存间必须按GB15562.2《环境保护图形标志—固体废物贮存（处置）场》的规定设置警示标志。</w:t>
                  </w:r>
                </w:p>
                <w:p>
                  <w:pPr>
                    <w:pStyle w:val="32"/>
                    <w:spacing w:before="78"/>
                    <w:ind w:left="11" w:firstLine="210" w:firstLineChars="100"/>
                    <w:jc w:val="left"/>
                    <w:rPr>
                      <w:rFonts w:eastAsiaTheme="minorEastAsia"/>
                      <w:color w:val="000000" w:themeColor="text1"/>
                    </w:rPr>
                  </w:pPr>
                  <w:r>
                    <w:rPr>
                      <w:color w:val="000000" w:themeColor="text1"/>
                    </w:rPr>
                    <w:t>⑤</w:t>
                  </w:r>
                  <w:r>
                    <w:rPr>
                      <w:rFonts w:eastAsiaTheme="minorEastAsia"/>
                      <w:color w:val="000000" w:themeColor="text1"/>
                    </w:rPr>
                    <w:t>装载危险废物的容器要满足相应的强度要求，必须完好无损。</w:t>
                  </w:r>
                </w:p>
                <w:p>
                  <w:pPr>
                    <w:pStyle w:val="32"/>
                    <w:spacing w:before="78"/>
                    <w:ind w:left="11" w:firstLine="210" w:firstLineChars="100"/>
                    <w:jc w:val="left"/>
                    <w:rPr>
                      <w:rFonts w:eastAsiaTheme="minorEastAsia"/>
                      <w:color w:val="000000" w:themeColor="text1"/>
                    </w:rPr>
                  </w:pPr>
                  <w:r>
                    <w:rPr>
                      <w:color w:val="000000" w:themeColor="text1"/>
                    </w:rPr>
                    <w:t>⑥</w:t>
                  </w:r>
                  <w:r>
                    <w:rPr>
                      <w:rFonts w:eastAsiaTheme="minorEastAsia"/>
                      <w:color w:val="000000" w:themeColor="text1"/>
                    </w:rPr>
                    <w:t>盛装危险废物的容器材质和衬里要与危险废物性质相容（不相互反应）。</w:t>
                  </w:r>
                </w:p>
                <w:p>
                  <w:pPr>
                    <w:pStyle w:val="32"/>
                    <w:spacing w:before="78"/>
                    <w:ind w:left="11" w:firstLine="210" w:firstLineChars="100"/>
                    <w:jc w:val="left"/>
                    <w:rPr>
                      <w:rFonts w:eastAsiaTheme="minorEastAsia"/>
                      <w:color w:val="000000" w:themeColor="text1"/>
                    </w:rPr>
                  </w:pPr>
                  <w:r>
                    <w:rPr>
                      <w:color w:val="000000" w:themeColor="text1"/>
                    </w:rPr>
                    <w:t>⑦</w:t>
                  </w:r>
                  <w:r>
                    <w:rPr>
                      <w:rFonts w:eastAsiaTheme="minorEastAsia"/>
                      <w:color w:val="000000" w:themeColor="text1"/>
                    </w:rPr>
                    <w:t>盛装危险废物容器都应有防漏裙脚或储漏盘，防漏裙脚或储漏盘的材料要与危险废物相容。</w:t>
                  </w:r>
                </w:p>
                <w:p>
                  <w:pPr>
                    <w:pStyle w:val="32"/>
                    <w:spacing w:before="78"/>
                    <w:ind w:left="11" w:firstLine="210" w:firstLineChars="100"/>
                    <w:jc w:val="left"/>
                    <w:rPr>
                      <w:rFonts w:eastAsiaTheme="minorEastAsia"/>
                      <w:color w:val="000000" w:themeColor="text1"/>
                    </w:rPr>
                  </w:pPr>
                  <w:r>
                    <w:rPr>
                      <w:color w:val="000000" w:themeColor="text1"/>
                    </w:rPr>
                    <w:t>⑧</w:t>
                  </w:r>
                  <w:r>
                    <w:rPr>
                      <w:rFonts w:eastAsiaTheme="minorEastAsia"/>
                      <w:color w:val="000000" w:themeColor="text1"/>
                    </w:rPr>
                    <w:t>作好危险废物贮存情况的记录，记录上须注明危险废物的名称、来源、数量、特性和包装容器的类别、入库日期、存放库位、废物出库日期及接收单位名称。记录和货单在危险废物处置后继续保留三年。</w:t>
                  </w:r>
                </w:p>
                <w:p>
                  <w:pPr>
                    <w:pStyle w:val="32"/>
                    <w:spacing w:before="78"/>
                    <w:ind w:left="11" w:firstLine="210" w:firstLineChars="100"/>
                    <w:jc w:val="left"/>
                    <w:rPr>
                      <w:rFonts w:eastAsiaTheme="minorEastAsia"/>
                      <w:color w:val="000000" w:themeColor="text1"/>
                    </w:rPr>
                  </w:pPr>
                  <w:r>
                    <w:rPr>
                      <w:color w:val="000000" w:themeColor="text1"/>
                    </w:rPr>
                    <w:t>⑨</w:t>
                  </w:r>
                  <w:r>
                    <w:rPr>
                      <w:rFonts w:eastAsiaTheme="minorEastAsia"/>
                      <w:color w:val="000000" w:themeColor="text1"/>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32"/>
                    <w:spacing w:before="78"/>
                    <w:ind w:left="11"/>
                    <w:rPr>
                      <w:rFonts w:eastAsiaTheme="minorEastAsia"/>
                      <w:color w:val="000000" w:themeColor="text1"/>
                    </w:rPr>
                  </w:pPr>
                  <w:r>
                    <w:rPr>
                      <w:rFonts w:eastAsiaTheme="minorEastAsia"/>
                      <w:color w:val="000000" w:themeColor="text1"/>
                    </w:rPr>
                    <w:t>3</w:t>
                  </w:r>
                </w:p>
              </w:tc>
              <w:tc>
                <w:tcPr>
                  <w:tcW w:w="816" w:type="dxa"/>
                  <w:vAlign w:val="center"/>
                </w:tcPr>
                <w:p>
                  <w:pPr>
                    <w:pStyle w:val="32"/>
                    <w:spacing w:before="78"/>
                    <w:ind w:left="11"/>
                    <w:rPr>
                      <w:rFonts w:eastAsiaTheme="minorEastAsia"/>
                      <w:color w:val="000000" w:themeColor="text1"/>
                    </w:rPr>
                  </w:pPr>
                  <w:r>
                    <w:rPr>
                      <w:rFonts w:eastAsiaTheme="minorEastAsia"/>
                      <w:color w:val="000000" w:themeColor="text1"/>
                    </w:rPr>
                    <w:t>委托转移</w:t>
                  </w:r>
                </w:p>
              </w:tc>
              <w:tc>
                <w:tcPr>
                  <w:tcW w:w="7272"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32"/>
                    <w:spacing w:before="78"/>
                    <w:ind w:left="11"/>
                    <w:rPr>
                      <w:rFonts w:eastAsiaTheme="minorEastAsia"/>
                      <w:color w:val="000000" w:themeColor="text1"/>
                    </w:rPr>
                  </w:pPr>
                  <w:r>
                    <w:rPr>
                      <w:rFonts w:eastAsiaTheme="minorEastAsia"/>
                      <w:color w:val="000000" w:themeColor="text1"/>
                    </w:rPr>
                    <w:t>4</w:t>
                  </w:r>
                </w:p>
              </w:tc>
              <w:tc>
                <w:tcPr>
                  <w:tcW w:w="816" w:type="dxa"/>
                  <w:vAlign w:val="center"/>
                </w:tcPr>
                <w:p>
                  <w:pPr>
                    <w:pStyle w:val="32"/>
                    <w:spacing w:before="78"/>
                    <w:ind w:left="11"/>
                    <w:rPr>
                      <w:rFonts w:eastAsiaTheme="minorEastAsia"/>
                      <w:color w:val="000000" w:themeColor="text1"/>
                    </w:rPr>
                  </w:pPr>
                  <w:r>
                    <w:rPr>
                      <w:rFonts w:eastAsiaTheme="minorEastAsia"/>
                      <w:color w:val="000000" w:themeColor="text1"/>
                    </w:rPr>
                    <w:t>危险废物贮存间的建设及管理</w:t>
                  </w:r>
                </w:p>
              </w:tc>
              <w:tc>
                <w:tcPr>
                  <w:tcW w:w="7272" w:type="dxa"/>
                  <w:vAlign w:val="center"/>
                </w:tcPr>
                <w:p>
                  <w:pPr>
                    <w:pStyle w:val="32"/>
                    <w:spacing w:before="78"/>
                    <w:ind w:left="11" w:firstLine="210" w:firstLineChars="100"/>
                    <w:jc w:val="left"/>
                    <w:rPr>
                      <w:rFonts w:eastAsiaTheme="minorEastAsia"/>
                      <w:color w:val="000000" w:themeColor="text1"/>
                    </w:rPr>
                  </w:pPr>
                  <w:r>
                    <w:rPr>
                      <w:color w:val="000000" w:themeColor="text1"/>
                    </w:rPr>
                    <w:t>①</w:t>
                  </w:r>
                  <w:r>
                    <w:rPr>
                      <w:rFonts w:eastAsiaTheme="minorEastAsia"/>
                      <w:color w:val="000000" w:themeColor="text1"/>
                    </w:rPr>
                    <w:t>危险废物贮存间必须要密闭建设，门口内侧设立围堰，地面应做好硬化及“三防”措施；</w:t>
                  </w:r>
                </w:p>
                <w:p>
                  <w:pPr>
                    <w:pStyle w:val="32"/>
                    <w:spacing w:before="78"/>
                    <w:ind w:left="11" w:firstLine="210" w:firstLineChars="100"/>
                    <w:jc w:val="left"/>
                    <w:rPr>
                      <w:rFonts w:eastAsiaTheme="minorEastAsia"/>
                      <w:color w:val="000000" w:themeColor="text1"/>
                    </w:rPr>
                  </w:pPr>
                  <w:r>
                    <w:rPr>
                      <w:color w:val="000000" w:themeColor="text1"/>
                    </w:rPr>
                    <w:t>②</w:t>
                  </w:r>
                  <w:r>
                    <w:rPr>
                      <w:rFonts w:eastAsiaTheme="minorEastAsia"/>
                      <w:color w:val="000000" w:themeColor="text1"/>
                    </w:rPr>
                    <w:t>危险废物贮存间门口需张贴标准规范的危险废物标识和危险信息版，屋内张贴企业《危险废物管理制度》；</w:t>
                  </w:r>
                </w:p>
                <w:p>
                  <w:pPr>
                    <w:pStyle w:val="32"/>
                    <w:spacing w:before="78"/>
                    <w:ind w:left="11" w:firstLine="210" w:firstLineChars="100"/>
                    <w:jc w:val="left"/>
                    <w:rPr>
                      <w:rFonts w:eastAsiaTheme="minorEastAsia"/>
                      <w:color w:val="000000" w:themeColor="text1"/>
                    </w:rPr>
                  </w:pPr>
                  <w:r>
                    <w:rPr>
                      <w:color w:val="000000" w:themeColor="text1"/>
                    </w:rPr>
                    <w:t>③</w:t>
                  </w:r>
                  <w:r>
                    <w:rPr>
                      <w:rFonts w:eastAsiaTheme="minorEastAsia"/>
                      <w:color w:val="000000" w:themeColor="text1"/>
                    </w:rPr>
                    <w:t>危险废物贮存间需按照“双人双锁”制度管理；</w:t>
                  </w:r>
                </w:p>
                <w:p>
                  <w:pPr>
                    <w:pStyle w:val="32"/>
                    <w:spacing w:before="78"/>
                    <w:ind w:left="11" w:firstLine="210" w:firstLineChars="100"/>
                    <w:jc w:val="left"/>
                    <w:rPr>
                      <w:rFonts w:eastAsiaTheme="minorEastAsia"/>
                      <w:color w:val="000000" w:themeColor="text1"/>
                    </w:rPr>
                  </w:pPr>
                  <w:r>
                    <w:rPr>
                      <w:color w:val="000000" w:themeColor="text1"/>
                    </w:rPr>
                    <w:t>④</w:t>
                  </w:r>
                  <w:r>
                    <w:rPr>
                      <w:rFonts w:eastAsiaTheme="minorEastAsia"/>
                      <w:color w:val="000000" w:themeColor="text1"/>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32"/>
                    <w:spacing w:before="78"/>
                    <w:ind w:left="11" w:firstLine="210" w:firstLineChars="100"/>
                    <w:jc w:val="left"/>
                    <w:rPr>
                      <w:rFonts w:eastAsiaTheme="minorEastAsia"/>
                      <w:color w:val="000000" w:themeColor="text1"/>
                    </w:rPr>
                  </w:pPr>
                  <w:r>
                    <w:rPr>
                      <w:color w:val="000000" w:themeColor="text1"/>
                    </w:rPr>
                    <w:t>⑤</w:t>
                  </w:r>
                  <w:r>
                    <w:rPr>
                      <w:rFonts w:eastAsiaTheme="minorEastAsia"/>
                      <w:color w:val="000000" w:themeColor="text1"/>
                    </w:rPr>
                    <w:t>建立台账并悬挂于危险废物贮存间内；</w:t>
                  </w:r>
                </w:p>
                <w:p>
                  <w:pPr>
                    <w:pStyle w:val="32"/>
                    <w:spacing w:before="78"/>
                    <w:ind w:left="11" w:firstLine="210" w:firstLineChars="100"/>
                    <w:jc w:val="left"/>
                    <w:rPr>
                      <w:rFonts w:eastAsiaTheme="minorEastAsia"/>
                      <w:color w:val="000000" w:themeColor="text1"/>
                    </w:rPr>
                  </w:pPr>
                  <w:r>
                    <w:rPr>
                      <w:color w:val="000000" w:themeColor="text1"/>
                    </w:rPr>
                    <w:t>⑥</w:t>
                  </w:r>
                  <w:r>
                    <w:rPr>
                      <w:rFonts w:eastAsiaTheme="minorEastAsia"/>
                      <w:color w:val="000000" w:themeColor="text1"/>
                    </w:rPr>
                    <w:t>危险废物贮存间内禁止存放除危险废物及应急工具及其他物品；</w:t>
                  </w:r>
                </w:p>
              </w:tc>
            </w:tr>
          </w:tbl>
          <w:p>
            <w:pPr>
              <w:pStyle w:val="40"/>
              <w:spacing w:beforeLines="50"/>
              <w:ind w:firstLine="482"/>
              <w:rPr>
                <w:rFonts w:eastAsiaTheme="minorEastAsia"/>
                <w:b/>
                <w:color w:val="000000" w:themeColor="text1"/>
                <w:szCs w:val="24"/>
              </w:rPr>
            </w:pPr>
            <w:bookmarkStart w:id="11" w:name="_Toc484976361"/>
            <w:r>
              <w:rPr>
                <w:b/>
                <w:color w:val="000000" w:themeColor="text1"/>
                <w:szCs w:val="24"/>
              </w:rPr>
              <w:t>②</w:t>
            </w:r>
            <w:r>
              <w:rPr>
                <w:rFonts w:eastAsiaTheme="minorEastAsia"/>
                <w:b/>
                <w:color w:val="000000" w:themeColor="text1"/>
                <w:szCs w:val="24"/>
              </w:rPr>
              <w:t>生活垃圾管理要求</w:t>
            </w:r>
          </w:p>
          <w:p>
            <w:pPr>
              <w:pStyle w:val="40"/>
              <w:ind w:firstLine="480"/>
              <w:rPr>
                <w:color w:val="000000" w:themeColor="text1"/>
                <w:szCs w:val="24"/>
              </w:rPr>
            </w:pPr>
            <w:r>
              <w:rPr>
                <w:color w:val="000000" w:themeColor="text1"/>
                <w:szCs w:val="24"/>
              </w:rPr>
              <w:t>项目产生的生活垃圾应做到日产日清。</w:t>
            </w:r>
          </w:p>
          <w:bookmarkEnd w:id="11"/>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（1）地下水、土壤污染源及污染物类型</w:t>
            </w:r>
          </w:p>
          <w:p>
            <w:pPr>
              <w:pStyle w:val="40"/>
              <w:ind w:firstLine="480"/>
              <w:rPr>
                <w:color w:val="000000" w:themeColor="text1"/>
                <w:szCs w:val="24"/>
              </w:rPr>
            </w:pPr>
            <w:r>
              <w:rPr>
                <w:color w:val="000000" w:themeColor="text1"/>
                <w:szCs w:val="24"/>
              </w:rPr>
              <w:t>项目利用废石生产砂石骨料和水泥砖，该项目可能对土壤造成污染的途径主要有：项目产生的废机油等危险废物地面漫流或渗漏至周边土壤，使土壤层中吸附了油类物质，其污染物类型包括石油类。</w:t>
            </w:r>
          </w:p>
          <w:p>
            <w:pPr>
              <w:pStyle w:val="40"/>
              <w:ind w:firstLine="361" w:firstLineChars="150"/>
              <w:rPr>
                <w:rFonts w:eastAsiaTheme="minorEastAsia"/>
                <w:b/>
                <w:color w:val="000000" w:themeColor="text1"/>
                <w:szCs w:val="24"/>
              </w:rPr>
            </w:pPr>
            <w:r>
              <w:rPr>
                <w:rFonts w:eastAsiaTheme="minorEastAsia"/>
                <w:b/>
                <w:color w:val="000000" w:themeColor="text1"/>
                <w:szCs w:val="24"/>
              </w:rPr>
              <w:t>（2）地下水、土壤污染源及污染途径</w:t>
            </w:r>
          </w:p>
          <w:p>
            <w:pPr>
              <w:pStyle w:val="40"/>
              <w:ind w:firstLine="480"/>
              <w:rPr>
                <w:color w:val="000000" w:themeColor="text1"/>
                <w:szCs w:val="24"/>
              </w:rPr>
            </w:pPr>
            <w:r>
              <w:rPr>
                <w:color w:val="000000" w:themeColor="text1"/>
                <w:szCs w:val="24"/>
              </w:rPr>
              <w:t>该项目污染源及污染途径主要包括：项目产生的废机油等危险废物地面漫流或渗漏至周边土壤，使土壤层中吸附了油类物质，其污染因子为有机污染物，周围土壤层吸附的油类物质不仅会造成植物生物的死亡，其污染因子具有随着农作物转移至人体，对人体造成危害。</w:t>
            </w:r>
          </w:p>
          <w:p>
            <w:pPr>
              <w:pStyle w:val="40"/>
              <w:ind w:firstLine="361" w:firstLineChars="150"/>
              <w:rPr>
                <w:rFonts w:eastAsiaTheme="minorEastAsia"/>
                <w:b/>
                <w:color w:val="000000" w:themeColor="text1"/>
                <w:szCs w:val="24"/>
              </w:rPr>
            </w:pPr>
            <w:r>
              <w:rPr>
                <w:rFonts w:eastAsiaTheme="minorEastAsia"/>
                <w:b/>
                <w:color w:val="000000" w:themeColor="text1"/>
                <w:szCs w:val="24"/>
              </w:rPr>
              <w:t>（3）防控措施</w:t>
            </w:r>
          </w:p>
          <w:p>
            <w:pPr>
              <w:pStyle w:val="40"/>
              <w:ind w:firstLine="480"/>
              <w:rPr>
                <w:color w:val="000000" w:themeColor="text1"/>
                <w:szCs w:val="24"/>
              </w:rPr>
            </w:pPr>
            <w:r>
              <w:rPr>
                <w:color w:val="000000" w:themeColor="text1"/>
                <w:szCs w:val="24"/>
              </w:rPr>
              <w:t>该项目地下水、土壤污染防治措施按照“源头控制、分区防治、应急响应”相结合的原则，从污染物的产生、入渗、扩散、应急响应进行控制。</w:t>
            </w:r>
          </w:p>
          <w:p>
            <w:pPr>
              <w:pStyle w:val="40"/>
              <w:ind w:firstLine="482"/>
              <w:rPr>
                <w:b/>
                <w:color w:val="000000" w:themeColor="text1"/>
                <w:szCs w:val="24"/>
              </w:rPr>
            </w:pPr>
            <w:r>
              <w:rPr>
                <w:rFonts w:hint="eastAsia" w:ascii="宋体" w:hAnsi="宋体" w:cs="宋体"/>
                <w:b/>
                <w:color w:val="000000" w:themeColor="text1"/>
                <w:szCs w:val="24"/>
              </w:rPr>
              <w:t>①</w:t>
            </w:r>
            <w:r>
              <w:rPr>
                <w:b/>
                <w:color w:val="000000" w:themeColor="text1"/>
                <w:szCs w:val="24"/>
              </w:rPr>
              <w:t>源头控制措施</w:t>
            </w:r>
          </w:p>
          <w:p>
            <w:pPr>
              <w:pStyle w:val="40"/>
              <w:ind w:firstLine="480"/>
              <w:rPr>
                <w:color w:val="000000" w:themeColor="text1"/>
                <w:szCs w:val="24"/>
              </w:rPr>
            </w:pPr>
            <w:r>
              <w:rPr>
                <w:color w:val="000000" w:themeColor="text1"/>
                <w:szCs w:val="24"/>
              </w:rPr>
              <w:t>严格按照公司制定的规范管理要求进行危险废物的管理。</w:t>
            </w:r>
          </w:p>
          <w:p>
            <w:pPr>
              <w:pStyle w:val="40"/>
              <w:ind w:firstLine="482"/>
              <w:rPr>
                <w:b/>
                <w:color w:val="000000" w:themeColor="text1"/>
                <w:szCs w:val="24"/>
              </w:rPr>
            </w:pPr>
            <w:r>
              <w:rPr>
                <w:rFonts w:hint="eastAsia" w:ascii="宋体" w:hAnsi="宋体" w:cs="宋体"/>
                <w:b/>
                <w:color w:val="000000" w:themeColor="text1"/>
                <w:szCs w:val="24"/>
              </w:rPr>
              <w:t>②</w:t>
            </w:r>
            <w:r>
              <w:rPr>
                <w:b/>
                <w:color w:val="000000" w:themeColor="text1"/>
                <w:szCs w:val="24"/>
              </w:rPr>
              <w:t>分区控制措施</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w:instrText>
            </w:r>
            <w:r>
              <w:rPr>
                <w:rFonts w:hint="eastAsia"/>
                <w:b/>
                <w:color w:val="000000" w:themeColor="text1"/>
                <w:szCs w:val="24"/>
              </w:rPr>
              <w:instrText xml:space="preserve">= 1 \* GB4</w:instrText>
            </w:r>
            <w:r>
              <w:rPr>
                <w:b/>
                <w:color w:val="000000" w:themeColor="text1"/>
                <w:szCs w:val="24"/>
              </w:rPr>
              <w:instrText xml:space="preserve"> </w:instrText>
            </w:r>
            <w:r>
              <w:rPr>
                <w:b/>
                <w:color w:val="000000" w:themeColor="text1"/>
                <w:szCs w:val="24"/>
              </w:rPr>
              <w:fldChar w:fldCharType="separate"/>
            </w:r>
            <w:r>
              <w:rPr>
                <w:rFonts w:hint="eastAsia"/>
                <w:b/>
                <w:color w:val="000000" w:themeColor="text1"/>
                <w:szCs w:val="24"/>
              </w:rPr>
              <w:t>㈠</w:t>
            </w:r>
            <w:r>
              <w:rPr>
                <w:b/>
                <w:color w:val="000000" w:themeColor="text1"/>
                <w:szCs w:val="24"/>
              </w:rPr>
              <w:fldChar w:fldCharType="end"/>
            </w:r>
            <w:r>
              <w:rPr>
                <w:rFonts w:hint="eastAsia"/>
                <w:b/>
                <w:color w:val="000000" w:themeColor="text1"/>
                <w:szCs w:val="24"/>
              </w:rPr>
              <w:t>一期工程</w:t>
            </w:r>
            <w:r>
              <w:rPr>
                <w:b/>
                <w:color w:val="000000" w:themeColor="text1"/>
                <w:szCs w:val="24"/>
              </w:rPr>
              <w:t>分区控制措施</w:t>
            </w:r>
          </w:p>
          <w:p>
            <w:pPr>
              <w:pStyle w:val="40"/>
              <w:ind w:firstLine="480"/>
              <w:rPr>
                <w:color w:val="000000" w:themeColor="text1"/>
                <w:szCs w:val="24"/>
              </w:rPr>
            </w:pPr>
            <w:r>
              <w:rPr>
                <w:color w:val="000000" w:themeColor="text1"/>
                <w:szCs w:val="24"/>
              </w:rPr>
              <w:t>根据以上分区原则可知，</w:t>
            </w:r>
            <w:r>
              <w:rPr>
                <w:rFonts w:hint="eastAsia"/>
                <w:color w:val="000000" w:themeColor="text1"/>
                <w:szCs w:val="24"/>
              </w:rPr>
              <w:t>一期工程包括</w:t>
            </w:r>
            <w:r>
              <w:rPr>
                <w:color w:val="000000" w:themeColor="text1"/>
                <w:szCs w:val="24"/>
              </w:rPr>
              <w:t>重点防渗区</w:t>
            </w:r>
            <w:r>
              <w:rPr>
                <w:rFonts w:hint="eastAsia"/>
                <w:color w:val="000000" w:themeColor="text1"/>
                <w:szCs w:val="24"/>
              </w:rPr>
              <w:t>、</w:t>
            </w:r>
            <w:r>
              <w:rPr>
                <w:color w:val="000000" w:themeColor="text1"/>
                <w:szCs w:val="24"/>
              </w:rPr>
              <w:t>一般防渗区</w:t>
            </w:r>
            <w:r>
              <w:rPr>
                <w:rFonts w:hint="eastAsia"/>
                <w:color w:val="000000" w:themeColor="text1"/>
                <w:szCs w:val="24"/>
              </w:rPr>
              <w:t>和</w:t>
            </w:r>
            <w:r>
              <w:rPr>
                <w:color w:val="000000" w:themeColor="text1"/>
                <w:szCs w:val="24"/>
              </w:rPr>
              <w:t>简单防渗区</w:t>
            </w:r>
            <w:r>
              <w:rPr>
                <w:rFonts w:hint="eastAsia"/>
                <w:color w:val="000000" w:themeColor="text1"/>
                <w:szCs w:val="24"/>
              </w:rPr>
              <w:t>，</w:t>
            </w:r>
            <w:r>
              <w:rPr>
                <w:color w:val="000000" w:themeColor="text1"/>
                <w:szCs w:val="24"/>
              </w:rPr>
              <w:t>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项目重点防渗区为危险废物贮存间：危险废物贮存间地面和裙墙应采用不低于2mm厚的HDPE膜或其他人工防渗材料进行防渗，使其渗透系数≤10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根据分区防渗规范要求，项目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生产区、砂石骨料生产废水处理系统、</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初期雨水收集系统和生活污水处理系统区域划定为一般防渗区，一般防渗区措施在地面采取粘土铺底，并在上层铺30cm的混凝土进行硬化。确保防渗性能，使其渗透系数≤1.0×10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w:instrText>
            </w:r>
            <w:r>
              <w:rPr>
                <w:rFonts w:hint="eastAsia"/>
                <w:b/>
                <w:color w:val="000000" w:themeColor="text1"/>
                <w:szCs w:val="24"/>
              </w:rPr>
              <w:instrText xml:space="preserve">= 2 \* GB4</w:instrText>
            </w:r>
            <w:r>
              <w:rPr>
                <w:b/>
                <w:color w:val="000000" w:themeColor="text1"/>
                <w:szCs w:val="24"/>
              </w:rPr>
              <w:instrText xml:space="preserve"> </w:instrText>
            </w:r>
            <w:r>
              <w:rPr>
                <w:b/>
                <w:color w:val="000000" w:themeColor="text1"/>
                <w:szCs w:val="24"/>
              </w:rPr>
              <w:fldChar w:fldCharType="separate"/>
            </w:r>
            <w:r>
              <w:rPr>
                <w:rFonts w:hint="eastAsia"/>
                <w:b/>
                <w:color w:val="000000" w:themeColor="text1"/>
                <w:szCs w:val="24"/>
              </w:rPr>
              <w:t>㈡</w:t>
            </w:r>
            <w:r>
              <w:rPr>
                <w:b/>
                <w:color w:val="000000" w:themeColor="text1"/>
                <w:szCs w:val="24"/>
              </w:rPr>
              <w:fldChar w:fldCharType="end"/>
            </w:r>
            <w:r>
              <w:rPr>
                <w:rFonts w:hint="eastAsia"/>
                <w:b/>
                <w:color w:val="000000" w:themeColor="text1"/>
                <w:szCs w:val="24"/>
              </w:rPr>
              <w:t>二期工程</w:t>
            </w:r>
            <w:r>
              <w:rPr>
                <w:b/>
                <w:color w:val="000000" w:themeColor="text1"/>
                <w:szCs w:val="24"/>
              </w:rPr>
              <w:t>分区控制措施</w:t>
            </w:r>
          </w:p>
          <w:p>
            <w:pPr>
              <w:pStyle w:val="40"/>
              <w:ind w:firstLine="480"/>
              <w:rPr>
                <w:color w:val="000000" w:themeColor="text1"/>
                <w:szCs w:val="24"/>
              </w:rPr>
            </w:pPr>
            <w:r>
              <w:rPr>
                <w:color w:val="000000" w:themeColor="text1"/>
                <w:szCs w:val="24"/>
              </w:rPr>
              <w:t>根据以上分区原则可知，</w:t>
            </w:r>
            <w:r>
              <w:rPr>
                <w:rFonts w:hint="eastAsia"/>
                <w:color w:val="000000" w:themeColor="text1"/>
                <w:szCs w:val="24"/>
              </w:rPr>
              <w:t>二期工程包括</w:t>
            </w:r>
            <w:r>
              <w:rPr>
                <w:color w:val="000000" w:themeColor="text1"/>
                <w:szCs w:val="24"/>
              </w:rPr>
              <w:t>一般防渗区</w:t>
            </w:r>
            <w:r>
              <w:rPr>
                <w:rFonts w:hint="eastAsia"/>
                <w:color w:val="000000" w:themeColor="text1"/>
                <w:szCs w:val="24"/>
              </w:rPr>
              <w:t>和</w:t>
            </w:r>
            <w:r>
              <w:rPr>
                <w:color w:val="000000" w:themeColor="text1"/>
                <w:szCs w:val="24"/>
              </w:rPr>
              <w:t>简单防渗区</w:t>
            </w:r>
            <w:r>
              <w:rPr>
                <w:rFonts w:hint="eastAsia"/>
                <w:color w:val="000000" w:themeColor="text1"/>
                <w:szCs w:val="24"/>
              </w:rPr>
              <w:t>，</w:t>
            </w:r>
            <w:r>
              <w:rPr>
                <w:color w:val="000000" w:themeColor="text1"/>
                <w:szCs w:val="24"/>
              </w:rPr>
              <w:t>项目分区防渗具体如下：</w:t>
            </w:r>
          </w:p>
          <w:p>
            <w:pPr>
              <w:pStyle w:val="40"/>
              <w:ind w:firstLine="482"/>
              <w:rPr>
                <w:color w:val="000000" w:themeColor="text1"/>
                <w:szCs w:val="24"/>
              </w:rPr>
            </w:pPr>
            <w:r>
              <w:rPr>
                <w:b/>
                <w:color w:val="000000" w:themeColor="text1"/>
                <w:szCs w:val="24"/>
              </w:rPr>
              <w:fldChar w:fldCharType="begin"/>
            </w:r>
            <w:r>
              <w:rPr>
                <w:b/>
                <w:color w:val="000000" w:themeColor="text1"/>
                <w:szCs w:val="24"/>
              </w:rPr>
              <w:instrText xml:space="preserve"> = 1 \* GB2 </w:instrText>
            </w:r>
            <w:r>
              <w:rPr>
                <w:b/>
                <w:color w:val="000000" w:themeColor="text1"/>
                <w:szCs w:val="24"/>
              </w:rPr>
              <w:fldChar w:fldCharType="separate"/>
            </w:r>
            <w:r>
              <w:rPr>
                <w:rFonts w:hint="eastAsia" w:ascii="宋体" w:hAnsi="宋体" w:cs="宋体"/>
                <w:b/>
                <w:color w:val="000000" w:themeColor="text1"/>
                <w:szCs w:val="24"/>
              </w:rPr>
              <w:t>⑴</w:t>
            </w:r>
            <w:r>
              <w:rPr>
                <w:b/>
                <w:color w:val="000000" w:themeColor="text1"/>
                <w:szCs w:val="24"/>
              </w:rPr>
              <w:fldChar w:fldCharType="end"/>
            </w:r>
            <w:r>
              <w:rPr>
                <w:rFonts w:hint="eastAsia"/>
                <w:b/>
                <w:color w:val="000000" w:themeColor="text1"/>
                <w:szCs w:val="24"/>
              </w:rPr>
              <w:t>二期工程</w:t>
            </w:r>
            <w:r>
              <w:rPr>
                <w:b/>
                <w:color w:val="000000" w:themeColor="text1"/>
                <w:szCs w:val="24"/>
              </w:rPr>
              <w:t>一般防渗区</w:t>
            </w:r>
          </w:p>
          <w:p>
            <w:pPr>
              <w:pStyle w:val="40"/>
              <w:ind w:firstLine="480"/>
              <w:rPr>
                <w:color w:val="000000" w:themeColor="text1"/>
                <w:szCs w:val="24"/>
              </w:rPr>
            </w:pPr>
            <w:r>
              <w:rPr>
                <w:color w:val="000000" w:themeColor="text1"/>
                <w:szCs w:val="24"/>
              </w:rPr>
              <w:t>根据分区防渗规范要求，项目</w:t>
            </w:r>
            <w:r>
              <w:rPr>
                <w:rFonts w:hint="eastAsia"/>
                <w:color w:val="000000" w:themeColor="text1"/>
                <w:szCs w:val="24"/>
              </w:rPr>
              <w:t>二期工程</w:t>
            </w:r>
            <w:r>
              <w:rPr>
                <w:color w:val="000000" w:themeColor="text1"/>
                <w:szCs w:val="24"/>
              </w:rPr>
              <w:t>生产区、养护废水处理系统、</w:t>
            </w:r>
            <w:r>
              <w:rPr>
                <w:rFonts w:hint="eastAsia"/>
                <w:color w:val="000000" w:themeColor="text1"/>
                <w:szCs w:val="24"/>
              </w:rPr>
              <w:t>二期工程</w:t>
            </w:r>
            <w:r>
              <w:rPr>
                <w:color w:val="000000" w:themeColor="text1"/>
                <w:szCs w:val="24"/>
              </w:rPr>
              <w:t>初期雨水收集系统区域划定为一般防渗区，一般防渗区措施在地面采取粘土铺底，并在上层铺30cm的混凝土进行硬化。确保防渗性能，使其渗透系数≤1.0×10</w:t>
            </w:r>
            <w:r>
              <w:rPr>
                <w:color w:val="000000" w:themeColor="text1"/>
                <w:szCs w:val="24"/>
                <w:vertAlign w:val="superscript"/>
              </w:rPr>
              <w:t>-7</w:t>
            </w:r>
            <w:r>
              <w:rPr>
                <w:color w:val="000000" w:themeColor="text1"/>
                <w:szCs w:val="24"/>
              </w:rPr>
              <w:t>cm/s。</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二期工程</w:t>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（3）环境影响跟踪监测计划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由于项目地下水</w:t>
            </w:r>
            <w:r>
              <w:rPr>
                <w:rFonts w:hint="eastAsia" w:ascii="Times New Roman" w:hAnsi="Times New Roman" w:cs="Times New Roman"/>
                <w:color w:val="000000" w:themeColor="text1"/>
                <w:sz w:val="24"/>
                <w:szCs w:val="24"/>
              </w:rPr>
              <w:t>和土壤</w:t>
            </w:r>
            <w:r>
              <w:rPr>
                <w:rFonts w:ascii="Times New Roman" w:hAnsi="Times New Roman" w:cs="Times New Roman"/>
                <w:color w:val="000000" w:themeColor="text1"/>
                <w:sz w:val="24"/>
                <w:szCs w:val="24"/>
              </w:rPr>
              <w:t>影响较小，因此该项目不设置地下水</w:t>
            </w:r>
            <w:r>
              <w:rPr>
                <w:rFonts w:hint="eastAsia" w:ascii="Times New Roman" w:hAnsi="Times New Roman" w:cs="Times New Roman"/>
                <w:color w:val="000000" w:themeColor="text1"/>
                <w:sz w:val="24"/>
                <w:szCs w:val="24"/>
              </w:rPr>
              <w:t>和土壤</w:t>
            </w:r>
            <w:r>
              <w:rPr>
                <w:rFonts w:ascii="Times New Roman" w:hAnsi="Times New Roman" w:cs="Times New Roman"/>
                <w:color w:val="000000" w:themeColor="text1"/>
                <w:sz w:val="24"/>
                <w:szCs w:val="24"/>
              </w:rPr>
              <w:t>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该项目位于昆明市东川区因民镇牛厂坪村，该项目购买原昆明东川众誉矿业有限责任公司砂厂范围内建设，项目建设对生态环境影响较小。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涉及到的有毒有害和易燃易爆危险物质生产、使用、储存（包括使用管线输运）可能发生的突发性事故（不包括人为破坏及自然灾害引发的事故）的环境风险评价。根据项目特点，该项目危险废物，其危险特性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1"/>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8"/>
              <w:gridCol w:w="1081"/>
              <w:gridCol w:w="947"/>
              <w:gridCol w:w="814"/>
              <w:gridCol w:w="1081"/>
              <w:gridCol w:w="1081"/>
              <w:gridCol w:w="2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58" w:type="dxa"/>
                  <w:vAlign w:val="center"/>
                </w:tcPr>
                <w:p>
                  <w:pPr>
                    <w:pStyle w:val="32"/>
                    <w:spacing w:line="360" w:lineRule="exact"/>
                    <w:rPr>
                      <w:color w:val="000000" w:themeColor="text1"/>
                      <w:szCs w:val="21"/>
                    </w:rPr>
                  </w:pPr>
                  <w:r>
                    <w:rPr>
                      <w:color w:val="000000" w:themeColor="text1"/>
                      <w:szCs w:val="21"/>
                    </w:rPr>
                    <w:t>产生环节</w:t>
                  </w:r>
                </w:p>
              </w:tc>
              <w:tc>
                <w:tcPr>
                  <w:tcW w:w="1081" w:type="dxa"/>
                  <w:vAlign w:val="center"/>
                </w:tcPr>
                <w:p>
                  <w:pPr>
                    <w:pStyle w:val="32"/>
                    <w:spacing w:line="360" w:lineRule="exact"/>
                    <w:rPr>
                      <w:color w:val="000000" w:themeColor="text1"/>
                      <w:szCs w:val="21"/>
                    </w:rPr>
                  </w:pPr>
                  <w:r>
                    <w:rPr>
                      <w:color w:val="000000" w:themeColor="text1"/>
                      <w:szCs w:val="21"/>
                    </w:rPr>
                    <w:t>危险物质</w:t>
                  </w:r>
                </w:p>
              </w:tc>
              <w:tc>
                <w:tcPr>
                  <w:tcW w:w="947" w:type="dxa"/>
                  <w:vAlign w:val="center"/>
                </w:tcPr>
                <w:p>
                  <w:pPr>
                    <w:pStyle w:val="32"/>
                    <w:spacing w:line="360" w:lineRule="exact"/>
                    <w:rPr>
                      <w:color w:val="000000" w:themeColor="text1"/>
                      <w:szCs w:val="21"/>
                    </w:rPr>
                  </w:pPr>
                  <w:r>
                    <w:rPr>
                      <w:color w:val="000000" w:themeColor="text1"/>
                      <w:szCs w:val="21"/>
                    </w:rPr>
                    <w:t>年使用/产生量</w:t>
                  </w:r>
                </w:p>
              </w:tc>
              <w:tc>
                <w:tcPr>
                  <w:tcW w:w="81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最大储存量</w:t>
                  </w:r>
                </w:p>
              </w:tc>
              <w:tc>
                <w:tcPr>
                  <w:tcW w:w="1081" w:type="dxa"/>
                  <w:tcBorders>
                    <w:left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临界量</w:t>
                  </w:r>
                </w:p>
              </w:tc>
              <w:tc>
                <w:tcPr>
                  <w:tcW w:w="1081"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Q值</w:t>
                  </w:r>
                </w:p>
              </w:tc>
              <w:tc>
                <w:tcPr>
                  <w:tcW w:w="2843"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使用</w:t>
                  </w:r>
                </w:p>
              </w:tc>
              <w:tc>
                <w:tcPr>
                  <w:tcW w:w="108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次氯酸钠</w:t>
                  </w:r>
                </w:p>
              </w:tc>
              <w:tc>
                <w:tcPr>
                  <w:tcW w:w="9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0.05t/a</w:t>
                  </w:r>
                </w:p>
              </w:tc>
              <w:tc>
                <w:tcPr>
                  <w:tcW w:w="814" w:type="dxa"/>
                  <w:tcBorders>
                    <w:right w:val="single" w:color="auto" w:sz="4" w:space="0"/>
                  </w:tcBorders>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0.05t</w:t>
                  </w:r>
                </w:p>
              </w:tc>
              <w:tc>
                <w:tcPr>
                  <w:tcW w:w="1081" w:type="dxa"/>
                  <w:tcBorders>
                    <w:left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5t</w:t>
                  </w:r>
                </w:p>
              </w:tc>
              <w:tc>
                <w:tcPr>
                  <w:tcW w:w="1081"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w:t>
                  </w:r>
                </w:p>
              </w:tc>
              <w:tc>
                <w:tcPr>
                  <w:tcW w:w="2843" w:type="dxa"/>
                  <w:vAlign w:val="center"/>
                </w:tcPr>
                <w:p>
                  <w:pPr>
                    <w:pStyle w:val="32"/>
                    <w:spacing w:line="360" w:lineRule="exact"/>
                    <w:ind w:left="11" w:firstLine="210" w:firstLineChars="100"/>
                    <w:jc w:val="both"/>
                    <w:rPr>
                      <w:color w:val="000000" w:themeColor="text1"/>
                    </w:rPr>
                  </w:pPr>
                  <w:r>
                    <w:rPr>
                      <w:color w:val="000000" w:themeColor="text1"/>
                    </w:rPr>
                    <w:t>采用袋装贮存于办公生活区内，保持干燥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储存</w:t>
                  </w:r>
                </w:p>
              </w:tc>
              <w:tc>
                <w:tcPr>
                  <w:tcW w:w="108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9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814" w:type="dxa"/>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0.08t/a</w:t>
                  </w:r>
                </w:p>
              </w:tc>
              <w:tc>
                <w:tcPr>
                  <w:tcW w:w="1081" w:type="dxa"/>
                  <w:tcBorders>
                    <w:left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2500t</w:t>
                  </w:r>
                </w:p>
              </w:tc>
              <w:tc>
                <w:tcPr>
                  <w:tcW w:w="1081"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0.000032</w:t>
                  </w:r>
                </w:p>
              </w:tc>
              <w:tc>
                <w:tcPr>
                  <w:tcW w:w="2843" w:type="dxa"/>
                  <w:vAlign w:val="center"/>
                </w:tcPr>
                <w:p>
                  <w:pPr>
                    <w:pStyle w:val="32"/>
                    <w:spacing w:line="360" w:lineRule="exact"/>
                    <w:ind w:left="11" w:firstLine="210" w:firstLineChars="100"/>
                    <w:jc w:val="both"/>
                    <w:rPr>
                      <w:color w:val="000000" w:themeColor="text1"/>
                    </w:rPr>
                  </w:pPr>
                  <w:r>
                    <w:rPr>
                      <w:color w:val="000000" w:themeColor="text1"/>
                    </w:rPr>
                    <w:t>桶装暂存于危险废物贮存间</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1"/>
              <w:gridCol w:w="1346"/>
              <w:gridCol w:w="1053"/>
              <w:gridCol w:w="1184"/>
              <w:gridCol w:w="37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05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1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72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05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84"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72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01" w:type="dxa"/>
                  <w:vMerge w:val="restart"/>
                  <w:vAlign w:val="center"/>
                </w:tcPr>
                <w:p>
                  <w:pPr>
                    <w:pStyle w:val="32"/>
                    <w:spacing w:line="360" w:lineRule="exact"/>
                    <w:rPr>
                      <w:color w:val="000000" w:themeColor="text1"/>
                      <w:szCs w:val="21"/>
                    </w:rPr>
                  </w:pPr>
                  <w:r>
                    <w:rPr>
                      <w:color w:val="000000" w:themeColor="text1"/>
                      <w:szCs w:val="21"/>
                    </w:rPr>
                    <w:t>废机油</w:t>
                  </w:r>
                </w:p>
              </w:tc>
              <w:tc>
                <w:tcPr>
                  <w:tcW w:w="1346" w:type="dxa"/>
                </w:tcPr>
                <w:p>
                  <w:pPr>
                    <w:pStyle w:val="32"/>
                    <w:spacing w:line="360" w:lineRule="exact"/>
                    <w:rPr>
                      <w:color w:val="000000" w:themeColor="text1"/>
                      <w:szCs w:val="21"/>
                    </w:rPr>
                  </w:pPr>
                  <w:r>
                    <w:rPr>
                      <w:color w:val="000000" w:themeColor="text1"/>
                      <w:szCs w:val="21"/>
                    </w:rPr>
                    <w:t>废物类别</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01" w:type="dxa"/>
                  <w:vMerge w:val="continue"/>
                  <w:vAlign w:val="center"/>
                </w:tcPr>
                <w:p>
                  <w:pPr>
                    <w:pStyle w:val="32"/>
                    <w:spacing w:line="360" w:lineRule="exact"/>
                    <w:rPr>
                      <w:color w:val="000000" w:themeColor="text1"/>
                      <w:szCs w:val="21"/>
                    </w:rPr>
                  </w:pPr>
                </w:p>
              </w:tc>
              <w:tc>
                <w:tcPr>
                  <w:tcW w:w="1346" w:type="dxa"/>
                  <w:vAlign w:val="center"/>
                </w:tcPr>
                <w:p>
                  <w:pPr>
                    <w:pStyle w:val="32"/>
                    <w:spacing w:line="360" w:lineRule="exact"/>
                    <w:rPr>
                      <w:color w:val="000000" w:themeColor="text1"/>
                      <w:szCs w:val="21"/>
                    </w:rPr>
                  </w:pPr>
                  <w:r>
                    <w:rPr>
                      <w:color w:val="000000" w:themeColor="text1"/>
                      <w:szCs w:val="21"/>
                    </w:rPr>
                    <w:t>废物代码</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01" w:type="dxa"/>
                  <w:vMerge w:val="continue"/>
                  <w:vAlign w:val="center"/>
                </w:tcPr>
                <w:p>
                  <w:pPr>
                    <w:pStyle w:val="32"/>
                    <w:spacing w:line="360" w:lineRule="exact"/>
                    <w:rPr>
                      <w:color w:val="000000" w:themeColor="text1"/>
                      <w:szCs w:val="21"/>
                    </w:rPr>
                  </w:pPr>
                </w:p>
              </w:tc>
              <w:tc>
                <w:tcPr>
                  <w:tcW w:w="1346" w:type="dxa"/>
                  <w:vAlign w:val="center"/>
                </w:tcPr>
                <w:p>
                  <w:pPr>
                    <w:pStyle w:val="32"/>
                    <w:spacing w:line="360" w:lineRule="exact"/>
                    <w:rPr>
                      <w:color w:val="000000" w:themeColor="text1"/>
                      <w:szCs w:val="21"/>
                    </w:rPr>
                  </w:pPr>
                  <w:r>
                    <w:rPr>
                      <w:color w:val="000000" w:themeColor="text1"/>
                      <w:szCs w:val="21"/>
                    </w:rPr>
                    <w:t>危险特征</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01" w:type="dxa"/>
                  <w:vMerge w:val="continue"/>
                  <w:vAlign w:val="center"/>
                </w:tcPr>
                <w:p>
                  <w:pPr>
                    <w:pStyle w:val="32"/>
                    <w:spacing w:line="360" w:lineRule="exact"/>
                    <w:rPr>
                      <w:color w:val="000000" w:themeColor="text1"/>
                      <w:szCs w:val="21"/>
                    </w:rPr>
                  </w:pPr>
                </w:p>
              </w:tc>
              <w:tc>
                <w:tcPr>
                  <w:tcW w:w="1346" w:type="dxa"/>
                  <w:vAlign w:val="center"/>
                </w:tcPr>
                <w:p>
                  <w:pPr>
                    <w:pStyle w:val="32"/>
                    <w:spacing w:line="360" w:lineRule="exact"/>
                    <w:rPr>
                      <w:color w:val="000000" w:themeColor="text1"/>
                      <w:szCs w:val="21"/>
                    </w:rPr>
                  </w:pPr>
                  <w:r>
                    <w:rPr>
                      <w:color w:val="000000" w:themeColor="text1"/>
                      <w:szCs w:val="21"/>
                    </w:rPr>
                    <w:t>危险特性</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40"/>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该项目危险物质在存储及运输过程中泄露对地下水和土壤造成影响。影响途经具体如下：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次氯酸钠发生泄漏对人或水生生物造成影响。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该项目废机油在存储及运输过程中泄露的环境风险。</w:t>
            </w:r>
          </w:p>
          <w:p>
            <w:pPr>
              <w:pStyle w:val="40"/>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根据该项目环境影响途经，提出以下风险防范措施：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bookmarkStart w:id="12" w:name="_Toc76139457"/>
            <w:bookmarkStart w:id="13" w:name="_Toc56427845"/>
            <w:bookmarkStart w:id="14" w:name="_Toc88466811"/>
            <w:bookmarkStart w:id="15" w:name="_Toc82857308"/>
            <w:bookmarkStart w:id="16" w:name="_Toc115259923"/>
            <w:bookmarkStart w:id="17" w:name="_Toc67822189"/>
            <w:bookmarkStart w:id="18" w:name="_Toc57516232"/>
            <w:bookmarkStart w:id="19" w:name="_Toc114997846"/>
            <w:bookmarkStart w:id="20" w:name="_Toc116622310"/>
            <w:bookmarkStart w:id="21" w:name="_Toc57516383"/>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危废废物应储存于规范的危险废物贮存间；危险废物贮存间地面和裙墙应采用不低于2mm厚的HDPE膜或其他人工防渗材料进行防渗，使其渗透系数≤10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cm/s；危险废物入库时，严格检验物品质量、数量、包装情况、有无泄漏。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t>项目区配备相应品种的消防器材。</w:t>
            </w:r>
            <w:bookmarkEnd w:id="12"/>
            <w:bookmarkEnd w:id="13"/>
            <w:bookmarkEnd w:id="14"/>
            <w:bookmarkEnd w:id="15"/>
            <w:bookmarkEnd w:id="16"/>
            <w:bookmarkEnd w:id="17"/>
            <w:bookmarkEnd w:id="18"/>
            <w:bookmarkEnd w:id="19"/>
            <w:bookmarkEnd w:id="20"/>
            <w:bookmarkEnd w:id="21"/>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④</w:t>
            </w:r>
            <w:r>
              <w:rPr>
                <w:rFonts w:ascii="Times New Roman" w:hAnsi="Times New Roman" w:cs="Times New Roman"/>
                <w:color w:val="000000" w:themeColor="text1"/>
                <w:sz w:val="24"/>
                <w:szCs w:val="24"/>
              </w:rPr>
              <w:t>次氯酸钠入库时，严格检验物品质量、数量、包装情况、有无泄漏。入库后应采取适当的养护措施，在贮存期内，定期检查，发现其品质变化、包装破损、渗漏等，应及时处理。</w:t>
            </w:r>
          </w:p>
          <w:p>
            <w:pPr>
              <w:pStyle w:val="40"/>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该项目涉及到的危险物质主要有次氯酸钠和废机油等，在采取严格的防护措施后，事故发生概率较小，环境风险可接受。</w:t>
            </w:r>
          </w:p>
          <w:p>
            <w:pPr>
              <w:spacing w:line="360" w:lineRule="auto"/>
              <w:ind w:firstLine="482" w:firstLineChars="200"/>
              <w:rPr>
                <w:rFonts w:ascii="Times New Roman" w:hAnsi="Times New Roman" w:cs="Times New Roman"/>
                <w:b/>
                <w:color w:val="000000" w:themeColor="text1"/>
                <w:sz w:val="24"/>
                <w:szCs w:val="24"/>
              </w:rPr>
            </w:pPr>
            <w:bookmarkStart w:id="22" w:name="_Toc72228649"/>
            <w:r>
              <w:rPr>
                <w:rFonts w:ascii="Times New Roman" w:hAnsi="Times New Roman" w:cs="Times New Roman"/>
                <w:b/>
                <w:color w:val="000000" w:themeColor="text1"/>
                <w:sz w:val="24"/>
                <w:szCs w:val="24"/>
              </w:rPr>
              <w:t>4.3 环保投资估算</w:t>
            </w:r>
            <w:bookmarkEnd w:id="22"/>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4.3.1 一期工程环保投资估算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拟采取措施的具体内容、责任主体、实施时段及环境保护投入资金如下表所示。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w:t>
            </w:r>
            <w:r>
              <w:rPr>
                <w:rFonts w:hint="eastAsia" w:hAnsi="Times New Roman" w:eastAsiaTheme="minorEastAsia"/>
                <w:color w:val="000000" w:themeColor="text1"/>
                <w:sz w:val="21"/>
                <w:szCs w:val="21"/>
              </w:rPr>
              <w:t>一期工程</w:t>
            </w:r>
            <w:r>
              <w:rPr>
                <w:rFonts w:hAnsi="Times New Roman" w:eastAsiaTheme="minorEastAsia"/>
                <w:color w:val="000000" w:themeColor="text1"/>
                <w:sz w:val="21"/>
                <w:szCs w:val="21"/>
              </w:rPr>
              <w:t>环保投资一览表 单位：万元</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68"/>
              <w:gridCol w:w="39"/>
              <w:gridCol w:w="669"/>
              <w:gridCol w:w="1417"/>
              <w:gridCol w:w="2546"/>
              <w:gridCol w:w="8"/>
              <w:gridCol w:w="702"/>
              <w:gridCol w:w="141"/>
              <w:gridCol w:w="568"/>
              <w:gridCol w:w="78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restart"/>
                  <w:vAlign w:val="center"/>
                </w:tcPr>
                <w:p>
                  <w:pPr>
                    <w:pStyle w:val="32"/>
                    <w:spacing w:line="360" w:lineRule="exact"/>
                    <w:rPr>
                      <w:color w:val="000000" w:themeColor="text1"/>
                      <w:szCs w:val="21"/>
                    </w:rPr>
                  </w:pPr>
                  <w:r>
                    <w:rPr>
                      <w:color w:val="000000" w:themeColor="text1"/>
                      <w:szCs w:val="21"/>
                    </w:rPr>
                    <w:t>时期</w:t>
                  </w:r>
                </w:p>
              </w:tc>
              <w:tc>
                <w:tcPr>
                  <w:tcW w:w="1276" w:type="dxa"/>
                  <w:gridSpan w:val="3"/>
                  <w:vMerge w:val="restart"/>
                  <w:vAlign w:val="center"/>
                </w:tcPr>
                <w:p>
                  <w:pPr>
                    <w:pStyle w:val="32"/>
                    <w:spacing w:line="360" w:lineRule="exact"/>
                    <w:rPr>
                      <w:color w:val="000000" w:themeColor="text1"/>
                      <w:szCs w:val="21"/>
                    </w:rPr>
                  </w:pPr>
                  <w:r>
                    <w:rPr>
                      <w:color w:val="000000" w:themeColor="text1"/>
                      <w:szCs w:val="21"/>
                    </w:rPr>
                    <w:t>类型</w:t>
                  </w:r>
                </w:p>
              </w:tc>
              <w:tc>
                <w:tcPr>
                  <w:tcW w:w="3963" w:type="dxa"/>
                  <w:gridSpan w:val="2"/>
                  <w:vAlign w:val="center"/>
                </w:tcPr>
                <w:p>
                  <w:pPr>
                    <w:pStyle w:val="32"/>
                    <w:spacing w:line="360" w:lineRule="exact"/>
                    <w:rPr>
                      <w:color w:val="000000" w:themeColor="text1"/>
                      <w:szCs w:val="21"/>
                    </w:rPr>
                  </w:pPr>
                  <w:r>
                    <w:rPr>
                      <w:color w:val="000000" w:themeColor="text1"/>
                      <w:szCs w:val="21"/>
                    </w:rPr>
                    <w:t>环保措施</w:t>
                  </w:r>
                </w:p>
              </w:tc>
              <w:tc>
                <w:tcPr>
                  <w:tcW w:w="1419" w:type="dxa"/>
                  <w:gridSpan w:val="4"/>
                  <w:vAlign w:val="center"/>
                </w:tcPr>
                <w:p>
                  <w:pPr>
                    <w:pStyle w:val="32"/>
                    <w:spacing w:line="360" w:lineRule="exact"/>
                    <w:rPr>
                      <w:color w:val="000000" w:themeColor="text1"/>
                      <w:szCs w:val="21"/>
                    </w:rPr>
                  </w:pPr>
                  <w:r>
                    <w:rPr>
                      <w:color w:val="000000" w:themeColor="text1"/>
                      <w:szCs w:val="21"/>
                    </w:rPr>
                    <w:t>建设期资金投入量（万元）</w:t>
                  </w:r>
                </w:p>
              </w:tc>
              <w:tc>
                <w:tcPr>
                  <w:tcW w:w="1494" w:type="dxa"/>
                  <w:gridSpan w:val="2"/>
                  <w:vAlign w:val="center"/>
                </w:tcPr>
                <w:p>
                  <w:pPr>
                    <w:pStyle w:val="32"/>
                    <w:spacing w:line="360" w:lineRule="exact"/>
                    <w:rPr>
                      <w:color w:val="000000" w:themeColor="text1"/>
                      <w:szCs w:val="21"/>
                    </w:rPr>
                  </w:pPr>
                  <w:r>
                    <w:rPr>
                      <w:color w:val="000000" w:themeColor="text1"/>
                      <w:szCs w:val="21"/>
                    </w:rPr>
                    <w:t>运行期资金投入量（万元/a）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1276" w:type="dxa"/>
                  <w:gridSpan w:val="3"/>
                  <w:vMerge w:val="continue"/>
                  <w:vAlign w:val="center"/>
                </w:tcPr>
                <w:p>
                  <w:pPr>
                    <w:pStyle w:val="32"/>
                    <w:spacing w:line="360" w:lineRule="exact"/>
                    <w:rPr>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环保项目</w:t>
                  </w:r>
                </w:p>
              </w:tc>
              <w:tc>
                <w:tcPr>
                  <w:tcW w:w="2546" w:type="dxa"/>
                  <w:vAlign w:val="center"/>
                </w:tcPr>
                <w:p>
                  <w:pPr>
                    <w:pStyle w:val="32"/>
                    <w:spacing w:line="360" w:lineRule="exact"/>
                    <w:rPr>
                      <w:color w:val="000000" w:themeColor="text1"/>
                      <w:szCs w:val="21"/>
                    </w:rPr>
                  </w:pPr>
                  <w:r>
                    <w:rPr>
                      <w:color w:val="000000" w:themeColor="text1"/>
                      <w:szCs w:val="21"/>
                    </w:rPr>
                    <w:t>数量</w:t>
                  </w:r>
                </w:p>
              </w:tc>
              <w:tc>
                <w:tcPr>
                  <w:tcW w:w="710" w:type="dxa"/>
                  <w:gridSpan w:val="2"/>
                  <w:vAlign w:val="center"/>
                </w:tcPr>
                <w:p>
                  <w:pPr>
                    <w:pStyle w:val="32"/>
                    <w:spacing w:line="360" w:lineRule="exact"/>
                    <w:rPr>
                      <w:color w:val="000000" w:themeColor="text1"/>
                      <w:szCs w:val="21"/>
                    </w:rPr>
                  </w:pPr>
                  <w:r>
                    <w:rPr>
                      <w:color w:val="000000" w:themeColor="text1"/>
                      <w:szCs w:val="21"/>
                    </w:rPr>
                    <w:t>建设费用</w:t>
                  </w:r>
                </w:p>
              </w:tc>
              <w:tc>
                <w:tcPr>
                  <w:tcW w:w="709" w:type="dxa"/>
                  <w:gridSpan w:val="2"/>
                  <w:vAlign w:val="center"/>
                </w:tcPr>
                <w:p>
                  <w:pPr>
                    <w:pStyle w:val="32"/>
                    <w:spacing w:line="360" w:lineRule="exact"/>
                    <w:rPr>
                      <w:color w:val="000000" w:themeColor="text1"/>
                      <w:szCs w:val="21"/>
                    </w:rPr>
                  </w:pPr>
                  <w:r>
                    <w:rPr>
                      <w:color w:val="000000" w:themeColor="text1"/>
                      <w:szCs w:val="21"/>
                    </w:rPr>
                    <w:t>责任主体</w:t>
                  </w:r>
                </w:p>
              </w:tc>
              <w:tc>
                <w:tcPr>
                  <w:tcW w:w="782" w:type="dxa"/>
                  <w:vAlign w:val="center"/>
                </w:tcPr>
                <w:p>
                  <w:pPr>
                    <w:pStyle w:val="32"/>
                    <w:spacing w:line="360" w:lineRule="exact"/>
                    <w:rPr>
                      <w:color w:val="000000" w:themeColor="text1"/>
                      <w:szCs w:val="21"/>
                    </w:rPr>
                  </w:pPr>
                  <w:r>
                    <w:rPr>
                      <w:color w:val="000000" w:themeColor="text1"/>
                      <w:szCs w:val="21"/>
                    </w:rPr>
                    <w:t>运行费用</w:t>
                  </w:r>
                </w:p>
              </w:tc>
              <w:tc>
                <w:tcPr>
                  <w:tcW w:w="712" w:type="dxa"/>
                  <w:vAlign w:val="center"/>
                </w:tcPr>
                <w:p>
                  <w:pPr>
                    <w:pStyle w:val="32"/>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restart"/>
                  <w:vAlign w:val="center"/>
                </w:tcPr>
                <w:p>
                  <w:pPr>
                    <w:pStyle w:val="32"/>
                    <w:spacing w:line="360" w:lineRule="exact"/>
                    <w:rPr>
                      <w:color w:val="000000" w:themeColor="text1"/>
                      <w:szCs w:val="21"/>
                    </w:rPr>
                  </w:pPr>
                  <w:r>
                    <w:rPr>
                      <w:color w:val="000000" w:themeColor="text1"/>
                      <w:szCs w:val="21"/>
                    </w:rPr>
                    <w:t>施工期污染源</w:t>
                  </w:r>
                </w:p>
              </w:tc>
              <w:tc>
                <w:tcPr>
                  <w:tcW w:w="568" w:type="dxa"/>
                  <w:vAlign w:val="center"/>
                </w:tcPr>
                <w:p>
                  <w:pPr>
                    <w:pStyle w:val="32"/>
                    <w:spacing w:line="360" w:lineRule="exact"/>
                    <w:rPr>
                      <w:color w:val="000000" w:themeColor="text1"/>
                      <w:szCs w:val="21"/>
                    </w:rPr>
                  </w:pPr>
                  <w:r>
                    <w:rPr>
                      <w:color w:val="000000" w:themeColor="text1"/>
                      <w:szCs w:val="21"/>
                    </w:rPr>
                    <w:t>废气</w:t>
                  </w:r>
                </w:p>
              </w:tc>
              <w:tc>
                <w:tcPr>
                  <w:tcW w:w="708" w:type="dxa"/>
                  <w:gridSpan w:val="2"/>
                  <w:vAlign w:val="center"/>
                </w:tcPr>
                <w:p>
                  <w:pPr>
                    <w:pStyle w:val="32"/>
                    <w:spacing w:line="360" w:lineRule="exact"/>
                    <w:rPr>
                      <w:color w:val="000000" w:themeColor="text1"/>
                      <w:szCs w:val="21"/>
                    </w:rPr>
                  </w:pPr>
                  <w:r>
                    <w:rPr>
                      <w:color w:val="000000" w:themeColor="text1"/>
                      <w:szCs w:val="21"/>
                    </w:rPr>
                    <w:t>扬尘</w:t>
                  </w:r>
                </w:p>
              </w:tc>
              <w:tc>
                <w:tcPr>
                  <w:tcW w:w="1417" w:type="dxa"/>
                  <w:vAlign w:val="center"/>
                </w:tcPr>
                <w:p>
                  <w:pPr>
                    <w:pStyle w:val="32"/>
                    <w:spacing w:line="360" w:lineRule="exact"/>
                    <w:rPr>
                      <w:color w:val="000000" w:themeColor="text1"/>
                      <w:szCs w:val="21"/>
                    </w:rPr>
                  </w:pPr>
                  <w:r>
                    <w:rPr>
                      <w:color w:val="000000" w:themeColor="text1"/>
                      <w:szCs w:val="21"/>
                    </w:rPr>
                    <w:t>洒水抑尘设施</w:t>
                  </w:r>
                </w:p>
              </w:tc>
              <w:tc>
                <w:tcPr>
                  <w:tcW w:w="2546" w:type="dxa"/>
                  <w:vAlign w:val="center"/>
                </w:tcPr>
                <w:p>
                  <w:pPr>
                    <w:pStyle w:val="32"/>
                    <w:spacing w:line="360" w:lineRule="exact"/>
                    <w:ind w:firstLine="210" w:firstLineChars="100"/>
                    <w:jc w:val="both"/>
                    <w:rPr>
                      <w:color w:val="000000" w:themeColor="text1"/>
                      <w:szCs w:val="21"/>
                    </w:rPr>
                  </w:pPr>
                  <w:r>
                    <w:rPr>
                      <w:color w:val="000000" w:themeColor="text1"/>
                      <w:szCs w:val="21"/>
                    </w:rPr>
                    <w:t>1套</w:t>
                  </w:r>
                </w:p>
              </w:tc>
              <w:tc>
                <w:tcPr>
                  <w:tcW w:w="710" w:type="dxa"/>
                  <w:gridSpan w:val="2"/>
                  <w:vAlign w:val="center"/>
                </w:tcPr>
                <w:p>
                  <w:pPr>
                    <w:pStyle w:val="32"/>
                    <w:spacing w:line="360" w:lineRule="exact"/>
                    <w:rPr>
                      <w:color w:val="000000" w:themeColor="text1"/>
                      <w:szCs w:val="21"/>
                    </w:rPr>
                  </w:pPr>
                  <w:r>
                    <w:rPr>
                      <w:rFonts w:hint="eastAsia"/>
                      <w:color w:val="000000" w:themeColor="text1"/>
                      <w:szCs w:val="21"/>
                    </w:rPr>
                    <w:t>1</w:t>
                  </w:r>
                </w:p>
              </w:tc>
              <w:tc>
                <w:tcPr>
                  <w:tcW w:w="709" w:type="dxa"/>
                  <w:gridSpan w:val="2"/>
                  <w:vMerge w:val="restart"/>
                  <w:vAlign w:val="center"/>
                </w:tcPr>
                <w:p>
                  <w:pPr>
                    <w:pStyle w:val="32"/>
                    <w:spacing w:line="360" w:lineRule="exact"/>
                    <w:rPr>
                      <w:color w:val="000000" w:themeColor="text1"/>
                      <w:szCs w:val="21"/>
                    </w:rPr>
                  </w:pPr>
                  <w:r>
                    <w:rPr>
                      <w:color w:val="000000" w:themeColor="text1"/>
                      <w:szCs w:val="21"/>
                    </w:rPr>
                    <w:t>施工单位</w:t>
                  </w: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restart"/>
                  <w:vAlign w:val="center"/>
                </w:tcPr>
                <w:p>
                  <w:pPr>
                    <w:pStyle w:val="32"/>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Align w:val="center"/>
                </w:tcPr>
                <w:p>
                  <w:pPr>
                    <w:pStyle w:val="32"/>
                    <w:spacing w:line="360" w:lineRule="exact"/>
                    <w:rPr>
                      <w:color w:val="000000" w:themeColor="text1"/>
                      <w:szCs w:val="21"/>
                    </w:rPr>
                  </w:pPr>
                  <w:r>
                    <w:rPr>
                      <w:color w:val="000000" w:themeColor="text1"/>
                      <w:szCs w:val="21"/>
                    </w:rPr>
                    <w:t>废水</w:t>
                  </w:r>
                </w:p>
              </w:tc>
              <w:tc>
                <w:tcPr>
                  <w:tcW w:w="708" w:type="dxa"/>
                  <w:gridSpan w:val="2"/>
                  <w:vAlign w:val="center"/>
                </w:tcPr>
                <w:p>
                  <w:pPr>
                    <w:pStyle w:val="32"/>
                    <w:spacing w:line="360" w:lineRule="exact"/>
                    <w:rPr>
                      <w:color w:val="000000" w:themeColor="text1"/>
                      <w:szCs w:val="21"/>
                    </w:rPr>
                  </w:pPr>
                  <w:r>
                    <w:rPr>
                      <w:color w:val="000000" w:themeColor="text1"/>
                      <w:szCs w:val="21"/>
                    </w:rPr>
                    <w:t>施工废水</w:t>
                  </w:r>
                </w:p>
              </w:tc>
              <w:tc>
                <w:tcPr>
                  <w:tcW w:w="1417" w:type="dxa"/>
                  <w:vAlign w:val="center"/>
                </w:tcPr>
                <w:p>
                  <w:pPr>
                    <w:pStyle w:val="32"/>
                    <w:spacing w:line="360" w:lineRule="exact"/>
                    <w:rPr>
                      <w:color w:val="000000" w:themeColor="text1"/>
                      <w:szCs w:val="21"/>
                    </w:rPr>
                  </w:pPr>
                  <w:r>
                    <w:rPr>
                      <w:color w:val="000000" w:themeColor="text1"/>
                      <w:szCs w:val="21"/>
                    </w:rPr>
                    <w:t>临时沉淀池</w:t>
                  </w:r>
                </w:p>
              </w:tc>
              <w:tc>
                <w:tcPr>
                  <w:tcW w:w="2546" w:type="dxa"/>
                  <w:vAlign w:val="center"/>
                </w:tcPr>
                <w:p>
                  <w:pPr>
                    <w:pStyle w:val="32"/>
                    <w:spacing w:line="360" w:lineRule="exact"/>
                    <w:ind w:firstLine="210" w:firstLineChars="100"/>
                    <w:jc w:val="both"/>
                    <w:rPr>
                      <w:color w:val="000000" w:themeColor="text1"/>
                      <w:szCs w:val="21"/>
                    </w:rPr>
                  </w:pPr>
                  <w:r>
                    <w:rPr>
                      <w:color w:val="000000" w:themeColor="text1"/>
                      <w:szCs w:val="21"/>
                    </w:rPr>
                    <w:t>1个，20m³</w:t>
                  </w:r>
                </w:p>
              </w:tc>
              <w:tc>
                <w:tcPr>
                  <w:tcW w:w="710" w:type="dxa"/>
                  <w:gridSpan w:val="2"/>
                  <w:vAlign w:val="center"/>
                </w:tcPr>
                <w:p>
                  <w:pPr>
                    <w:pStyle w:val="32"/>
                    <w:spacing w:line="360" w:lineRule="exact"/>
                    <w:rPr>
                      <w:color w:val="000000" w:themeColor="text1"/>
                      <w:szCs w:val="21"/>
                    </w:rPr>
                  </w:pPr>
                  <w:r>
                    <w:rPr>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Align w:val="center"/>
                </w:tcPr>
                <w:p>
                  <w:pPr>
                    <w:pStyle w:val="32"/>
                    <w:spacing w:line="360" w:lineRule="exact"/>
                    <w:rPr>
                      <w:color w:val="000000" w:themeColor="text1"/>
                      <w:szCs w:val="21"/>
                    </w:rPr>
                  </w:pPr>
                  <w:r>
                    <w:rPr>
                      <w:color w:val="000000" w:themeColor="text1"/>
                      <w:szCs w:val="21"/>
                    </w:rPr>
                    <w:t>噪声</w:t>
                  </w:r>
                </w:p>
              </w:tc>
              <w:tc>
                <w:tcPr>
                  <w:tcW w:w="708" w:type="dxa"/>
                  <w:gridSpan w:val="2"/>
                  <w:vAlign w:val="center"/>
                </w:tcPr>
                <w:p>
                  <w:pPr>
                    <w:pStyle w:val="32"/>
                    <w:spacing w:line="360" w:lineRule="exact"/>
                    <w:rPr>
                      <w:color w:val="000000" w:themeColor="text1"/>
                      <w:szCs w:val="21"/>
                    </w:rPr>
                  </w:pPr>
                  <w:r>
                    <w:rPr>
                      <w:color w:val="000000" w:themeColor="text1"/>
                      <w:szCs w:val="21"/>
                    </w:rPr>
                    <w:t>施工噪声</w:t>
                  </w:r>
                </w:p>
              </w:tc>
              <w:tc>
                <w:tcPr>
                  <w:tcW w:w="1417" w:type="dxa"/>
                  <w:vAlign w:val="center"/>
                </w:tcPr>
                <w:p>
                  <w:pPr>
                    <w:pStyle w:val="32"/>
                    <w:spacing w:line="360" w:lineRule="exact"/>
                    <w:rPr>
                      <w:color w:val="000000" w:themeColor="text1"/>
                      <w:szCs w:val="21"/>
                    </w:rPr>
                  </w:pPr>
                  <w:r>
                    <w:rPr>
                      <w:color w:val="000000" w:themeColor="text1"/>
                      <w:szCs w:val="21"/>
                    </w:rPr>
                    <w:t>遮挡围墙</w:t>
                  </w:r>
                </w:p>
              </w:tc>
              <w:tc>
                <w:tcPr>
                  <w:tcW w:w="2546" w:type="dxa"/>
                  <w:vAlign w:val="center"/>
                </w:tcPr>
                <w:p>
                  <w:pPr>
                    <w:pStyle w:val="32"/>
                    <w:spacing w:line="360" w:lineRule="exact"/>
                    <w:ind w:firstLine="210" w:firstLineChars="100"/>
                    <w:jc w:val="both"/>
                    <w:rPr>
                      <w:color w:val="000000" w:themeColor="text1"/>
                      <w:szCs w:val="21"/>
                    </w:rPr>
                  </w:pPr>
                  <w:r>
                    <w:rPr>
                      <w:color w:val="000000" w:themeColor="text1"/>
                      <w:szCs w:val="21"/>
                    </w:rPr>
                    <w:t>2.5m高，围挡</w:t>
                  </w:r>
                </w:p>
              </w:tc>
              <w:tc>
                <w:tcPr>
                  <w:tcW w:w="710" w:type="dxa"/>
                  <w:gridSpan w:val="2"/>
                  <w:vAlign w:val="center"/>
                </w:tcPr>
                <w:p>
                  <w:pPr>
                    <w:pStyle w:val="32"/>
                    <w:spacing w:line="360" w:lineRule="exact"/>
                    <w:rPr>
                      <w:color w:val="000000" w:themeColor="text1"/>
                      <w:szCs w:val="21"/>
                    </w:rPr>
                  </w:pPr>
                  <w:r>
                    <w:rPr>
                      <w:rFonts w:hint="eastAsia"/>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restart"/>
                  <w:vAlign w:val="center"/>
                </w:tcPr>
                <w:p>
                  <w:pPr>
                    <w:pStyle w:val="32"/>
                    <w:spacing w:line="360" w:lineRule="exact"/>
                    <w:rPr>
                      <w:color w:val="000000" w:themeColor="text1"/>
                      <w:szCs w:val="21"/>
                    </w:rPr>
                  </w:pPr>
                  <w:r>
                    <w:rPr>
                      <w:color w:val="000000" w:themeColor="text1"/>
                      <w:szCs w:val="21"/>
                    </w:rPr>
                    <w:t>运营期污染源</w:t>
                  </w:r>
                </w:p>
              </w:tc>
              <w:tc>
                <w:tcPr>
                  <w:tcW w:w="568" w:type="dxa"/>
                  <w:vMerge w:val="restart"/>
                  <w:vAlign w:val="center"/>
                </w:tcPr>
                <w:p>
                  <w:pPr>
                    <w:pStyle w:val="32"/>
                    <w:spacing w:line="360" w:lineRule="exact"/>
                    <w:rPr>
                      <w:color w:val="000000" w:themeColor="text1"/>
                      <w:szCs w:val="21"/>
                    </w:rPr>
                  </w:pPr>
                  <w:r>
                    <w:rPr>
                      <w:color w:val="000000" w:themeColor="text1"/>
                      <w:szCs w:val="21"/>
                    </w:rPr>
                    <w:t>废气</w:t>
                  </w:r>
                </w:p>
              </w:tc>
              <w:tc>
                <w:tcPr>
                  <w:tcW w:w="708" w:type="dxa"/>
                  <w:gridSpan w:val="2"/>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扬尘</w:t>
                  </w:r>
                </w:p>
              </w:tc>
              <w:tc>
                <w:tcPr>
                  <w:tcW w:w="1417" w:type="dxa"/>
                  <w:vAlign w:val="center"/>
                </w:tcPr>
                <w:p>
                  <w:pPr>
                    <w:pStyle w:val="32"/>
                    <w:spacing w:line="360" w:lineRule="exact"/>
                    <w:rPr>
                      <w:color w:val="000000" w:themeColor="text1"/>
                      <w:szCs w:val="21"/>
                    </w:rPr>
                  </w:pPr>
                  <w:r>
                    <w:rPr>
                      <w:color w:val="000000" w:themeColor="text1"/>
                      <w:szCs w:val="21"/>
                    </w:rPr>
                    <w:t>围挡和顶棚</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拟对废石堆场和产品堆场（1#料场、2#料场和3#料场）除车辆进出区域，其他区域均分别设置不低于物料堆存高度围挡和顶棚。</w:t>
                  </w:r>
                </w:p>
              </w:tc>
              <w:tc>
                <w:tcPr>
                  <w:tcW w:w="702" w:type="dxa"/>
                  <w:vAlign w:val="center"/>
                </w:tcPr>
                <w:p>
                  <w:pPr>
                    <w:pStyle w:val="32"/>
                    <w:spacing w:line="360" w:lineRule="exact"/>
                    <w:rPr>
                      <w:color w:val="000000" w:themeColor="text1"/>
                      <w:szCs w:val="21"/>
                    </w:rPr>
                  </w:pPr>
                  <w:r>
                    <w:rPr>
                      <w:color w:val="000000" w:themeColor="text1"/>
                      <w:szCs w:val="21"/>
                    </w:rPr>
                    <w:t>1</w:t>
                  </w:r>
                  <w:r>
                    <w:rPr>
                      <w:rFonts w:hint="eastAsia"/>
                      <w:color w:val="000000" w:themeColor="text1"/>
                      <w:szCs w:val="21"/>
                    </w:rPr>
                    <w:t>7</w:t>
                  </w:r>
                </w:p>
              </w:tc>
              <w:tc>
                <w:tcPr>
                  <w:tcW w:w="709" w:type="dxa"/>
                  <w:gridSpan w:val="2"/>
                  <w:vMerge w:val="restart"/>
                  <w:vAlign w:val="center"/>
                </w:tcPr>
                <w:p>
                  <w:pPr>
                    <w:pStyle w:val="32"/>
                    <w:spacing w:line="360" w:lineRule="exact"/>
                    <w:rPr>
                      <w:color w:val="000000" w:themeColor="text1"/>
                      <w:szCs w:val="21"/>
                    </w:rPr>
                  </w:pPr>
                  <w:r>
                    <w:rPr>
                      <w:color w:val="000000" w:themeColor="text1"/>
                      <w:szCs w:val="21"/>
                    </w:rPr>
                    <w:t>施工单位</w:t>
                  </w:r>
                </w:p>
              </w:tc>
              <w:tc>
                <w:tcPr>
                  <w:tcW w:w="782" w:type="dxa"/>
                  <w:vAlign w:val="center"/>
                </w:tcPr>
                <w:p>
                  <w:pPr>
                    <w:pStyle w:val="32"/>
                    <w:spacing w:line="360" w:lineRule="exact"/>
                    <w:rPr>
                      <w:color w:val="000000" w:themeColor="text1"/>
                      <w:szCs w:val="21"/>
                    </w:rPr>
                  </w:pPr>
                  <w:r>
                    <w:rPr>
                      <w:color w:val="000000" w:themeColor="text1"/>
                      <w:szCs w:val="21"/>
                    </w:rPr>
                    <w:t>1</w:t>
                  </w:r>
                  <w:r>
                    <w:rPr>
                      <w:rFonts w:hint="eastAsia"/>
                      <w:color w:val="000000" w:themeColor="text1"/>
                      <w:szCs w:val="21"/>
                    </w:rPr>
                    <w:t>.2</w:t>
                  </w:r>
                </w:p>
              </w:tc>
              <w:tc>
                <w:tcPr>
                  <w:tcW w:w="712" w:type="dxa"/>
                  <w:vMerge w:val="restart"/>
                  <w:vAlign w:val="center"/>
                </w:tcPr>
                <w:p>
                  <w:pPr>
                    <w:pStyle w:val="32"/>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雾炮机</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1台</w:t>
                  </w:r>
                </w:p>
              </w:tc>
              <w:tc>
                <w:tcPr>
                  <w:tcW w:w="702" w:type="dxa"/>
                  <w:vAlign w:val="center"/>
                </w:tcPr>
                <w:p>
                  <w:pPr>
                    <w:pStyle w:val="32"/>
                    <w:spacing w:line="360" w:lineRule="exact"/>
                    <w:rPr>
                      <w:color w:val="000000" w:themeColor="text1"/>
                      <w:szCs w:val="21"/>
                    </w:rPr>
                  </w:pPr>
                  <w:r>
                    <w:rPr>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0.5</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破碎筛分系统加水作业</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项目砂石骨料生产线整个破碎筛分系统均采用加水作业</w:t>
                  </w:r>
                </w:p>
              </w:tc>
              <w:tc>
                <w:tcPr>
                  <w:tcW w:w="702" w:type="dxa"/>
                  <w:vAlign w:val="center"/>
                </w:tcPr>
                <w:p>
                  <w:pPr>
                    <w:pStyle w:val="32"/>
                    <w:spacing w:line="360" w:lineRule="exact"/>
                    <w:rPr>
                      <w:color w:val="000000" w:themeColor="text1"/>
                      <w:szCs w:val="21"/>
                    </w:rPr>
                  </w:pPr>
                  <w:r>
                    <w:rPr>
                      <w:color w:val="000000" w:themeColor="text1"/>
                      <w:szCs w:val="21"/>
                    </w:rPr>
                    <w:t>--</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密闭运输</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皮带机密闭</w:t>
                  </w:r>
                </w:p>
              </w:tc>
              <w:tc>
                <w:tcPr>
                  <w:tcW w:w="702" w:type="dxa"/>
                  <w:vAlign w:val="center"/>
                </w:tcPr>
                <w:p>
                  <w:pPr>
                    <w:pStyle w:val="32"/>
                    <w:spacing w:line="360" w:lineRule="exact"/>
                    <w:rPr>
                      <w:color w:val="000000" w:themeColor="text1"/>
                      <w:szCs w:val="21"/>
                    </w:rPr>
                  </w:pPr>
                  <w:r>
                    <w:rPr>
                      <w:color w:val="000000" w:themeColor="text1"/>
                      <w:szCs w:val="21"/>
                    </w:rPr>
                    <w:t>4</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restart"/>
                  <w:vAlign w:val="center"/>
                </w:tcPr>
                <w:p>
                  <w:pPr>
                    <w:pStyle w:val="32"/>
                    <w:spacing w:line="360" w:lineRule="exact"/>
                    <w:rPr>
                      <w:color w:val="000000" w:themeColor="text1"/>
                      <w:szCs w:val="21"/>
                    </w:rPr>
                  </w:pPr>
                  <w:r>
                    <w:rPr>
                      <w:color w:val="000000" w:themeColor="text1"/>
                      <w:szCs w:val="21"/>
                    </w:rPr>
                    <w:t>废水</w:t>
                  </w:r>
                </w:p>
              </w:tc>
              <w:tc>
                <w:tcPr>
                  <w:tcW w:w="2125" w:type="dxa"/>
                  <w:gridSpan w:val="3"/>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雨污分流</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雨水管网</w:t>
                  </w:r>
                </w:p>
              </w:tc>
              <w:tc>
                <w:tcPr>
                  <w:tcW w:w="702" w:type="dxa"/>
                  <w:vAlign w:val="center"/>
                </w:tcPr>
                <w:p>
                  <w:pPr>
                    <w:pStyle w:val="32"/>
                    <w:spacing w:line="360" w:lineRule="exact"/>
                    <w:rPr>
                      <w:color w:val="000000" w:themeColor="text1"/>
                      <w:szCs w:val="21"/>
                    </w:rPr>
                  </w:pPr>
                  <w:r>
                    <w:rPr>
                      <w:color w:val="000000" w:themeColor="text1"/>
                      <w:szCs w:val="21"/>
                    </w:rPr>
                    <w:t>--</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color w:val="000000" w:themeColor="text1"/>
                      <w:szCs w:val="21"/>
                    </w:rPr>
                  </w:pPr>
                  <w:r>
                    <w:rPr>
                      <w:color w:val="000000" w:themeColor="text1"/>
                      <w:szCs w:val="21"/>
                    </w:rPr>
                    <w:t>砂石骨料生产废水</w:t>
                  </w:r>
                </w:p>
              </w:tc>
              <w:tc>
                <w:tcPr>
                  <w:tcW w:w="1417" w:type="dxa"/>
                  <w:vAlign w:val="center"/>
                </w:tcPr>
                <w:p>
                  <w:pPr>
                    <w:pStyle w:val="32"/>
                    <w:spacing w:line="360" w:lineRule="exact"/>
                    <w:rPr>
                      <w:color w:val="000000" w:themeColor="text1"/>
                      <w:szCs w:val="21"/>
                    </w:rPr>
                  </w:pPr>
                  <w:r>
                    <w:rPr>
                      <w:color w:val="000000" w:themeColor="text1"/>
                      <w:szCs w:val="21"/>
                    </w:rPr>
                    <w:t>砂石骨料生产废水处理系统</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1组有效容积为60m³的三级沉淀池、1个10m³回水池和回水管道</w:t>
                  </w:r>
                </w:p>
              </w:tc>
              <w:tc>
                <w:tcPr>
                  <w:tcW w:w="702" w:type="dxa"/>
                  <w:vAlign w:val="center"/>
                </w:tcPr>
                <w:p>
                  <w:pPr>
                    <w:pStyle w:val="32"/>
                    <w:spacing w:line="360" w:lineRule="exact"/>
                    <w:rPr>
                      <w:color w:val="000000" w:themeColor="text1"/>
                      <w:szCs w:val="21"/>
                    </w:rPr>
                  </w:pPr>
                  <w:r>
                    <w:rPr>
                      <w:color w:val="000000" w:themeColor="text1"/>
                      <w:szCs w:val="21"/>
                    </w:rPr>
                    <w:t>35</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4</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color w:val="000000" w:themeColor="text1"/>
                      <w:szCs w:val="21"/>
                    </w:rPr>
                  </w:pPr>
                  <w:r>
                    <w:rPr>
                      <w:color w:val="000000" w:themeColor="text1"/>
                      <w:szCs w:val="21"/>
                    </w:rPr>
                    <w:t>初期雨水</w:t>
                  </w:r>
                </w:p>
              </w:tc>
              <w:tc>
                <w:tcPr>
                  <w:tcW w:w="1417" w:type="dxa"/>
                  <w:vAlign w:val="center"/>
                </w:tcPr>
                <w:p>
                  <w:pPr>
                    <w:pStyle w:val="32"/>
                    <w:spacing w:line="360" w:lineRule="exact"/>
                    <w:rPr>
                      <w:color w:val="000000" w:themeColor="text1"/>
                      <w:szCs w:val="21"/>
                    </w:rPr>
                  </w:pPr>
                  <w:r>
                    <w:rPr>
                      <w:color w:val="000000" w:themeColor="text1"/>
                      <w:szCs w:val="21"/>
                    </w:rPr>
                    <w:t>初期雨水收集系统</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截排水沟和1个有效容积为</w:t>
                  </w:r>
                  <w:r>
                    <w:rPr>
                      <w:rFonts w:hint="eastAsia"/>
                      <w:color w:val="000000" w:themeColor="text1"/>
                      <w:szCs w:val="21"/>
                    </w:rPr>
                    <w:t>9</w:t>
                  </w:r>
                  <w:r>
                    <w:rPr>
                      <w:color w:val="000000" w:themeColor="text1"/>
                      <w:szCs w:val="21"/>
                    </w:rPr>
                    <w:t>m³</w:t>
                  </w:r>
                  <w:r>
                    <w:rPr>
                      <w:rFonts w:hint="eastAsia"/>
                      <w:color w:val="000000" w:themeColor="text1"/>
                      <w:szCs w:val="21"/>
                    </w:rPr>
                    <w:t>的初期雨水收集池</w:t>
                  </w:r>
                </w:p>
              </w:tc>
              <w:tc>
                <w:tcPr>
                  <w:tcW w:w="702" w:type="dxa"/>
                  <w:vAlign w:val="center"/>
                </w:tcPr>
                <w:p>
                  <w:pPr>
                    <w:pStyle w:val="32"/>
                    <w:spacing w:line="360" w:lineRule="exact"/>
                    <w:rPr>
                      <w:color w:val="000000" w:themeColor="text1"/>
                      <w:szCs w:val="21"/>
                    </w:rPr>
                  </w:pPr>
                  <w:r>
                    <w:rPr>
                      <w:rFonts w:hint="eastAsia"/>
                      <w:color w:val="000000" w:themeColor="text1"/>
                      <w:szCs w:val="21"/>
                    </w:rPr>
                    <w:t>10</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1</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color w:val="000000" w:themeColor="text1"/>
                      <w:szCs w:val="21"/>
                    </w:rPr>
                  </w:pPr>
                  <w:r>
                    <w:rPr>
                      <w:color w:val="000000" w:themeColor="text1"/>
                      <w:szCs w:val="21"/>
                    </w:rPr>
                    <w:t>生活污水</w:t>
                  </w:r>
                </w:p>
              </w:tc>
              <w:tc>
                <w:tcPr>
                  <w:tcW w:w="1417" w:type="dxa"/>
                  <w:vAlign w:val="center"/>
                </w:tcPr>
                <w:p>
                  <w:pPr>
                    <w:pStyle w:val="32"/>
                    <w:spacing w:line="360" w:lineRule="exact"/>
                    <w:rPr>
                      <w:color w:val="000000" w:themeColor="text1"/>
                      <w:szCs w:val="21"/>
                    </w:rPr>
                  </w:pPr>
                  <w:r>
                    <w:rPr>
                      <w:rFonts w:eastAsiaTheme="minorEastAsia"/>
                      <w:color w:val="000000" w:themeColor="text1"/>
                      <w:szCs w:val="21"/>
                    </w:rPr>
                    <w:t>生活污水处理系统</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1个有效容积为3m³的化粪池、1套处理能力为3m³/d的一体化污水处理设施和1个有效容积为10m³的清水池</w:t>
                  </w:r>
                </w:p>
              </w:tc>
              <w:tc>
                <w:tcPr>
                  <w:tcW w:w="702" w:type="dxa"/>
                  <w:vAlign w:val="center"/>
                </w:tcPr>
                <w:p>
                  <w:pPr>
                    <w:pStyle w:val="32"/>
                    <w:spacing w:line="360" w:lineRule="exact"/>
                    <w:rPr>
                      <w:color w:val="000000" w:themeColor="text1"/>
                      <w:szCs w:val="21"/>
                    </w:rPr>
                  </w:pPr>
                  <w:r>
                    <w:rPr>
                      <w:color w:val="000000" w:themeColor="text1"/>
                      <w:szCs w:val="21"/>
                    </w:rPr>
                    <w:t>15</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1.5</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1276" w:type="dxa"/>
                  <w:gridSpan w:val="3"/>
                  <w:vMerge w:val="restart"/>
                  <w:vAlign w:val="center"/>
                </w:tcPr>
                <w:p>
                  <w:pPr>
                    <w:pStyle w:val="32"/>
                    <w:spacing w:line="360" w:lineRule="exact"/>
                    <w:rPr>
                      <w:color w:val="000000" w:themeColor="text1"/>
                      <w:szCs w:val="21"/>
                    </w:rPr>
                  </w:pPr>
                  <w:r>
                    <w:rPr>
                      <w:color w:val="000000" w:themeColor="text1"/>
                      <w:szCs w:val="21"/>
                    </w:rPr>
                    <w:t>地下水防渗</w:t>
                  </w:r>
                </w:p>
              </w:tc>
              <w:tc>
                <w:tcPr>
                  <w:tcW w:w="1417" w:type="dxa"/>
                  <w:vAlign w:val="center"/>
                </w:tcPr>
                <w:p>
                  <w:pPr>
                    <w:pStyle w:val="32"/>
                    <w:spacing w:line="360" w:lineRule="exact"/>
                    <w:rPr>
                      <w:color w:val="000000" w:themeColor="text1"/>
                      <w:szCs w:val="21"/>
                    </w:rPr>
                  </w:pPr>
                  <w:r>
                    <w:rPr>
                      <w:color w:val="000000" w:themeColor="text1"/>
                      <w:szCs w:val="21"/>
                    </w:rPr>
                    <w:t>重点防渗区</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702" w:type="dxa"/>
                  <w:vAlign w:val="center"/>
                </w:tcPr>
                <w:p>
                  <w:pPr>
                    <w:pStyle w:val="32"/>
                    <w:spacing w:line="360" w:lineRule="exact"/>
                    <w:rPr>
                      <w:color w:val="000000" w:themeColor="text1"/>
                      <w:szCs w:val="21"/>
                    </w:rPr>
                  </w:pPr>
                  <w:r>
                    <w:rPr>
                      <w:color w:val="000000" w:themeColor="text1"/>
                      <w:szCs w:val="21"/>
                    </w:rPr>
                    <w:t>0.5</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1276" w:type="dxa"/>
                  <w:gridSpan w:val="3"/>
                  <w:vMerge w:val="continue"/>
                  <w:vAlign w:val="center"/>
                </w:tcPr>
                <w:p>
                  <w:pPr>
                    <w:pStyle w:val="32"/>
                    <w:spacing w:line="360" w:lineRule="exact"/>
                    <w:rPr>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一般防渗区</w:t>
                  </w:r>
                </w:p>
              </w:tc>
              <w:tc>
                <w:tcPr>
                  <w:tcW w:w="2554" w:type="dxa"/>
                  <w:gridSpan w:val="2"/>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一期工程</w:t>
                  </w:r>
                  <w:r>
                    <w:rPr>
                      <w:color w:val="000000" w:themeColor="text1"/>
                      <w:szCs w:val="21"/>
                    </w:rPr>
                    <w:t>生产区、砂石骨料生产废水处理系统、</w:t>
                  </w:r>
                  <w:r>
                    <w:rPr>
                      <w:rFonts w:hint="eastAsia"/>
                      <w:color w:val="000000" w:themeColor="text1"/>
                      <w:szCs w:val="21"/>
                    </w:rPr>
                    <w:t>一期工程</w:t>
                  </w:r>
                  <w:r>
                    <w:rPr>
                      <w:color w:val="000000" w:themeColor="text1"/>
                      <w:szCs w:val="21"/>
                    </w:rPr>
                    <w:t>初期雨水收集系统和生活污水处理系统区域划定为一般防渗区，一般防渗区措施在地面采取粘土铺底，并在上层铺30cm的混凝土进行硬化。确保防渗性能，使其渗透系数≤1.0×10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702" w:type="dxa"/>
                  <w:vAlign w:val="center"/>
                </w:tcPr>
                <w:p>
                  <w:pPr>
                    <w:pStyle w:val="32"/>
                    <w:spacing w:line="360" w:lineRule="exact"/>
                    <w:rPr>
                      <w:color w:val="000000" w:themeColor="text1"/>
                      <w:szCs w:val="21"/>
                    </w:rPr>
                  </w:pPr>
                  <w:r>
                    <w:rPr>
                      <w:rFonts w:hint="eastAsia"/>
                      <w:color w:val="000000" w:themeColor="text1"/>
                      <w:szCs w:val="21"/>
                    </w:rPr>
                    <w:t>4</w:t>
                  </w:r>
                  <w:r>
                    <w:rPr>
                      <w:color w:val="000000" w:themeColor="text1"/>
                      <w:szCs w:val="21"/>
                    </w:rPr>
                    <w:t>8</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607" w:type="dxa"/>
                  <w:gridSpan w:val="2"/>
                  <w:vAlign w:val="center"/>
                </w:tcPr>
                <w:p>
                  <w:pPr>
                    <w:pStyle w:val="32"/>
                    <w:spacing w:line="360" w:lineRule="exact"/>
                    <w:rPr>
                      <w:color w:val="000000" w:themeColor="text1"/>
                      <w:szCs w:val="21"/>
                    </w:rPr>
                  </w:pPr>
                  <w:r>
                    <w:rPr>
                      <w:color w:val="000000" w:themeColor="text1"/>
                      <w:szCs w:val="21"/>
                    </w:rPr>
                    <w:t>噪声</w:t>
                  </w:r>
                </w:p>
              </w:tc>
              <w:tc>
                <w:tcPr>
                  <w:tcW w:w="669" w:type="dxa"/>
                  <w:vAlign w:val="center"/>
                </w:tcPr>
                <w:p>
                  <w:pPr>
                    <w:pStyle w:val="32"/>
                    <w:spacing w:line="360" w:lineRule="exact"/>
                    <w:rPr>
                      <w:color w:val="000000" w:themeColor="text1"/>
                      <w:szCs w:val="21"/>
                    </w:rPr>
                  </w:pPr>
                  <w:r>
                    <w:rPr>
                      <w:color w:val="000000" w:themeColor="text1"/>
                      <w:szCs w:val="21"/>
                    </w:rPr>
                    <w:t>设备噪声</w:t>
                  </w:r>
                </w:p>
              </w:tc>
              <w:tc>
                <w:tcPr>
                  <w:tcW w:w="1417" w:type="dxa"/>
                  <w:vAlign w:val="center"/>
                </w:tcPr>
                <w:p>
                  <w:pPr>
                    <w:pStyle w:val="32"/>
                    <w:spacing w:line="360" w:lineRule="exact"/>
                    <w:rPr>
                      <w:color w:val="000000" w:themeColor="text1"/>
                      <w:szCs w:val="21"/>
                    </w:rPr>
                  </w:pPr>
                  <w:r>
                    <w:rPr>
                      <w:color w:val="000000" w:themeColor="text1"/>
                      <w:szCs w:val="21"/>
                    </w:rPr>
                    <w:t>减震垫、消声器等</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702" w:type="dxa"/>
                  <w:vAlign w:val="center"/>
                </w:tcPr>
                <w:p>
                  <w:pPr>
                    <w:pStyle w:val="32"/>
                    <w:spacing w:line="360" w:lineRule="exact"/>
                    <w:rPr>
                      <w:color w:val="000000" w:themeColor="text1"/>
                      <w:szCs w:val="21"/>
                    </w:rPr>
                  </w:pPr>
                  <w:r>
                    <w:rPr>
                      <w:rFonts w:hint="eastAsia"/>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607" w:type="dxa"/>
                  <w:gridSpan w:val="2"/>
                  <w:vMerge w:val="restart"/>
                  <w:vAlign w:val="center"/>
                </w:tcPr>
                <w:p>
                  <w:pPr>
                    <w:pStyle w:val="32"/>
                    <w:spacing w:line="360" w:lineRule="exact"/>
                    <w:rPr>
                      <w:color w:val="000000" w:themeColor="text1"/>
                      <w:szCs w:val="21"/>
                    </w:rPr>
                  </w:pPr>
                  <w:r>
                    <w:rPr>
                      <w:color w:val="000000" w:themeColor="text1"/>
                      <w:szCs w:val="21"/>
                    </w:rPr>
                    <w:t>固废</w:t>
                  </w:r>
                </w:p>
              </w:tc>
              <w:tc>
                <w:tcPr>
                  <w:tcW w:w="669" w:type="dxa"/>
                  <w:vAlign w:val="center"/>
                </w:tcPr>
                <w:p>
                  <w:pPr>
                    <w:pStyle w:val="32"/>
                    <w:spacing w:line="360" w:lineRule="exact"/>
                    <w:rPr>
                      <w:color w:val="000000" w:themeColor="text1"/>
                      <w:szCs w:val="21"/>
                    </w:rPr>
                  </w:pPr>
                  <w:r>
                    <w:rPr>
                      <w:color w:val="000000" w:themeColor="text1"/>
                      <w:szCs w:val="21"/>
                    </w:rPr>
                    <w:t>危险废物</w:t>
                  </w:r>
                </w:p>
              </w:tc>
              <w:tc>
                <w:tcPr>
                  <w:tcW w:w="1417" w:type="dxa"/>
                  <w:vAlign w:val="center"/>
                </w:tcPr>
                <w:p>
                  <w:pPr>
                    <w:pStyle w:val="32"/>
                    <w:spacing w:line="360" w:lineRule="exact"/>
                    <w:rPr>
                      <w:color w:val="000000" w:themeColor="text1"/>
                      <w:szCs w:val="21"/>
                    </w:rPr>
                  </w:pPr>
                  <w:r>
                    <w:rPr>
                      <w:color w:val="000000" w:themeColor="text1"/>
                      <w:szCs w:val="21"/>
                    </w:rPr>
                    <w:t>危险废物贮存间</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1个10m²</w:t>
                  </w:r>
                </w:p>
              </w:tc>
              <w:tc>
                <w:tcPr>
                  <w:tcW w:w="702" w:type="dxa"/>
                  <w:vAlign w:val="center"/>
                </w:tcPr>
                <w:p>
                  <w:pPr>
                    <w:pStyle w:val="32"/>
                    <w:spacing w:line="360" w:lineRule="exact"/>
                    <w:rPr>
                      <w:color w:val="000000" w:themeColor="text1"/>
                      <w:szCs w:val="21"/>
                    </w:rPr>
                  </w:pPr>
                  <w:r>
                    <w:rPr>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6</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607" w:type="dxa"/>
                  <w:gridSpan w:val="2"/>
                  <w:vMerge w:val="continue"/>
                  <w:vAlign w:val="center"/>
                </w:tcPr>
                <w:p>
                  <w:pPr>
                    <w:pStyle w:val="32"/>
                    <w:spacing w:line="360" w:lineRule="exact"/>
                    <w:rPr>
                      <w:color w:val="000000" w:themeColor="text1"/>
                      <w:szCs w:val="21"/>
                    </w:rPr>
                  </w:pPr>
                </w:p>
              </w:tc>
              <w:tc>
                <w:tcPr>
                  <w:tcW w:w="669" w:type="dxa"/>
                  <w:vAlign w:val="center"/>
                </w:tcPr>
                <w:p>
                  <w:pPr>
                    <w:pStyle w:val="32"/>
                    <w:spacing w:line="360" w:lineRule="exact"/>
                    <w:rPr>
                      <w:color w:val="000000" w:themeColor="text1"/>
                      <w:szCs w:val="21"/>
                    </w:rPr>
                  </w:pPr>
                  <w:r>
                    <w:rPr>
                      <w:color w:val="000000" w:themeColor="text1"/>
                      <w:szCs w:val="21"/>
                    </w:rPr>
                    <w:t>生活垃圾</w:t>
                  </w:r>
                </w:p>
              </w:tc>
              <w:tc>
                <w:tcPr>
                  <w:tcW w:w="1417" w:type="dxa"/>
                  <w:vAlign w:val="center"/>
                </w:tcPr>
                <w:p>
                  <w:pPr>
                    <w:pStyle w:val="32"/>
                    <w:spacing w:line="360" w:lineRule="exact"/>
                    <w:rPr>
                      <w:color w:val="000000" w:themeColor="text1"/>
                      <w:szCs w:val="21"/>
                    </w:rPr>
                  </w:pPr>
                  <w:r>
                    <w:rPr>
                      <w:color w:val="000000" w:themeColor="text1"/>
                      <w:szCs w:val="21"/>
                    </w:rPr>
                    <w:t>生活垃圾桶</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702" w:type="dxa"/>
                  <w:vAlign w:val="center"/>
                </w:tcPr>
                <w:p>
                  <w:pPr>
                    <w:pStyle w:val="32"/>
                    <w:spacing w:line="360" w:lineRule="exact"/>
                    <w:rPr>
                      <w:color w:val="000000" w:themeColor="text1"/>
                      <w:szCs w:val="21"/>
                    </w:rPr>
                  </w:pPr>
                  <w:r>
                    <w:rPr>
                      <w:color w:val="000000" w:themeColor="text1"/>
                      <w:szCs w:val="21"/>
                    </w:rPr>
                    <w:t>0.01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rFonts w:hint="eastAsia"/>
                      <w:color w:val="000000" w:themeColor="text1"/>
                      <w:szCs w:val="21"/>
                    </w:rPr>
                    <w:t>0.2</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607" w:type="dxa"/>
                  <w:gridSpan w:val="2"/>
                  <w:vAlign w:val="center"/>
                </w:tcPr>
                <w:p>
                  <w:pPr>
                    <w:pStyle w:val="32"/>
                    <w:spacing w:line="360" w:lineRule="exact"/>
                    <w:rPr>
                      <w:color w:val="000000" w:themeColor="text1"/>
                      <w:szCs w:val="21"/>
                    </w:rPr>
                  </w:pPr>
                  <w:r>
                    <w:rPr>
                      <w:color w:val="000000" w:themeColor="text1"/>
                      <w:szCs w:val="21"/>
                    </w:rPr>
                    <w:t>其他</w:t>
                  </w:r>
                </w:p>
              </w:tc>
              <w:tc>
                <w:tcPr>
                  <w:tcW w:w="2086" w:type="dxa"/>
                  <w:gridSpan w:val="2"/>
                  <w:vAlign w:val="center"/>
                </w:tcPr>
                <w:p>
                  <w:pPr>
                    <w:pStyle w:val="32"/>
                    <w:spacing w:line="360" w:lineRule="exact"/>
                    <w:rPr>
                      <w:color w:val="000000" w:themeColor="text1"/>
                      <w:szCs w:val="21"/>
                    </w:rPr>
                  </w:pPr>
                  <w:r>
                    <w:rPr>
                      <w:color w:val="000000" w:themeColor="text1"/>
                      <w:szCs w:val="21"/>
                    </w:rPr>
                    <w:t>标识牌</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702" w:type="dxa"/>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05</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0" w:type="dxa"/>
                  <w:gridSpan w:val="7"/>
                  <w:vAlign w:val="center"/>
                </w:tcPr>
                <w:p>
                  <w:pPr>
                    <w:pStyle w:val="32"/>
                    <w:spacing w:line="360" w:lineRule="exact"/>
                    <w:rPr>
                      <w:color w:val="000000" w:themeColor="text1"/>
                      <w:szCs w:val="21"/>
                    </w:rPr>
                  </w:pPr>
                  <w:r>
                    <w:rPr>
                      <w:color w:val="000000" w:themeColor="text1"/>
                      <w:szCs w:val="21"/>
                    </w:rPr>
                    <w:t>管理相关费用</w:t>
                  </w:r>
                </w:p>
              </w:tc>
              <w:tc>
                <w:tcPr>
                  <w:tcW w:w="2905" w:type="dxa"/>
                  <w:gridSpan w:val="5"/>
                  <w:vAlign w:val="center"/>
                </w:tcPr>
                <w:p>
                  <w:pPr>
                    <w:pStyle w:val="32"/>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0" w:type="dxa"/>
                  <w:gridSpan w:val="7"/>
                  <w:vAlign w:val="center"/>
                </w:tcPr>
                <w:p>
                  <w:pPr>
                    <w:pStyle w:val="32"/>
                    <w:spacing w:line="360" w:lineRule="exact"/>
                    <w:rPr>
                      <w:color w:val="000000" w:themeColor="text1"/>
                      <w:szCs w:val="21"/>
                    </w:rPr>
                  </w:pPr>
                  <w:r>
                    <w:rPr>
                      <w:color w:val="000000" w:themeColor="text1"/>
                      <w:szCs w:val="21"/>
                    </w:rPr>
                    <w:t>合计</w:t>
                  </w:r>
                </w:p>
              </w:tc>
              <w:tc>
                <w:tcPr>
                  <w:tcW w:w="843" w:type="dxa"/>
                  <w:gridSpan w:val="2"/>
                  <w:vAlign w:val="center"/>
                </w:tcPr>
                <w:p>
                  <w:pPr>
                    <w:pStyle w:val="32"/>
                    <w:spacing w:line="360" w:lineRule="exact"/>
                    <w:rPr>
                      <w:color w:val="000000" w:themeColor="text1"/>
                      <w:szCs w:val="21"/>
                    </w:rPr>
                  </w:pPr>
                  <w:r>
                    <w:rPr>
                      <w:color w:val="000000" w:themeColor="text1"/>
                      <w:szCs w:val="21"/>
                    </w:rPr>
                    <w:t>1</w:t>
                  </w:r>
                  <w:r>
                    <w:rPr>
                      <w:rFonts w:hint="eastAsia"/>
                      <w:color w:val="000000" w:themeColor="text1"/>
                      <w:szCs w:val="21"/>
                    </w:rPr>
                    <w:t>34.56</w:t>
                  </w:r>
                </w:p>
              </w:tc>
              <w:tc>
                <w:tcPr>
                  <w:tcW w:w="568" w:type="dxa"/>
                  <w:vAlign w:val="center"/>
                </w:tcPr>
                <w:p>
                  <w:pPr>
                    <w:pStyle w:val="32"/>
                    <w:spacing w:line="360" w:lineRule="exact"/>
                    <w:rPr>
                      <w:color w:val="000000" w:themeColor="text1"/>
                      <w:szCs w:val="21"/>
                    </w:rPr>
                  </w:pPr>
                  <w:r>
                    <w:rPr>
                      <w:color w:val="000000" w:themeColor="text1"/>
                      <w:szCs w:val="21"/>
                    </w:rPr>
                    <w:t>--</w:t>
                  </w:r>
                </w:p>
              </w:tc>
              <w:tc>
                <w:tcPr>
                  <w:tcW w:w="782" w:type="dxa"/>
                  <w:vAlign w:val="center"/>
                </w:tcPr>
                <w:p>
                  <w:pPr>
                    <w:pStyle w:val="32"/>
                    <w:spacing w:line="360" w:lineRule="exact"/>
                    <w:rPr>
                      <w:color w:val="000000" w:themeColor="text1"/>
                      <w:szCs w:val="21"/>
                    </w:rPr>
                  </w:pPr>
                  <w:r>
                    <w:rPr>
                      <w:color w:val="000000" w:themeColor="text1"/>
                      <w:szCs w:val="21"/>
                    </w:rPr>
                    <w:t>14.4</w:t>
                  </w:r>
                </w:p>
              </w:tc>
              <w:tc>
                <w:tcPr>
                  <w:tcW w:w="712" w:type="dxa"/>
                  <w:vAlign w:val="center"/>
                </w:tcPr>
                <w:p>
                  <w:pPr>
                    <w:pStyle w:val="32"/>
                    <w:spacing w:line="360" w:lineRule="exact"/>
                    <w:rPr>
                      <w:color w:val="000000" w:themeColor="text1"/>
                      <w:szCs w:val="21"/>
                    </w:rPr>
                  </w:pPr>
                  <w:r>
                    <w:rPr>
                      <w:color w:val="000000" w:themeColor="text1"/>
                      <w:szCs w:val="21"/>
                    </w:rPr>
                    <w:t>--</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w:t>
            </w:r>
            <w:r>
              <w:rPr>
                <w:rFonts w:ascii="Times New Roman" w:hAnsi="Times New Roman" w:cs="Times New Roman"/>
                <w:color w:val="000000" w:themeColor="text1"/>
                <w:sz w:val="24"/>
                <w:szCs w:val="24"/>
              </w:rPr>
              <w:t>总投资</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基建环保投资为</w:t>
            </w:r>
            <w:r>
              <w:rPr>
                <w:rFonts w:hint="eastAsia" w:ascii="Times New Roman" w:hAnsi="Times New Roman" w:cs="Times New Roman"/>
                <w:color w:val="000000" w:themeColor="text1"/>
                <w:sz w:val="24"/>
                <w:szCs w:val="24"/>
              </w:rPr>
              <w:t>134.56</w:t>
            </w:r>
            <w:r>
              <w:rPr>
                <w:rFonts w:ascii="Times New Roman" w:hAnsi="Times New Roman" w:cs="Times New Roman"/>
                <w:color w:val="000000" w:themeColor="text1"/>
                <w:sz w:val="24"/>
                <w:szCs w:val="24"/>
              </w:rPr>
              <w:t>万元，占总投资</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5256万元</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的</w:t>
            </w:r>
            <w:r>
              <w:rPr>
                <w:rFonts w:hint="eastAsia" w:ascii="Times New Roman" w:hAnsi="Times New Roman" w:cs="Times New Roman"/>
                <w:color w:val="000000" w:themeColor="text1"/>
                <w:sz w:val="24"/>
                <w:szCs w:val="24"/>
              </w:rPr>
              <w:t>2.56</w:t>
            </w:r>
            <w:r>
              <w:rPr>
                <w:rFonts w:ascii="Times New Roman" w:hAnsi="Times New Roman" w:cs="Times New Roman"/>
                <w:color w:val="000000" w:themeColor="text1"/>
                <w:sz w:val="24"/>
                <w:szCs w:val="24"/>
              </w:rPr>
              <w:t>%。年环保投资运行费用约为</w:t>
            </w:r>
            <w:r>
              <w:rPr>
                <w:rFonts w:hint="eastAsia" w:ascii="Times New Roman" w:hAnsi="Times New Roman" w:cs="Times New Roman"/>
                <w:color w:val="000000" w:themeColor="text1"/>
                <w:sz w:val="24"/>
                <w:szCs w:val="24"/>
              </w:rPr>
              <w:t>14.4</w:t>
            </w:r>
            <w:r>
              <w:rPr>
                <w:rFonts w:ascii="Times New Roman" w:hAnsi="Times New Roman" w:cs="Times New Roman"/>
                <w:color w:val="000000" w:themeColor="text1"/>
                <w:sz w:val="24"/>
                <w:szCs w:val="24"/>
              </w:rPr>
              <w:t>万元</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4.3.2 二期工程环保投资估算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拟采取措施的具体内容、责任主体、实施时段及环境保护投入资金如下表所示。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w:t>
            </w:r>
            <w:r>
              <w:rPr>
                <w:rFonts w:hint="eastAsia" w:hAnsi="Times New Roman" w:eastAsiaTheme="minorEastAsia"/>
                <w:color w:val="000000" w:themeColor="text1"/>
                <w:sz w:val="21"/>
                <w:szCs w:val="21"/>
              </w:rPr>
              <w:t>.2</w:t>
            </w:r>
            <w:r>
              <w:rPr>
                <w:rFonts w:hAnsi="Times New Roman" w:eastAsiaTheme="minorEastAsia"/>
                <w:color w:val="000000" w:themeColor="text1"/>
                <w:sz w:val="21"/>
                <w:szCs w:val="21"/>
              </w:rPr>
              <w:t>-</w:t>
            </w:r>
            <w:r>
              <w:rPr>
                <w:rFonts w:hint="eastAsia" w:hAnsi="Times New Roman" w:eastAsiaTheme="minorEastAsia"/>
                <w:color w:val="000000" w:themeColor="text1"/>
                <w:sz w:val="21"/>
                <w:szCs w:val="21"/>
              </w:rPr>
              <w:t>1</w:t>
            </w:r>
            <w:r>
              <w:rPr>
                <w:rFonts w:hAnsi="Times New Roman" w:eastAsiaTheme="minorEastAsia"/>
                <w:color w:val="000000" w:themeColor="text1"/>
                <w:sz w:val="21"/>
                <w:szCs w:val="21"/>
              </w:rPr>
              <w:t xml:space="preserve">  项目</w:t>
            </w:r>
            <w:r>
              <w:rPr>
                <w:rFonts w:hint="eastAsia" w:hAnsi="Times New Roman" w:eastAsiaTheme="minorEastAsia"/>
                <w:color w:val="000000" w:themeColor="text1"/>
                <w:sz w:val="21"/>
                <w:szCs w:val="21"/>
              </w:rPr>
              <w:t>二期工程</w:t>
            </w:r>
            <w:r>
              <w:rPr>
                <w:rFonts w:hAnsi="Times New Roman" w:eastAsiaTheme="minorEastAsia"/>
                <w:color w:val="000000" w:themeColor="text1"/>
                <w:sz w:val="21"/>
                <w:szCs w:val="21"/>
              </w:rPr>
              <w:t>环保投资一览表 单位：万元</w:t>
            </w:r>
          </w:p>
          <w:tbl>
            <w:tblPr>
              <w:tblStyle w:val="20"/>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68"/>
              <w:gridCol w:w="39"/>
              <w:gridCol w:w="669"/>
              <w:gridCol w:w="1416"/>
              <w:gridCol w:w="2545"/>
              <w:gridCol w:w="8"/>
              <w:gridCol w:w="705"/>
              <w:gridCol w:w="709"/>
              <w:gridCol w:w="78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restart"/>
                  <w:vAlign w:val="center"/>
                </w:tcPr>
                <w:p>
                  <w:pPr>
                    <w:pStyle w:val="32"/>
                    <w:spacing w:line="360" w:lineRule="exact"/>
                    <w:rPr>
                      <w:color w:val="000000" w:themeColor="text1"/>
                      <w:szCs w:val="21"/>
                    </w:rPr>
                  </w:pPr>
                  <w:r>
                    <w:rPr>
                      <w:color w:val="000000" w:themeColor="text1"/>
                      <w:szCs w:val="21"/>
                    </w:rPr>
                    <w:t>时期</w:t>
                  </w:r>
                </w:p>
              </w:tc>
              <w:tc>
                <w:tcPr>
                  <w:tcW w:w="1276" w:type="dxa"/>
                  <w:gridSpan w:val="3"/>
                  <w:vMerge w:val="restart"/>
                  <w:vAlign w:val="center"/>
                </w:tcPr>
                <w:p>
                  <w:pPr>
                    <w:pStyle w:val="32"/>
                    <w:spacing w:line="360" w:lineRule="exact"/>
                    <w:rPr>
                      <w:color w:val="000000" w:themeColor="text1"/>
                      <w:szCs w:val="21"/>
                    </w:rPr>
                  </w:pPr>
                  <w:r>
                    <w:rPr>
                      <w:color w:val="000000" w:themeColor="text1"/>
                      <w:szCs w:val="21"/>
                    </w:rPr>
                    <w:t>类型</w:t>
                  </w:r>
                </w:p>
              </w:tc>
              <w:tc>
                <w:tcPr>
                  <w:tcW w:w="3961" w:type="dxa"/>
                  <w:gridSpan w:val="2"/>
                  <w:vAlign w:val="center"/>
                </w:tcPr>
                <w:p>
                  <w:pPr>
                    <w:pStyle w:val="32"/>
                    <w:spacing w:line="360" w:lineRule="exact"/>
                    <w:rPr>
                      <w:color w:val="000000" w:themeColor="text1"/>
                      <w:szCs w:val="21"/>
                    </w:rPr>
                  </w:pPr>
                  <w:r>
                    <w:rPr>
                      <w:color w:val="000000" w:themeColor="text1"/>
                      <w:szCs w:val="21"/>
                    </w:rPr>
                    <w:t>环保措施</w:t>
                  </w:r>
                </w:p>
              </w:tc>
              <w:tc>
                <w:tcPr>
                  <w:tcW w:w="1422" w:type="dxa"/>
                  <w:gridSpan w:val="3"/>
                  <w:vAlign w:val="center"/>
                </w:tcPr>
                <w:p>
                  <w:pPr>
                    <w:pStyle w:val="32"/>
                    <w:spacing w:line="360" w:lineRule="exact"/>
                    <w:rPr>
                      <w:color w:val="000000" w:themeColor="text1"/>
                      <w:szCs w:val="21"/>
                    </w:rPr>
                  </w:pPr>
                  <w:r>
                    <w:rPr>
                      <w:color w:val="000000" w:themeColor="text1"/>
                      <w:szCs w:val="21"/>
                    </w:rPr>
                    <w:t>建设期资金投入量（万元）</w:t>
                  </w:r>
                </w:p>
              </w:tc>
              <w:tc>
                <w:tcPr>
                  <w:tcW w:w="1494" w:type="dxa"/>
                  <w:gridSpan w:val="2"/>
                  <w:vAlign w:val="center"/>
                </w:tcPr>
                <w:p>
                  <w:pPr>
                    <w:pStyle w:val="32"/>
                    <w:spacing w:line="360" w:lineRule="exact"/>
                    <w:rPr>
                      <w:color w:val="000000" w:themeColor="text1"/>
                      <w:szCs w:val="21"/>
                    </w:rPr>
                  </w:pPr>
                  <w:r>
                    <w:rPr>
                      <w:color w:val="000000" w:themeColor="text1"/>
                      <w:szCs w:val="21"/>
                    </w:rPr>
                    <w:t>运行期资金投入量（万元/a）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pStyle w:val="32"/>
                    <w:spacing w:line="360" w:lineRule="exact"/>
                    <w:rPr>
                      <w:color w:val="000000" w:themeColor="text1"/>
                      <w:szCs w:val="21"/>
                    </w:rPr>
                  </w:pPr>
                </w:p>
              </w:tc>
              <w:tc>
                <w:tcPr>
                  <w:tcW w:w="1276" w:type="dxa"/>
                  <w:gridSpan w:val="3"/>
                  <w:vMerge w:val="continue"/>
                  <w:vAlign w:val="center"/>
                </w:tcPr>
                <w:p>
                  <w:pPr>
                    <w:pStyle w:val="32"/>
                    <w:spacing w:line="360" w:lineRule="exact"/>
                    <w:rPr>
                      <w:color w:val="000000" w:themeColor="text1"/>
                      <w:szCs w:val="21"/>
                    </w:rPr>
                  </w:pPr>
                </w:p>
              </w:tc>
              <w:tc>
                <w:tcPr>
                  <w:tcW w:w="1416" w:type="dxa"/>
                  <w:vAlign w:val="center"/>
                </w:tcPr>
                <w:p>
                  <w:pPr>
                    <w:pStyle w:val="32"/>
                    <w:spacing w:line="360" w:lineRule="exact"/>
                    <w:rPr>
                      <w:color w:val="000000" w:themeColor="text1"/>
                      <w:szCs w:val="21"/>
                    </w:rPr>
                  </w:pPr>
                  <w:r>
                    <w:rPr>
                      <w:color w:val="000000" w:themeColor="text1"/>
                      <w:szCs w:val="21"/>
                    </w:rPr>
                    <w:t>环保项目</w:t>
                  </w:r>
                </w:p>
              </w:tc>
              <w:tc>
                <w:tcPr>
                  <w:tcW w:w="2545" w:type="dxa"/>
                  <w:vAlign w:val="center"/>
                </w:tcPr>
                <w:p>
                  <w:pPr>
                    <w:pStyle w:val="32"/>
                    <w:spacing w:line="360" w:lineRule="exact"/>
                    <w:rPr>
                      <w:color w:val="000000" w:themeColor="text1"/>
                      <w:szCs w:val="21"/>
                    </w:rPr>
                  </w:pPr>
                  <w:r>
                    <w:rPr>
                      <w:color w:val="000000" w:themeColor="text1"/>
                      <w:szCs w:val="21"/>
                    </w:rPr>
                    <w:t>数量</w:t>
                  </w:r>
                </w:p>
              </w:tc>
              <w:tc>
                <w:tcPr>
                  <w:tcW w:w="713" w:type="dxa"/>
                  <w:gridSpan w:val="2"/>
                  <w:vAlign w:val="center"/>
                </w:tcPr>
                <w:p>
                  <w:pPr>
                    <w:pStyle w:val="32"/>
                    <w:spacing w:line="360" w:lineRule="exact"/>
                    <w:rPr>
                      <w:color w:val="000000" w:themeColor="text1"/>
                      <w:szCs w:val="21"/>
                    </w:rPr>
                  </w:pPr>
                  <w:r>
                    <w:rPr>
                      <w:color w:val="000000" w:themeColor="text1"/>
                      <w:szCs w:val="21"/>
                    </w:rPr>
                    <w:t>建设费用</w:t>
                  </w:r>
                </w:p>
              </w:tc>
              <w:tc>
                <w:tcPr>
                  <w:tcW w:w="709" w:type="dxa"/>
                  <w:vAlign w:val="center"/>
                </w:tcPr>
                <w:p>
                  <w:pPr>
                    <w:pStyle w:val="32"/>
                    <w:spacing w:line="360" w:lineRule="exact"/>
                    <w:rPr>
                      <w:color w:val="000000" w:themeColor="text1"/>
                      <w:szCs w:val="21"/>
                    </w:rPr>
                  </w:pPr>
                  <w:r>
                    <w:rPr>
                      <w:color w:val="000000" w:themeColor="text1"/>
                      <w:szCs w:val="21"/>
                    </w:rPr>
                    <w:t>责任主体</w:t>
                  </w:r>
                </w:p>
              </w:tc>
              <w:tc>
                <w:tcPr>
                  <w:tcW w:w="782" w:type="dxa"/>
                  <w:vAlign w:val="center"/>
                </w:tcPr>
                <w:p>
                  <w:pPr>
                    <w:pStyle w:val="32"/>
                    <w:spacing w:line="360" w:lineRule="exact"/>
                    <w:rPr>
                      <w:color w:val="000000" w:themeColor="text1"/>
                      <w:szCs w:val="21"/>
                    </w:rPr>
                  </w:pPr>
                  <w:r>
                    <w:rPr>
                      <w:color w:val="000000" w:themeColor="text1"/>
                      <w:szCs w:val="21"/>
                    </w:rPr>
                    <w:t>运行费用</w:t>
                  </w:r>
                </w:p>
              </w:tc>
              <w:tc>
                <w:tcPr>
                  <w:tcW w:w="712" w:type="dxa"/>
                  <w:vAlign w:val="center"/>
                </w:tcPr>
                <w:p>
                  <w:pPr>
                    <w:pStyle w:val="32"/>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restart"/>
                  <w:vAlign w:val="center"/>
                </w:tcPr>
                <w:p>
                  <w:pPr>
                    <w:pStyle w:val="32"/>
                    <w:spacing w:line="360" w:lineRule="exact"/>
                    <w:rPr>
                      <w:color w:val="000000" w:themeColor="text1"/>
                      <w:szCs w:val="21"/>
                    </w:rPr>
                  </w:pPr>
                  <w:r>
                    <w:rPr>
                      <w:color w:val="000000" w:themeColor="text1"/>
                      <w:szCs w:val="21"/>
                    </w:rPr>
                    <w:t>施工期污染源</w:t>
                  </w:r>
                </w:p>
              </w:tc>
              <w:tc>
                <w:tcPr>
                  <w:tcW w:w="568" w:type="dxa"/>
                  <w:vAlign w:val="center"/>
                </w:tcPr>
                <w:p>
                  <w:pPr>
                    <w:pStyle w:val="32"/>
                    <w:spacing w:line="360" w:lineRule="exact"/>
                    <w:rPr>
                      <w:color w:val="000000" w:themeColor="text1"/>
                      <w:szCs w:val="21"/>
                    </w:rPr>
                  </w:pPr>
                  <w:r>
                    <w:rPr>
                      <w:color w:val="000000" w:themeColor="text1"/>
                      <w:szCs w:val="21"/>
                    </w:rPr>
                    <w:t>废气</w:t>
                  </w:r>
                </w:p>
              </w:tc>
              <w:tc>
                <w:tcPr>
                  <w:tcW w:w="708" w:type="dxa"/>
                  <w:gridSpan w:val="2"/>
                  <w:vAlign w:val="center"/>
                </w:tcPr>
                <w:p>
                  <w:pPr>
                    <w:pStyle w:val="32"/>
                    <w:spacing w:line="360" w:lineRule="exact"/>
                    <w:rPr>
                      <w:color w:val="000000" w:themeColor="text1"/>
                      <w:szCs w:val="21"/>
                    </w:rPr>
                  </w:pPr>
                  <w:r>
                    <w:rPr>
                      <w:color w:val="000000" w:themeColor="text1"/>
                      <w:szCs w:val="21"/>
                    </w:rPr>
                    <w:t>扬尘</w:t>
                  </w:r>
                </w:p>
              </w:tc>
              <w:tc>
                <w:tcPr>
                  <w:tcW w:w="1416" w:type="dxa"/>
                  <w:vAlign w:val="center"/>
                </w:tcPr>
                <w:p>
                  <w:pPr>
                    <w:pStyle w:val="32"/>
                    <w:spacing w:line="360" w:lineRule="exact"/>
                    <w:rPr>
                      <w:color w:val="000000" w:themeColor="text1"/>
                      <w:szCs w:val="21"/>
                    </w:rPr>
                  </w:pPr>
                  <w:r>
                    <w:rPr>
                      <w:color w:val="000000" w:themeColor="text1"/>
                      <w:szCs w:val="21"/>
                    </w:rPr>
                    <w:t>洒水抑尘设施</w:t>
                  </w:r>
                </w:p>
              </w:tc>
              <w:tc>
                <w:tcPr>
                  <w:tcW w:w="2545" w:type="dxa"/>
                  <w:vAlign w:val="center"/>
                </w:tcPr>
                <w:p>
                  <w:pPr>
                    <w:pStyle w:val="32"/>
                    <w:spacing w:line="360" w:lineRule="exact"/>
                    <w:ind w:firstLine="210" w:firstLineChars="100"/>
                    <w:jc w:val="both"/>
                    <w:rPr>
                      <w:color w:val="000000" w:themeColor="text1"/>
                      <w:szCs w:val="21"/>
                    </w:rPr>
                  </w:pPr>
                  <w:r>
                    <w:rPr>
                      <w:color w:val="000000" w:themeColor="text1"/>
                      <w:szCs w:val="21"/>
                    </w:rPr>
                    <w:t>1套</w:t>
                  </w:r>
                </w:p>
              </w:tc>
              <w:tc>
                <w:tcPr>
                  <w:tcW w:w="713" w:type="dxa"/>
                  <w:gridSpan w:val="2"/>
                  <w:vAlign w:val="center"/>
                </w:tcPr>
                <w:p>
                  <w:pPr>
                    <w:pStyle w:val="32"/>
                    <w:spacing w:line="360" w:lineRule="exact"/>
                    <w:rPr>
                      <w:color w:val="000000" w:themeColor="text1"/>
                      <w:szCs w:val="21"/>
                    </w:rPr>
                  </w:pPr>
                  <w:r>
                    <w:rPr>
                      <w:rFonts w:hint="eastAsia"/>
                      <w:color w:val="000000" w:themeColor="text1"/>
                      <w:szCs w:val="21"/>
                    </w:rPr>
                    <w:t>1</w:t>
                  </w:r>
                </w:p>
              </w:tc>
              <w:tc>
                <w:tcPr>
                  <w:tcW w:w="709" w:type="dxa"/>
                  <w:vMerge w:val="restart"/>
                  <w:vAlign w:val="center"/>
                </w:tcPr>
                <w:p>
                  <w:pPr>
                    <w:pStyle w:val="32"/>
                    <w:spacing w:line="360" w:lineRule="exact"/>
                    <w:rPr>
                      <w:color w:val="000000" w:themeColor="text1"/>
                      <w:szCs w:val="21"/>
                    </w:rPr>
                  </w:pPr>
                  <w:r>
                    <w:rPr>
                      <w:color w:val="000000" w:themeColor="text1"/>
                      <w:szCs w:val="21"/>
                    </w:rPr>
                    <w:t>施工单位</w:t>
                  </w: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restart"/>
                  <w:vAlign w:val="center"/>
                </w:tcPr>
                <w:p>
                  <w:pPr>
                    <w:pStyle w:val="32"/>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pStyle w:val="32"/>
                    <w:spacing w:line="360" w:lineRule="exact"/>
                    <w:rPr>
                      <w:color w:val="000000" w:themeColor="text1"/>
                      <w:szCs w:val="21"/>
                    </w:rPr>
                  </w:pPr>
                </w:p>
              </w:tc>
              <w:tc>
                <w:tcPr>
                  <w:tcW w:w="568" w:type="dxa"/>
                  <w:vAlign w:val="center"/>
                </w:tcPr>
                <w:p>
                  <w:pPr>
                    <w:pStyle w:val="32"/>
                    <w:spacing w:line="360" w:lineRule="exact"/>
                    <w:rPr>
                      <w:color w:val="000000" w:themeColor="text1"/>
                      <w:szCs w:val="21"/>
                    </w:rPr>
                  </w:pPr>
                  <w:r>
                    <w:rPr>
                      <w:color w:val="000000" w:themeColor="text1"/>
                      <w:szCs w:val="21"/>
                    </w:rPr>
                    <w:t>噪声</w:t>
                  </w:r>
                </w:p>
              </w:tc>
              <w:tc>
                <w:tcPr>
                  <w:tcW w:w="708" w:type="dxa"/>
                  <w:gridSpan w:val="2"/>
                  <w:vAlign w:val="center"/>
                </w:tcPr>
                <w:p>
                  <w:pPr>
                    <w:pStyle w:val="32"/>
                    <w:spacing w:line="360" w:lineRule="exact"/>
                    <w:rPr>
                      <w:color w:val="000000" w:themeColor="text1"/>
                      <w:szCs w:val="21"/>
                    </w:rPr>
                  </w:pPr>
                  <w:r>
                    <w:rPr>
                      <w:color w:val="000000" w:themeColor="text1"/>
                      <w:szCs w:val="21"/>
                    </w:rPr>
                    <w:t>施工噪声</w:t>
                  </w:r>
                </w:p>
              </w:tc>
              <w:tc>
                <w:tcPr>
                  <w:tcW w:w="1416" w:type="dxa"/>
                  <w:vAlign w:val="center"/>
                </w:tcPr>
                <w:p>
                  <w:pPr>
                    <w:pStyle w:val="32"/>
                    <w:spacing w:line="360" w:lineRule="exact"/>
                    <w:rPr>
                      <w:color w:val="000000" w:themeColor="text1"/>
                      <w:szCs w:val="21"/>
                    </w:rPr>
                  </w:pPr>
                  <w:r>
                    <w:rPr>
                      <w:color w:val="000000" w:themeColor="text1"/>
                      <w:szCs w:val="21"/>
                    </w:rPr>
                    <w:t>遮挡围墙</w:t>
                  </w:r>
                </w:p>
              </w:tc>
              <w:tc>
                <w:tcPr>
                  <w:tcW w:w="2545" w:type="dxa"/>
                  <w:vAlign w:val="center"/>
                </w:tcPr>
                <w:p>
                  <w:pPr>
                    <w:pStyle w:val="32"/>
                    <w:spacing w:line="360" w:lineRule="exact"/>
                    <w:ind w:firstLine="210" w:firstLineChars="100"/>
                    <w:jc w:val="both"/>
                    <w:rPr>
                      <w:color w:val="000000" w:themeColor="text1"/>
                      <w:szCs w:val="21"/>
                    </w:rPr>
                  </w:pPr>
                  <w:r>
                    <w:rPr>
                      <w:color w:val="000000" w:themeColor="text1"/>
                      <w:szCs w:val="21"/>
                    </w:rPr>
                    <w:t>2.5m高，围挡</w:t>
                  </w:r>
                </w:p>
              </w:tc>
              <w:tc>
                <w:tcPr>
                  <w:tcW w:w="713" w:type="dxa"/>
                  <w:gridSpan w:val="2"/>
                  <w:vAlign w:val="center"/>
                </w:tcPr>
                <w:p>
                  <w:pPr>
                    <w:pStyle w:val="32"/>
                    <w:spacing w:line="360" w:lineRule="exact"/>
                    <w:rPr>
                      <w:color w:val="000000" w:themeColor="text1"/>
                      <w:szCs w:val="21"/>
                    </w:rPr>
                  </w:pPr>
                  <w:r>
                    <w:rPr>
                      <w:rFonts w:hint="eastAsia"/>
                      <w:color w:val="000000" w:themeColor="text1"/>
                      <w:szCs w:val="21"/>
                    </w:rPr>
                    <w:t>1</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restart"/>
                  <w:vAlign w:val="center"/>
                </w:tcPr>
                <w:p>
                  <w:pPr>
                    <w:pStyle w:val="32"/>
                    <w:spacing w:line="360" w:lineRule="exact"/>
                    <w:rPr>
                      <w:color w:val="000000" w:themeColor="text1"/>
                      <w:szCs w:val="21"/>
                    </w:rPr>
                  </w:pPr>
                  <w:r>
                    <w:rPr>
                      <w:color w:val="000000" w:themeColor="text1"/>
                      <w:szCs w:val="21"/>
                    </w:rPr>
                    <w:t>运营期污染源</w:t>
                  </w:r>
                </w:p>
              </w:tc>
              <w:tc>
                <w:tcPr>
                  <w:tcW w:w="568" w:type="dxa"/>
                  <w:vMerge w:val="restart"/>
                  <w:vAlign w:val="center"/>
                </w:tcPr>
                <w:p>
                  <w:pPr>
                    <w:pStyle w:val="32"/>
                    <w:spacing w:line="360" w:lineRule="exact"/>
                    <w:rPr>
                      <w:color w:val="000000" w:themeColor="text1"/>
                      <w:szCs w:val="21"/>
                    </w:rPr>
                  </w:pPr>
                  <w:r>
                    <w:rPr>
                      <w:color w:val="000000" w:themeColor="text1"/>
                      <w:szCs w:val="21"/>
                    </w:rPr>
                    <w:t>废气</w:t>
                  </w:r>
                </w:p>
              </w:tc>
              <w:tc>
                <w:tcPr>
                  <w:tcW w:w="708" w:type="dxa"/>
                  <w:gridSpan w:val="2"/>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粉尘</w:t>
                  </w:r>
                </w:p>
              </w:tc>
              <w:tc>
                <w:tcPr>
                  <w:tcW w:w="1416" w:type="dxa"/>
                  <w:vAlign w:val="center"/>
                </w:tcPr>
                <w:p>
                  <w:pPr>
                    <w:pStyle w:val="32"/>
                    <w:spacing w:line="360" w:lineRule="exact"/>
                    <w:rPr>
                      <w:color w:val="000000" w:themeColor="text1"/>
                      <w:szCs w:val="21"/>
                    </w:rPr>
                  </w:pPr>
                  <w:r>
                    <w:rPr>
                      <w:color w:val="000000" w:themeColor="text1"/>
                      <w:szCs w:val="21"/>
                    </w:rPr>
                    <w:t>集气罩</w:t>
                  </w:r>
                </w:p>
              </w:tc>
              <w:tc>
                <w:tcPr>
                  <w:tcW w:w="2553"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1个，集气效率不低于90%</w:t>
                  </w:r>
                </w:p>
              </w:tc>
              <w:tc>
                <w:tcPr>
                  <w:tcW w:w="705" w:type="dxa"/>
                  <w:vAlign w:val="center"/>
                </w:tcPr>
                <w:p>
                  <w:pPr>
                    <w:pStyle w:val="32"/>
                    <w:spacing w:line="360" w:lineRule="exact"/>
                    <w:rPr>
                      <w:color w:val="000000" w:themeColor="text1"/>
                      <w:szCs w:val="21"/>
                    </w:rPr>
                  </w:pPr>
                  <w:r>
                    <w:rPr>
                      <w:color w:val="000000" w:themeColor="text1"/>
                      <w:szCs w:val="21"/>
                    </w:rPr>
                    <w:t>2</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0.5</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6" w:type="dxa"/>
                  <w:vAlign w:val="center"/>
                </w:tcPr>
                <w:p>
                  <w:pPr>
                    <w:pStyle w:val="32"/>
                    <w:spacing w:line="360" w:lineRule="exact"/>
                    <w:rPr>
                      <w:color w:val="000000" w:themeColor="text1"/>
                      <w:szCs w:val="21"/>
                    </w:rPr>
                  </w:pPr>
                  <w:r>
                    <w:rPr>
                      <w:color w:val="000000" w:themeColor="text1"/>
                      <w:szCs w:val="21"/>
                    </w:rPr>
                    <w:t>袋式除尘器</w:t>
                  </w:r>
                </w:p>
              </w:tc>
              <w:tc>
                <w:tcPr>
                  <w:tcW w:w="2553"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2台，平均除尘效率为99.7%</w:t>
                  </w:r>
                </w:p>
              </w:tc>
              <w:tc>
                <w:tcPr>
                  <w:tcW w:w="705" w:type="dxa"/>
                  <w:vAlign w:val="center"/>
                </w:tcPr>
                <w:p>
                  <w:pPr>
                    <w:pStyle w:val="32"/>
                    <w:spacing w:line="360" w:lineRule="exact"/>
                    <w:rPr>
                      <w:color w:val="000000" w:themeColor="text1"/>
                      <w:szCs w:val="21"/>
                    </w:rPr>
                  </w:pPr>
                  <w:r>
                    <w:rPr>
                      <w:color w:val="000000" w:themeColor="text1"/>
                      <w:szCs w:val="21"/>
                    </w:rPr>
                    <w:t>3</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0.6</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6" w:type="dxa"/>
                  <w:vAlign w:val="center"/>
                </w:tcPr>
                <w:p>
                  <w:pPr>
                    <w:pStyle w:val="32"/>
                    <w:spacing w:line="360" w:lineRule="exact"/>
                    <w:rPr>
                      <w:color w:val="000000" w:themeColor="text1"/>
                      <w:szCs w:val="21"/>
                    </w:rPr>
                  </w:pPr>
                  <w:r>
                    <w:rPr>
                      <w:color w:val="000000" w:themeColor="text1"/>
                      <w:szCs w:val="21"/>
                    </w:rPr>
                    <w:t>排气筒</w:t>
                  </w:r>
                </w:p>
              </w:tc>
              <w:tc>
                <w:tcPr>
                  <w:tcW w:w="2553"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2根， DA001排气口Φ0.2m、离地高为15m； DA002排气筒Φ0.4m，高15m。</w:t>
                  </w:r>
                </w:p>
              </w:tc>
              <w:tc>
                <w:tcPr>
                  <w:tcW w:w="705" w:type="dxa"/>
                  <w:vAlign w:val="center"/>
                </w:tcPr>
                <w:p>
                  <w:pPr>
                    <w:pStyle w:val="32"/>
                    <w:spacing w:line="360" w:lineRule="exact"/>
                    <w:rPr>
                      <w:color w:val="000000" w:themeColor="text1"/>
                      <w:szCs w:val="21"/>
                    </w:rPr>
                  </w:pPr>
                  <w:r>
                    <w:rPr>
                      <w:color w:val="000000" w:themeColor="text1"/>
                      <w:szCs w:val="21"/>
                    </w:rPr>
                    <w:t>1</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pStyle w:val="32"/>
                    <w:spacing w:line="360" w:lineRule="exact"/>
                    <w:rPr>
                      <w:color w:val="000000" w:themeColor="text1"/>
                      <w:szCs w:val="21"/>
                    </w:rPr>
                  </w:pPr>
                </w:p>
              </w:tc>
              <w:tc>
                <w:tcPr>
                  <w:tcW w:w="568" w:type="dxa"/>
                  <w:vMerge w:val="restart"/>
                  <w:vAlign w:val="center"/>
                </w:tcPr>
                <w:p>
                  <w:pPr>
                    <w:pStyle w:val="32"/>
                    <w:spacing w:line="360" w:lineRule="exact"/>
                    <w:rPr>
                      <w:color w:val="000000" w:themeColor="text1"/>
                      <w:szCs w:val="21"/>
                    </w:rPr>
                  </w:pPr>
                  <w:r>
                    <w:rPr>
                      <w:color w:val="000000" w:themeColor="text1"/>
                      <w:szCs w:val="21"/>
                    </w:rPr>
                    <w:t>废水</w:t>
                  </w:r>
                </w:p>
              </w:tc>
              <w:tc>
                <w:tcPr>
                  <w:tcW w:w="2124" w:type="dxa"/>
                  <w:gridSpan w:val="3"/>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雨污分流</w:t>
                  </w:r>
                </w:p>
              </w:tc>
              <w:tc>
                <w:tcPr>
                  <w:tcW w:w="2553"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雨水管网</w:t>
                  </w:r>
                </w:p>
              </w:tc>
              <w:tc>
                <w:tcPr>
                  <w:tcW w:w="705" w:type="dxa"/>
                  <w:vAlign w:val="center"/>
                </w:tcPr>
                <w:p>
                  <w:pPr>
                    <w:pStyle w:val="32"/>
                    <w:spacing w:line="360" w:lineRule="exact"/>
                    <w:rPr>
                      <w:color w:val="000000" w:themeColor="text1"/>
                      <w:szCs w:val="21"/>
                    </w:rPr>
                  </w:pPr>
                  <w:r>
                    <w:rPr>
                      <w:color w:val="000000" w:themeColor="text1"/>
                      <w:szCs w:val="21"/>
                    </w:rPr>
                    <w:t>--</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color w:val="000000" w:themeColor="text1"/>
                      <w:szCs w:val="21"/>
                    </w:rPr>
                  </w:pPr>
                  <w:r>
                    <w:rPr>
                      <w:color w:val="000000" w:themeColor="text1"/>
                      <w:szCs w:val="21"/>
                    </w:rPr>
                    <w:t>养护废水</w:t>
                  </w:r>
                </w:p>
              </w:tc>
              <w:tc>
                <w:tcPr>
                  <w:tcW w:w="1416" w:type="dxa"/>
                  <w:vAlign w:val="center"/>
                </w:tcPr>
                <w:p>
                  <w:pPr>
                    <w:pStyle w:val="32"/>
                    <w:spacing w:line="360" w:lineRule="exact"/>
                    <w:rPr>
                      <w:color w:val="000000" w:themeColor="text1"/>
                      <w:szCs w:val="21"/>
                    </w:rPr>
                  </w:pPr>
                  <w:r>
                    <w:rPr>
                      <w:color w:val="000000" w:themeColor="text1"/>
                      <w:szCs w:val="21"/>
                    </w:rPr>
                    <w:t>养护废水处理系统</w:t>
                  </w:r>
                </w:p>
              </w:tc>
              <w:tc>
                <w:tcPr>
                  <w:tcW w:w="2553"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1个有效容积为6m³的养护废水收集池</w:t>
                  </w:r>
                </w:p>
              </w:tc>
              <w:tc>
                <w:tcPr>
                  <w:tcW w:w="705" w:type="dxa"/>
                  <w:vAlign w:val="center"/>
                </w:tcPr>
                <w:p>
                  <w:pPr>
                    <w:pStyle w:val="32"/>
                    <w:spacing w:line="360" w:lineRule="exact"/>
                    <w:rPr>
                      <w:color w:val="000000" w:themeColor="text1"/>
                      <w:szCs w:val="21"/>
                    </w:rPr>
                  </w:pPr>
                  <w:r>
                    <w:rPr>
                      <w:color w:val="000000" w:themeColor="text1"/>
                      <w:szCs w:val="21"/>
                    </w:rPr>
                    <w:t>2</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1</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color w:val="000000" w:themeColor="text1"/>
                      <w:szCs w:val="21"/>
                    </w:rPr>
                  </w:pPr>
                  <w:r>
                    <w:rPr>
                      <w:color w:val="000000" w:themeColor="text1"/>
                      <w:szCs w:val="21"/>
                    </w:rPr>
                    <w:t>初期雨水</w:t>
                  </w:r>
                </w:p>
              </w:tc>
              <w:tc>
                <w:tcPr>
                  <w:tcW w:w="1416" w:type="dxa"/>
                  <w:vAlign w:val="center"/>
                </w:tcPr>
                <w:p>
                  <w:pPr>
                    <w:pStyle w:val="32"/>
                    <w:spacing w:line="360" w:lineRule="exact"/>
                    <w:rPr>
                      <w:color w:val="000000" w:themeColor="text1"/>
                      <w:szCs w:val="21"/>
                    </w:rPr>
                  </w:pPr>
                  <w:r>
                    <w:rPr>
                      <w:color w:val="000000" w:themeColor="text1"/>
                      <w:szCs w:val="21"/>
                    </w:rPr>
                    <w:t>初期雨水收集系统</w:t>
                  </w:r>
                </w:p>
              </w:tc>
              <w:tc>
                <w:tcPr>
                  <w:tcW w:w="2553"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截排水沟和1个有效容积为</w:t>
                  </w:r>
                  <w:r>
                    <w:rPr>
                      <w:rFonts w:hint="eastAsia"/>
                      <w:color w:val="000000" w:themeColor="text1"/>
                      <w:szCs w:val="21"/>
                    </w:rPr>
                    <w:t>5</w:t>
                  </w:r>
                  <w:r>
                    <w:rPr>
                      <w:color w:val="000000" w:themeColor="text1"/>
                      <w:szCs w:val="21"/>
                    </w:rPr>
                    <w:t>m³</w:t>
                  </w:r>
                  <w:r>
                    <w:rPr>
                      <w:rFonts w:hint="eastAsia"/>
                      <w:color w:val="000000" w:themeColor="text1"/>
                      <w:szCs w:val="21"/>
                    </w:rPr>
                    <w:t>的初期雨水收集池</w:t>
                  </w:r>
                </w:p>
              </w:tc>
              <w:tc>
                <w:tcPr>
                  <w:tcW w:w="705" w:type="dxa"/>
                  <w:vAlign w:val="center"/>
                </w:tcPr>
                <w:p>
                  <w:pPr>
                    <w:pStyle w:val="32"/>
                    <w:spacing w:line="360" w:lineRule="exact"/>
                    <w:rPr>
                      <w:color w:val="000000" w:themeColor="text1"/>
                      <w:szCs w:val="21"/>
                    </w:rPr>
                  </w:pPr>
                  <w:r>
                    <w:rPr>
                      <w:rFonts w:hint="eastAsia"/>
                      <w:color w:val="000000" w:themeColor="text1"/>
                      <w:szCs w:val="21"/>
                    </w:rPr>
                    <w:t>8</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1</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pStyle w:val="32"/>
                    <w:spacing w:line="360" w:lineRule="exact"/>
                    <w:rPr>
                      <w:color w:val="000000" w:themeColor="text1"/>
                      <w:szCs w:val="21"/>
                    </w:rPr>
                  </w:pPr>
                </w:p>
              </w:tc>
              <w:tc>
                <w:tcPr>
                  <w:tcW w:w="1276" w:type="dxa"/>
                  <w:gridSpan w:val="3"/>
                  <w:vMerge w:val="restart"/>
                  <w:vAlign w:val="center"/>
                </w:tcPr>
                <w:p>
                  <w:pPr>
                    <w:pStyle w:val="32"/>
                    <w:spacing w:line="360" w:lineRule="exact"/>
                    <w:rPr>
                      <w:color w:val="000000" w:themeColor="text1"/>
                      <w:szCs w:val="21"/>
                    </w:rPr>
                  </w:pPr>
                  <w:r>
                    <w:rPr>
                      <w:color w:val="000000" w:themeColor="text1"/>
                      <w:szCs w:val="21"/>
                    </w:rPr>
                    <w:t>地下水防渗</w:t>
                  </w:r>
                </w:p>
              </w:tc>
              <w:tc>
                <w:tcPr>
                  <w:tcW w:w="1416" w:type="dxa"/>
                  <w:vAlign w:val="center"/>
                </w:tcPr>
                <w:p>
                  <w:pPr>
                    <w:pStyle w:val="32"/>
                    <w:spacing w:line="360" w:lineRule="exact"/>
                    <w:rPr>
                      <w:color w:val="000000" w:themeColor="text1"/>
                      <w:szCs w:val="21"/>
                    </w:rPr>
                  </w:pPr>
                  <w:r>
                    <w:rPr>
                      <w:color w:val="000000" w:themeColor="text1"/>
                      <w:szCs w:val="21"/>
                    </w:rPr>
                    <w:t>重点防渗区</w:t>
                  </w:r>
                </w:p>
              </w:tc>
              <w:tc>
                <w:tcPr>
                  <w:tcW w:w="2553" w:type="dxa"/>
                  <w:gridSpan w:val="2"/>
                  <w:vAlign w:val="center"/>
                </w:tcPr>
                <w:p>
                  <w:pPr>
                    <w:pStyle w:val="32"/>
                    <w:spacing w:line="360" w:lineRule="exact"/>
                    <w:ind w:firstLine="210" w:firstLineChars="100"/>
                    <w:jc w:val="left"/>
                    <w:rPr>
                      <w:color w:val="000000" w:themeColor="text1"/>
                      <w:szCs w:val="21"/>
                      <w:lang w:val="en-US"/>
                    </w:rPr>
                  </w:pPr>
                  <w:r>
                    <w:rPr>
                      <w:rFonts w:hint="eastAsia"/>
                      <w:color w:val="000000" w:themeColor="text1"/>
                      <w:szCs w:val="21"/>
                    </w:rPr>
                    <w:t>--</w:t>
                  </w:r>
                </w:p>
              </w:tc>
              <w:tc>
                <w:tcPr>
                  <w:tcW w:w="705" w:type="dxa"/>
                  <w:vAlign w:val="center"/>
                </w:tcPr>
                <w:p>
                  <w:pPr>
                    <w:pStyle w:val="32"/>
                    <w:spacing w:line="360" w:lineRule="exact"/>
                    <w:rPr>
                      <w:color w:val="000000" w:themeColor="text1"/>
                      <w:szCs w:val="21"/>
                    </w:rPr>
                  </w:pPr>
                  <w:r>
                    <w:rPr>
                      <w:rFonts w:hint="eastAsia"/>
                      <w:color w:val="000000" w:themeColor="text1"/>
                      <w:szCs w:val="21"/>
                    </w:rPr>
                    <w:t>0</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pStyle w:val="32"/>
                    <w:spacing w:line="360" w:lineRule="exact"/>
                    <w:rPr>
                      <w:color w:val="000000" w:themeColor="text1"/>
                      <w:szCs w:val="21"/>
                    </w:rPr>
                  </w:pPr>
                </w:p>
              </w:tc>
              <w:tc>
                <w:tcPr>
                  <w:tcW w:w="1276" w:type="dxa"/>
                  <w:gridSpan w:val="3"/>
                  <w:vMerge w:val="continue"/>
                  <w:vAlign w:val="center"/>
                </w:tcPr>
                <w:p>
                  <w:pPr>
                    <w:pStyle w:val="32"/>
                    <w:spacing w:line="360" w:lineRule="exact"/>
                    <w:rPr>
                      <w:color w:val="000000" w:themeColor="text1"/>
                      <w:szCs w:val="21"/>
                    </w:rPr>
                  </w:pPr>
                </w:p>
              </w:tc>
              <w:tc>
                <w:tcPr>
                  <w:tcW w:w="1416" w:type="dxa"/>
                  <w:vAlign w:val="center"/>
                </w:tcPr>
                <w:p>
                  <w:pPr>
                    <w:pStyle w:val="32"/>
                    <w:spacing w:line="360" w:lineRule="exact"/>
                    <w:rPr>
                      <w:color w:val="000000" w:themeColor="text1"/>
                      <w:szCs w:val="21"/>
                    </w:rPr>
                  </w:pPr>
                  <w:r>
                    <w:rPr>
                      <w:color w:val="000000" w:themeColor="text1"/>
                      <w:szCs w:val="21"/>
                    </w:rPr>
                    <w:t>一般防渗区</w:t>
                  </w:r>
                </w:p>
              </w:tc>
              <w:tc>
                <w:tcPr>
                  <w:tcW w:w="2553"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根据分区防渗规范要求，项目</w:t>
                  </w:r>
                  <w:r>
                    <w:rPr>
                      <w:rFonts w:hint="eastAsia"/>
                      <w:color w:val="000000" w:themeColor="text1"/>
                      <w:szCs w:val="21"/>
                    </w:rPr>
                    <w:t>二期工程</w:t>
                  </w:r>
                  <w:r>
                    <w:rPr>
                      <w:color w:val="000000" w:themeColor="text1"/>
                      <w:szCs w:val="21"/>
                    </w:rPr>
                    <w:t>生产区、养护废水处理系统、</w:t>
                  </w:r>
                  <w:r>
                    <w:rPr>
                      <w:rFonts w:hint="eastAsia"/>
                      <w:color w:val="000000" w:themeColor="text1"/>
                      <w:szCs w:val="21"/>
                    </w:rPr>
                    <w:t>二期工程</w:t>
                  </w:r>
                  <w:r>
                    <w:rPr>
                      <w:color w:val="000000" w:themeColor="text1"/>
                      <w:szCs w:val="21"/>
                    </w:rPr>
                    <w:t>初期雨水收集系统区域划定为一般防渗区，一般防渗区措施在地面采取粘土铺底，并在上层铺30cm的混凝土进行硬化。确保防渗性能，使其渗透系数≤1.0×10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705" w:type="dxa"/>
                  <w:vAlign w:val="center"/>
                </w:tcPr>
                <w:p>
                  <w:pPr>
                    <w:pStyle w:val="32"/>
                    <w:spacing w:line="360" w:lineRule="exact"/>
                    <w:rPr>
                      <w:color w:val="000000" w:themeColor="text1"/>
                      <w:szCs w:val="21"/>
                    </w:rPr>
                  </w:pPr>
                  <w:r>
                    <w:rPr>
                      <w:rFonts w:hint="eastAsia"/>
                      <w:color w:val="000000" w:themeColor="text1"/>
                      <w:szCs w:val="21"/>
                    </w:rPr>
                    <w:t>20.5</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pStyle w:val="32"/>
                    <w:spacing w:line="360" w:lineRule="exact"/>
                    <w:rPr>
                      <w:color w:val="000000" w:themeColor="text1"/>
                      <w:szCs w:val="21"/>
                    </w:rPr>
                  </w:pPr>
                </w:p>
              </w:tc>
              <w:tc>
                <w:tcPr>
                  <w:tcW w:w="607" w:type="dxa"/>
                  <w:gridSpan w:val="2"/>
                  <w:vAlign w:val="center"/>
                </w:tcPr>
                <w:p>
                  <w:pPr>
                    <w:pStyle w:val="32"/>
                    <w:spacing w:line="360" w:lineRule="exact"/>
                    <w:rPr>
                      <w:color w:val="000000" w:themeColor="text1"/>
                      <w:szCs w:val="21"/>
                    </w:rPr>
                  </w:pPr>
                  <w:r>
                    <w:rPr>
                      <w:color w:val="000000" w:themeColor="text1"/>
                      <w:szCs w:val="21"/>
                    </w:rPr>
                    <w:t>噪声</w:t>
                  </w:r>
                </w:p>
              </w:tc>
              <w:tc>
                <w:tcPr>
                  <w:tcW w:w="669" w:type="dxa"/>
                  <w:vAlign w:val="center"/>
                </w:tcPr>
                <w:p>
                  <w:pPr>
                    <w:pStyle w:val="32"/>
                    <w:spacing w:line="360" w:lineRule="exact"/>
                    <w:rPr>
                      <w:color w:val="000000" w:themeColor="text1"/>
                      <w:szCs w:val="21"/>
                    </w:rPr>
                  </w:pPr>
                  <w:r>
                    <w:rPr>
                      <w:color w:val="000000" w:themeColor="text1"/>
                      <w:szCs w:val="21"/>
                    </w:rPr>
                    <w:t>设备噪声</w:t>
                  </w:r>
                </w:p>
              </w:tc>
              <w:tc>
                <w:tcPr>
                  <w:tcW w:w="1416" w:type="dxa"/>
                  <w:vAlign w:val="center"/>
                </w:tcPr>
                <w:p>
                  <w:pPr>
                    <w:pStyle w:val="32"/>
                    <w:spacing w:line="360" w:lineRule="exact"/>
                    <w:rPr>
                      <w:color w:val="000000" w:themeColor="text1"/>
                      <w:szCs w:val="21"/>
                    </w:rPr>
                  </w:pPr>
                  <w:r>
                    <w:rPr>
                      <w:color w:val="000000" w:themeColor="text1"/>
                      <w:szCs w:val="21"/>
                    </w:rPr>
                    <w:t>减震垫、消声器等</w:t>
                  </w:r>
                </w:p>
              </w:tc>
              <w:tc>
                <w:tcPr>
                  <w:tcW w:w="2553"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705" w:type="dxa"/>
                  <w:vAlign w:val="center"/>
                </w:tcPr>
                <w:p>
                  <w:pPr>
                    <w:pStyle w:val="32"/>
                    <w:spacing w:line="360" w:lineRule="exact"/>
                    <w:rPr>
                      <w:color w:val="000000" w:themeColor="text1"/>
                      <w:szCs w:val="21"/>
                    </w:rPr>
                  </w:pPr>
                  <w:r>
                    <w:rPr>
                      <w:rFonts w:hint="eastAsia"/>
                      <w:color w:val="000000" w:themeColor="text1"/>
                      <w:szCs w:val="21"/>
                    </w:rPr>
                    <w:t>1</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vMerge w:val="continue"/>
                  <w:vAlign w:val="center"/>
                </w:tcPr>
                <w:p>
                  <w:pPr>
                    <w:pStyle w:val="32"/>
                    <w:spacing w:line="360" w:lineRule="exact"/>
                    <w:rPr>
                      <w:color w:val="000000" w:themeColor="text1"/>
                      <w:szCs w:val="21"/>
                    </w:rPr>
                  </w:pPr>
                </w:p>
              </w:tc>
              <w:tc>
                <w:tcPr>
                  <w:tcW w:w="607" w:type="dxa"/>
                  <w:gridSpan w:val="2"/>
                  <w:vAlign w:val="center"/>
                </w:tcPr>
                <w:p>
                  <w:pPr>
                    <w:pStyle w:val="32"/>
                    <w:spacing w:line="360" w:lineRule="exact"/>
                    <w:rPr>
                      <w:color w:val="000000" w:themeColor="text1"/>
                      <w:szCs w:val="21"/>
                    </w:rPr>
                  </w:pPr>
                  <w:r>
                    <w:rPr>
                      <w:color w:val="000000" w:themeColor="text1"/>
                      <w:szCs w:val="21"/>
                    </w:rPr>
                    <w:t>其他</w:t>
                  </w:r>
                </w:p>
              </w:tc>
              <w:tc>
                <w:tcPr>
                  <w:tcW w:w="2085" w:type="dxa"/>
                  <w:gridSpan w:val="2"/>
                  <w:vAlign w:val="center"/>
                </w:tcPr>
                <w:p>
                  <w:pPr>
                    <w:pStyle w:val="32"/>
                    <w:spacing w:line="360" w:lineRule="exact"/>
                    <w:rPr>
                      <w:color w:val="000000" w:themeColor="text1"/>
                      <w:szCs w:val="21"/>
                    </w:rPr>
                  </w:pPr>
                  <w:r>
                    <w:rPr>
                      <w:color w:val="000000" w:themeColor="text1"/>
                      <w:szCs w:val="21"/>
                    </w:rPr>
                    <w:t>标识牌</w:t>
                  </w:r>
                </w:p>
              </w:tc>
              <w:tc>
                <w:tcPr>
                  <w:tcW w:w="2553"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705" w:type="dxa"/>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05</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97" w:type="dxa"/>
                  <w:gridSpan w:val="7"/>
                  <w:vAlign w:val="center"/>
                </w:tcPr>
                <w:p>
                  <w:pPr>
                    <w:pStyle w:val="32"/>
                    <w:spacing w:line="360" w:lineRule="exact"/>
                    <w:rPr>
                      <w:color w:val="000000" w:themeColor="text1"/>
                      <w:szCs w:val="21"/>
                    </w:rPr>
                  </w:pPr>
                  <w:r>
                    <w:rPr>
                      <w:color w:val="000000" w:themeColor="text1"/>
                      <w:szCs w:val="21"/>
                    </w:rPr>
                    <w:t>合计</w:t>
                  </w:r>
                </w:p>
              </w:tc>
              <w:tc>
                <w:tcPr>
                  <w:tcW w:w="705" w:type="dxa"/>
                  <w:vAlign w:val="center"/>
                </w:tcPr>
                <w:p>
                  <w:pPr>
                    <w:pStyle w:val="32"/>
                    <w:spacing w:line="360" w:lineRule="exact"/>
                    <w:rPr>
                      <w:color w:val="000000" w:themeColor="text1"/>
                      <w:szCs w:val="21"/>
                    </w:rPr>
                  </w:pPr>
                  <w:r>
                    <w:rPr>
                      <w:rFonts w:hint="eastAsia"/>
                      <w:color w:val="000000" w:themeColor="text1"/>
                      <w:szCs w:val="21"/>
                    </w:rPr>
                    <w:t>40.55</w:t>
                  </w:r>
                </w:p>
              </w:tc>
              <w:tc>
                <w:tcPr>
                  <w:tcW w:w="709" w:type="dxa"/>
                  <w:vAlign w:val="center"/>
                </w:tcPr>
                <w:p>
                  <w:pPr>
                    <w:pStyle w:val="32"/>
                    <w:spacing w:line="360" w:lineRule="exact"/>
                    <w:rPr>
                      <w:color w:val="000000" w:themeColor="text1"/>
                      <w:szCs w:val="21"/>
                    </w:rPr>
                  </w:pPr>
                  <w:r>
                    <w:rPr>
                      <w:color w:val="000000" w:themeColor="text1"/>
                      <w:szCs w:val="21"/>
                    </w:rPr>
                    <w:t>--</w:t>
                  </w:r>
                </w:p>
              </w:tc>
              <w:tc>
                <w:tcPr>
                  <w:tcW w:w="782" w:type="dxa"/>
                  <w:vAlign w:val="center"/>
                </w:tcPr>
                <w:p>
                  <w:pPr>
                    <w:pStyle w:val="32"/>
                    <w:spacing w:line="360" w:lineRule="exact"/>
                    <w:rPr>
                      <w:color w:val="000000" w:themeColor="text1"/>
                      <w:szCs w:val="21"/>
                    </w:rPr>
                  </w:pPr>
                  <w:r>
                    <w:rPr>
                      <w:rFonts w:hint="eastAsia"/>
                      <w:color w:val="000000" w:themeColor="text1"/>
                      <w:szCs w:val="21"/>
                    </w:rPr>
                    <w:t>3.1</w:t>
                  </w:r>
                </w:p>
              </w:tc>
              <w:tc>
                <w:tcPr>
                  <w:tcW w:w="712" w:type="dxa"/>
                  <w:vAlign w:val="center"/>
                </w:tcPr>
                <w:p>
                  <w:pPr>
                    <w:pStyle w:val="32"/>
                    <w:spacing w:line="360" w:lineRule="exact"/>
                    <w:rPr>
                      <w:color w:val="000000" w:themeColor="text1"/>
                      <w:szCs w:val="21"/>
                    </w:rPr>
                  </w:pPr>
                  <w:r>
                    <w:rPr>
                      <w:color w:val="000000" w:themeColor="text1"/>
                      <w:szCs w:val="21"/>
                    </w:rPr>
                    <w:t>--</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w:t>
            </w:r>
            <w:r>
              <w:rPr>
                <w:rFonts w:ascii="Times New Roman" w:hAnsi="Times New Roman" w:cs="Times New Roman"/>
                <w:color w:val="000000" w:themeColor="text1"/>
                <w:sz w:val="24"/>
                <w:szCs w:val="24"/>
              </w:rPr>
              <w:t>总投资</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基建环保投资为</w:t>
            </w:r>
            <w:r>
              <w:rPr>
                <w:rFonts w:hint="eastAsia" w:ascii="Times New Roman" w:hAnsi="Times New Roman" w:cs="Times New Roman"/>
                <w:color w:val="000000" w:themeColor="text1"/>
                <w:sz w:val="24"/>
                <w:szCs w:val="24"/>
              </w:rPr>
              <w:t>40.55</w:t>
            </w:r>
            <w:r>
              <w:rPr>
                <w:rFonts w:ascii="Times New Roman" w:hAnsi="Times New Roman" w:cs="Times New Roman"/>
                <w:color w:val="000000" w:themeColor="text1"/>
                <w:sz w:val="24"/>
                <w:szCs w:val="24"/>
              </w:rPr>
              <w:t>万元，占总投资</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5256万元</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的</w:t>
            </w:r>
            <w:r>
              <w:rPr>
                <w:rFonts w:hint="eastAsia" w:ascii="Times New Roman" w:hAnsi="Times New Roman" w:cs="Times New Roman"/>
                <w:color w:val="000000" w:themeColor="text1"/>
                <w:sz w:val="24"/>
                <w:szCs w:val="24"/>
              </w:rPr>
              <w:t>0.77</w:t>
            </w:r>
            <w:r>
              <w:rPr>
                <w:rFonts w:ascii="Times New Roman" w:hAnsi="Times New Roman" w:cs="Times New Roman"/>
                <w:color w:val="000000" w:themeColor="text1"/>
                <w:sz w:val="24"/>
                <w:szCs w:val="24"/>
              </w:rPr>
              <w:t>%。年环保投资运行费用约为</w:t>
            </w:r>
            <w:r>
              <w:rPr>
                <w:rFonts w:hint="eastAsia"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万元</w:t>
            </w:r>
            <w:r>
              <w:rPr>
                <w:rFonts w:hint="eastAsia" w:ascii="Times New Roman" w:hAnsi="Times New Roman" w:cs="Times New Roman"/>
                <w:color w:val="000000" w:themeColor="text1"/>
                <w:sz w:val="24"/>
                <w:szCs w:val="24"/>
              </w:rPr>
              <w:t>。</w:t>
            </w:r>
          </w:p>
          <w:p>
            <w:pPr>
              <w:pStyle w:val="40"/>
              <w:ind w:firstLine="480"/>
              <w:rPr>
                <w:color w:val="000000" w:themeColor="text1"/>
                <w:szCs w:val="24"/>
              </w:rPr>
            </w:pPr>
            <w:r>
              <w:rPr>
                <w:rFonts w:hint="eastAsia" w:eastAsiaTheme="minorEastAsia"/>
                <w:color w:val="000000" w:themeColor="text1"/>
                <w:szCs w:val="24"/>
              </w:rPr>
              <w:t>综上，</w:t>
            </w:r>
            <w:r>
              <w:rPr>
                <w:color w:val="000000" w:themeColor="text1"/>
                <w:szCs w:val="24"/>
              </w:rPr>
              <w:t>项目总投资5256万元，其中基建环保投资为175.11万元，占总投资的3.33%。年环保投资运行费用约为1</w:t>
            </w:r>
            <w:r>
              <w:rPr>
                <w:rFonts w:hint="eastAsia"/>
                <w:color w:val="000000" w:themeColor="text1"/>
                <w:szCs w:val="24"/>
              </w:rPr>
              <w:t>9</w:t>
            </w:r>
            <w:r>
              <w:rPr>
                <w:color w:val="000000" w:themeColor="text1"/>
                <w:szCs w:val="24"/>
              </w:rPr>
              <w:t>.3万元</w:t>
            </w:r>
            <w:r>
              <w:rPr>
                <w:rFonts w:hint="eastAsia"/>
                <w:color w:val="000000" w:themeColor="text1"/>
                <w:szCs w:val="24"/>
              </w:rPr>
              <w:t>。</w:t>
            </w: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1"/>
        <w:tblW w:w="14174"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6"/>
        <w:gridCol w:w="702"/>
        <w:gridCol w:w="709"/>
        <w:gridCol w:w="13"/>
        <w:gridCol w:w="1127"/>
        <w:gridCol w:w="150"/>
        <w:gridCol w:w="1276"/>
        <w:gridCol w:w="999"/>
        <w:gridCol w:w="1306"/>
        <w:gridCol w:w="5633"/>
        <w:gridCol w:w="17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8" w:type="dxa"/>
            <w:gridSpan w:val="2"/>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4274" w:type="dxa"/>
            <w:gridSpan w:val="6"/>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3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563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3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702" w:type="dxa"/>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3275" w:type="dxa"/>
            <w:gridSpan w:val="5"/>
            <w:tcBorders>
              <w:right w:val="single" w:color="auto" w:sz="4" w:space="0"/>
            </w:tcBorders>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施工场地</w:t>
            </w:r>
          </w:p>
        </w:tc>
        <w:tc>
          <w:tcPr>
            <w:tcW w:w="999" w:type="dxa"/>
            <w:tcBorders>
              <w:left w:val="single" w:color="auto" w:sz="4" w:space="0"/>
            </w:tcBorders>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306"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扬尘</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1 \* GB3 </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在施工场地安排员工定期对施工场地洒水以减少扬尘量，若遇到大风或干燥天气可适当增加洒水次数；并采取遮阴网覆盖等措施降低扬尘产生；</w:t>
            </w:r>
          </w:p>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2 \* GB3 </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尽量避免在大风天气下进行施工作业。根据同类项目工程经验，4级以上大风天气不宜实施土方施工；</w:t>
            </w:r>
          </w:p>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3 \* GB3 </w:instrText>
            </w:r>
            <w:r>
              <w:rPr>
                <w:color w:val="000000" w:themeColor="text1"/>
                <w:szCs w:val="21"/>
              </w:rPr>
              <w:fldChar w:fldCharType="separate"/>
            </w:r>
            <w:r>
              <w:rPr>
                <w:color w:val="000000" w:themeColor="text1"/>
                <w:szCs w:val="21"/>
              </w:rPr>
              <w:t>③</w:t>
            </w:r>
            <w:r>
              <w:rPr>
                <w:color w:val="000000" w:themeColor="text1"/>
                <w:szCs w:val="21"/>
              </w:rPr>
              <w:fldChar w:fldCharType="end"/>
            </w:r>
            <w:r>
              <w:rPr>
                <w:color w:val="000000" w:themeColor="text1"/>
                <w:szCs w:val="21"/>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color w:val="000000" w:themeColor="text1"/>
                <w:szCs w:val="21"/>
              </w:rPr>
              <w:t>《大气污染物综合排放标准》（GB16297-1996）表2中无组织排放浓度排放限值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709"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一期工程</w:t>
            </w:r>
          </w:p>
        </w:tc>
        <w:tc>
          <w:tcPr>
            <w:tcW w:w="1140" w:type="dxa"/>
            <w:gridSpan w:val="2"/>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堆场</w:t>
            </w:r>
          </w:p>
        </w:tc>
        <w:tc>
          <w:tcPr>
            <w:tcW w:w="1426" w:type="dxa"/>
            <w:gridSpan w:val="2"/>
            <w:vAlign w:val="center"/>
          </w:tcPr>
          <w:p>
            <w:pPr>
              <w:pStyle w:val="32"/>
              <w:spacing w:line="360" w:lineRule="exact"/>
              <w:rPr>
                <w:color w:val="000000" w:themeColor="text1"/>
                <w:szCs w:val="21"/>
              </w:rPr>
            </w:pPr>
            <w:r>
              <w:rPr>
                <w:color w:val="000000" w:themeColor="text1"/>
                <w:szCs w:val="21"/>
              </w:rPr>
              <w:t>贮存</w:t>
            </w:r>
          </w:p>
        </w:tc>
        <w:tc>
          <w:tcPr>
            <w:tcW w:w="999"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为了降低废石堆场和产品堆场的扬尘，对废石堆场和产品堆场除车辆进出区域，其他区域均设置不低于物料堆存高度围挡和顶棚，其扬尘抑制率约为80%。</w:t>
            </w:r>
          </w:p>
        </w:tc>
        <w:tc>
          <w:tcPr>
            <w:tcW w:w="1733" w:type="dxa"/>
            <w:vMerge w:val="restart"/>
            <w:tcBorders>
              <w:top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《大气污染物综合排放标准》（GB16297-1996）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09" w:type="dxa"/>
            <w:vMerge w:val="continue"/>
            <w:tcBorders>
              <w:right w:val="single" w:color="auto" w:sz="4" w:space="0"/>
            </w:tcBorders>
            <w:vAlign w:val="center"/>
          </w:tcPr>
          <w:p>
            <w:pPr>
              <w:pStyle w:val="32"/>
              <w:spacing w:line="360" w:lineRule="exact"/>
              <w:rPr>
                <w:color w:val="000000" w:themeColor="text1"/>
                <w:szCs w:val="21"/>
              </w:rPr>
            </w:pPr>
          </w:p>
        </w:tc>
        <w:tc>
          <w:tcPr>
            <w:tcW w:w="1140" w:type="dxa"/>
            <w:gridSpan w:val="2"/>
            <w:vMerge w:val="continue"/>
            <w:tcBorders>
              <w:left w:val="single" w:color="auto" w:sz="4" w:space="0"/>
            </w:tcBorders>
            <w:vAlign w:val="center"/>
          </w:tcPr>
          <w:p>
            <w:pPr>
              <w:pStyle w:val="32"/>
              <w:spacing w:line="360" w:lineRule="exact"/>
              <w:rPr>
                <w:color w:val="000000" w:themeColor="text1"/>
                <w:szCs w:val="21"/>
              </w:rPr>
            </w:pPr>
          </w:p>
        </w:tc>
        <w:tc>
          <w:tcPr>
            <w:tcW w:w="1426" w:type="dxa"/>
            <w:gridSpan w:val="2"/>
            <w:vAlign w:val="center"/>
          </w:tcPr>
          <w:p>
            <w:pPr>
              <w:pStyle w:val="32"/>
              <w:spacing w:line="360" w:lineRule="exact"/>
              <w:rPr>
                <w:color w:val="000000" w:themeColor="text1"/>
                <w:szCs w:val="21"/>
              </w:rPr>
            </w:pPr>
            <w:r>
              <w:rPr>
                <w:color w:val="000000" w:themeColor="text1"/>
                <w:szCs w:val="21"/>
              </w:rPr>
              <w:t>装卸</w:t>
            </w:r>
          </w:p>
        </w:tc>
        <w:tc>
          <w:tcPr>
            <w:tcW w:w="999"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1"/>
              </w:rPr>
              <w:t>针对废石装卸扬尘，废石卸料均在废石堆场，废石堆场除车辆进出区域，其他区域均设置不低于物料堆存高度围挡和顶棚，并配套1台雾炮机对厂区内废矿石采装、卸料及运输过程扬尘进行洒水抑尘，其扬尘抑制率约为80%；</w:t>
            </w:r>
          </w:p>
          <w:p>
            <w:pPr>
              <w:pStyle w:val="32"/>
              <w:spacing w:line="360" w:lineRule="exact"/>
              <w:ind w:firstLine="210" w:firstLineChars="100"/>
              <w:jc w:val="both"/>
              <w:rPr>
                <w:color w:val="000000" w:themeColor="text1"/>
                <w:szCs w:val="21"/>
              </w:rPr>
            </w:pPr>
            <w:r>
              <w:rPr>
                <w:color w:val="000000" w:themeColor="text1"/>
                <w:szCs w:val="21"/>
              </w:rPr>
              <w:t>针对砂石骨料装卸扬尘，砂石骨料卸料均在产品堆场，产品堆场除车辆进出区域，其他区域均设置不低于物料堆存高度围挡和顶棚，且项目生产的砂石骨料含水率较高，因此其其扬尘抑制率约为80%。</w:t>
            </w:r>
          </w:p>
        </w:tc>
        <w:tc>
          <w:tcPr>
            <w:tcW w:w="1733" w:type="dxa"/>
            <w:vMerge w:val="continue"/>
            <w:tcBorders>
              <w:top w:val="single" w:color="auto" w:sz="4" w:space="0"/>
            </w:tcBorders>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09" w:type="dxa"/>
            <w:vMerge w:val="continue"/>
            <w:tcBorders>
              <w:right w:val="single" w:color="auto" w:sz="4" w:space="0"/>
            </w:tcBorders>
            <w:vAlign w:val="center"/>
          </w:tcPr>
          <w:p>
            <w:pPr>
              <w:pStyle w:val="32"/>
              <w:spacing w:line="360" w:lineRule="exact"/>
              <w:rPr>
                <w:color w:val="000000" w:themeColor="text1"/>
                <w:szCs w:val="21"/>
              </w:rPr>
            </w:pPr>
          </w:p>
        </w:tc>
        <w:tc>
          <w:tcPr>
            <w:tcW w:w="1140" w:type="dxa"/>
            <w:gridSpan w:val="2"/>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生产车间</w:t>
            </w:r>
          </w:p>
        </w:tc>
        <w:tc>
          <w:tcPr>
            <w:tcW w:w="1426" w:type="dxa"/>
            <w:gridSpan w:val="2"/>
            <w:vAlign w:val="center"/>
          </w:tcPr>
          <w:p>
            <w:pPr>
              <w:pStyle w:val="32"/>
              <w:spacing w:line="360" w:lineRule="exact"/>
              <w:rPr>
                <w:color w:val="000000" w:themeColor="text1"/>
                <w:szCs w:val="21"/>
              </w:rPr>
            </w:pPr>
            <w:r>
              <w:rPr>
                <w:color w:val="000000" w:themeColor="text1"/>
                <w:szCs w:val="21"/>
              </w:rPr>
              <w:t>皮带输送</w:t>
            </w:r>
          </w:p>
        </w:tc>
        <w:tc>
          <w:tcPr>
            <w:tcW w:w="999"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w:t>
            </w:r>
          </w:p>
        </w:tc>
        <w:tc>
          <w:tcPr>
            <w:tcW w:w="1733" w:type="dxa"/>
            <w:vMerge w:val="continue"/>
            <w:tcBorders>
              <w:top w:val="single" w:color="auto" w:sz="4" w:space="0"/>
            </w:tcBorders>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09" w:type="dxa"/>
            <w:vMerge w:val="continue"/>
            <w:tcBorders>
              <w:right w:val="single" w:color="auto" w:sz="4" w:space="0"/>
            </w:tcBorders>
            <w:vAlign w:val="center"/>
          </w:tcPr>
          <w:p>
            <w:pPr>
              <w:pStyle w:val="32"/>
              <w:spacing w:line="360" w:lineRule="exact"/>
              <w:rPr>
                <w:color w:val="000000" w:themeColor="text1"/>
                <w:szCs w:val="21"/>
              </w:rPr>
            </w:pPr>
          </w:p>
        </w:tc>
        <w:tc>
          <w:tcPr>
            <w:tcW w:w="1140" w:type="dxa"/>
            <w:gridSpan w:val="2"/>
            <w:vMerge w:val="continue"/>
            <w:tcBorders>
              <w:left w:val="single" w:color="auto" w:sz="4" w:space="0"/>
            </w:tcBorders>
            <w:vAlign w:val="center"/>
          </w:tcPr>
          <w:p>
            <w:pPr>
              <w:pStyle w:val="32"/>
              <w:spacing w:line="360" w:lineRule="exact"/>
              <w:rPr>
                <w:color w:val="000000" w:themeColor="text1"/>
                <w:szCs w:val="21"/>
              </w:rPr>
            </w:pPr>
          </w:p>
        </w:tc>
        <w:tc>
          <w:tcPr>
            <w:tcW w:w="1426" w:type="dxa"/>
            <w:gridSpan w:val="2"/>
            <w:vAlign w:val="center"/>
          </w:tcPr>
          <w:p>
            <w:pPr>
              <w:pStyle w:val="32"/>
              <w:spacing w:line="360" w:lineRule="exact"/>
              <w:rPr>
                <w:color w:val="000000" w:themeColor="text1"/>
                <w:szCs w:val="21"/>
              </w:rPr>
            </w:pPr>
            <w:r>
              <w:rPr>
                <w:color w:val="000000" w:themeColor="text1"/>
                <w:szCs w:val="21"/>
              </w:rPr>
              <w:t>破碎筛分</w:t>
            </w:r>
          </w:p>
        </w:tc>
        <w:tc>
          <w:tcPr>
            <w:tcW w:w="999"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项目为降低破碎筛分粉尘产生，拟对一段筛分、鄂破、反击破、二段筛分、球磨和制砂等六个环节均采用加水作业，加水量较大，其处理效率大于湿式除尘+喷雾降尘组合，则实际除尘效率约为98%。</w:t>
            </w:r>
          </w:p>
        </w:tc>
        <w:tc>
          <w:tcPr>
            <w:tcW w:w="1733" w:type="dxa"/>
            <w:vMerge w:val="continue"/>
            <w:tcBorders>
              <w:top w:val="single" w:color="auto" w:sz="4" w:space="0"/>
              <w:bottom w:val="single" w:color="auto" w:sz="4" w:space="0"/>
            </w:tcBorders>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09"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二期工程</w:t>
            </w:r>
          </w:p>
        </w:tc>
        <w:tc>
          <w:tcPr>
            <w:tcW w:w="114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水泥仓</w:t>
            </w:r>
          </w:p>
        </w:tc>
        <w:tc>
          <w:tcPr>
            <w:tcW w:w="1426" w:type="dxa"/>
            <w:gridSpan w:val="2"/>
            <w:vAlign w:val="center"/>
          </w:tcPr>
          <w:p>
            <w:pPr>
              <w:pStyle w:val="32"/>
              <w:spacing w:line="360" w:lineRule="exact"/>
              <w:rPr>
                <w:color w:val="000000" w:themeColor="text1"/>
                <w:szCs w:val="21"/>
              </w:rPr>
            </w:pPr>
            <w:r>
              <w:rPr>
                <w:color w:val="000000" w:themeColor="text1"/>
                <w:szCs w:val="21"/>
              </w:rPr>
              <w:t>水泥装卸、储存、输送过程</w:t>
            </w:r>
          </w:p>
        </w:tc>
        <w:tc>
          <w:tcPr>
            <w:tcW w:w="999" w:type="dxa"/>
            <w:vAlign w:val="center"/>
          </w:tcPr>
          <w:p>
            <w:pPr>
              <w:pStyle w:val="32"/>
              <w:spacing w:line="360" w:lineRule="exact"/>
              <w:rPr>
                <w:color w:val="000000" w:themeColor="text1"/>
                <w:szCs w:val="21"/>
              </w:rPr>
            </w:pPr>
            <w:r>
              <w:rPr>
                <w:rFonts w:hint="eastAsia"/>
                <w:color w:val="000000" w:themeColor="text1"/>
                <w:szCs w:val="21"/>
              </w:rPr>
              <w:t>有组织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水泥仓顶端设置1#袋式除尘器对其处理后通过（DA001）外排，袋式除尘器除尘效率为99.7%。</w:t>
            </w:r>
          </w:p>
        </w:tc>
        <w:tc>
          <w:tcPr>
            <w:tcW w:w="1733" w:type="dxa"/>
            <w:vMerge w:val="restart"/>
            <w:tcBorders>
              <w:top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《水泥工业大气污染物排放标准》（GB4915-2013）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09" w:type="dxa"/>
            <w:vMerge w:val="continue"/>
            <w:tcBorders>
              <w:right w:val="single" w:color="auto" w:sz="4" w:space="0"/>
            </w:tcBorders>
            <w:vAlign w:val="center"/>
          </w:tcPr>
          <w:p>
            <w:pPr>
              <w:pStyle w:val="32"/>
              <w:spacing w:line="360" w:lineRule="exact"/>
              <w:rPr>
                <w:color w:val="000000" w:themeColor="text1"/>
                <w:szCs w:val="21"/>
              </w:rPr>
            </w:pPr>
          </w:p>
        </w:tc>
        <w:tc>
          <w:tcPr>
            <w:tcW w:w="114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搅拌混合车间</w:t>
            </w:r>
          </w:p>
        </w:tc>
        <w:tc>
          <w:tcPr>
            <w:tcW w:w="1426" w:type="dxa"/>
            <w:gridSpan w:val="2"/>
            <w:vAlign w:val="center"/>
          </w:tcPr>
          <w:p>
            <w:pPr>
              <w:pStyle w:val="32"/>
              <w:spacing w:line="360" w:lineRule="exact"/>
              <w:rPr>
                <w:color w:val="000000" w:themeColor="text1"/>
                <w:szCs w:val="21"/>
              </w:rPr>
            </w:pPr>
            <w:r>
              <w:rPr>
                <w:color w:val="000000" w:themeColor="text1"/>
                <w:szCs w:val="21"/>
              </w:rPr>
              <w:t>搅拌混合</w:t>
            </w:r>
          </w:p>
        </w:tc>
        <w:tc>
          <w:tcPr>
            <w:tcW w:w="999" w:type="dxa"/>
            <w:vAlign w:val="center"/>
          </w:tcPr>
          <w:p>
            <w:pPr>
              <w:pStyle w:val="32"/>
              <w:spacing w:line="360" w:lineRule="exact"/>
              <w:rPr>
                <w:color w:val="000000" w:themeColor="text1"/>
                <w:szCs w:val="21"/>
              </w:rPr>
            </w:pPr>
            <w:r>
              <w:rPr>
                <w:rFonts w:hint="eastAsia"/>
                <w:color w:val="000000" w:themeColor="text1"/>
                <w:szCs w:val="21"/>
              </w:rPr>
              <w:t>有组织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针对搅拌混合工序的粉尘，项目拟对该工序产尘点配套设置了集气罩，将其有效统一收集后，通过1台2#袋式除尘器进行处理，处理后通过1根15m高排气筒（DA002）外排。该集气罩风量为5000m³/h，集气效率不低于90%，袋式除尘器除尘效率为99.7%。</w:t>
            </w:r>
          </w:p>
        </w:tc>
        <w:tc>
          <w:tcPr>
            <w:tcW w:w="1733" w:type="dxa"/>
            <w:vMerge w:val="continue"/>
            <w:tcBorders>
              <w:top w:val="single" w:color="auto" w:sz="4" w:space="0"/>
            </w:tcBorders>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702" w:type="dxa"/>
            <w:vMerge w:val="restart"/>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3275" w:type="dxa"/>
            <w:gridSpan w:val="5"/>
            <w:vMerge w:val="restart"/>
            <w:vAlign w:val="center"/>
          </w:tcPr>
          <w:p>
            <w:pPr>
              <w:pStyle w:val="32"/>
              <w:spacing w:line="360" w:lineRule="exact"/>
              <w:rPr>
                <w:color w:val="000000" w:themeColor="text1"/>
                <w:szCs w:val="21"/>
              </w:rPr>
            </w:pPr>
            <w:r>
              <w:rPr>
                <w:color w:val="000000" w:themeColor="text1"/>
                <w:szCs w:val="21"/>
              </w:rPr>
              <w:t>施工场地</w:t>
            </w:r>
          </w:p>
        </w:tc>
        <w:tc>
          <w:tcPr>
            <w:tcW w:w="999" w:type="dxa"/>
            <w:vMerge w:val="restart"/>
            <w:vAlign w:val="center"/>
          </w:tcPr>
          <w:p>
            <w:pPr>
              <w:pStyle w:val="32"/>
              <w:spacing w:line="360" w:lineRule="exact"/>
              <w:rPr>
                <w:color w:val="000000" w:themeColor="text1"/>
                <w:szCs w:val="21"/>
              </w:rPr>
            </w:pPr>
            <w:r>
              <w:rPr>
                <w:color w:val="000000" w:themeColor="text1"/>
                <w:szCs w:val="21"/>
              </w:rPr>
              <w:t>不外排</w:t>
            </w:r>
          </w:p>
        </w:tc>
        <w:tc>
          <w:tcPr>
            <w:tcW w:w="1306" w:type="dxa"/>
            <w:vAlign w:val="center"/>
          </w:tcPr>
          <w:p>
            <w:pPr>
              <w:pStyle w:val="32"/>
              <w:spacing w:line="360" w:lineRule="exact"/>
              <w:rPr>
                <w:color w:val="000000" w:themeColor="text1"/>
                <w:szCs w:val="21"/>
              </w:rPr>
            </w:pPr>
            <w:r>
              <w:rPr>
                <w:color w:val="000000" w:themeColor="text1"/>
                <w:szCs w:val="21"/>
              </w:rPr>
              <w:t>施工废水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施工废水通过施工场地的临时沉淀池沉淀处理后，回用于施工场地洒水抑尘，不外排。</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3275" w:type="dxa"/>
            <w:gridSpan w:val="5"/>
            <w:vMerge w:val="continue"/>
            <w:vAlign w:val="center"/>
          </w:tcPr>
          <w:p>
            <w:pPr>
              <w:pStyle w:val="32"/>
              <w:spacing w:line="360" w:lineRule="exact"/>
              <w:rPr>
                <w:color w:val="000000" w:themeColor="text1"/>
                <w:szCs w:val="21"/>
              </w:rPr>
            </w:pPr>
          </w:p>
        </w:tc>
        <w:tc>
          <w:tcPr>
            <w:tcW w:w="999" w:type="dxa"/>
            <w:vMerge w:val="continue"/>
            <w:vAlign w:val="center"/>
          </w:tcPr>
          <w:p>
            <w:pPr>
              <w:pStyle w:val="32"/>
              <w:spacing w:line="360" w:lineRule="exact"/>
              <w:rPr>
                <w:color w:val="000000" w:themeColor="text1"/>
                <w:szCs w:val="21"/>
              </w:rPr>
            </w:pPr>
          </w:p>
        </w:tc>
        <w:tc>
          <w:tcPr>
            <w:tcW w:w="1306" w:type="dxa"/>
            <w:vAlign w:val="center"/>
          </w:tcPr>
          <w:p>
            <w:pPr>
              <w:pStyle w:val="32"/>
              <w:spacing w:line="360" w:lineRule="exact"/>
              <w:rPr>
                <w:color w:val="000000" w:themeColor="text1"/>
                <w:szCs w:val="21"/>
              </w:rPr>
            </w:pPr>
            <w:r>
              <w:rPr>
                <w:color w:val="000000" w:themeColor="text1"/>
                <w:szCs w:val="21"/>
              </w:rPr>
              <w:t>生活污水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施工期施工人员不在项目区食宿，生活污水仅为洗手污水，生活污水通过施工场地的临时沉淀池沉淀处理后，回用于施工场地洒水抑尘，不外排。</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3275" w:type="dxa"/>
            <w:gridSpan w:val="5"/>
            <w:vMerge w:val="continue"/>
            <w:tcBorders>
              <w:bottom w:val="single" w:color="auto" w:sz="4" w:space="0"/>
            </w:tcBorders>
            <w:vAlign w:val="center"/>
          </w:tcPr>
          <w:p>
            <w:pPr>
              <w:pStyle w:val="32"/>
              <w:spacing w:line="360" w:lineRule="exact"/>
              <w:rPr>
                <w:color w:val="000000" w:themeColor="text1"/>
                <w:szCs w:val="21"/>
              </w:rPr>
            </w:pPr>
          </w:p>
        </w:tc>
        <w:tc>
          <w:tcPr>
            <w:tcW w:w="999" w:type="dxa"/>
            <w:vMerge w:val="continue"/>
            <w:vAlign w:val="center"/>
          </w:tcPr>
          <w:p>
            <w:pPr>
              <w:pStyle w:val="32"/>
              <w:spacing w:line="360" w:lineRule="exact"/>
              <w:rPr>
                <w:color w:val="000000" w:themeColor="text1"/>
                <w:szCs w:val="21"/>
              </w:rPr>
            </w:pPr>
          </w:p>
        </w:tc>
        <w:tc>
          <w:tcPr>
            <w:tcW w:w="1306" w:type="dxa"/>
            <w:vAlign w:val="center"/>
          </w:tcPr>
          <w:p>
            <w:pPr>
              <w:pStyle w:val="32"/>
              <w:spacing w:line="360" w:lineRule="exact"/>
              <w:rPr>
                <w:color w:val="000000" w:themeColor="text1"/>
                <w:szCs w:val="21"/>
              </w:rPr>
            </w:pPr>
            <w:r>
              <w:rPr>
                <w:color w:val="000000" w:themeColor="text1"/>
                <w:szCs w:val="21"/>
              </w:rPr>
              <w:t>地表径流</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抑尘。</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722" w:type="dxa"/>
            <w:gridSpan w:val="2"/>
            <w:vMerge w:val="restart"/>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一期工程</w:t>
            </w:r>
          </w:p>
        </w:tc>
        <w:tc>
          <w:tcPr>
            <w:tcW w:w="2553" w:type="dxa"/>
            <w:gridSpan w:val="3"/>
            <w:tcBorders>
              <w:top w:val="single" w:color="auto" w:sz="4" w:space="0"/>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砂石骨料</w:t>
            </w:r>
            <w:r>
              <w:rPr>
                <w:color w:val="000000" w:themeColor="text1"/>
                <w:szCs w:val="21"/>
              </w:rPr>
              <w:t>生产</w:t>
            </w:r>
          </w:p>
        </w:tc>
        <w:tc>
          <w:tcPr>
            <w:tcW w:w="999" w:type="dxa"/>
            <w:vAlign w:val="center"/>
          </w:tcPr>
          <w:p>
            <w:pPr>
              <w:pStyle w:val="32"/>
              <w:spacing w:line="360" w:lineRule="exact"/>
              <w:rPr>
                <w:color w:val="000000" w:themeColor="text1"/>
                <w:szCs w:val="21"/>
              </w:rPr>
            </w:pPr>
            <w:r>
              <w:rPr>
                <w:rFonts w:hint="eastAsia"/>
                <w:color w:val="000000" w:themeColor="text1"/>
                <w:szCs w:val="21"/>
              </w:rPr>
              <w:t>废水不外排、含水污泥委托处置</w:t>
            </w:r>
          </w:p>
        </w:tc>
        <w:tc>
          <w:tcPr>
            <w:tcW w:w="1306" w:type="dxa"/>
            <w:vAlign w:val="center"/>
          </w:tcPr>
          <w:p>
            <w:pPr>
              <w:pStyle w:val="32"/>
              <w:spacing w:line="360" w:lineRule="exact"/>
              <w:rPr>
                <w:color w:val="000000" w:themeColor="text1"/>
                <w:szCs w:val="21"/>
              </w:rPr>
            </w:pPr>
            <w:r>
              <w:rPr>
                <w:rFonts w:hint="eastAsia"/>
                <w:color w:val="000000" w:themeColor="text1"/>
                <w:szCs w:val="21"/>
              </w:rPr>
              <w:t>砂石骨料</w:t>
            </w:r>
            <w:r>
              <w:rPr>
                <w:color w:val="000000" w:themeColor="text1"/>
                <w:szCs w:val="21"/>
              </w:rPr>
              <w:t>生产</w:t>
            </w:r>
            <w:r>
              <w:rPr>
                <w:rFonts w:hint="eastAsia"/>
                <w:color w:val="000000" w:themeColor="text1"/>
                <w:szCs w:val="21"/>
              </w:rPr>
              <w:t>废水</w:t>
            </w:r>
          </w:p>
        </w:tc>
        <w:tc>
          <w:tcPr>
            <w:tcW w:w="563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针对项目砂石骨料生产废水，</w:t>
            </w:r>
            <w:r>
              <w:rPr>
                <w:color w:val="000000" w:themeColor="text1"/>
                <w:szCs w:val="21"/>
              </w:rPr>
              <w:t>项目拟设置</w:t>
            </w:r>
            <w:r>
              <w:rPr>
                <w:rFonts w:hint="eastAsia"/>
                <w:color w:val="000000" w:themeColor="text1"/>
                <w:szCs w:val="21"/>
              </w:rPr>
              <w:t>1</w:t>
            </w:r>
            <w:r>
              <w:rPr>
                <w:color w:val="000000" w:themeColor="text1"/>
                <w:szCs w:val="21"/>
              </w:rPr>
              <w:t>套砂石骨料生产废水处理系统对生产废水进行处理，该系统由</w:t>
            </w:r>
            <w:r>
              <w:rPr>
                <w:rFonts w:hint="eastAsia"/>
                <w:color w:val="000000" w:themeColor="text1"/>
                <w:szCs w:val="21"/>
              </w:rPr>
              <w:t>1组有效容积为60m³的三级沉淀池、1个10m³回水池和回水管道</w:t>
            </w:r>
            <w:r>
              <w:rPr>
                <w:color w:val="000000" w:themeColor="text1"/>
                <w:szCs w:val="21"/>
              </w:rPr>
              <w:t>组成。砂石骨料生产废水主要污染物为CODcr、SS和石油类，首先进入三级沉淀池进行沉淀，沉淀后，约90%的上层清水进入回水池回用于骨料生产系统，而三级沉淀池产生的含水污泥则进入</w:t>
            </w:r>
            <w:r>
              <w:rPr>
                <w:rFonts w:hint="eastAsia"/>
                <w:color w:val="000000" w:themeColor="text1"/>
                <w:szCs w:val="21"/>
              </w:rPr>
              <w:t>建设单位建设的</w:t>
            </w:r>
            <w:r>
              <w:rPr>
                <w:color w:val="000000" w:themeColor="text1"/>
                <w:szCs w:val="21"/>
              </w:rPr>
              <w:t>昆明市东川金水矿业有限责任公司牛厂坪尾矿充填环境综合治理项目</w:t>
            </w:r>
            <w:r>
              <w:rPr>
                <w:rFonts w:hint="eastAsia"/>
                <w:color w:val="000000" w:themeColor="text1"/>
                <w:szCs w:val="21"/>
              </w:rPr>
              <w:t>进行井下充填处理。</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pStyle w:val="32"/>
              <w:spacing w:line="360" w:lineRule="exact"/>
              <w:rPr>
                <w:color w:val="000000" w:themeColor="text1"/>
                <w:szCs w:val="21"/>
              </w:rPr>
            </w:pPr>
          </w:p>
        </w:tc>
        <w:tc>
          <w:tcPr>
            <w:tcW w:w="2553" w:type="dxa"/>
            <w:gridSpan w:val="3"/>
            <w:vMerge w:val="restart"/>
            <w:tcBorders>
              <w:top w:val="single" w:color="auto" w:sz="4" w:space="0"/>
              <w:left w:val="single" w:color="auto" w:sz="4" w:space="0"/>
            </w:tcBorders>
            <w:vAlign w:val="center"/>
          </w:tcPr>
          <w:p>
            <w:pPr>
              <w:pStyle w:val="32"/>
              <w:spacing w:line="360" w:lineRule="exact"/>
              <w:rPr>
                <w:color w:val="000000" w:themeColor="text1"/>
                <w:szCs w:val="21"/>
              </w:rPr>
            </w:pPr>
            <w:r>
              <w:rPr>
                <w:rFonts w:eastAsiaTheme="minorEastAsia"/>
                <w:color w:val="000000" w:themeColor="text1"/>
                <w:szCs w:val="21"/>
              </w:rPr>
              <w:t>厂区</w:t>
            </w:r>
            <w:r>
              <w:rPr>
                <w:rFonts w:hint="eastAsia" w:eastAsiaTheme="minorEastAsia"/>
                <w:color w:val="000000" w:themeColor="text1"/>
                <w:szCs w:val="21"/>
              </w:rPr>
              <w:t>一期工程范围</w:t>
            </w:r>
            <w:r>
              <w:rPr>
                <w:rFonts w:eastAsiaTheme="minorEastAsia"/>
                <w:color w:val="000000" w:themeColor="text1"/>
                <w:szCs w:val="21"/>
              </w:rPr>
              <w:t>范围</w:t>
            </w:r>
          </w:p>
        </w:tc>
        <w:tc>
          <w:tcPr>
            <w:tcW w:w="999" w:type="dxa"/>
            <w:vAlign w:val="center"/>
          </w:tcPr>
          <w:p>
            <w:pPr>
              <w:pStyle w:val="32"/>
              <w:spacing w:line="360" w:lineRule="exact"/>
              <w:rPr>
                <w:rFonts w:eastAsiaTheme="minorEastAsia"/>
                <w:color w:val="000000" w:themeColor="text1"/>
                <w:szCs w:val="21"/>
              </w:rPr>
            </w:pPr>
            <w:r>
              <w:rPr>
                <w:color w:val="000000" w:themeColor="text1"/>
                <w:szCs w:val="21"/>
              </w:rPr>
              <w:t>不外排</w:t>
            </w:r>
          </w:p>
        </w:tc>
        <w:tc>
          <w:tcPr>
            <w:tcW w:w="1306" w:type="dxa"/>
            <w:vAlign w:val="center"/>
          </w:tcPr>
          <w:p>
            <w:pPr>
              <w:pStyle w:val="32"/>
              <w:spacing w:line="360" w:lineRule="exact"/>
              <w:rPr>
                <w:color w:val="000000" w:themeColor="text1"/>
                <w:szCs w:val="21"/>
              </w:rPr>
            </w:pPr>
            <w:r>
              <w:rPr>
                <w:rFonts w:eastAsiaTheme="minorEastAsia"/>
                <w:color w:val="000000" w:themeColor="text1"/>
                <w:szCs w:val="21"/>
              </w:rPr>
              <w:t>初期雨水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该项目</w:t>
            </w:r>
            <w:r>
              <w:rPr>
                <w:rFonts w:hint="eastAsia"/>
                <w:color w:val="000000" w:themeColor="text1"/>
                <w:szCs w:val="21"/>
              </w:rPr>
              <w:t>一期工程</w:t>
            </w:r>
            <w:r>
              <w:rPr>
                <w:color w:val="000000" w:themeColor="text1"/>
                <w:szCs w:val="21"/>
              </w:rPr>
              <w:t>拟配套设置1个有效容积为</w:t>
            </w:r>
            <w:r>
              <w:rPr>
                <w:rFonts w:hint="eastAsia"/>
                <w:color w:val="000000" w:themeColor="text1"/>
                <w:szCs w:val="21"/>
              </w:rPr>
              <w:t>9</w:t>
            </w:r>
            <w:r>
              <w:rPr>
                <w:color w:val="000000" w:themeColor="text1"/>
                <w:szCs w:val="21"/>
              </w:rPr>
              <w:t>m³的初期雨水收集池对厂区</w:t>
            </w:r>
            <w:r>
              <w:rPr>
                <w:rFonts w:hint="eastAsia"/>
                <w:color w:val="000000" w:themeColor="text1"/>
                <w:szCs w:val="21"/>
              </w:rPr>
              <w:t>一期工程</w:t>
            </w:r>
            <w:r>
              <w:rPr>
                <w:color w:val="000000" w:themeColor="text1"/>
                <w:szCs w:val="21"/>
              </w:rPr>
              <w:t>初期雨水进行收集，收集后用于该项目生产用水，不外排。</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pStyle w:val="32"/>
              <w:spacing w:line="360" w:lineRule="exact"/>
              <w:rPr>
                <w:color w:val="000000" w:themeColor="text1"/>
                <w:szCs w:val="21"/>
              </w:rPr>
            </w:pPr>
          </w:p>
        </w:tc>
        <w:tc>
          <w:tcPr>
            <w:tcW w:w="2553" w:type="dxa"/>
            <w:gridSpan w:val="3"/>
            <w:vMerge w:val="continue"/>
            <w:tcBorders>
              <w:left w:val="single" w:color="auto" w:sz="4" w:space="0"/>
            </w:tcBorders>
            <w:vAlign w:val="center"/>
          </w:tcPr>
          <w:p>
            <w:pPr>
              <w:pStyle w:val="32"/>
              <w:spacing w:line="360" w:lineRule="exact"/>
              <w:rPr>
                <w:color w:val="000000" w:themeColor="text1"/>
                <w:szCs w:val="21"/>
              </w:rPr>
            </w:pPr>
          </w:p>
        </w:tc>
        <w:tc>
          <w:tcPr>
            <w:tcW w:w="999" w:type="dxa"/>
            <w:vAlign w:val="center"/>
          </w:tcPr>
          <w:p>
            <w:pPr>
              <w:pStyle w:val="32"/>
              <w:spacing w:line="360" w:lineRule="exact"/>
              <w:rPr>
                <w:color w:val="000000" w:themeColor="text1"/>
                <w:szCs w:val="21"/>
              </w:rPr>
            </w:pPr>
            <w:r>
              <w:rPr>
                <w:color w:val="000000" w:themeColor="text1"/>
                <w:szCs w:val="21"/>
              </w:rPr>
              <w:t>雨水口</w:t>
            </w:r>
          </w:p>
        </w:tc>
        <w:tc>
          <w:tcPr>
            <w:tcW w:w="1306" w:type="dxa"/>
            <w:vAlign w:val="center"/>
          </w:tcPr>
          <w:p>
            <w:pPr>
              <w:pStyle w:val="32"/>
              <w:spacing w:line="360" w:lineRule="exact"/>
              <w:rPr>
                <w:color w:val="000000" w:themeColor="text1"/>
                <w:szCs w:val="21"/>
              </w:rPr>
            </w:pPr>
            <w:r>
              <w:rPr>
                <w:color w:val="000000" w:themeColor="text1"/>
                <w:szCs w:val="21"/>
              </w:rPr>
              <w:t>雨水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雨水外排。</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pStyle w:val="32"/>
              <w:spacing w:line="360" w:lineRule="exact"/>
              <w:rPr>
                <w:color w:val="000000" w:themeColor="text1"/>
                <w:szCs w:val="21"/>
              </w:rPr>
            </w:pPr>
          </w:p>
        </w:tc>
        <w:tc>
          <w:tcPr>
            <w:tcW w:w="2553" w:type="dxa"/>
            <w:gridSpan w:val="3"/>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999" w:type="dxa"/>
            <w:vAlign w:val="center"/>
          </w:tcPr>
          <w:p>
            <w:pPr>
              <w:pStyle w:val="32"/>
              <w:spacing w:line="360" w:lineRule="exact"/>
              <w:rPr>
                <w:rFonts w:eastAsiaTheme="minorEastAsia"/>
                <w:color w:val="000000" w:themeColor="text1"/>
                <w:szCs w:val="21"/>
              </w:rPr>
            </w:pPr>
            <w:r>
              <w:rPr>
                <w:color w:val="000000" w:themeColor="text1"/>
                <w:szCs w:val="21"/>
              </w:rPr>
              <w:t>不外排</w:t>
            </w:r>
          </w:p>
        </w:tc>
        <w:tc>
          <w:tcPr>
            <w:tcW w:w="1306" w:type="dxa"/>
            <w:vAlign w:val="center"/>
          </w:tcPr>
          <w:p>
            <w:pPr>
              <w:pStyle w:val="32"/>
              <w:spacing w:line="360" w:lineRule="exact"/>
              <w:rPr>
                <w:color w:val="000000" w:themeColor="text1"/>
                <w:szCs w:val="21"/>
              </w:rPr>
            </w:pPr>
            <w:r>
              <w:rPr>
                <w:rFonts w:eastAsiaTheme="minorEastAsia"/>
                <w:color w:val="000000" w:themeColor="text1"/>
                <w:szCs w:val="21"/>
              </w:rPr>
              <w:t>生活污水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生活污水先进入1个有效容积为3m³的化粪池预处理，处理后统一进入1套处理能力为3m³/d的一体化污水处理设施处理，处理达到《城市污水再生利用 城市杂用水水质》（GB/T18920-2020）城市绿化标准后，回用于项目区绿化，不外排。</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城市污水再生利用 城市杂用水水质》（GB/T18920-2020）城市绿化标准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restart"/>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二期工程</w:t>
            </w:r>
          </w:p>
        </w:tc>
        <w:tc>
          <w:tcPr>
            <w:tcW w:w="2553" w:type="dxa"/>
            <w:gridSpan w:val="3"/>
            <w:tcBorders>
              <w:top w:val="single" w:color="auto" w:sz="4" w:space="0"/>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水泥砖养护</w:t>
            </w:r>
          </w:p>
        </w:tc>
        <w:tc>
          <w:tcPr>
            <w:tcW w:w="999" w:type="dxa"/>
            <w:vAlign w:val="center"/>
          </w:tcPr>
          <w:p>
            <w:pPr>
              <w:pStyle w:val="32"/>
              <w:spacing w:line="360" w:lineRule="exact"/>
              <w:rPr>
                <w:rFonts w:eastAsiaTheme="minorEastAsia"/>
                <w:color w:val="000000" w:themeColor="text1"/>
                <w:szCs w:val="21"/>
              </w:rPr>
            </w:pPr>
            <w:r>
              <w:rPr>
                <w:color w:val="000000" w:themeColor="text1"/>
                <w:szCs w:val="21"/>
              </w:rPr>
              <w:t>不外排</w:t>
            </w:r>
          </w:p>
        </w:tc>
        <w:tc>
          <w:tcPr>
            <w:tcW w:w="1306" w:type="dxa"/>
            <w:vAlign w:val="center"/>
          </w:tcPr>
          <w:p>
            <w:pPr>
              <w:pStyle w:val="32"/>
              <w:spacing w:line="360" w:lineRule="exact"/>
              <w:rPr>
                <w:color w:val="000000" w:themeColor="text1"/>
                <w:szCs w:val="21"/>
              </w:rPr>
            </w:pPr>
            <w:r>
              <w:rPr>
                <w:rFonts w:hint="eastAsia" w:eastAsiaTheme="minorEastAsia"/>
                <w:color w:val="000000" w:themeColor="text1"/>
                <w:szCs w:val="21"/>
              </w:rPr>
              <w:t>水泥砖养护废水（SS）</w:t>
            </w:r>
          </w:p>
        </w:tc>
        <w:tc>
          <w:tcPr>
            <w:tcW w:w="563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项目拟设置1个有效容积为6</w:t>
            </w:r>
            <w:r>
              <w:rPr>
                <w:color w:val="000000" w:themeColor="text1"/>
                <w:szCs w:val="21"/>
              </w:rPr>
              <w:t>m³</w:t>
            </w:r>
            <w:r>
              <w:rPr>
                <w:rFonts w:hint="eastAsia"/>
                <w:color w:val="000000" w:themeColor="text1"/>
                <w:szCs w:val="21"/>
              </w:rPr>
              <w:t>的养护废水收集池对其进行收集后，返回养护工序使用，不外排。</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2553" w:type="dxa"/>
            <w:gridSpan w:val="3"/>
            <w:vMerge w:val="restart"/>
            <w:tcBorders>
              <w:top w:val="single" w:color="auto" w:sz="4" w:space="0"/>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厂区</w:t>
            </w:r>
            <w:r>
              <w:rPr>
                <w:rFonts w:hint="eastAsia" w:eastAsiaTheme="minorEastAsia"/>
                <w:color w:val="000000" w:themeColor="text1"/>
                <w:szCs w:val="21"/>
              </w:rPr>
              <w:t>二期工程</w:t>
            </w:r>
            <w:r>
              <w:rPr>
                <w:rFonts w:eastAsiaTheme="minorEastAsia"/>
                <w:color w:val="000000" w:themeColor="text1"/>
                <w:szCs w:val="21"/>
              </w:rPr>
              <w:t>范围</w:t>
            </w:r>
          </w:p>
        </w:tc>
        <w:tc>
          <w:tcPr>
            <w:tcW w:w="999" w:type="dxa"/>
            <w:vAlign w:val="center"/>
          </w:tcPr>
          <w:p>
            <w:pPr>
              <w:pStyle w:val="32"/>
              <w:spacing w:line="360" w:lineRule="exact"/>
              <w:rPr>
                <w:rFonts w:eastAsiaTheme="minorEastAsia"/>
                <w:color w:val="000000" w:themeColor="text1"/>
                <w:szCs w:val="21"/>
              </w:rPr>
            </w:pPr>
            <w:r>
              <w:rPr>
                <w:color w:val="000000" w:themeColor="text1"/>
                <w:szCs w:val="21"/>
              </w:rPr>
              <w:t>不外排</w:t>
            </w:r>
          </w:p>
        </w:tc>
        <w:tc>
          <w:tcPr>
            <w:tcW w:w="1306" w:type="dxa"/>
            <w:vAlign w:val="center"/>
          </w:tcPr>
          <w:p>
            <w:pPr>
              <w:pStyle w:val="32"/>
              <w:spacing w:line="360" w:lineRule="exact"/>
              <w:rPr>
                <w:color w:val="000000" w:themeColor="text1"/>
                <w:szCs w:val="21"/>
              </w:rPr>
            </w:pPr>
            <w:r>
              <w:rPr>
                <w:rFonts w:eastAsiaTheme="minorEastAsia"/>
                <w:color w:val="000000" w:themeColor="text1"/>
                <w:szCs w:val="21"/>
              </w:rPr>
              <w:t>初期雨水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该项目</w:t>
            </w:r>
            <w:r>
              <w:rPr>
                <w:rFonts w:hint="eastAsia"/>
                <w:color w:val="000000" w:themeColor="text1"/>
                <w:szCs w:val="21"/>
              </w:rPr>
              <w:t>二期工程</w:t>
            </w:r>
            <w:r>
              <w:rPr>
                <w:color w:val="000000" w:themeColor="text1"/>
                <w:szCs w:val="21"/>
              </w:rPr>
              <w:t>拟配套设置1个有效容积为</w:t>
            </w:r>
            <w:r>
              <w:rPr>
                <w:rFonts w:hint="eastAsia"/>
                <w:color w:val="000000" w:themeColor="text1"/>
                <w:szCs w:val="21"/>
              </w:rPr>
              <w:t>5</w:t>
            </w:r>
            <w:r>
              <w:rPr>
                <w:color w:val="000000" w:themeColor="text1"/>
                <w:szCs w:val="21"/>
              </w:rPr>
              <w:t>m³的</w:t>
            </w:r>
            <w:r>
              <w:rPr>
                <w:rFonts w:hint="eastAsia"/>
                <w:color w:val="000000" w:themeColor="text1"/>
                <w:szCs w:val="21"/>
              </w:rPr>
              <w:t>二期工程</w:t>
            </w:r>
            <w:r>
              <w:rPr>
                <w:color w:val="000000" w:themeColor="text1"/>
                <w:szCs w:val="21"/>
              </w:rPr>
              <w:t>初期雨水收集池对厂区的初期雨水进行收集，收集后用于该项目生产用水，不外排。</w:t>
            </w:r>
          </w:p>
        </w:tc>
        <w:tc>
          <w:tcPr>
            <w:tcW w:w="1733"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rPr>
                <w:rFonts w:ascii="Times New Roman" w:hAnsi="Times New Roman" w:cs="Times New Roman"/>
                <w:color w:val="000000" w:themeColor="text1"/>
              </w:rPr>
            </w:pPr>
          </w:p>
        </w:tc>
        <w:tc>
          <w:tcPr>
            <w:tcW w:w="2553" w:type="dxa"/>
            <w:gridSpan w:val="3"/>
            <w:vMerge w:val="continue"/>
            <w:tcBorders>
              <w:left w:val="single" w:color="auto" w:sz="4" w:space="0"/>
            </w:tcBorders>
            <w:vAlign w:val="center"/>
          </w:tcPr>
          <w:p>
            <w:pPr>
              <w:rPr>
                <w:rFonts w:ascii="Times New Roman" w:hAnsi="Times New Roman" w:cs="Times New Roman"/>
                <w:color w:val="000000" w:themeColor="text1"/>
              </w:rPr>
            </w:pPr>
          </w:p>
        </w:tc>
        <w:tc>
          <w:tcPr>
            <w:tcW w:w="999" w:type="dxa"/>
            <w:vAlign w:val="center"/>
          </w:tcPr>
          <w:p>
            <w:pPr>
              <w:pStyle w:val="32"/>
              <w:spacing w:line="360" w:lineRule="exact"/>
              <w:rPr>
                <w:color w:val="000000" w:themeColor="text1"/>
                <w:szCs w:val="21"/>
              </w:rPr>
            </w:pPr>
            <w:r>
              <w:rPr>
                <w:color w:val="000000" w:themeColor="text1"/>
                <w:szCs w:val="21"/>
              </w:rPr>
              <w:t>雨水口</w:t>
            </w:r>
          </w:p>
        </w:tc>
        <w:tc>
          <w:tcPr>
            <w:tcW w:w="1306" w:type="dxa"/>
            <w:vAlign w:val="center"/>
          </w:tcPr>
          <w:p>
            <w:pPr>
              <w:pStyle w:val="32"/>
              <w:spacing w:line="360" w:lineRule="exact"/>
              <w:rPr>
                <w:color w:val="000000" w:themeColor="text1"/>
                <w:szCs w:val="21"/>
              </w:rPr>
            </w:pPr>
            <w:r>
              <w:rPr>
                <w:color w:val="000000" w:themeColor="text1"/>
                <w:szCs w:val="21"/>
              </w:rPr>
              <w:t>雨水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雨水外排。</w:t>
            </w:r>
          </w:p>
        </w:tc>
        <w:tc>
          <w:tcPr>
            <w:tcW w:w="1733"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702" w:type="dxa"/>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1999" w:type="dxa"/>
            <w:gridSpan w:val="4"/>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施工场地</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生产设备</w:t>
            </w:r>
          </w:p>
        </w:tc>
        <w:tc>
          <w:tcPr>
            <w:tcW w:w="1306" w:type="dxa"/>
            <w:tcBorders>
              <w:bottom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5633" w:type="dxa"/>
            <w:tcBorders>
              <w:bottom w:val="single" w:color="auto" w:sz="4" w:space="0"/>
            </w:tcBorders>
            <w:vAlign w:val="center"/>
          </w:tcPr>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1"/>
              </w:rPr>
              <w:t>加强施工期的操作规范；</w:t>
            </w:r>
          </w:p>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②</w:t>
            </w:r>
            <w:r>
              <w:rPr>
                <w:color w:val="000000" w:themeColor="text1"/>
                <w:szCs w:val="21"/>
              </w:rPr>
              <w:t>运输车辆进出施工场地时应控制车速，禁止鸣笛，减少车辆在施工场地的停留时间，减小运输噪声对环境的影响；</w:t>
            </w:r>
          </w:p>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③</w:t>
            </w:r>
            <w:r>
              <w:rPr>
                <w:color w:val="000000" w:themeColor="text1"/>
                <w:szCs w:val="21"/>
              </w:rPr>
              <w:t>加强与周围居民的沟通，避免扰民事件发生。</w:t>
            </w:r>
          </w:p>
        </w:tc>
        <w:tc>
          <w:tcPr>
            <w:tcW w:w="1733" w:type="dxa"/>
            <w:tcBorders>
              <w:bottom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《建筑施工场界噪声环境噪声排放标准》（GB12523-2011）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722" w:type="dxa"/>
            <w:gridSpan w:val="2"/>
            <w:vMerge w:val="restart"/>
            <w:tcBorders>
              <w:top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一期工程</w:t>
            </w:r>
          </w:p>
        </w:tc>
        <w:tc>
          <w:tcPr>
            <w:tcW w:w="1277" w:type="dxa"/>
            <w:gridSpan w:val="2"/>
            <w:vMerge w:val="restart"/>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破碎筛分车间</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板式给料机</w:t>
            </w:r>
          </w:p>
        </w:tc>
        <w:tc>
          <w:tcPr>
            <w:tcW w:w="1306" w:type="dxa"/>
            <w:vMerge w:val="restart"/>
            <w:tcBorders>
              <w:top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563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3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达到《工业企业厂界环境噪声排放标准》（GB12348-2008）2类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颚式破碎机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反击破碎机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圆振筛</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立轴制砂机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球磨机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皮带运输机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restart"/>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洗沙车间</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轮式洗砂机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细砂回收机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高频振脱水筛</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废石堆场</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履带式挖掘机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产品堆场</w:t>
            </w:r>
          </w:p>
        </w:tc>
        <w:tc>
          <w:tcPr>
            <w:tcW w:w="2275" w:type="dxa"/>
            <w:gridSpan w:val="2"/>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轮式装载机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restart"/>
            <w:tcBorders>
              <w:top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二期工程</w:t>
            </w:r>
          </w:p>
        </w:tc>
        <w:tc>
          <w:tcPr>
            <w:tcW w:w="1277" w:type="dxa"/>
            <w:gridSpan w:val="2"/>
            <w:vMerge w:val="restart"/>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搅拌混合车间</w:t>
            </w:r>
          </w:p>
        </w:tc>
        <w:tc>
          <w:tcPr>
            <w:tcW w:w="2275" w:type="dxa"/>
            <w:gridSpan w:val="2"/>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提升斗</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配料仓</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成型车间</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砌块成型机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养护区</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叠砖机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widowControl/>
              <w:jc w:val="center"/>
              <w:textAlignment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合力叉车</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702" w:type="dxa"/>
            <w:vMerge w:val="restart"/>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4274" w:type="dxa"/>
            <w:gridSpan w:val="6"/>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施工场地</w:t>
            </w:r>
          </w:p>
        </w:tc>
        <w:tc>
          <w:tcPr>
            <w:tcW w:w="1306"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建设垃圾</w:t>
            </w:r>
          </w:p>
        </w:tc>
        <w:tc>
          <w:tcPr>
            <w:tcW w:w="56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建设垃圾包括混凝土块、废木材、废钢材等，严格按照园区的要求，对其进行分类收集，其中废钢材收集后外售废品收购站，其他不能回收部分运至管理部门指定地点进行合理处置。</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4274" w:type="dxa"/>
            <w:gridSpan w:val="6"/>
            <w:vMerge w:val="continue"/>
            <w:vAlign w:val="center"/>
          </w:tcPr>
          <w:p>
            <w:pPr>
              <w:spacing w:line="360" w:lineRule="exact"/>
              <w:jc w:val="center"/>
              <w:rPr>
                <w:rFonts w:ascii="Times New Roman" w:hAnsi="Times New Roman" w:cs="Times New Roman"/>
                <w:color w:val="000000" w:themeColor="text1"/>
                <w:kern w:val="0"/>
              </w:rPr>
            </w:pPr>
          </w:p>
        </w:tc>
        <w:tc>
          <w:tcPr>
            <w:tcW w:w="1306"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废土石方</w:t>
            </w:r>
          </w:p>
        </w:tc>
        <w:tc>
          <w:tcPr>
            <w:tcW w:w="56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产生的少量废土石方直接用于场地低洼处平整。</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4274" w:type="dxa"/>
            <w:gridSpan w:val="6"/>
            <w:vMerge w:val="continue"/>
            <w:tcBorders>
              <w:bottom w:val="single" w:color="auto" w:sz="4" w:space="0"/>
            </w:tcBorders>
            <w:vAlign w:val="center"/>
          </w:tcPr>
          <w:p>
            <w:pPr>
              <w:spacing w:line="360" w:lineRule="exact"/>
              <w:jc w:val="center"/>
              <w:rPr>
                <w:rFonts w:ascii="Times New Roman" w:hAnsi="Times New Roman" w:cs="Times New Roman"/>
                <w:color w:val="000000" w:themeColor="text1"/>
                <w:kern w:val="0"/>
              </w:rPr>
            </w:pPr>
          </w:p>
        </w:tc>
        <w:tc>
          <w:tcPr>
            <w:tcW w:w="1306"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生活垃圾</w:t>
            </w:r>
          </w:p>
        </w:tc>
        <w:tc>
          <w:tcPr>
            <w:tcW w:w="56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生活垃圾委托环卫部门清运处置。</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722" w:type="dxa"/>
            <w:gridSpan w:val="2"/>
            <w:vMerge w:val="restart"/>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一期工程</w:t>
            </w:r>
          </w:p>
        </w:tc>
        <w:tc>
          <w:tcPr>
            <w:tcW w:w="3552" w:type="dxa"/>
            <w:gridSpan w:val="4"/>
            <w:tcBorders>
              <w:top w:val="single" w:color="auto" w:sz="4" w:space="0"/>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砂石骨料生产废水处理系统</w:t>
            </w:r>
          </w:p>
        </w:tc>
        <w:tc>
          <w:tcPr>
            <w:tcW w:w="1306"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含水污泥</w:t>
            </w:r>
          </w:p>
        </w:tc>
        <w:tc>
          <w:tcPr>
            <w:tcW w:w="56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依托</w:t>
            </w:r>
            <w:r>
              <w:rPr>
                <w:rFonts w:eastAsiaTheme="minorEastAsia"/>
                <w:color w:val="000000" w:themeColor="text1"/>
                <w:szCs w:val="24"/>
              </w:rPr>
              <w:t>昆明市东川金水矿业有限责任公司牛厂坪尾矿充填环境综合治理项目进行井下充填处理</w:t>
            </w:r>
            <w:r>
              <w:rPr>
                <w:rFonts w:hint="eastAsia" w:eastAsiaTheme="minorEastAsia"/>
                <w:color w:val="000000" w:themeColor="text1"/>
                <w:szCs w:val="24"/>
              </w:rPr>
              <w:t>。</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96" w:hRule="atLeast"/>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cs="Times New Roman"/>
                <w:color w:val="000000" w:themeColor="text1"/>
                <w:kern w:val="0"/>
              </w:rPr>
            </w:pPr>
          </w:p>
        </w:tc>
        <w:tc>
          <w:tcPr>
            <w:tcW w:w="3552" w:type="dxa"/>
            <w:gridSpan w:val="4"/>
            <w:vMerge w:val="restart"/>
            <w:tcBorders>
              <w:left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r>
              <w:rPr>
                <w:rFonts w:hint="eastAsia"/>
                <w:color w:val="000000" w:themeColor="text1"/>
              </w:rPr>
              <w:t>（纳入一期管理）</w:t>
            </w: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563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厂区拟建设了1个10m²的危险废物贮存间对项目区产生的危险废物进行分类暂存；废机油部分用于生产设备润滑使用，无法使用部分委托有资质的单位处置。</w:t>
            </w:r>
            <w:r>
              <w:rPr>
                <w:rFonts w:eastAsiaTheme="minorEastAsia"/>
                <w:color w:val="000000" w:themeColor="text1"/>
                <w:szCs w:val="21"/>
              </w:rPr>
              <w:t>废弃沾油抹布</w:t>
            </w:r>
            <w:r>
              <w:rPr>
                <w:rFonts w:eastAsiaTheme="minorEastAsia"/>
                <w:color w:val="000000" w:themeColor="text1"/>
                <w:szCs w:val="24"/>
              </w:rPr>
              <w:t>委托有资质的单位处置。</w:t>
            </w:r>
          </w:p>
        </w:tc>
        <w:tc>
          <w:tcPr>
            <w:tcW w:w="173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cs="Times New Roman"/>
                <w:color w:val="000000" w:themeColor="text1"/>
                <w:kern w:val="0"/>
              </w:rPr>
            </w:pPr>
          </w:p>
        </w:tc>
        <w:tc>
          <w:tcPr>
            <w:tcW w:w="3552" w:type="dxa"/>
            <w:gridSpan w:val="4"/>
            <w:vMerge w:val="continue"/>
            <w:tcBorders>
              <w:left w:val="single" w:color="auto" w:sz="4" w:space="0"/>
            </w:tcBorders>
            <w:vAlign w:val="center"/>
          </w:tcPr>
          <w:p>
            <w:pPr>
              <w:spacing w:line="360" w:lineRule="exact"/>
              <w:jc w:val="center"/>
              <w:rPr>
                <w:rFonts w:ascii="Times New Roman" w:hAnsi="Times New Roman" w:cs="Times New Roman"/>
                <w:color w:val="000000" w:themeColor="text1"/>
                <w:kern w:val="0"/>
              </w:rPr>
            </w:pP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5633" w:type="dxa"/>
            <w:vMerge w:val="continue"/>
            <w:vAlign w:val="center"/>
          </w:tcPr>
          <w:p>
            <w:pPr>
              <w:pStyle w:val="32"/>
              <w:spacing w:line="360" w:lineRule="exact"/>
              <w:ind w:firstLine="210" w:firstLineChars="100"/>
              <w:jc w:val="both"/>
              <w:rPr>
                <w:rFonts w:eastAsiaTheme="minorEastAsia"/>
                <w:color w:val="000000" w:themeColor="text1"/>
                <w:szCs w:val="24"/>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pStyle w:val="32"/>
              <w:spacing w:line="360" w:lineRule="exact"/>
              <w:rPr>
                <w:color w:val="000000" w:themeColor="text1"/>
                <w:szCs w:val="21"/>
              </w:rPr>
            </w:pPr>
          </w:p>
        </w:tc>
        <w:tc>
          <w:tcPr>
            <w:tcW w:w="3552" w:type="dxa"/>
            <w:gridSpan w:val="4"/>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员工生活</w:t>
            </w:r>
            <w:r>
              <w:rPr>
                <w:rFonts w:hint="eastAsia"/>
                <w:color w:val="000000" w:themeColor="text1"/>
                <w:szCs w:val="21"/>
              </w:rPr>
              <w:t>（纳入一期管理）</w:t>
            </w: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生活垃圾</w:t>
            </w:r>
          </w:p>
        </w:tc>
        <w:tc>
          <w:tcPr>
            <w:tcW w:w="563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3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rPr>
                <w:rFonts w:ascii="Times New Roman" w:hAnsi="Times New Roman" w:cs="Times New Roman"/>
                <w:color w:val="000000" w:themeColor="text1"/>
              </w:rPr>
            </w:pPr>
          </w:p>
        </w:tc>
        <w:tc>
          <w:tcPr>
            <w:tcW w:w="3552" w:type="dxa"/>
            <w:gridSpan w:val="4"/>
            <w:vMerge w:val="continue"/>
            <w:tcBorders>
              <w:left w:val="single" w:color="auto" w:sz="4" w:space="0"/>
            </w:tcBorders>
            <w:vAlign w:val="center"/>
          </w:tcPr>
          <w:p>
            <w:pPr>
              <w:rPr>
                <w:rFonts w:ascii="Times New Roman" w:hAnsi="Times New Roman" w:cs="Times New Roman"/>
                <w:color w:val="000000" w:themeColor="text1"/>
              </w:rPr>
            </w:pP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563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委托环卫部门清运处理。</w:t>
            </w: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restart"/>
            <w:tcBorders>
              <w:right w:val="single" w:color="auto" w:sz="4" w:space="0"/>
            </w:tcBorders>
            <w:vAlign w:val="center"/>
          </w:tcPr>
          <w:p>
            <w:pPr>
              <w:pStyle w:val="32"/>
              <w:spacing w:line="360" w:lineRule="exact"/>
              <w:rPr>
                <w:color w:val="000000" w:themeColor="text1"/>
              </w:rPr>
            </w:pPr>
            <w:r>
              <w:rPr>
                <w:rFonts w:hint="eastAsia" w:eastAsiaTheme="minorEastAsia"/>
                <w:color w:val="000000" w:themeColor="text1"/>
                <w:szCs w:val="21"/>
              </w:rPr>
              <w:t>二期工程</w:t>
            </w:r>
          </w:p>
        </w:tc>
        <w:tc>
          <w:tcPr>
            <w:tcW w:w="3552" w:type="dxa"/>
            <w:gridSpan w:val="4"/>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成型养护</w:t>
            </w: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废砖</w:t>
            </w:r>
          </w:p>
        </w:tc>
        <w:tc>
          <w:tcPr>
            <w:tcW w:w="563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w:t>
            </w:r>
            <w:r>
              <w:rPr>
                <w:rFonts w:hint="eastAsia" w:eastAsiaTheme="minorEastAsia"/>
                <w:color w:val="000000" w:themeColor="text1"/>
                <w:szCs w:val="24"/>
              </w:rPr>
              <w:t>返回砂石骨料生产线处理。</w:t>
            </w:r>
          </w:p>
        </w:tc>
        <w:tc>
          <w:tcPr>
            <w:tcW w:w="173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rPr>
                <w:rFonts w:ascii="Times New Roman" w:hAnsi="Times New Roman" w:cs="Times New Roman"/>
                <w:color w:val="000000" w:themeColor="text1"/>
              </w:rPr>
            </w:pPr>
          </w:p>
        </w:tc>
        <w:tc>
          <w:tcPr>
            <w:tcW w:w="3552" w:type="dxa"/>
            <w:gridSpan w:val="4"/>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w:t>
            </w: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袋式除尘器收集粉尘</w:t>
            </w:r>
          </w:p>
        </w:tc>
        <w:tc>
          <w:tcPr>
            <w:tcW w:w="563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1#袋式除尘器</w:t>
            </w:r>
            <w:r>
              <w:rPr>
                <w:rFonts w:hint="eastAsia" w:eastAsiaTheme="minorEastAsia"/>
                <w:color w:val="000000" w:themeColor="text1"/>
                <w:szCs w:val="24"/>
              </w:rPr>
              <w:t>收集粉尘直接返回水泥仓暂存后利用；2</w:t>
            </w:r>
            <w:r>
              <w:rPr>
                <w:rFonts w:eastAsiaTheme="minorEastAsia"/>
                <w:color w:val="000000" w:themeColor="text1"/>
                <w:szCs w:val="24"/>
              </w:rPr>
              <w:t>#袋式除尘器</w:t>
            </w:r>
            <w:r>
              <w:rPr>
                <w:rFonts w:hint="eastAsia" w:eastAsiaTheme="minorEastAsia"/>
                <w:color w:val="000000" w:themeColor="text1"/>
                <w:szCs w:val="24"/>
              </w:rPr>
              <w:t>收集粉尘收集后作为水泥砖生产原料。</w:t>
            </w:r>
          </w:p>
        </w:tc>
        <w:tc>
          <w:tcPr>
            <w:tcW w:w="173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12946" w:type="dxa"/>
            <w:gridSpan w:val="9"/>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t>源头控制措施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严格按照公司制定的规范管理要求进行危险废物的管理。</w:t>
            </w:r>
          </w:p>
          <w:p>
            <w:pPr>
              <w:pStyle w:val="40"/>
              <w:ind w:firstLine="480"/>
              <w:rPr>
                <w:color w:val="000000" w:themeColor="text1"/>
                <w:szCs w:val="24"/>
              </w:rPr>
            </w:pPr>
            <w:r>
              <w:rPr>
                <w:rFonts w:hint="eastAsia" w:ascii="宋体" w:hAnsi="宋体" w:cs="宋体"/>
                <w:color w:val="000000" w:themeColor="text1"/>
                <w:szCs w:val="24"/>
              </w:rPr>
              <w:t>②</w:t>
            </w:r>
            <w:r>
              <w:rPr>
                <w:color w:val="000000" w:themeColor="text1"/>
                <w:szCs w:val="24"/>
              </w:rPr>
              <w:t>分区控制措施</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w:instrText>
            </w:r>
            <w:r>
              <w:rPr>
                <w:rFonts w:hint="eastAsia"/>
                <w:color w:val="000000" w:themeColor="text1"/>
                <w:szCs w:val="24"/>
              </w:rPr>
              <w:instrText xml:space="preserve">= 1 \* GB4</w:instrText>
            </w:r>
            <w:r>
              <w:rPr>
                <w:color w:val="000000" w:themeColor="text1"/>
                <w:szCs w:val="24"/>
              </w:rPr>
              <w:instrText xml:space="preserve"> </w:instrText>
            </w:r>
            <w:r>
              <w:rPr>
                <w:color w:val="000000" w:themeColor="text1"/>
                <w:szCs w:val="24"/>
              </w:rPr>
              <w:fldChar w:fldCharType="separate"/>
            </w:r>
            <w:r>
              <w:rPr>
                <w:rFonts w:hint="eastAsia"/>
                <w:color w:val="000000" w:themeColor="text1"/>
                <w:szCs w:val="24"/>
              </w:rPr>
              <w:t>㈠</w:t>
            </w:r>
            <w:r>
              <w:rPr>
                <w:color w:val="000000" w:themeColor="text1"/>
                <w:szCs w:val="24"/>
              </w:rPr>
              <w:fldChar w:fldCharType="end"/>
            </w:r>
            <w:r>
              <w:rPr>
                <w:rFonts w:hint="eastAsia"/>
                <w:color w:val="000000" w:themeColor="text1"/>
                <w:szCs w:val="24"/>
              </w:rPr>
              <w:t>一期工程</w:t>
            </w:r>
            <w:r>
              <w:rPr>
                <w:color w:val="000000" w:themeColor="text1"/>
                <w:szCs w:val="24"/>
              </w:rPr>
              <w:t>分区控制措施</w:t>
            </w:r>
          </w:p>
          <w:p>
            <w:pPr>
              <w:pStyle w:val="40"/>
              <w:ind w:firstLine="480"/>
              <w:rPr>
                <w:color w:val="000000" w:themeColor="text1"/>
                <w:szCs w:val="24"/>
              </w:rPr>
            </w:pPr>
            <w:r>
              <w:rPr>
                <w:color w:val="000000" w:themeColor="text1"/>
                <w:szCs w:val="24"/>
              </w:rPr>
              <w:t>根据以上分区原则可知，</w:t>
            </w:r>
            <w:r>
              <w:rPr>
                <w:rFonts w:hint="eastAsia"/>
                <w:color w:val="000000" w:themeColor="text1"/>
                <w:szCs w:val="24"/>
              </w:rPr>
              <w:t>一期工程包括</w:t>
            </w:r>
            <w:r>
              <w:rPr>
                <w:color w:val="000000" w:themeColor="text1"/>
                <w:szCs w:val="24"/>
              </w:rPr>
              <w:t>重点防渗区</w:t>
            </w:r>
            <w:r>
              <w:rPr>
                <w:rFonts w:hint="eastAsia"/>
                <w:color w:val="000000" w:themeColor="text1"/>
                <w:szCs w:val="24"/>
              </w:rPr>
              <w:t>、</w:t>
            </w:r>
            <w:r>
              <w:rPr>
                <w:color w:val="000000" w:themeColor="text1"/>
                <w:szCs w:val="24"/>
              </w:rPr>
              <w:t>一般防渗区</w:t>
            </w:r>
            <w:r>
              <w:rPr>
                <w:rFonts w:hint="eastAsia"/>
                <w:color w:val="000000" w:themeColor="text1"/>
                <w:szCs w:val="24"/>
              </w:rPr>
              <w:t>和</w:t>
            </w:r>
            <w:r>
              <w:rPr>
                <w:color w:val="000000" w:themeColor="text1"/>
                <w:szCs w:val="24"/>
              </w:rPr>
              <w:t>简单防渗区</w:t>
            </w:r>
            <w:r>
              <w:rPr>
                <w:rFonts w:hint="eastAsia"/>
                <w:color w:val="000000" w:themeColor="text1"/>
                <w:szCs w:val="24"/>
              </w:rPr>
              <w:t>，</w:t>
            </w:r>
            <w:r>
              <w:rPr>
                <w:color w:val="000000" w:themeColor="text1"/>
                <w:szCs w:val="24"/>
              </w:rPr>
              <w:t>项目分区防渗具体如下：</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1 \* GB2 </w:instrText>
            </w:r>
            <w:r>
              <w:rPr>
                <w:color w:val="000000" w:themeColor="text1"/>
                <w:szCs w:val="24"/>
              </w:rPr>
              <w:fldChar w:fldCharType="separate"/>
            </w:r>
            <w:r>
              <w:rPr>
                <w:rFonts w:hint="eastAsia"/>
                <w:color w:val="000000" w:themeColor="text1"/>
                <w:szCs w:val="24"/>
              </w:rPr>
              <w:t>⑴</w:t>
            </w:r>
            <w:r>
              <w:rPr>
                <w:color w:val="000000" w:themeColor="text1"/>
                <w:szCs w:val="24"/>
              </w:rPr>
              <w:fldChar w:fldCharType="end"/>
            </w:r>
            <w:r>
              <w:rPr>
                <w:rFonts w:hint="eastAsia"/>
                <w:color w:val="000000" w:themeColor="text1"/>
                <w:szCs w:val="24"/>
              </w:rPr>
              <w:t>一期工程</w:t>
            </w:r>
            <w:r>
              <w:rPr>
                <w:color w:val="000000" w:themeColor="text1"/>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项目重点防渗区为危险废物贮存间：危险废物贮存间地面和裙墙应采用不低于2mm厚的HDPE膜或其他人工防渗材料进行防渗，使其渗透系数≤10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根据分区防渗规范要求，项目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生产区、砂石骨料生产废水处理系统、</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初期雨水收集系统和生活污水处理系统区域划定为一般防渗区，一般防渗区措施在地面采取粘土铺底，并在上层铺30cm的混凝土进行硬化。确保防渗性能，使其渗透系数≤1.0×10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⑶</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w:instrText>
            </w:r>
            <w:r>
              <w:rPr>
                <w:rFonts w:hint="eastAsia"/>
                <w:color w:val="000000" w:themeColor="text1"/>
                <w:szCs w:val="24"/>
              </w:rPr>
              <w:instrText xml:space="preserve">= 2 \* GB4</w:instrText>
            </w:r>
            <w:r>
              <w:rPr>
                <w:color w:val="000000" w:themeColor="text1"/>
                <w:szCs w:val="24"/>
              </w:rPr>
              <w:instrText xml:space="preserve"> </w:instrText>
            </w:r>
            <w:r>
              <w:rPr>
                <w:color w:val="000000" w:themeColor="text1"/>
                <w:szCs w:val="24"/>
              </w:rPr>
              <w:fldChar w:fldCharType="separate"/>
            </w:r>
            <w:r>
              <w:rPr>
                <w:rFonts w:hint="eastAsia"/>
                <w:color w:val="000000" w:themeColor="text1"/>
                <w:szCs w:val="24"/>
              </w:rPr>
              <w:t>㈡</w:t>
            </w:r>
            <w:r>
              <w:rPr>
                <w:color w:val="000000" w:themeColor="text1"/>
                <w:szCs w:val="24"/>
              </w:rPr>
              <w:fldChar w:fldCharType="end"/>
            </w:r>
            <w:r>
              <w:rPr>
                <w:rFonts w:hint="eastAsia"/>
                <w:color w:val="000000" w:themeColor="text1"/>
                <w:szCs w:val="24"/>
              </w:rPr>
              <w:t>二期工程</w:t>
            </w:r>
            <w:r>
              <w:rPr>
                <w:color w:val="000000" w:themeColor="text1"/>
                <w:szCs w:val="24"/>
              </w:rPr>
              <w:t>分区控制措施</w:t>
            </w:r>
          </w:p>
          <w:p>
            <w:pPr>
              <w:pStyle w:val="40"/>
              <w:ind w:firstLine="480"/>
              <w:rPr>
                <w:color w:val="000000" w:themeColor="text1"/>
                <w:szCs w:val="24"/>
              </w:rPr>
            </w:pPr>
            <w:r>
              <w:rPr>
                <w:color w:val="000000" w:themeColor="text1"/>
                <w:szCs w:val="24"/>
              </w:rPr>
              <w:t>根据以上分区原则可知，</w:t>
            </w:r>
            <w:r>
              <w:rPr>
                <w:rFonts w:hint="eastAsia"/>
                <w:color w:val="000000" w:themeColor="text1"/>
                <w:szCs w:val="24"/>
              </w:rPr>
              <w:t>二期工程包括</w:t>
            </w:r>
            <w:r>
              <w:rPr>
                <w:color w:val="000000" w:themeColor="text1"/>
                <w:szCs w:val="24"/>
              </w:rPr>
              <w:t>一般防渗区</w:t>
            </w:r>
            <w:r>
              <w:rPr>
                <w:rFonts w:hint="eastAsia"/>
                <w:color w:val="000000" w:themeColor="text1"/>
                <w:szCs w:val="24"/>
              </w:rPr>
              <w:t>和</w:t>
            </w:r>
            <w:r>
              <w:rPr>
                <w:color w:val="000000" w:themeColor="text1"/>
                <w:szCs w:val="24"/>
              </w:rPr>
              <w:t>简单防渗区</w:t>
            </w:r>
            <w:r>
              <w:rPr>
                <w:rFonts w:hint="eastAsia"/>
                <w:color w:val="000000" w:themeColor="text1"/>
                <w:szCs w:val="24"/>
              </w:rPr>
              <w:t>，</w:t>
            </w:r>
            <w:r>
              <w:rPr>
                <w:color w:val="000000" w:themeColor="text1"/>
                <w:szCs w:val="24"/>
              </w:rPr>
              <w:t>项目分区防渗具体如下：</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1 \* GB2 </w:instrText>
            </w:r>
            <w:r>
              <w:rPr>
                <w:color w:val="000000" w:themeColor="text1"/>
                <w:szCs w:val="24"/>
              </w:rPr>
              <w:fldChar w:fldCharType="separate"/>
            </w:r>
            <w:r>
              <w:rPr>
                <w:rFonts w:hint="eastAsia" w:ascii="宋体" w:hAnsi="宋体" w:cs="宋体"/>
                <w:color w:val="000000" w:themeColor="text1"/>
                <w:szCs w:val="24"/>
              </w:rPr>
              <w:t>⑴</w:t>
            </w:r>
            <w:r>
              <w:rPr>
                <w:color w:val="000000" w:themeColor="text1"/>
                <w:szCs w:val="24"/>
              </w:rPr>
              <w:fldChar w:fldCharType="end"/>
            </w:r>
            <w:r>
              <w:rPr>
                <w:rFonts w:hint="eastAsia"/>
                <w:color w:val="000000" w:themeColor="text1"/>
                <w:szCs w:val="24"/>
              </w:rPr>
              <w:t>二期工程</w:t>
            </w:r>
            <w:r>
              <w:rPr>
                <w:color w:val="000000" w:themeColor="text1"/>
                <w:szCs w:val="24"/>
              </w:rPr>
              <w:t>一般防渗区</w:t>
            </w:r>
          </w:p>
          <w:p>
            <w:pPr>
              <w:pStyle w:val="40"/>
              <w:ind w:firstLine="480"/>
              <w:rPr>
                <w:color w:val="000000" w:themeColor="text1"/>
                <w:szCs w:val="24"/>
              </w:rPr>
            </w:pPr>
            <w:r>
              <w:rPr>
                <w:color w:val="000000" w:themeColor="text1"/>
                <w:szCs w:val="24"/>
              </w:rPr>
              <w:t>根据分区防渗规范要求，项目</w:t>
            </w:r>
            <w:r>
              <w:rPr>
                <w:rFonts w:hint="eastAsia"/>
                <w:color w:val="000000" w:themeColor="text1"/>
                <w:szCs w:val="24"/>
              </w:rPr>
              <w:t>二期工程</w:t>
            </w:r>
            <w:r>
              <w:rPr>
                <w:color w:val="000000" w:themeColor="text1"/>
                <w:szCs w:val="24"/>
              </w:rPr>
              <w:t>生产区、养护废水处理系统、</w:t>
            </w:r>
            <w:r>
              <w:rPr>
                <w:rFonts w:hint="eastAsia"/>
                <w:color w:val="000000" w:themeColor="text1"/>
                <w:szCs w:val="24"/>
              </w:rPr>
              <w:t>二期工程</w:t>
            </w:r>
            <w:r>
              <w:rPr>
                <w:color w:val="000000" w:themeColor="text1"/>
                <w:szCs w:val="24"/>
              </w:rPr>
              <w:t>初期雨水收集系统区域划定为一般防渗区，一般防渗区措施在地面采取粘土铺底，并在上层铺30cm的混凝土进行硬化。确保防渗性能，使其渗透系数≤1.0×10</w:t>
            </w:r>
            <w:r>
              <w:rPr>
                <w:color w:val="000000" w:themeColor="text1"/>
                <w:szCs w:val="24"/>
                <w:vertAlign w:val="superscript"/>
              </w:rPr>
              <w:t>-7</w:t>
            </w:r>
            <w:r>
              <w:rPr>
                <w:color w:val="000000" w:themeColor="text1"/>
                <w:szCs w:val="24"/>
              </w:rPr>
              <w:t>cm/s。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12946" w:type="dxa"/>
            <w:gridSpan w:val="9"/>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项目采取尽量错开雨天进行地面施工，减少水土流失带来的环境影响。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12946" w:type="dxa"/>
            <w:gridSpan w:val="9"/>
            <w:vAlign w:val="center"/>
          </w:tcPr>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①</w:t>
            </w:r>
            <w:r>
              <w:rPr>
                <w:rFonts w:eastAsiaTheme="minorEastAsia"/>
                <w:color w:val="000000" w:themeColor="text1"/>
                <w:sz w:val="24"/>
                <w:szCs w:val="21"/>
              </w:rPr>
              <w:t>危废废物应储存于规范的危险废物贮存间；危险废物贮存间地面和裙墙应采用不低于2mm厚的HDPE膜或其他人工防渗材料进行防渗，使其渗透系数≤10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cm/s；危险废物入库时，严格检验物品质量、数量、包装情况、有无泄漏。</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③</w:t>
            </w:r>
            <w:r>
              <w:rPr>
                <w:rFonts w:eastAsiaTheme="minorEastAsia"/>
                <w:color w:val="000000" w:themeColor="text1"/>
                <w:sz w:val="24"/>
                <w:szCs w:val="21"/>
              </w:rPr>
              <w:t>项目区配备相应品种的消防器材。</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④</w:t>
            </w:r>
            <w:r>
              <w:rPr>
                <w:rFonts w:eastAsiaTheme="minorEastAsia"/>
                <w:color w:val="000000" w:themeColor="text1"/>
                <w:sz w:val="24"/>
                <w:szCs w:val="21"/>
              </w:rPr>
              <w:t>次氯酸钠入库时，严格检验物品质量、数量、包装情况、有无泄漏。入库后应采取适当的养护措施，在贮存期内，定期检查，发现其品质变化、包装破损、渗漏等，应及时处理。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12946" w:type="dxa"/>
            <w:gridSpan w:val="9"/>
            <w:vAlign w:val="center"/>
          </w:tcPr>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w:t>
            </w:r>
            <w:r>
              <w:rPr>
                <w:rFonts w:eastAsiaTheme="minorEastAsia"/>
                <w:color w:val="000000" w:themeColor="text1"/>
                <w:sz w:val="24"/>
                <w:szCs w:val="21"/>
              </w:rPr>
              <w:t>建设单位按照危险废物管理的规范要求，设置危险废物识别标志、环境保护图形标志。</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10" w:firstLineChars="100"/>
              <w:jc w:val="both"/>
              <w:rPr>
                <w:rFonts w:eastAsiaTheme="minorEastAsia"/>
                <w:color w:val="000000" w:themeColor="text1"/>
                <w:szCs w:val="21"/>
              </w:rPr>
            </w:pPr>
          </w:p>
        </w:tc>
      </w:tr>
    </w:tbl>
    <w:p>
      <w:pPr>
        <w:pStyle w:val="32"/>
        <w:spacing w:line="360" w:lineRule="auto"/>
        <w:jc w:val="both"/>
        <w:rPr>
          <w:b/>
          <w:color w:val="000000" w:themeColor="text1"/>
          <w:sz w:val="28"/>
        </w:rPr>
        <w:sectPr>
          <w:pgSz w:w="16838" w:h="11906" w:orient="landscape"/>
          <w:pgMar w:top="1797" w:right="1440" w:bottom="1797" w:left="1440" w:header="851" w:footer="992" w:gutter="0"/>
          <w:cols w:space="425" w:num="1"/>
          <w:docGrid w:type="linesAndChar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金水矿业有限责任公司拟建设的昆明市东川金水矿业有限责任公司牛厂坪资源综合利用生产建设项目的建设符合国家产业政策，符合相关规划，选址合理，项目建设满足“三线一单”的管理要求，项目选址区域环境空气、地表水环境和声环境质量现状均可达到相应的质量标准要求，该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1"/>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706"/>
        <w:gridCol w:w="1278"/>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1984"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6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41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984"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颗粒物（有组织）</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0.0315t/a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0.0315t/a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颗粒物（无组织）</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45.04</w:t>
            </w:r>
            <w:r>
              <w:rPr>
                <w:rFonts w:eastAsiaTheme="minorEastAsia"/>
                <w:color w:val="000000" w:themeColor="text1"/>
                <w:szCs w:val="21"/>
              </w:rPr>
              <w:t>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45.04</w:t>
            </w:r>
            <w:r>
              <w:rPr>
                <w:rFonts w:eastAsiaTheme="minorEastAsia"/>
                <w:color w:val="000000" w:themeColor="text1"/>
                <w:szCs w:val="21"/>
              </w:rPr>
              <w:t>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706" w:type="dxa"/>
            <w:vMerge w:val="restart"/>
            <w:tcBorders>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生产废水</w:t>
            </w: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石油类</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restart"/>
            <w:tcBorders>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生活污水</w:t>
            </w: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706"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1278"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1984"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含水污泥</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31500t/a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31500t/a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废砖</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8.63t/a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8.63t/a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袋式除尘器收集粉尘</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9.4985t/a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9.4985t/a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1984"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bl>
    <w:p>
      <w:pPr>
        <w:ind w:firstLine="420"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86</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dit="forms" w:enforcement="1" w:cryptProviderType="rsaFull" w:cryptAlgorithmClass="hash" w:cryptAlgorithmType="typeAny" w:cryptAlgorithmSid="4" w:cryptSpinCount="0" w:hash="1Bg7/9HW7aBqTJjBAhDIKDORQe8=" w:salt="PJDgBPy9+c0Vk95H8vVsn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10A49"/>
    <w:rsid w:val="00012C80"/>
    <w:rsid w:val="00013833"/>
    <w:rsid w:val="00014662"/>
    <w:rsid w:val="00021721"/>
    <w:rsid w:val="0002285A"/>
    <w:rsid w:val="00030115"/>
    <w:rsid w:val="00031A59"/>
    <w:rsid w:val="00031E6A"/>
    <w:rsid w:val="00032B08"/>
    <w:rsid w:val="000344EF"/>
    <w:rsid w:val="00034809"/>
    <w:rsid w:val="00035576"/>
    <w:rsid w:val="00035973"/>
    <w:rsid w:val="0003635E"/>
    <w:rsid w:val="00040A28"/>
    <w:rsid w:val="00040D99"/>
    <w:rsid w:val="00041742"/>
    <w:rsid w:val="00046D9B"/>
    <w:rsid w:val="000502EC"/>
    <w:rsid w:val="00050E55"/>
    <w:rsid w:val="00053379"/>
    <w:rsid w:val="00054F28"/>
    <w:rsid w:val="0005744F"/>
    <w:rsid w:val="00060FF4"/>
    <w:rsid w:val="00062FAD"/>
    <w:rsid w:val="00066661"/>
    <w:rsid w:val="00067BF4"/>
    <w:rsid w:val="00070F66"/>
    <w:rsid w:val="0007395E"/>
    <w:rsid w:val="00075FFD"/>
    <w:rsid w:val="000760FE"/>
    <w:rsid w:val="0008069A"/>
    <w:rsid w:val="00082602"/>
    <w:rsid w:val="0008625A"/>
    <w:rsid w:val="00092548"/>
    <w:rsid w:val="000954A9"/>
    <w:rsid w:val="000B04E4"/>
    <w:rsid w:val="000B30D0"/>
    <w:rsid w:val="000B35C4"/>
    <w:rsid w:val="000B6EE8"/>
    <w:rsid w:val="000B7547"/>
    <w:rsid w:val="000B7F0F"/>
    <w:rsid w:val="000C1655"/>
    <w:rsid w:val="000C67D1"/>
    <w:rsid w:val="000D1B94"/>
    <w:rsid w:val="000D4D91"/>
    <w:rsid w:val="000D6A48"/>
    <w:rsid w:val="000E445E"/>
    <w:rsid w:val="000E500A"/>
    <w:rsid w:val="000E5549"/>
    <w:rsid w:val="000E6F05"/>
    <w:rsid w:val="000F31A2"/>
    <w:rsid w:val="000F5DE9"/>
    <w:rsid w:val="00101B86"/>
    <w:rsid w:val="0010241D"/>
    <w:rsid w:val="001050AD"/>
    <w:rsid w:val="00105349"/>
    <w:rsid w:val="00111F14"/>
    <w:rsid w:val="00116200"/>
    <w:rsid w:val="00116546"/>
    <w:rsid w:val="001175D4"/>
    <w:rsid w:val="00117639"/>
    <w:rsid w:val="00120973"/>
    <w:rsid w:val="00121AAE"/>
    <w:rsid w:val="00122036"/>
    <w:rsid w:val="00124112"/>
    <w:rsid w:val="001250CA"/>
    <w:rsid w:val="00125B5D"/>
    <w:rsid w:val="00126836"/>
    <w:rsid w:val="001307E7"/>
    <w:rsid w:val="00130E8A"/>
    <w:rsid w:val="00142600"/>
    <w:rsid w:val="001507F7"/>
    <w:rsid w:val="0015464F"/>
    <w:rsid w:val="001555F5"/>
    <w:rsid w:val="00155F06"/>
    <w:rsid w:val="00155F5D"/>
    <w:rsid w:val="0015799F"/>
    <w:rsid w:val="00162258"/>
    <w:rsid w:val="00166793"/>
    <w:rsid w:val="0017180C"/>
    <w:rsid w:val="001719D1"/>
    <w:rsid w:val="00171AF4"/>
    <w:rsid w:val="00172D3E"/>
    <w:rsid w:val="001731F9"/>
    <w:rsid w:val="001750E1"/>
    <w:rsid w:val="0017574F"/>
    <w:rsid w:val="0018089D"/>
    <w:rsid w:val="00182D5B"/>
    <w:rsid w:val="001864CE"/>
    <w:rsid w:val="001877FF"/>
    <w:rsid w:val="00187B44"/>
    <w:rsid w:val="00190097"/>
    <w:rsid w:val="001904A0"/>
    <w:rsid w:val="00197070"/>
    <w:rsid w:val="001977B7"/>
    <w:rsid w:val="00197C78"/>
    <w:rsid w:val="001A0AC4"/>
    <w:rsid w:val="001A3F17"/>
    <w:rsid w:val="001A70EF"/>
    <w:rsid w:val="001B4198"/>
    <w:rsid w:val="001B4D27"/>
    <w:rsid w:val="001B6461"/>
    <w:rsid w:val="001C0A81"/>
    <w:rsid w:val="001C3FC6"/>
    <w:rsid w:val="001D1FB1"/>
    <w:rsid w:val="001D3CCB"/>
    <w:rsid w:val="001E1D94"/>
    <w:rsid w:val="001F03FE"/>
    <w:rsid w:val="001F0A05"/>
    <w:rsid w:val="001F2DED"/>
    <w:rsid w:val="001F522D"/>
    <w:rsid w:val="00201D47"/>
    <w:rsid w:val="00203A93"/>
    <w:rsid w:val="00206762"/>
    <w:rsid w:val="0021020E"/>
    <w:rsid w:val="00210AC5"/>
    <w:rsid w:val="002171C9"/>
    <w:rsid w:val="0022106E"/>
    <w:rsid w:val="002210A0"/>
    <w:rsid w:val="0023376F"/>
    <w:rsid w:val="002349BA"/>
    <w:rsid w:val="00245CA3"/>
    <w:rsid w:val="002504C7"/>
    <w:rsid w:val="00252D41"/>
    <w:rsid w:val="00263EC2"/>
    <w:rsid w:val="002666BE"/>
    <w:rsid w:val="002701A5"/>
    <w:rsid w:val="0027349F"/>
    <w:rsid w:val="002735A4"/>
    <w:rsid w:val="00273B36"/>
    <w:rsid w:val="00275FC9"/>
    <w:rsid w:val="002771FA"/>
    <w:rsid w:val="00277862"/>
    <w:rsid w:val="00283568"/>
    <w:rsid w:val="002909A1"/>
    <w:rsid w:val="00292A4E"/>
    <w:rsid w:val="002931E6"/>
    <w:rsid w:val="002963A7"/>
    <w:rsid w:val="00296512"/>
    <w:rsid w:val="002A1028"/>
    <w:rsid w:val="002A1BFA"/>
    <w:rsid w:val="002A1DB1"/>
    <w:rsid w:val="002A5629"/>
    <w:rsid w:val="002B2BE4"/>
    <w:rsid w:val="002B394A"/>
    <w:rsid w:val="002B40E5"/>
    <w:rsid w:val="002B50B9"/>
    <w:rsid w:val="002B5B05"/>
    <w:rsid w:val="002C07C0"/>
    <w:rsid w:val="002C3853"/>
    <w:rsid w:val="002D0160"/>
    <w:rsid w:val="002D1A25"/>
    <w:rsid w:val="002D272C"/>
    <w:rsid w:val="002D756D"/>
    <w:rsid w:val="002E25DE"/>
    <w:rsid w:val="002E3C02"/>
    <w:rsid w:val="002E3E71"/>
    <w:rsid w:val="002E3F5D"/>
    <w:rsid w:val="002E4EE2"/>
    <w:rsid w:val="002F3465"/>
    <w:rsid w:val="002F37F6"/>
    <w:rsid w:val="002F3E5B"/>
    <w:rsid w:val="002F5DF3"/>
    <w:rsid w:val="003012BB"/>
    <w:rsid w:val="003072B7"/>
    <w:rsid w:val="00317F26"/>
    <w:rsid w:val="00322DCE"/>
    <w:rsid w:val="00323170"/>
    <w:rsid w:val="003271C9"/>
    <w:rsid w:val="00332BCA"/>
    <w:rsid w:val="003401BF"/>
    <w:rsid w:val="0034317D"/>
    <w:rsid w:val="00346057"/>
    <w:rsid w:val="00354B52"/>
    <w:rsid w:val="00360F4E"/>
    <w:rsid w:val="00361CF9"/>
    <w:rsid w:val="003707A9"/>
    <w:rsid w:val="00371986"/>
    <w:rsid w:val="00371B13"/>
    <w:rsid w:val="00372641"/>
    <w:rsid w:val="00375E22"/>
    <w:rsid w:val="003852E6"/>
    <w:rsid w:val="00385DE6"/>
    <w:rsid w:val="003879AF"/>
    <w:rsid w:val="00390401"/>
    <w:rsid w:val="00394E91"/>
    <w:rsid w:val="0039713A"/>
    <w:rsid w:val="003A0D2E"/>
    <w:rsid w:val="003A1A97"/>
    <w:rsid w:val="003A2C94"/>
    <w:rsid w:val="003A4F39"/>
    <w:rsid w:val="003B149E"/>
    <w:rsid w:val="003B2DB5"/>
    <w:rsid w:val="003B6B9D"/>
    <w:rsid w:val="003C4D0F"/>
    <w:rsid w:val="003C600D"/>
    <w:rsid w:val="003D01EE"/>
    <w:rsid w:val="003D03A2"/>
    <w:rsid w:val="003D10CA"/>
    <w:rsid w:val="003D15BD"/>
    <w:rsid w:val="003D25E7"/>
    <w:rsid w:val="003D4831"/>
    <w:rsid w:val="003E09E8"/>
    <w:rsid w:val="003E1314"/>
    <w:rsid w:val="003E1882"/>
    <w:rsid w:val="003E1A39"/>
    <w:rsid w:val="003E24A1"/>
    <w:rsid w:val="003E2878"/>
    <w:rsid w:val="003E4647"/>
    <w:rsid w:val="003F0CB4"/>
    <w:rsid w:val="003F2912"/>
    <w:rsid w:val="003F4B40"/>
    <w:rsid w:val="003F5310"/>
    <w:rsid w:val="004029F9"/>
    <w:rsid w:val="004032CC"/>
    <w:rsid w:val="00405DB9"/>
    <w:rsid w:val="00411F09"/>
    <w:rsid w:val="00412056"/>
    <w:rsid w:val="0042165D"/>
    <w:rsid w:val="00423CA5"/>
    <w:rsid w:val="0042483F"/>
    <w:rsid w:val="00424E22"/>
    <w:rsid w:val="004329BC"/>
    <w:rsid w:val="004369B4"/>
    <w:rsid w:val="004431BA"/>
    <w:rsid w:val="00444FBC"/>
    <w:rsid w:val="004459AB"/>
    <w:rsid w:val="00445CD5"/>
    <w:rsid w:val="004521CF"/>
    <w:rsid w:val="00452F00"/>
    <w:rsid w:val="00465080"/>
    <w:rsid w:val="00477A89"/>
    <w:rsid w:val="004840C4"/>
    <w:rsid w:val="00484777"/>
    <w:rsid w:val="00490ECA"/>
    <w:rsid w:val="0049193B"/>
    <w:rsid w:val="00496706"/>
    <w:rsid w:val="004A0BC4"/>
    <w:rsid w:val="004A0E4C"/>
    <w:rsid w:val="004A1EEA"/>
    <w:rsid w:val="004A2FFF"/>
    <w:rsid w:val="004A37C5"/>
    <w:rsid w:val="004A4AC1"/>
    <w:rsid w:val="004A4E36"/>
    <w:rsid w:val="004A7486"/>
    <w:rsid w:val="004B6893"/>
    <w:rsid w:val="004C2E9F"/>
    <w:rsid w:val="004C500B"/>
    <w:rsid w:val="004C7D2E"/>
    <w:rsid w:val="004D1330"/>
    <w:rsid w:val="004D3DA8"/>
    <w:rsid w:val="004D5133"/>
    <w:rsid w:val="004D5440"/>
    <w:rsid w:val="004D55E7"/>
    <w:rsid w:val="004D5651"/>
    <w:rsid w:val="004D620C"/>
    <w:rsid w:val="004E0B6A"/>
    <w:rsid w:val="004E3B7E"/>
    <w:rsid w:val="004F046C"/>
    <w:rsid w:val="004F4CD1"/>
    <w:rsid w:val="004F79F0"/>
    <w:rsid w:val="004F7ED7"/>
    <w:rsid w:val="00505002"/>
    <w:rsid w:val="00505137"/>
    <w:rsid w:val="00511B6E"/>
    <w:rsid w:val="00512026"/>
    <w:rsid w:val="005164B3"/>
    <w:rsid w:val="00516F69"/>
    <w:rsid w:val="00531AD8"/>
    <w:rsid w:val="00531E5D"/>
    <w:rsid w:val="00533467"/>
    <w:rsid w:val="005340F1"/>
    <w:rsid w:val="005344D8"/>
    <w:rsid w:val="00542078"/>
    <w:rsid w:val="00543C10"/>
    <w:rsid w:val="00544F28"/>
    <w:rsid w:val="005513D1"/>
    <w:rsid w:val="00551B30"/>
    <w:rsid w:val="00551E76"/>
    <w:rsid w:val="005528F5"/>
    <w:rsid w:val="0055331A"/>
    <w:rsid w:val="0055558F"/>
    <w:rsid w:val="0055687A"/>
    <w:rsid w:val="005568AC"/>
    <w:rsid w:val="005571AA"/>
    <w:rsid w:val="00560E9C"/>
    <w:rsid w:val="00566E33"/>
    <w:rsid w:val="00570AC5"/>
    <w:rsid w:val="00570B7C"/>
    <w:rsid w:val="005729FD"/>
    <w:rsid w:val="00572A09"/>
    <w:rsid w:val="00580EBB"/>
    <w:rsid w:val="00582AD6"/>
    <w:rsid w:val="00586942"/>
    <w:rsid w:val="0059271E"/>
    <w:rsid w:val="00595DFB"/>
    <w:rsid w:val="00595DFF"/>
    <w:rsid w:val="00597AED"/>
    <w:rsid w:val="005A040B"/>
    <w:rsid w:val="005A468F"/>
    <w:rsid w:val="005A4E1D"/>
    <w:rsid w:val="005B2471"/>
    <w:rsid w:val="005B3DD7"/>
    <w:rsid w:val="005B5075"/>
    <w:rsid w:val="005B60E2"/>
    <w:rsid w:val="005B6614"/>
    <w:rsid w:val="005C3240"/>
    <w:rsid w:val="005C358A"/>
    <w:rsid w:val="005C38F9"/>
    <w:rsid w:val="005C4004"/>
    <w:rsid w:val="005C5209"/>
    <w:rsid w:val="005C568F"/>
    <w:rsid w:val="005C6ECF"/>
    <w:rsid w:val="005C77F4"/>
    <w:rsid w:val="005D1BB5"/>
    <w:rsid w:val="005D2878"/>
    <w:rsid w:val="005D2D5E"/>
    <w:rsid w:val="005D2DAC"/>
    <w:rsid w:val="005D40A7"/>
    <w:rsid w:val="005D615F"/>
    <w:rsid w:val="005D6D94"/>
    <w:rsid w:val="005E43DF"/>
    <w:rsid w:val="005E5DB0"/>
    <w:rsid w:val="005E7578"/>
    <w:rsid w:val="005E7C08"/>
    <w:rsid w:val="005F2890"/>
    <w:rsid w:val="006064CE"/>
    <w:rsid w:val="00607B6F"/>
    <w:rsid w:val="00611AF4"/>
    <w:rsid w:val="00612FB5"/>
    <w:rsid w:val="00613414"/>
    <w:rsid w:val="00613C50"/>
    <w:rsid w:val="00614783"/>
    <w:rsid w:val="00615657"/>
    <w:rsid w:val="006165E9"/>
    <w:rsid w:val="00617A01"/>
    <w:rsid w:val="0062045F"/>
    <w:rsid w:val="00620CC6"/>
    <w:rsid w:val="00623A6B"/>
    <w:rsid w:val="0063583F"/>
    <w:rsid w:val="0063591F"/>
    <w:rsid w:val="00635E7E"/>
    <w:rsid w:val="00636BF7"/>
    <w:rsid w:val="006379C6"/>
    <w:rsid w:val="00642D37"/>
    <w:rsid w:val="00653F5D"/>
    <w:rsid w:val="00654D5E"/>
    <w:rsid w:val="00655AAA"/>
    <w:rsid w:val="00663A36"/>
    <w:rsid w:val="00665D2A"/>
    <w:rsid w:val="00666C84"/>
    <w:rsid w:val="00670600"/>
    <w:rsid w:val="00674BFA"/>
    <w:rsid w:val="006826DF"/>
    <w:rsid w:val="00685451"/>
    <w:rsid w:val="0068738A"/>
    <w:rsid w:val="00687D0A"/>
    <w:rsid w:val="006908E4"/>
    <w:rsid w:val="006946BA"/>
    <w:rsid w:val="006948E5"/>
    <w:rsid w:val="006952FD"/>
    <w:rsid w:val="006A0148"/>
    <w:rsid w:val="006A310F"/>
    <w:rsid w:val="006A5256"/>
    <w:rsid w:val="006A72E3"/>
    <w:rsid w:val="006A7586"/>
    <w:rsid w:val="006A78F8"/>
    <w:rsid w:val="006B128E"/>
    <w:rsid w:val="006B30E2"/>
    <w:rsid w:val="006B4D33"/>
    <w:rsid w:val="006C0272"/>
    <w:rsid w:val="006C0B93"/>
    <w:rsid w:val="006C1364"/>
    <w:rsid w:val="006C1666"/>
    <w:rsid w:val="006C1D02"/>
    <w:rsid w:val="006C1FE2"/>
    <w:rsid w:val="006C52A7"/>
    <w:rsid w:val="006C58DC"/>
    <w:rsid w:val="006C640B"/>
    <w:rsid w:val="006D1F47"/>
    <w:rsid w:val="006D449A"/>
    <w:rsid w:val="006D469B"/>
    <w:rsid w:val="006E20AC"/>
    <w:rsid w:val="006E2C47"/>
    <w:rsid w:val="006E3BBE"/>
    <w:rsid w:val="006E4148"/>
    <w:rsid w:val="006E69D9"/>
    <w:rsid w:val="006F2742"/>
    <w:rsid w:val="006F31A9"/>
    <w:rsid w:val="006F404F"/>
    <w:rsid w:val="006F6817"/>
    <w:rsid w:val="00702658"/>
    <w:rsid w:val="00702A5D"/>
    <w:rsid w:val="00702CD6"/>
    <w:rsid w:val="00703AE9"/>
    <w:rsid w:val="00705AE6"/>
    <w:rsid w:val="00710575"/>
    <w:rsid w:val="00712452"/>
    <w:rsid w:val="00714EBC"/>
    <w:rsid w:val="00715081"/>
    <w:rsid w:val="00715F71"/>
    <w:rsid w:val="007201DF"/>
    <w:rsid w:val="007205B9"/>
    <w:rsid w:val="00720BA9"/>
    <w:rsid w:val="00734F3E"/>
    <w:rsid w:val="00740A4F"/>
    <w:rsid w:val="00743085"/>
    <w:rsid w:val="007431C8"/>
    <w:rsid w:val="00745C1E"/>
    <w:rsid w:val="00751732"/>
    <w:rsid w:val="0075551E"/>
    <w:rsid w:val="00756F3F"/>
    <w:rsid w:val="00760397"/>
    <w:rsid w:val="007620A6"/>
    <w:rsid w:val="0076631D"/>
    <w:rsid w:val="00766376"/>
    <w:rsid w:val="00766AE0"/>
    <w:rsid w:val="00766AF2"/>
    <w:rsid w:val="00766D22"/>
    <w:rsid w:val="0077006B"/>
    <w:rsid w:val="00774F0B"/>
    <w:rsid w:val="007752A9"/>
    <w:rsid w:val="00775E85"/>
    <w:rsid w:val="007809B0"/>
    <w:rsid w:val="00785FBC"/>
    <w:rsid w:val="00786705"/>
    <w:rsid w:val="0079096A"/>
    <w:rsid w:val="0079172D"/>
    <w:rsid w:val="007923CD"/>
    <w:rsid w:val="00793033"/>
    <w:rsid w:val="00793C8B"/>
    <w:rsid w:val="00795DF7"/>
    <w:rsid w:val="00797D3A"/>
    <w:rsid w:val="007A17E9"/>
    <w:rsid w:val="007A1811"/>
    <w:rsid w:val="007A1DDD"/>
    <w:rsid w:val="007A6586"/>
    <w:rsid w:val="007B296B"/>
    <w:rsid w:val="007B2D0E"/>
    <w:rsid w:val="007B60C1"/>
    <w:rsid w:val="007B741C"/>
    <w:rsid w:val="007C0DE2"/>
    <w:rsid w:val="007C1376"/>
    <w:rsid w:val="007C48B8"/>
    <w:rsid w:val="007C64DE"/>
    <w:rsid w:val="007D01C3"/>
    <w:rsid w:val="007D01EC"/>
    <w:rsid w:val="007D3228"/>
    <w:rsid w:val="007D440B"/>
    <w:rsid w:val="007D66D8"/>
    <w:rsid w:val="007E15DC"/>
    <w:rsid w:val="007E68B1"/>
    <w:rsid w:val="007F29D3"/>
    <w:rsid w:val="007F4217"/>
    <w:rsid w:val="007F636C"/>
    <w:rsid w:val="00800713"/>
    <w:rsid w:val="0080313A"/>
    <w:rsid w:val="008037FF"/>
    <w:rsid w:val="00803BB5"/>
    <w:rsid w:val="00803E6E"/>
    <w:rsid w:val="00804005"/>
    <w:rsid w:val="008140BC"/>
    <w:rsid w:val="00814387"/>
    <w:rsid w:val="0081475D"/>
    <w:rsid w:val="00820EEF"/>
    <w:rsid w:val="008278FC"/>
    <w:rsid w:val="00834881"/>
    <w:rsid w:val="00844558"/>
    <w:rsid w:val="00847A3B"/>
    <w:rsid w:val="00852DAF"/>
    <w:rsid w:val="00853681"/>
    <w:rsid w:val="0085784B"/>
    <w:rsid w:val="00857DB7"/>
    <w:rsid w:val="00862A78"/>
    <w:rsid w:val="008646BB"/>
    <w:rsid w:val="00873156"/>
    <w:rsid w:val="00875620"/>
    <w:rsid w:val="00876278"/>
    <w:rsid w:val="0087758A"/>
    <w:rsid w:val="00877DC6"/>
    <w:rsid w:val="00881AE9"/>
    <w:rsid w:val="00883F24"/>
    <w:rsid w:val="00884880"/>
    <w:rsid w:val="00885613"/>
    <w:rsid w:val="008902AE"/>
    <w:rsid w:val="008948EB"/>
    <w:rsid w:val="00897E97"/>
    <w:rsid w:val="008A1159"/>
    <w:rsid w:val="008A6FD6"/>
    <w:rsid w:val="008B21E0"/>
    <w:rsid w:val="008B4112"/>
    <w:rsid w:val="008B702B"/>
    <w:rsid w:val="008C08AB"/>
    <w:rsid w:val="008C1FB7"/>
    <w:rsid w:val="008C50F0"/>
    <w:rsid w:val="008C7652"/>
    <w:rsid w:val="008D15CE"/>
    <w:rsid w:val="008D164F"/>
    <w:rsid w:val="008D6FF6"/>
    <w:rsid w:val="008E01DB"/>
    <w:rsid w:val="008E0774"/>
    <w:rsid w:val="008E375A"/>
    <w:rsid w:val="008E56A4"/>
    <w:rsid w:val="008F1331"/>
    <w:rsid w:val="008F2EC8"/>
    <w:rsid w:val="008F3815"/>
    <w:rsid w:val="008F4CE6"/>
    <w:rsid w:val="008F5F3E"/>
    <w:rsid w:val="008F74C5"/>
    <w:rsid w:val="008F7A8F"/>
    <w:rsid w:val="008F7AE0"/>
    <w:rsid w:val="00903A8B"/>
    <w:rsid w:val="009050A1"/>
    <w:rsid w:val="0091238E"/>
    <w:rsid w:val="009133CD"/>
    <w:rsid w:val="00913BBF"/>
    <w:rsid w:val="00915CBC"/>
    <w:rsid w:val="009169FE"/>
    <w:rsid w:val="00920360"/>
    <w:rsid w:val="009206AC"/>
    <w:rsid w:val="009252EF"/>
    <w:rsid w:val="00925E63"/>
    <w:rsid w:val="00927433"/>
    <w:rsid w:val="00927C70"/>
    <w:rsid w:val="00931F67"/>
    <w:rsid w:val="009322B7"/>
    <w:rsid w:val="00935E07"/>
    <w:rsid w:val="00936AFA"/>
    <w:rsid w:val="00936B23"/>
    <w:rsid w:val="009371D8"/>
    <w:rsid w:val="00942D2C"/>
    <w:rsid w:val="009515E5"/>
    <w:rsid w:val="00954268"/>
    <w:rsid w:val="009545F8"/>
    <w:rsid w:val="0095737E"/>
    <w:rsid w:val="00963844"/>
    <w:rsid w:val="00966221"/>
    <w:rsid w:val="00973DC5"/>
    <w:rsid w:val="00974646"/>
    <w:rsid w:val="00974EF8"/>
    <w:rsid w:val="009800F5"/>
    <w:rsid w:val="00985B1D"/>
    <w:rsid w:val="00985F41"/>
    <w:rsid w:val="00987D4A"/>
    <w:rsid w:val="0099248B"/>
    <w:rsid w:val="0099505A"/>
    <w:rsid w:val="009A28F3"/>
    <w:rsid w:val="009A570D"/>
    <w:rsid w:val="009A5B38"/>
    <w:rsid w:val="009A6A54"/>
    <w:rsid w:val="009A6B88"/>
    <w:rsid w:val="009A6C5B"/>
    <w:rsid w:val="009B74A4"/>
    <w:rsid w:val="009B7740"/>
    <w:rsid w:val="009C091A"/>
    <w:rsid w:val="009C166B"/>
    <w:rsid w:val="009D27CC"/>
    <w:rsid w:val="009D368A"/>
    <w:rsid w:val="009D3A91"/>
    <w:rsid w:val="009D41A3"/>
    <w:rsid w:val="009D6702"/>
    <w:rsid w:val="009E1AE2"/>
    <w:rsid w:val="009E20A5"/>
    <w:rsid w:val="009E33D7"/>
    <w:rsid w:val="009E461F"/>
    <w:rsid w:val="009E4666"/>
    <w:rsid w:val="009E7307"/>
    <w:rsid w:val="009F1793"/>
    <w:rsid w:val="009F2273"/>
    <w:rsid w:val="009F2D07"/>
    <w:rsid w:val="009F30AC"/>
    <w:rsid w:val="00A0234D"/>
    <w:rsid w:val="00A05164"/>
    <w:rsid w:val="00A0563B"/>
    <w:rsid w:val="00A05998"/>
    <w:rsid w:val="00A06B38"/>
    <w:rsid w:val="00A12706"/>
    <w:rsid w:val="00A158CC"/>
    <w:rsid w:val="00A2271E"/>
    <w:rsid w:val="00A22965"/>
    <w:rsid w:val="00A261F5"/>
    <w:rsid w:val="00A3300E"/>
    <w:rsid w:val="00A33875"/>
    <w:rsid w:val="00A34841"/>
    <w:rsid w:val="00A37D8D"/>
    <w:rsid w:val="00A4202F"/>
    <w:rsid w:val="00A4354F"/>
    <w:rsid w:val="00A4616E"/>
    <w:rsid w:val="00A46859"/>
    <w:rsid w:val="00A46F3A"/>
    <w:rsid w:val="00A475BE"/>
    <w:rsid w:val="00A52AFE"/>
    <w:rsid w:val="00A536B3"/>
    <w:rsid w:val="00A53E67"/>
    <w:rsid w:val="00A55D2C"/>
    <w:rsid w:val="00A62045"/>
    <w:rsid w:val="00A6348F"/>
    <w:rsid w:val="00A6574F"/>
    <w:rsid w:val="00A66BEE"/>
    <w:rsid w:val="00A707E4"/>
    <w:rsid w:val="00A719DE"/>
    <w:rsid w:val="00A73184"/>
    <w:rsid w:val="00A7751C"/>
    <w:rsid w:val="00A77714"/>
    <w:rsid w:val="00A8003A"/>
    <w:rsid w:val="00A80A3E"/>
    <w:rsid w:val="00A923EE"/>
    <w:rsid w:val="00A92F34"/>
    <w:rsid w:val="00A96334"/>
    <w:rsid w:val="00AA09E6"/>
    <w:rsid w:val="00AA2EAD"/>
    <w:rsid w:val="00AA4EA6"/>
    <w:rsid w:val="00AA5A9C"/>
    <w:rsid w:val="00AA7709"/>
    <w:rsid w:val="00AA7EA9"/>
    <w:rsid w:val="00AB571D"/>
    <w:rsid w:val="00AB68A8"/>
    <w:rsid w:val="00AB6D1E"/>
    <w:rsid w:val="00AB7EF8"/>
    <w:rsid w:val="00AC07DE"/>
    <w:rsid w:val="00AC6D60"/>
    <w:rsid w:val="00AC76D2"/>
    <w:rsid w:val="00AD1B30"/>
    <w:rsid w:val="00AD2BD7"/>
    <w:rsid w:val="00AD5086"/>
    <w:rsid w:val="00AD5A01"/>
    <w:rsid w:val="00AD624C"/>
    <w:rsid w:val="00AD70C8"/>
    <w:rsid w:val="00AE19CA"/>
    <w:rsid w:val="00AE1FB4"/>
    <w:rsid w:val="00AE2950"/>
    <w:rsid w:val="00AE3571"/>
    <w:rsid w:val="00AE48A8"/>
    <w:rsid w:val="00AE6373"/>
    <w:rsid w:val="00AF0DF7"/>
    <w:rsid w:val="00AF0FB2"/>
    <w:rsid w:val="00AF5DE0"/>
    <w:rsid w:val="00AF7020"/>
    <w:rsid w:val="00B019EC"/>
    <w:rsid w:val="00B031F5"/>
    <w:rsid w:val="00B0393E"/>
    <w:rsid w:val="00B06CED"/>
    <w:rsid w:val="00B070D4"/>
    <w:rsid w:val="00B11487"/>
    <w:rsid w:val="00B12184"/>
    <w:rsid w:val="00B1263B"/>
    <w:rsid w:val="00B1473D"/>
    <w:rsid w:val="00B1487D"/>
    <w:rsid w:val="00B1596E"/>
    <w:rsid w:val="00B16599"/>
    <w:rsid w:val="00B17674"/>
    <w:rsid w:val="00B20232"/>
    <w:rsid w:val="00B206E0"/>
    <w:rsid w:val="00B21DB0"/>
    <w:rsid w:val="00B26AB9"/>
    <w:rsid w:val="00B31882"/>
    <w:rsid w:val="00B33013"/>
    <w:rsid w:val="00B34787"/>
    <w:rsid w:val="00B40B29"/>
    <w:rsid w:val="00B41C8E"/>
    <w:rsid w:val="00B44CAA"/>
    <w:rsid w:val="00B4575C"/>
    <w:rsid w:val="00B45987"/>
    <w:rsid w:val="00B45CFC"/>
    <w:rsid w:val="00B46E0F"/>
    <w:rsid w:val="00B478D2"/>
    <w:rsid w:val="00B5125D"/>
    <w:rsid w:val="00B51983"/>
    <w:rsid w:val="00B51DF7"/>
    <w:rsid w:val="00B53D4D"/>
    <w:rsid w:val="00B56333"/>
    <w:rsid w:val="00B563B0"/>
    <w:rsid w:val="00B5798B"/>
    <w:rsid w:val="00B620DD"/>
    <w:rsid w:val="00B65470"/>
    <w:rsid w:val="00B7008E"/>
    <w:rsid w:val="00B75F10"/>
    <w:rsid w:val="00B77F51"/>
    <w:rsid w:val="00B80331"/>
    <w:rsid w:val="00B82AF0"/>
    <w:rsid w:val="00B83509"/>
    <w:rsid w:val="00B83528"/>
    <w:rsid w:val="00B846BB"/>
    <w:rsid w:val="00B8599C"/>
    <w:rsid w:val="00B87833"/>
    <w:rsid w:val="00B9657F"/>
    <w:rsid w:val="00BA03A3"/>
    <w:rsid w:val="00BA29D5"/>
    <w:rsid w:val="00BA39DB"/>
    <w:rsid w:val="00BA4DC1"/>
    <w:rsid w:val="00BA79D2"/>
    <w:rsid w:val="00BB5F36"/>
    <w:rsid w:val="00BC0A66"/>
    <w:rsid w:val="00BC3CE1"/>
    <w:rsid w:val="00BC42B9"/>
    <w:rsid w:val="00BC4C15"/>
    <w:rsid w:val="00BC5093"/>
    <w:rsid w:val="00BD0523"/>
    <w:rsid w:val="00BD0FFC"/>
    <w:rsid w:val="00BD317E"/>
    <w:rsid w:val="00BD3256"/>
    <w:rsid w:val="00BD5EE1"/>
    <w:rsid w:val="00BE0032"/>
    <w:rsid w:val="00BE1784"/>
    <w:rsid w:val="00BE2288"/>
    <w:rsid w:val="00BE4393"/>
    <w:rsid w:val="00BE716A"/>
    <w:rsid w:val="00BF0309"/>
    <w:rsid w:val="00BF05A3"/>
    <w:rsid w:val="00BF0650"/>
    <w:rsid w:val="00BF117C"/>
    <w:rsid w:val="00BF5489"/>
    <w:rsid w:val="00BF592F"/>
    <w:rsid w:val="00BF739D"/>
    <w:rsid w:val="00BF7C1F"/>
    <w:rsid w:val="00C00D8F"/>
    <w:rsid w:val="00C023BF"/>
    <w:rsid w:val="00C02EF3"/>
    <w:rsid w:val="00C102A5"/>
    <w:rsid w:val="00C11EC6"/>
    <w:rsid w:val="00C11F0E"/>
    <w:rsid w:val="00C21282"/>
    <w:rsid w:val="00C23DA0"/>
    <w:rsid w:val="00C2445F"/>
    <w:rsid w:val="00C2566E"/>
    <w:rsid w:val="00C31F22"/>
    <w:rsid w:val="00C323CA"/>
    <w:rsid w:val="00C32EEB"/>
    <w:rsid w:val="00C337D6"/>
    <w:rsid w:val="00C36564"/>
    <w:rsid w:val="00C36C10"/>
    <w:rsid w:val="00C37163"/>
    <w:rsid w:val="00C37EB4"/>
    <w:rsid w:val="00C416AA"/>
    <w:rsid w:val="00C42ACA"/>
    <w:rsid w:val="00C4496D"/>
    <w:rsid w:val="00C458C4"/>
    <w:rsid w:val="00C466EA"/>
    <w:rsid w:val="00C46C54"/>
    <w:rsid w:val="00C47F54"/>
    <w:rsid w:val="00C53DB8"/>
    <w:rsid w:val="00C54650"/>
    <w:rsid w:val="00C5657F"/>
    <w:rsid w:val="00C5703D"/>
    <w:rsid w:val="00C62458"/>
    <w:rsid w:val="00C6321B"/>
    <w:rsid w:val="00C63515"/>
    <w:rsid w:val="00C635BA"/>
    <w:rsid w:val="00C63B71"/>
    <w:rsid w:val="00C64149"/>
    <w:rsid w:val="00C71B72"/>
    <w:rsid w:val="00C72737"/>
    <w:rsid w:val="00C72DAD"/>
    <w:rsid w:val="00C77C13"/>
    <w:rsid w:val="00C83B3E"/>
    <w:rsid w:val="00C83E72"/>
    <w:rsid w:val="00C85CB3"/>
    <w:rsid w:val="00C90CDE"/>
    <w:rsid w:val="00C91A59"/>
    <w:rsid w:val="00C92CDF"/>
    <w:rsid w:val="00C9314B"/>
    <w:rsid w:val="00CA1213"/>
    <w:rsid w:val="00CA4B4A"/>
    <w:rsid w:val="00CA4BB4"/>
    <w:rsid w:val="00CA4DD5"/>
    <w:rsid w:val="00CA6CE9"/>
    <w:rsid w:val="00CB20C7"/>
    <w:rsid w:val="00CB2F29"/>
    <w:rsid w:val="00CB6E12"/>
    <w:rsid w:val="00CC0808"/>
    <w:rsid w:val="00CC242F"/>
    <w:rsid w:val="00CC2BD0"/>
    <w:rsid w:val="00CC3974"/>
    <w:rsid w:val="00CC5962"/>
    <w:rsid w:val="00CD10E5"/>
    <w:rsid w:val="00CD34AD"/>
    <w:rsid w:val="00CD485D"/>
    <w:rsid w:val="00CD511C"/>
    <w:rsid w:val="00CE2306"/>
    <w:rsid w:val="00CE3245"/>
    <w:rsid w:val="00CE32C0"/>
    <w:rsid w:val="00CE4D56"/>
    <w:rsid w:val="00CF141D"/>
    <w:rsid w:val="00CF2AC6"/>
    <w:rsid w:val="00CF31B0"/>
    <w:rsid w:val="00CF5122"/>
    <w:rsid w:val="00CF51C9"/>
    <w:rsid w:val="00CF64FE"/>
    <w:rsid w:val="00CF7FB1"/>
    <w:rsid w:val="00D02159"/>
    <w:rsid w:val="00D077EB"/>
    <w:rsid w:val="00D1118C"/>
    <w:rsid w:val="00D11CB4"/>
    <w:rsid w:val="00D13852"/>
    <w:rsid w:val="00D1449F"/>
    <w:rsid w:val="00D2157C"/>
    <w:rsid w:val="00D21A6D"/>
    <w:rsid w:val="00D2295A"/>
    <w:rsid w:val="00D23738"/>
    <w:rsid w:val="00D2536F"/>
    <w:rsid w:val="00D33CC5"/>
    <w:rsid w:val="00D33F3C"/>
    <w:rsid w:val="00D34800"/>
    <w:rsid w:val="00D35AA9"/>
    <w:rsid w:val="00D36E78"/>
    <w:rsid w:val="00D37AD4"/>
    <w:rsid w:val="00D426F0"/>
    <w:rsid w:val="00D4522A"/>
    <w:rsid w:val="00D51EA8"/>
    <w:rsid w:val="00D52226"/>
    <w:rsid w:val="00D54364"/>
    <w:rsid w:val="00D554CF"/>
    <w:rsid w:val="00D567D4"/>
    <w:rsid w:val="00D608C7"/>
    <w:rsid w:val="00D62262"/>
    <w:rsid w:val="00D625E0"/>
    <w:rsid w:val="00D66B7D"/>
    <w:rsid w:val="00D707F7"/>
    <w:rsid w:val="00D708CF"/>
    <w:rsid w:val="00D71E9C"/>
    <w:rsid w:val="00D72434"/>
    <w:rsid w:val="00D731D2"/>
    <w:rsid w:val="00D73B45"/>
    <w:rsid w:val="00D766E0"/>
    <w:rsid w:val="00D80837"/>
    <w:rsid w:val="00D8380C"/>
    <w:rsid w:val="00D8657E"/>
    <w:rsid w:val="00D911B2"/>
    <w:rsid w:val="00D928CE"/>
    <w:rsid w:val="00D92A0F"/>
    <w:rsid w:val="00D965D5"/>
    <w:rsid w:val="00DA1769"/>
    <w:rsid w:val="00DA2FBA"/>
    <w:rsid w:val="00DA6C99"/>
    <w:rsid w:val="00DA707D"/>
    <w:rsid w:val="00DB6353"/>
    <w:rsid w:val="00DB680A"/>
    <w:rsid w:val="00DC3B2A"/>
    <w:rsid w:val="00DC3E12"/>
    <w:rsid w:val="00DC67B5"/>
    <w:rsid w:val="00DD0426"/>
    <w:rsid w:val="00DD3822"/>
    <w:rsid w:val="00DD447C"/>
    <w:rsid w:val="00DD77AE"/>
    <w:rsid w:val="00DD7A9F"/>
    <w:rsid w:val="00DE4B23"/>
    <w:rsid w:val="00DF0D79"/>
    <w:rsid w:val="00DF5A36"/>
    <w:rsid w:val="00E015F5"/>
    <w:rsid w:val="00E02EB5"/>
    <w:rsid w:val="00E03890"/>
    <w:rsid w:val="00E06BCD"/>
    <w:rsid w:val="00E1063F"/>
    <w:rsid w:val="00E122AF"/>
    <w:rsid w:val="00E2185D"/>
    <w:rsid w:val="00E25DBB"/>
    <w:rsid w:val="00E27815"/>
    <w:rsid w:val="00E303D4"/>
    <w:rsid w:val="00E361A0"/>
    <w:rsid w:val="00E42FBC"/>
    <w:rsid w:val="00E519CE"/>
    <w:rsid w:val="00E51BFD"/>
    <w:rsid w:val="00E57CBF"/>
    <w:rsid w:val="00E63B58"/>
    <w:rsid w:val="00E66D1F"/>
    <w:rsid w:val="00E67620"/>
    <w:rsid w:val="00E7474A"/>
    <w:rsid w:val="00E75E2F"/>
    <w:rsid w:val="00E80A5E"/>
    <w:rsid w:val="00E8453C"/>
    <w:rsid w:val="00E87BC1"/>
    <w:rsid w:val="00E914AF"/>
    <w:rsid w:val="00E9156B"/>
    <w:rsid w:val="00E91797"/>
    <w:rsid w:val="00E964EA"/>
    <w:rsid w:val="00E9735A"/>
    <w:rsid w:val="00EA0CF8"/>
    <w:rsid w:val="00EA3154"/>
    <w:rsid w:val="00EA3639"/>
    <w:rsid w:val="00EA3913"/>
    <w:rsid w:val="00EA3E90"/>
    <w:rsid w:val="00EA7D37"/>
    <w:rsid w:val="00EB0DD5"/>
    <w:rsid w:val="00EB0E32"/>
    <w:rsid w:val="00EB1CB2"/>
    <w:rsid w:val="00EB297D"/>
    <w:rsid w:val="00EB4C21"/>
    <w:rsid w:val="00EB5E37"/>
    <w:rsid w:val="00EB6CFB"/>
    <w:rsid w:val="00EC0172"/>
    <w:rsid w:val="00EC0446"/>
    <w:rsid w:val="00EC1495"/>
    <w:rsid w:val="00EC47F4"/>
    <w:rsid w:val="00ED22CC"/>
    <w:rsid w:val="00ED2EC4"/>
    <w:rsid w:val="00ED35F4"/>
    <w:rsid w:val="00ED3A56"/>
    <w:rsid w:val="00ED6676"/>
    <w:rsid w:val="00ED71D0"/>
    <w:rsid w:val="00EE061C"/>
    <w:rsid w:val="00EE14D0"/>
    <w:rsid w:val="00EE7659"/>
    <w:rsid w:val="00EF36F5"/>
    <w:rsid w:val="00EF3C0E"/>
    <w:rsid w:val="00EF4749"/>
    <w:rsid w:val="00EF62C3"/>
    <w:rsid w:val="00F003D2"/>
    <w:rsid w:val="00F02D22"/>
    <w:rsid w:val="00F057AE"/>
    <w:rsid w:val="00F12CFD"/>
    <w:rsid w:val="00F12E9C"/>
    <w:rsid w:val="00F1433A"/>
    <w:rsid w:val="00F146B8"/>
    <w:rsid w:val="00F153FF"/>
    <w:rsid w:val="00F20BB6"/>
    <w:rsid w:val="00F234D9"/>
    <w:rsid w:val="00F249CA"/>
    <w:rsid w:val="00F2526D"/>
    <w:rsid w:val="00F32629"/>
    <w:rsid w:val="00F40F93"/>
    <w:rsid w:val="00F41EA4"/>
    <w:rsid w:val="00F42462"/>
    <w:rsid w:val="00F440BB"/>
    <w:rsid w:val="00F44738"/>
    <w:rsid w:val="00F500E4"/>
    <w:rsid w:val="00F5271B"/>
    <w:rsid w:val="00F600C0"/>
    <w:rsid w:val="00F60F88"/>
    <w:rsid w:val="00F6192B"/>
    <w:rsid w:val="00F624A7"/>
    <w:rsid w:val="00F63B25"/>
    <w:rsid w:val="00F646F0"/>
    <w:rsid w:val="00F64760"/>
    <w:rsid w:val="00F66634"/>
    <w:rsid w:val="00F66966"/>
    <w:rsid w:val="00F772AB"/>
    <w:rsid w:val="00F80C21"/>
    <w:rsid w:val="00F81460"/>
    <w:rsid w:val="00F82262"/>
    <w:rsid w:val="00F827AD"/>
    <w:rsid w:val="00F82C79"/>
    <w:rsid w:val="00F83B32"/>
    <w:rsid w:val="00F83F93"/>
    <w:rsid w:val="00F84044"/>
    <w:rsid w:val="00F879F6"/>
    <w:rsid w:val="00F91ABB"/>
    <w:rsid w:val="00F924C3"/>
    <w:rsid w:val="00F93088"/>
    <w:rsid w:val="00FA0B2F"/>
    <w:rsid w:val="00FA1481"/>
    <w:rsid w:val="00FA56BC"/>
    <w:rsid w:val="00FB01E5"/>
    <w:rsid w:val="00FB1246"/>
    <w:rsid w:val="00FB44C5"/>
    <w:rsid w:val="00FB484A"/>
    <w:rsid w:val="00FB4D30"/>
    <w:rsid w:val="00FB5B45"/>
    <w:rsid w:val="00FC1290"/>
    <w:rsid w:val="00FC1DF3"/>
    <w:rsid w:val="00FC2BFB"/>
    <w:rsid w:val="00FD2BFA"/>
    <w:rsid w:val="00FD675C"/>
    <w:rsid w:val="00FD7052"/>
    <w:rsid w:val="00FE054F"/>
    <w:rsid w:val="00FE27FD"/>
    <w:rsid w:val="00FE4015"/>
    <w:rsid w:val="00FE4AB5"/>
    <w:rsid w:val="00FE596E"/>
    <w:rsid w:val="00FE6AD7"/>
    <w:rsid w:val="00FF727E"/>
    <w:rsid w:val="32051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5"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52"/>
    <w:qFormat/>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9"/>
    <w:semiHidden/>
    <w:unhideWhenUsed/>
    <w:uiPriority w:val="99"/>
    <w:rPr>
      <w:rFonts w:ascii="宋体" w:eastAsia="宋体"/>
      <w:sz w:val="20"/>
      <w:szCs w:val="18"/>
    </w:rPr>
  </w:style>
  <w:style w:type="paragraph" w:styleId="8">
    <w:name w:val="annotation text"/>
    <w:basedOn w:val="1"/>
    <w:link w:val="36"/>
    <w:unhideWhenUsed/>
    <w:qFormat/>
    <w:uiPriority w:val="99"/>
    <w:pPr>
      <w:jc w:val="left"/>
    </w:pPr>
  </w:style>
  <w:style w:type="paragraph" w:styleId="9">
    <w:name w:val="Salutation"/>
    <w:basedOn w:val="1"/>
    <w:next w:val="1"/>
    <w:link w:val="61"/>
    <w:semiHidden/>
    <w:unhideWhenUsed/>
    <w:uiPriority w:val="99"/>
  </w:style>
  <w:style w:type="paragraph" w:styleId="10">
    <w:name w:val="Body Text"/>
    <w:basedOn w:val="1"/>
    <w:link w:val="45"/>
    <w:semiHidden/>
    <w:unhideWhenUsed/>
    <w:qFormat/>
    <w:uiPriority w:val="99"/>
    <w:pPr>
      <w:spacing w:after="120"/>
    </w:pPr>
  </w:style>
  <w:style w:type="paragraph" w:styleId="11">
    <w:name w:val="Plain Text"/>
    <w:basedOn w:val="1"/>
    <w:next w:val="9"/>
    <w:link w:val="59"/>
    <w:qFormat/>
    <w:uiPriority w:val="5"/>
    <w:pPr>
      <w:spacing w:line="360" w:lineRule="exact"/>
    </w:pPr>
    <w:rPr>
      <w:rFonts w:ascii="宋体" w:hAnsi="Courier New" w:eastAsia="宋体" w:cs="Times New Roman"/>
      <w:szCs w:val="20"/>
    </w:rPr>
  </w:style>
  <w:style w:type="paragraph" w:styleId="12">
    <w:name w:val="Balloon Text"/>
    <w:basedOn w:val="1"/>
    <w:link w:val="28"/>
    <w:unhideWhenUsed/>
    <w:qFormat/>
    <w:uiPriority w:val="99"/>
    <w:rPr>
      <w:sz w:val="18"/>
      <w:szCs w:val="18"/>
    </w:rPr>
  </w:style>
  <w:style w:type="paragraph" w:styleId="13">
    <w:name w:val="footer"/>
    <w:basedOn w:val="1"/>
    <w:link w:val="31"/>
    <w:semiHidden/>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szCs w:val="22"/>
    </w:rPr>
  </w:style>
  <w:style w:type="paragraph" w:styleId="16">
    <w:name w:val="Body Text Indent 3"/>
    <w:basedOn w:val="1"/>
    <w:link w:val="33"/>
    <w:qFormat/>
    <w:uiPriority w:val="0"/>
    <w:pPr>
      <w:spacing w:after="120"/>
      <w:ind w:left="420" w:leftChars="200"/>
    </w:pPr>
    <w:rPr>
      <w:rFonts w:ascii="Times New Roman" w:hAnsi="Times New Roman" w:eastAsia="宋体" w:cs="Times New Roman"/>
      <w:sz w:val="16"/>
      <w:szCs w:val="16"/>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index 1"/>
    <w:basedOn w:val="1"/>
    <w:next w:val="1"/>
    <w:qFormat/>
    <w:uiPriority w:val="0"/>
    <w:pPr>
      <w:ind w:left="560" w:hanging="560"/>
    </w:pPr>
    <w:rPr>
      <w:rFonts w:ascii="Times New Roman" w:hAnsi="宋体" w:eastAsia="宋体" w:cs="Times New Roman"/>
      <w:spacing w:val="10"/>
      <w:szCs w:val="24"/>
    </w:rPr>
  </w:style>
  <w:style w:type="paragraph" w:styleId="19">
    <w:name w:val="annotation subject"/>
    <w:basedOn w:val="8"/>
    <w:next w:val="8"/>
    <w:link w:val="37"/>
    <w:semiHidden/>
    <w:unhideWhenUsed/>
    <w:qFormat/>
    <w:uiPriority w:val="99"/>
    <w:rPr>
      <w:b/>
      <w:bCs/>
    </w:rPr>
  </w:style>
  <w:style w:type="table" w:styleId="21">
    <w:name w:val="Table Grid"/>
    <w:basedOn w:val="2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Emphasis"/>
    <w:qFormat/>
    <w:uiPriority w:val="0"/>
    <w:rPr>
      <w:i/>
      <w:iCs/>
    </w:rPr>
  </w:style>
  <w:style w:type="character" w:styleId="26">
    <w:name w:val="Hyperlink"/>
    <w:basedOn w:val="22"/>
    <w:semiHidden/>
    <w:unhideWhenUsed/>
    <w:qFormat/>
    <w:uiPriority w:val="99"/>
    <w:rPr>
      <w:color w:val="0000FF"/>
      <w:u w:val="single"/>
    </w:rPr>
  </w:style>
  <w:style w:type="character" w:styleId="27">
    <w:name w:val="annotation reference"/>
    <w:basedOn w:val="22"/>
    <w:semiHidden/>
    <w:unhideWhenUsed/>
    <w:uiPriority w:val="99"/>
    <w:rPr>
      <w:sz w:val="21"/>
      <w:szCs w:val="21"/>
    </w:rPr>
  </w:style>
  <w:style w:type="character" w:customStyle="1" w:styleId="28">
    <w:name w:val="批注框文本 Char"/>
    <w:basedOn w:val="22"/>
    <w:link w:val="12"/>
    <w:qFormat/>
    <w:uiPriority w:val="99"/>
    <w:rPr>
      <w:sz w:val="18"/>
      <w:szCs w:val="18"/>
    </w:rPr>
  </w:style>
  <w:style w:type="character" w:customStyle="1" w:styleId="29">
    <w:name w:val="文档结构图 Char"/>
    <w:basedOn w:val="22"/>
    <w:link w:val="7"/>
    <w:semiHidden/>
    <w:qFormat/>
    <w:uiPriority w:val="99"/>
    <w:rPr>
      <w:rFonts w:ascii="宋体" w:eastAsia="宋体"/>
      <w:sz w:val="20"/>
      <w:szCs w:val="18"/>
    </w:rPr>
  </w:style>
  <w:style w:type="character" w:customStyle="1" w:styleId="30">
    <w:name w:val="页眉 Char"/>
    <w:basedOn w:val="22"/>
    <w:link w:val="14"/>
    <w:qFormat/>
    <w:uiPriority w:val="0"/>
    <w:rPr>
      <w:sz w:val="18"/>
      <w:szCs w:val="18"/>
    </w:rPr>
  </w:style>
  <w:style w:type="character" w:customStyle="1" w:styleId="31">
    <w:name w:val="页脚 Char"/>
    <w:basedOn w:val="22"/>
    <w:link w:val="13"/>
    <w:semiHidden/>
    <w:uiPriority w:val="99"/>
    <w:rPr>
      <w:sz w:val="18"/>
      <w:szCs w:val="18"/>
    </w:rPr>
  </w:style>
  <w:style w:type="paragraph" w:customStyle="1" w:styleId="32">
    <w:name w:val="表体"/>
    <w:basedOn w:val="1"/>
    <w:link w:val="4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3">
    <w:name w:val="正文文本缩进 3 Char"/>
    <w:basedOn w:val="22"/>
    <w:link w:val="16"/>
    <w:qFormat/>
    <w:uiPriority w:val="0"/>
    <w:rPr>
      <w:rFonts w:ascii="Times New Roman" w:hAnsi="Times New Roman" w:eastAsia="宋体" w:cs="Times New Roman"/>
      <w:sz w:val="16"/>
      <w:szCs w:val="16"/>
    </w:rPr>
  </w:style>
  <w:style w:type="paragraph" w:customStyle="1" w:styleId="34">
    <w:name w:val="表头"/>
    <w:basedOn w:val="1"/>
    <w:link w:val="3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5">
    <w:name w:val="表头 Char Char"/>
    <w:link w:val="34"/>
    <w:uiPriority w:val="0"/>
    <w:rPr>
      <w:rFonts w:ascii="Times New Roman" w:hAnsi="宋体" w:eastAsia="FangSong_GB2312" w:cs="Times New Roman"/>
      <w:b/>
      <w:kern w:val="0"/>
      <w:sz w:val="28"/>
      <w:szCs w:val="28"/>
    </w:rPr>
  </w:style>
  <w:style w:type="character" w:customStyle="1" w:styleId="36">
    <w:name w:val="批注文字 Char"/>
    <w:basedOn w:val="22"/>
    <w:link w:val="8"/>
    <w:qFormat/>
    <w:uiPriority w:val="99"/>
  </w:style>
  <w:style w:type="character" w:customStyle="1" w:styleId="37">
    <w:name w:val="批注主题 Char"/>
    <w:basedOn w:val="36"/>
    <w:link w:val="19"/>
    <w:semiHidden/>
    <w:uiPriority w:val="99"/>
    <w:rPr>
      <w:b/>
      <w:bCs/>
    </w:rPr>
  </w:style>
  <w:style w:type="character" w:customStyle="1" w:styleId="38">
    <w:name w:val="题注1 Char"/>
    <w:link w:val="39"/>
    <w:uiPriority w:val="0"/>
    <w:rPr>
      <w:rFonts w:cs="宋体"/>
      <w:b/>
      <w:bCs/>
      <w:spacing w:val="10"/>
      <w:szCs w:val="24"/>
    </w:rPr>
  </w:style>
  <w:style w:type="paragraph" w:customStyle="1" w:styleId="39">
    <w:name w:val="题注1"/>
    <w:basedOn w:val="1"/>
    <w:link w:val="38"/>
    <w:qFormat/>
    <w:uiPriority w:val="0"/>
    <w:pPr>
      <w:spacing w:beforeLines="20" w:afterLines="20"/>
      <w:jc w:val="center"/>
    </w:pPr>
    <w:rPr>
      <w:rFonts w:cs="宋体"/>
      <w:b/>
      <w:bCs/>
      <w:spacing w:val="10"/>
      <w:szCs w:val="24"/>
    </w:rPr>
  </w:style>
  <w:style w:type="paragraph" w:customStyle="1" w:styleId="40">
    <w:name w:val="赵"/>
    <w:basedOn w:val="1"/>
    <w:link w:val="41"/>
    <w:uiPriority w:val="0"/>
    <w:pPr>
      <w:spacing w:line="360" w:lineRule="auto"/>
      <w:ind w:firstLine="200" w:firstLineChars="200"/>
    </w:pPr>
    <w:rPr>
      <w:rFonts w:ascii="Times New Roman" w:hAnsi="Times New Roman" w:eastAsia="宋体" w:cs="Times New Roman"/>
      <w:sz w:val="24"/>
      <w:szCs w:val="30"/>
    </w:rPr>
  </w:style>
  <w:style w:type="character" w:customStyle="1" w:styleId="41">
    <w:name w:val="赵 Char"/>
    <w:basedOn w:val="22"/>
    <w:link w:val="40"/>
    <w:uiPriority w:val="0"/>
    <w:rPr>
      <w:rFonts w:ascii="Times New Roman" w:hAnsi="Times New Roman" w:eastAsia="宋体" w:cs="Times New Roman"/>
      <w:sz w:val="24"/>
      <w:szCs w:val="30"/>
    </w:rPr>
  </w:style>
  <w:style w:type="paragraph" w:customStyle="1" w:styleId="42">
    <w:name w:val="【表头】"/>
    <w:basedOn w:val="1"/>
    <w:link w:val="43"/>
    <w:qFormat/>
    <w:uiPriority w:val="0"/>
    <w:pPr>
      <w:jc w:val="center"/>
    </w:pPr>
    <w:rPr>
      <w:rFonts w:ascii="Times New Roman" w:hAnsi="Times New Roman" w:eastAsia="宋体" w:cs="Times New Roman"/>
      <w:b/>
      <w:szCs w:val="24"/>
    </w:rPr>
  </w:style>
  <w:style w:type="character" w:customStyle="1" w:styleId="43">
    <w:name w:val="【表头】 Char"/>
    <w:link w:val="42"/>
    <w:qFormat/>
    <w:uiPriority w:val="0"/>
    <w:rPr>
      <w:rFonts w:ascii="Times New Roman" w:hAnsi="Times New Roman" w:eastAsia="宋体" w:cs="Times New Roman"/>
      <w:b/>
      <w:szCs w:val="24"/>
    </w:rPr>
  </w:style>
  <w:style w:type="character" w:customStyle="1" w:styleId="44">
    <w:name w:val="表体 Char Char"/>
    <w:link w:val="32"/>
    <w:locked/>
    <w:uiPriority w:val="0"/>
    <w:rPr>
      <w:rFonts w:ascii="Times New Roman" w:hAnsi="Times New Roman" w:eastAsia="宋体" w:cs="Times New Roman"/>
      <w:bCs/>
      <w:snapToGrid w:val="0"/>
      <w:color w:val="000000"/>
      <w:kern w:val="32"/>
      <w:szCs w:val="20"/>
      <w:lang w:val="zh-CN"/>
    </w:rPr>
  </w:style>
  <w:style w:type="character" w:customStyle="1" w:styleId="45">
    <w:name w:val="正文文本 Char"/>
    <w:basedOn w:val="22"/>
    <w:link w:val="10"/>
    <w:semiHidden/>
    <w:uiPriority w:val="99"/>
  </w:style>
  <w:style w:type="character" w:customStyle="1" w:styleId="46">
    <w:name w:val="标题 2 Char"/>
    <w:basedOn w:val="22"/>
    <w:link w:val="3"/>
    <w:qFormat/>
    <w:uiPriority w:val="0"/>
    <w:rPr>
      <w:rFonts w:ascii="Times New Roman" w:hAnsi="Times New Roman" w:eastAsia="黑体" w:cs="Times New Roman"/>
      <w:color w:val="000000" w:themeColor="text1"/>
      <w:sz w:val="30"/>
      <w:szCs w:val="24"/>
    </w:rPr>
  </w:style>
  <w:style w:type="character" w:customStyle="1" w:styleId="47">
    <w:name w:val="表头 Char1"/>
    <w:basedOn w:val="22"/>
    <w:uiPriority w:val="0"/>
    <w:rPr>
      <w:rFonts w:ascii="Times New Roman" w:hAnsi="Times New Roman" w:eastAsia="宋体" w:cs="Times New Roman"/>
      <w:b/>
      <w:bCs/>
      <w:kern w:val="0"/>
      <w:szCs w:val="28"/>
    </w:rPr>
  </w:style>
  <w:style w:type="character" w:customStyle="1" w:styleId="48">
    <w:name w:val="标题 3 Char"/>
    <w:basedOn w:val="22"/>
    <w:link w:val="4"/>
    <w:semiHidden/>
    <w:uiPriority w:val="9"/>
    <w:rPr>
      <w:b/>
      <w:bCs/>
      <w:sz w:val="32"/>
      <w:szCs w:val="32"/>
    </w:rPr>
  </w:style>
  <w:style w:type="table" w:customStyle="1" w:styleId="49">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character" w:customStyle="1" w:styleId="50">
    <w:name w:val="标题 8 Char"/>
    <w:basedOn w:val="22"/>
    <w:link w:val="5"/>
    <w:uiPriority w:val="99"/>
    <w:rPr>
      <w:rFonts w:asciiTheme="majorHAnsi" w:hAnsiTheme="majorHAnsi" w:eastAsiaTheme="majorEastAsia" w:cstheme="majorBidi"/>
      <w:sz w:val="24"/>
      <w:szCs w:val="24"/>
    </w:rPr>
  </w:style>
  <w:style w:type="paragraph" w:customStyle="1" w:styleId="51">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52">
    <w:name w:val="正文缩进 Char1"/>
    <w:link w:val="6"/>
    <w:qFormat/>
    <w:uiPriority w:val="99"/>
    <w:rPr>
      <w:rFonts w:ascii="Calibri" w:hAnsi="Calibri" w:eastAsia="宋体" w:cs="Times New Roman"/>
      <w:sz w:val="28"/>
      <w:szCs w:val="20"/>
    </w:rPr>
  </w:style>
  <w:style w:type="paragraph" w:customStyle="1" w:styleId="53">
    <w:name w:val="样式1"/>
    <w:basedOn w:val="1"/>
    <w:link w:val="54"/>
    <w:qFormat/>
    <w:uiPriority w:val="0"/>
    <w:pPr>
      <w:spacing w:line="360" w:lineRule="auto"/>
      <w:ind w:firstLine="510"/>
    </w:pPr>
    <w:rPr>
      <w:rFonts w:ascii="Times New Roman" w:hAnsi="Times New Roman" w:eastAsia="宋体" w:cs="Times New Roman"/>
      <w:sz w:val="24"/>
      <w:szCs w:val="20"/>
    </w:rPr>
  </w:style>
  <w:style w:type="character" w:customStyle="1" w:styleId="54">
    <w:name w:val="样式1 Char"/>
    <w:link w:val="53"/>
    <w:locked/>
    <w:uiPriority w:val="0"/>
    <w:rPr>
      <w:rFonts w:ascii="Times New Roman" w:hAnsi="Times New Roman" w:eastAsia="宋体" w:cs="Times New Roman"/>
      <w:sz w:val="24"/>
      <w:szCs w:val="20"/>
    </w:rPr>
  </w:style>
  <w:style w:type="paragraph" w:customStyle="1" w:styleId="5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56">
    <w:name w:val="标题 1 Char"/>
    <w:basedOn w:val="22"/>
    <w:link w:val="2"/>
    <w:qFormat/>
    <w:uiPriority w:val="9"/>
    <w:rPr>
      <w:b/>
      <w:bCs/>
      <w:kern w:val="44"/>
      <w:sz w:val="44"/>
      <w:szCs w:val="44"/>
    </w:rPr>
  </w:style>
  <w:style w:type="character" w:customStyle="1" w:styleId="57">
    <w:name w:val="title"/>
    <w:basedOn w:val="22"/>
    <w:uiPriority w:val="0"/>
  </w:style>
  <w:style w:type="paragraph" w:customStyle="1" w:styleId="5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9">
    <w:name w:val="纯文本 Char"/>
    <w:basedOn w:val="22"/>
    <w:link w:val="11"/>
    <w:uiPriority w:val="5"/>
    <w:rPr>
      <w:rFonts w:ascii="宋体" w:hAnsi="Courier New" w:eastAsia="宋体" w:cs="Times New Roman"/>
      <w:szCs w:val="20"/>
    </w:rPr>
  </w:style>
  <w:style w:type="character" w:customStyle="1" w:styleId="60">
    <w:name w:val="15"/>
    <w:uiPriority w:val="0"/>
    <w:rPr>
      <w:rFonts w:hint="default" w:ascii="Calibri" w:hAnsi="Calibri"/>
      <w:sz w:val="21"/>
      <w:szCs w:val="21"/>
    </w:rPr>
  </w:style>
  <w:style w:type="character" w:customStyle="1" w:styleId="61">
    <w:name w:val="称呼 Char"/>
    <w:basedOn w:val="22"/>
    <w:link w:val="9"/>
    <w:semiHidden/>
    <w:uiPriority w:val="99"/>
  </w:style>
  <w:style w:type="paragraph" w:customStyle="1" w:styleId="62">
    <w:name w:val="正文1"/>
    <w:basedOn w:val="1"/>
    <w:qFormat/>
    <w:uiPriority w:val="0"/>
    <w:pPr>
      <w:widowControl/>
    </w:pPr>
    <w:rPr>
      <w:rFonts w:ascii="Calibri" w:hAnsi="Calibri" w:eastAsia="宋体" w:cs="宋体"/>
    </w:rPr>
  </w:style>
  <w:style w:type="paragraph" w:customStyle="1" w:styleId="63">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4">
    <w:name w:val="表格文字 Char"/>
    <w:basedOn w:val="22"/>
    <w:link w:val="65"/>
    <w:uiPriority w:val="0"/>
    <w:rPr>
      <w:rFonts w:eastAsia="宋体"/>
      <w:kern w:val="24"/>
      <w:sz w:val="24"/>
    </w:rPr>
  </w:style>
  <w:style w:type="paragraph" w:customStyle="1" w:styleId="65">
    <w:name w:val="表格文字"/>
    <w:basedOn w:val="1"/>
    <w:link w:val="64"/>
    <w:qFormat/>
    <w:uiPriority w:val="0"/>
    <w:pPr>
      <w:adjustRightInd w:val="0"/>
      <w:spacing w:line="400" w:lineRule="atLeast"/>
      <w:jc w:val="center"/>
    </w:pPr>
    <w:rPr>
      <w:rFonts w:eastAsia="宋体"/>
      <w:kern w:val="24"/>
      <w:sz w:val="24"/>
    </w:rPr>
  </w:style>
  <w:style w:type="character" w:customStyle="1" w:styleId="66">
    <w:name w:val="表格 Char Char"/>
    <w:basedOn w:val="22"/>
    <w:uiPriority w:val="59"/>
    <w:rPr>
      <w:sz w:val="21"/>
      <w:szCs w:val="21"/>
      <w:lang w:bidi="ar-SA"/>
    </w:rPr>
  </w:style>
  <w:style w:type="character" w:customStyle="1" w:styleId="6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emf"/><Relationship Id="rId23" Type="http://schemas.openxmlformats.org/officeDocument/2006/relationships/oleObject" Target="embeddings/oleObject10.bin"/><Relationship Id="rId22" Type="http://schemas.openxmlformats.org/officeDocument/2006/relationships/image" Target="media/image9.emf"/><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BA8EA-7093-413F-9F40-6B4092C933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87</Pages>
  <Words>10130</Words>
  <Characters>57746</Characters>
  <Lines>481</Lines>
  <Paragraphs>135</Paragraphs>
  <TotalTime>14126</TotalTime>
  <ScaleCrop>false</ScaleCrop>
  <LinksUpToDate>false</LinksUpToDate>
  <CharactersWithSpaces>67741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admin</cp:lastModifiedBy>
  <cp:lastPrinted>2021-08-16T02:08:00Z</cp:lastPrinted>
  <dcterms:modified xsi:type="dcterms:W3CDTF">2022-03-21T08:02:54Z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