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rPr>
        <w:id w:val="147480381"/>
        <w:docPartObj>
          <w:docPartGallery w:val="Table of Contents"/>
          <w:docPartUnique/>
        </w:docPartObj>
      </w:sdtPr>
      <w:sdtEndPr>
        <w:rPr>
          <w:rFonts w:asciiTheme="minorHAnsi" w:hAnsiTheme="minorHAnsi" w:eastAsiaTheme="minorEastAsia"/>
        </w:rPr>
      </w:sdtEndPr>
      <w:sdtContent>
        <w:p>
          <w:pPr>
            <w:jc w:val="center"/>
            <w:rPr>
              <w:rFonts w:ascii="宋体" w:hAnsi="宋体" w:eastAsia="宋体"/>
            </w:rPr>
          </w:pPr>
          <w:bookmarkStart w:id="23" w:name="_GoBack"/>
          <w:bookmarkEnd w:id="23"/>
        </w:p>
        <w:p>
          <w:pPr>
            <w:jc w:val="center"/>
            <w:rPr>
              <w:b/>
              <w:bCs/>
              <w:sz w:val="32"/>
              <w:szCs w:val="32"/>
            </w:rPr>
          </w:pPr>
          <w:r>
            <w:rPr>
              <w:rFonts w:ascii="宋体" w:hAnsi="宋体" w:eastAsia="宋体"/>
              <w:b/>
              <w:bCs/>
              <w:sz w:val="32"/>
              <w:szCs w:val="32"/>
            </w:rPr>
            <w:t>目录</w:t>
          </w:r>
        </w:p>
        <w:p>
          <w:pPr>
            <w:pStyle w:val="13"/>
            <w:tabs>
              <w:tab w:val="right" w:leader="dot" w:pos="8312"/>
            </w:tabs>
            <w:spacing w:line="360" w:lineRule="auto"/>
            <w:rPr>
              <w:rFonts w:ascii="Times New Roman" w:hAnsi="Times New Roman" w:eastAsia="宋体" w:cs="Times New Roman"/>
              <w:sz w:val="26"/>
              <w:szCs w:val="26"/>
            </w:rPr>
          </w:pPr>
          <w:r>
            <w:fldChar w:fldCharType="begin"/>
          </w:r>
          <w:r>
            <w:instrText xml:space="preserve">TOC \o "1-1" \h \u </w:instrText>
          </w:r>
          <w:r>
            <w:fldChar w:fldCharType="separate"/>
          </w:r>
          <w:r>
            <w:fldChar w:fldCharType="begin"/>
          </w:r>
          <w:r>
            <w:instrText xml:space="preserve"> HYPERLINK \l "_Toc29532" </w:instrText>
          </w:r>
          <w:r>
            <w:fldChar w:fldCharType="separate"/>
          </w:r>
          <w:r>
            <w:rPr>
              <w:rFonts w:ascii="Times New Roman" w:hAnsi="Times New Roman" w:eastAsia="宋体" w:cs="Times New Roman"/>
              <w:sz w:val="26"/>
              <w:szCs w:val="26"/>
            </w:rPr>
            <w:t>一、建设项目基本情况</w:t>
          </w:r>
          <w:r>
            <w:rPr>
              <w:rFonts w:ascii="Times New Roman" w:hAnsi="Times New Roman" w:eastAsia="宋体" w:cs="Times New Roman"/>
              <w:sz w:val="26"/>
              <w:szCs w:val="26"/>
            </w:rPr>
            <w:tab/>
          </w:r>
          <w:r>
            <w:rPr>
              <w:rFonts w:ascii="Times New Roman" w:hAnsi="Times New Roman" w:eastAsia="宋体" w:cs="Times New Roman"/>
              <w:sz w:val="26"/>
              <w:szCs w:val="26"/>
            </w:rPr>
            <w:fldChar w:fldCharType="begin"/>
          </w:r>
          <w:r>
            <w:rPr>
              <w:rFonts w:ascii="Times New Roman" w:hAnsi="Times New Roman" w:eastAsia="宋体" w:cs="Times New Roman"/>
              <w:sz w:val="26"/>
              <w:szCs w:val="26"/>
            </w:rPr>
            <w:instrText xml:space="preserve"> PAGEREF _Toc29532 </w:instrText>
          </w:r>
          <w:r>
            <w:rPr>
              <w:rFonts w:ascii="Times New Roman" w:hAnsi="Times New Roman" w:eastAsia="宋体" w:cs="Times New Roman"/>
              <w:sz w:val="26"/>
              <w:szCs w:val="26"/>
            </w:rPr>
            <w:fldChar w:fldCharType="separate"/>
          </w:r>
          <w:r>
            <w:rPr>
              <w:rFonts w:ascii="Times New Roman" w:hAnsi="Times New Roman" w:eastAsia="宋体" w:cs="Times New Roman"/>
              <w:sz w:val="26"/>
              <w:szCs w:val="26"/>
            </w:rPr>
            <w:t>1</w:t>
          </w:r>
          <w:r>
            <w:rPr>
              <w:rFonts w:ascii="Times New Roman" w:hAnsi="Times New Roman" w:eastAsia="宋体" w:cs="Times New Roman"/>
              <w:sz w:val="26"/>
              <w:szCs w:val="26"/>
            </w:rPr>
            <w:fldChar w:fldCharType="end"/>
          </w:r>
          <w:r>
            <w:rPr>
              <w:rFonts w:ascii="Times New Roman" w:hAnsi="Times New Roman" w:eastAsia="宋体" w:cs="Times New Roman"/>
              <w:sz w:val="26"/>
              <w:szCs w:val="26"/>
            </w:rPr>
            <w:fldChar w:fldCharType="end"/>
          </w:r>
        </w:p>
        <w:p>
          <w:pPr>
            <w:pStyle w:val="13"/>
            <w:tabs>
              <w:tab w:val="right" w:leader="dot" w:pos="8312"/>
            </w:tabs>
            <w:spacing w:line="360" w:lineRule="auto"/>
            <w:rPr>
              <w:rFonts w:ascii="Times New Roman" w:hAnsi="Times New Roman" w:eastAsia="宋体" w:cs="Times New Roman"/>
              <w:sz w:val="26"/>
              <w:szCs w:val="26"/>
            </w:rPr>
          </w:pPr>
          <w:r>
            <w:fldChar w:fldCharType="begin"/>
          </w:r>
          <w:r>
            <w:instrText xml:space="preserve"> HYPERLINK \l "_Toc30816" </w:instrText>
          </w:r>
          <w:r>
            <w:fldChar w:fldCharType="separate"/>
          </w:r>
          <w:r>
            <w:rPr>
              <w:rFonts w:ascii="Times New Roman" w:hAnsi="Times New Roman" w:eastAsia="宋体" w:cs="Times New Roman"/>
              <w:sz w:val="26"/>
              <w:szCs w:val="26"/>
            </w:rPr>
            <w:t>二、建设项目工程分析</w:t>
          </w:r>
          <w:r>
            <w:rPr>
              <w:rFonts w:ascii="Times New Roman" w:hAnsi="Times New Roman" w:eastAsia="宋体" w:cs="Times New Roman"/>
              <w:sz w:val="26"/>
              <w:szCs w:val="26"/>
            </w:rPr>
            <w:tab/>
          </w:r>
          <w:r>
            <w:rPr>
              <w:rFonts w:ascii="Times New Roman" w:hAnsi="Times New Roman" w:eastAsia="宋体" w:cs="Times New Roman"/>
              <w:sz w:val="26"/>
              <w:szCs w:val="26"/>
            </w:rPr>
            <w:fldChar w:fldCharType="begin"/>
          </w:r>
          <w:r>
            <w:rPr>
              <w:rFonts w:ascii="Times New Roman" w:hAnsi="Times New Roman" w:eastAsia="宋体" w:cs="Times New Roman"/>
              <w:sz w:val="26"/>
              <w:szCs w:val="26"/>
            </w:rPr>
            <w:instrText xml:space="preserve"> PAGEREF _Toc30816 </w:instrText>
          </w:r>
          <w:r>
            <w:rPr>
              <w:rFonts w:ascii="Times New Roman" w:hAnsi="Times New Roman" w:eastAsia="宋体" w:cs="Times New Roman"/>
              <w:sz w:val="26"/>
              <w:szCs w:val="26"/>
            </w:rPr>
            <w:fldChar w:fldCharType="separate"/>
          </w:r>
          <w:r>
            <w:rPr>
              <w:rFonts w:ascii="Times New Roman" w:hAnsi="Times New Roman" w:eastAsia="宋体" w:cs="Times New Roman"/>
              <w:sz w:val="26"/>
              <w:szCs w:val="26"/>
            </w:rPr>
            <w:t>9</w:t>
          </w:r>
          <w:r>
            <w:rPr>
              <w:rFonts w:ascii="Times New Roman" w:hAnsi="Times New Roman" w:eastAsia="宋体" w:cs="Times New Roman"/>
              <w:sz w:val="26"/>
              <w:szCs w:val="26"/>
            </w:rPr>
            <w:fldChar w:fldCharType="end"/>
          </w:r>
          <w:r>
            <w:rPr>
              <w:rFonts w:ascii="Times New Roman" w:hAnsi="Times New Roman" w:eastAsia="宋体" w:cs="Times New Roman"/>
              <w:sz w:val="26"/>
              <w:szCs w:val="26"/>
            </w:rPr>
            <w:fldChar w:fldCharType="end"/>
          </w:r>
        </w:p>
        <w:p>
          <w:pPr>
            <w:pStyle w:val="13"/>
            <w:tabs>
              <w:tab w:val="right" w:leader="dot" w:pos="8312"/>
            </w:tabs>
            <w:spacing w:line="360" w:lineRule="auto"/>
            <w:rPr>
              <w:rFonts w:ascii="Times New Roman" w:hAnsi="Times New Roman" w:eastAsia="宋体" w:cs="Times New Roman"/>
              <w:sz w:val="26"/>
              <w:szCs w:val="26"/>
            </w:rPr>
          </w:pPr>
          <w:r>
            <w:fldChar w:fldCharType="begin"/>
          </w:r>
          <w:r>
            <w:instrText xml:space="preserve"> HYPERLINK \l "_Toc21702" </w:instrText>
          </w:r>
          <w:r>
            <w:fldChar w:fldCharType="separate"/>
          </w:r>
          <w:r>
            <w:rPr>
              <w:rFonts w:ascii="Times New Roman" w:hAnsi="Times New Roman" w:eastAsia="宋体" w:cs="Times New Roman"/>
              <w:sz w:val="26"/>
              <w:szCs w:val="26"/>
            </w:rPr>
            <w:t>三、区域环境质量现状、环境保护目标及评价标准</w:t>
          </w:r>
          <w:r>
            <w:rPr>
              <w:rFonts w:ascii="Times New Roman" w:hAnsi="Times New Roman" w:eastAsia="宋体" w:cs="Times New Roman"/>
              <w:sz w:val="26"/>
              <w:szCs w:val="26"/>
            </w:rPr>
            <w:tab/>
          </w:r>
          <w:r>
            <w:rPr>
              <w:rFonts w:ascii="Times New Roman" w:hAnsi="Times New Roman" w:eastAsia="宋体" w:cs="Times New Roman"/>
              <w:sz w:val="26"/>
              <w:szCs w:val="26"/>
            </w:rPr>
            <w:fldChar w:fldCharType="begin"/>
          </w:r>
          <w:r>
            <w:rPr>
              <w:rFonts w:ascii="Times New Roman" w:hAnsi="Times New Roman" w:eastAsia="宋体" w:cs="Times New Roman"/>
              <w:sz w:val="26"/>
              <w:szCs w:val="26"/>
            </w:rPr>
            <w:instrText xml:space="preserve"> PAGEREF _Toc21702 </w:instrText>
          </w:r>
          <w:r>
            <w:rPr>
              <w:rFonts w:ascii="Times New Roman" w:hAnsi="Times New Roman" w:eastAsia="宋体" w:cs="Times New Roman"/>
              <w:sz w:val="26"/>
              <w:szCs w:val="26"/>
            </w:rPr>
            <w:fldChar w:fldCharType="separate"/>
          </w:r>
          <w:r>
            <w:rPr>
              <w:rFonts w:ascii="Times New Roman" w:hAnsi="Times New Roman" w:eastAsia="宋体" w:cs="Times New Roman"/>
              <w:sz w:val="26"/>
              <w:szCs w:val="26"/>
            </w:rPr>
            <w:t>21</w:t>
          </w:r>
          <w:r>
            <w:rPr>
              <w:rFonts w:ascii="Times New Roman" w:hAnsi="Times New Roman" w:eastAsia="宋体" w:cs="Times New Roman"/>
              <w:sz w:val="26"/>
              <w:szCs w:val="26"/>
            </w:rPr>
            <w:fldChar w:fldCharType="end"/>
          </w:r>
          <w:r>
            <w:rPr>
              <w:rFonts w:ascii="Times New Roman" w:hAnsi="Times New Roman" w:eastAsia="宋体" w:cs="Times New Roman"/>
              <w:sz w:val="26"/>
              <w:szCs w:val="26"/>
            </w:rPr>
            <w:fldChar w:fldCharType="end"/>
          </w:r>
        </w:p>
        <w:p>
          <w:pPr>
            <w:pStyle w:val="13"/>
            <w:tabs>
              <w:tab w:val="right" w:leader="dot" w:pos="8312"/>
            </w:tabs>
            <w:spacing w:line="360" w:lineRule="auto"/>
            <w:rPr>
              <w:rFonts w:ascii="Times New Roman" w:hAnsi="Times New Roman" w:eastAsia="宋体" w:cs="Times New Roman"/>
              <w:sz w:val="26"/>
              <w:szCs w:val="26"/>
            </w:rPr>
          </w:pPr>
          <w:r>
            <w:fldChar w:fldCharType="begin"/>
          </w:r>
          <w:r>
            <w:instrText xml:space="preserve"> HYPERLINK \l "_Toc3693" </w:instrText>
          </w:r>
          <w:r>
            <w:fldChar w:fldCharType="separate"/>
          </w:r>
          <w:r>
            <w:rPr>
              <w:rFonts w:ascii="Times New Roman" w:hAnsi="Times New Roman" w:eastAsia="宋体" w:cs="Times New Roman"/>
              <w:sz w:val="26"/>
              <w:szCs w:val="26"/>
            </w:rPr>
            <w:t>四、主要环境影响和保护措施</w:t>
          </w:r>
          <w:r>
            <w:rPr>
              <w:rFonts w:ascii="Times New Roman" w:hAnsi="Times New Roman" w:eastAsia="宋体" w:cs="Times New Roman"/>
              <w:sz w:val="26"/>
              <w:szCs w:val="26"/>
            </w:rPr>
            <w:tab/>
          </w:r>
          <w:r>
            <w:rPr>
              <w:rFonts w:ascii="Times New Roman" w:hAnsi="Times New Roman" w:eastAsia="宋体" w:cs="Times New Roman"/>
              <w:sz w:val="26"/>
              <w:szCs w:val="26"/>
            </w:rPr>
            <w:fldChar w:fldCharType="begin"/>
          </w:r>
          <w:r>
            <w:rPr>
              <w:rFonts w:ascii="Times New Roman" w:hAnsi="Times New Roman" w:eastAsia="宋体" w:cs="Times New Roman"/>
              <w:sz w:val="26"/>
              <w:szCs w:val="26"/>
            </w:rPr>
            <w:instrText xml:space="preserve"> PAGEREF _Toc3693 </w:instrText>
          </w:r>
          <w:r>
            <w:rPr>
              <w:rFonts w:ascii="Times New Roman" w:hAnsi="Times New Roman" w:eastAsia="宋体" w:cs="Times New Roman"/>
              <w:sz w:val="26"/>
              <w:szCs w:val="26"/>
            </w:rPr>
            <w:fldChar w:fldCharType="separate"/>
          </w:r>
          <w:r>
            <w:rPr>
              <w:rFonts w:ascii="Times New Roman" w:hAnsi="Times New Roman" w:eastAsia="宋体" w:cs="Times New Roman"/>
              <w:sz w:val="26"/>
              <w:szCs w:val="26"/>
            </w:rPr>
            <w:t>31</w:t>
          </w:r>
          <w:r>
            <w:rPr>
              <w:rFonts w:ascii="Times New Roman" w:hAnsi="Times New Roman" w:eastAsia="宋体" w:cs="Times New Roman"/>
              <w:sz w:val="26"/>
              <w:szCs w:val="26"/>
            </w:rPr>
            <w:fldChar w:fldCharType="end"/>
          </w:r>
          <w:r>
            <w:rPr>
              <w:rFonts w:ascii="Times New Roman" w:hAnsi="Times New Roman" w:eastAsia="宋体" w:cs="Times New Roman"/>
              <w:sz w:val="26"/>
              <w:szCs w:val="26"/>
            </w:rPr>
            <w:fldChar w:fldCharType="end"/>
          </w:r>
        </w:p>
        <w:p>
          <w:pPr>
            <w:pStyle w:val="13"/>
            <w:tabs>
              <w:tab w:val="right" w:leader="dot" w:pos="8312"/>
            </w:tabs>
            <w:spacing w:line="360" w:lineRule="auto"/>
            <w:rPr>
              <w:rFonts w:ascii="Times New Roman" w:hAnsi="Times New Roman" w:eastAsia="宋体" w:cs="Times New Roman"/>
              <w:sz w:val="26"/>
              <w:szCs w:val="26"/>
            </w:rPr>
          </w:pPr>
          <w:r>
            <w:fldChar w:fldCharType="begin"/>
          </w:r>
          <w:r>
            <w:instrText xml:space="preserve"> HYPERLINK \l "_Toc351" </w:instrText>
          </w:r>
          <w:r>
            <w:fldChar w:fldCharType="separate"/>
          </w:r>
          <w:r>
            <w:rPr>
              <w:rFonts w:ascii="Times New Roman" w:hAnsi="Times New Roman" w:eastAsia="宋体" w:cs="Times New Roman"/>
              <w:sz w:val="26"/>
              <w:szCs w:val="26"/>
            </w:rPr>
            <w:t>五、环境保护措施监督检查清单</w:t>
          </w:r>
          <w:r>
            <w:rPr>
              <w:rFonts w:ascii="Times New Roman" w:hAnsi="Times New Roman" w:eastAsia="宋体" w:cs="Times New Roman"/>
              <w:sz w:val="26"/>
              <w:szCs w:val="26"/>
            </w:rPr>
            <w:tab/>
          </w:r>
          <w:r>
            <w:rPr>
              <w:rFonts w:ascii="Times New Roman" w:hAnsi="Times New Roman" w:eastAsia="宋体" w:cs="Times New Roman"/>
              <w:sz w:val="26"/>
              <w:szCs w:val="26"/>
            </w:rPr>
            <w:fldChar w:fldCharType="begin"/>
          </w:r>
          <w:r>
            <w:rPr>
              <w:rFonts w:ascii="Times New Roman" w:hAnsi="Times New Roman" w:eastAsia="宋体" w:cs="Times New Roman"/>
              <w:sz w:val="26"/>
              <w:szCs w:val="26"/>
            </w:rPr>
            <w:instrText xml:space="preserve"> PAGEREF _Toc351 </w:instrText>
          </w:r>
          <w:r>
            <w:rPr>
              <w:rFonts w:ascii="Times New Roman" w:hAnsi="Times New Roman" w:eastAsia="宋体" w:cs="Times New Roman"/>
              <w:sz w:val="26"/>
              <w:szCs w:val="26"/>
            </w:rPr>
            <w:fldChar w:fldCharType="separate"/>
          </w:r>
          <w:r>
            <w:rPr>
              <w:rFonts w:ascii="Times New Roman" w:hAnsi="Times New Roman" w:eastAsia="宋体" w:cs="Times New Roman"/>
              <w:sz w:val="26"/>
              <w:szCs w:val="26"/>
            </w:rPr>
            <w:t>58</w:t>
          </w:r>
          <w:r>
            <w:rPr>
              <w:rFonts w:ascii="Times New Roman" w:hAnsi="Times New Roman" w:eastAsia="宋体" w:cs="Times New Roman"/>
              <w:sz w:val="26"/>
              <w:szCs w:val="26"/>
            </w:rPr>
            <w:fldChar w:fldCharType="end"/>
          </w:r>
          <w:r>
            <w:rPr>
              <w:rFonts w:ascii="Times New Roman" w:hAnsi="Times New Roman" w:eastAsia="宋体" w:cs="Times New Roman"/>
              <w:sz w:val="26"/>
              <w:szCs w:val="26"/>
            </w:rPr>
            <w:fldChar w:fldCharType="end"/>
          </w:r>
        </w:p>
        <w:p>
          <w:pPr>
            <w:pStyle w:val="13"/>
            <w:tabs>
              <w:tab w:val="right" w:leader="dot" w:pos="8312"/>
            </w:tabs>
            <w:spacing w:line="360" w:lineRule="auto"/>
            <w:rPr>
              <w:rFonts w:ascii="Times New Roman" w:hAnsi="Times New Roman" w:eastAsia="宋体" w:cs="Times New Roman"/>
              <w:sz w:val="26"/>
              <w:szCs w:val="26"/>
            </w:rPr>
          </w:pPr>
          <w:r>
            <w:fldChar w:fldCharType="begin"/>
          </w:r>
          <w:r>
            <w:instrText xml:space="preserve"> HYPERLINK \l "_Toc25477" </w:instrText>
          </w:r>
          <w:r>
            <w:fldChar w:fldCharType="separate"/>
          </w:r>
          <w:r>
            <w:rPr>
              <w:rFonts w:ascii="Times New Roman" w:hAnsi="Times New Roman" w:eastAsia="宋体" w:cs="Times New Roman"/>
              <w:sz w:val="26"/>
              <w:szCs w:val="26"/>
            </w:rPr>
            <w:t>六、结论</w:t>
          </w:r>
          <w:r>
            <w:rPr>
              <w:rFonts w:ascii="Times New Roman" w:hAnsi="Times New Roman" w:eastAsia="宋体" w:cs="Times New Roman"/>
              <w:sz w:val="26"/>
              <w:szCs w:val="26"/>
            </w:rPr>
            <w:tab/>
          </w:r>
          <w:r>
            <w:rPr>
              <w:rFonts w:ascii="Times New Roman" w:hAnsi="Times New Roman" w:eastAsia="宋体" w:cs="Times New Roman"/>
              <w:sz w:val="26"/>
              <w:szCs w:val="26"/>
            </w:rPr>
            <w:fldChar w:fldCharType="begin"/>
          </w:r>
          <w:r>
            <w:rPr>
              <w:rFonts w:ascii="Times New Roman" w:hAnsi="Times New Roman" w:eastAsia="宋体" w:cs="Times New Roman"/>
              <w:sz w:val="26"/>
              <w:szCs w:val="26"/>
            </w:rPr>
            <w:instrText xml:space="preserve"> PAGEREF _Toc25477 </w:instrText>
          </w:r>
          <w:r>
            <w:rPr>
              <w:rFonts w:ascii="Times New Roman" w:hAnsi="Times New Roman" w:eastAsia="宋体" w:cs="Times New Roman"/>
              <w:sz w:val="26"/>
              <w:szCs w:val="26"/>
            </w:rPr>
            <w:fldChar w:fldCharType="separate"/>
          </w:r>
          <w:r>
            <w:rPr>
              <w:rFonts w:ascii="Times New Roman" w:hAnsi="Times New Roman" w:eastAsia="宋体" w:cs="Times New Roman"/>
              <w:sz w:val="26"/>
              <w:szCs w:val="26"/>
            </w:rPr>
            <w:t>61</w:t>
          </w:r>
          <w:r>
            <w:rPr>
              <w:rFonts w:ascii="Times New Roman" w:hAnsi="Times New Roman" w:eastAsia="宋体" w:cs="Times New Roman"/>
              <w:sz w:val="26"/>
              <w:szCs w:val="26"/>
            </w:rPr>
            <w:fldChar w:fldCharType="end"/>
          </w:r>
          <w:r>
            <w:rPr>
              <w:rFonts w:ascii="Times New Roman" w:hAnsi="Times New Roman" w:eastAsia="宋体" w:cs="Times New Roman"/>
              <w:sz w:val="26"/>
              <w:szCs w:val="26"/>
            </w:rPr>
            <w:fldChar w:fldCharType="end"/>
          </w:r>
        </w:p>
        <w:p>
          <w:pPr>
            <w:pStyle w:val="13"/>
            <w:tabs>
              <w:tab w:val="right" w:leader="dot" w:pos="8312"/>
            </w:tabs>
            <w:spacing w:line="360" w:lineRule="auto"/>
          </w:pPr>
          <w:r>
            <w:fldChar w:fldCharType="begin"/>
          </w:r>
          <w:r>
            <w:instrText xml:space="preserve"> HYPERLINK \l "_Toc31761" </w:instrText>
          </w:r>
          <w:r>
            <w:fldChar w:fldCharType="separate"/>
          </w:r>
          <w:r>
            <w:rPr>
              <w:rFonts w:ascii="Times New Roman" w:hAnsi="Times New Roman" w:eastAsia="宋体" w:cs="Times New Roman"/>
              <w:sz w:val="26"/>
              <w:szCs w:val="26"/>
            </w:rPr>
            <w:t>附表</w:t>
          </w:r>
          <w:r>
            <w:rPr>
              <w:rFonts w:ascii="Times New Roman" w:hAnsi="Times New Roman" w:eastAsia="宋体" w:cs="Times New Roman"/>
              <w:sz w:val="26"/>
              <w:szCs w:val="26"/>
            </w:rPr>
            <w:tab/>
          </w:r>
          <w:r>
            <w:rPr>
              <w:rFonts w:ascii="Times New Roman" w:hAnsi="Times New Roman" w:eastAsia="宋体" w:cs="Times New Roman"/>
              <w:sz w:val="26"/>
              <w:szCs w:val="26"/>
            </w:rPr>
            <w:fldChar w:fldCharType="begin"/>
          </w:r>
          <w:r>
            <w:rPr>
              <w:rFonts w:ascii="Times New Roman" w:hAnsi="Times New Roman" w:eastAsia="宋体" w:cs="Times New Roman"/>
              <w:sz w:val="26"/>
              <w:szCs w:val="26"/>
            </w:rPr>
            <w:instrText xml:space="preserve"> PAGEREF _Toc31761 </w:instrText>
          </w:r>
          <w:r>
            <w:rPr>
              <w:rFonts w:ascii="Times New Roman" w:hAnsi="Times New Roman" w:eastAsia="宋体" w:cs="Times New Roman"/>
              <w:sz w:val="26"/>
              <w:szCs w:val="26"/>
            </w:rPr>
            <w:fldChar w:fldCharType="separate"/>
          </w:r>
          <w:r>
            <w:rPr>
              <w:rFonts w:ascii="Times New Roman" w:hAnsi="Times New Roman" w:eastAsia="宋体" w:cs="Times New Roman"/>
              <w:sz w:val="26"/>
              <w:szCs w:val="26"/>
            </w:rPr>
            <w:t>62</w:t>
          </w:r>
          <w:r>
            <w:rPr>
              <w:rFonts w:ascii="Times New Roman" w:hAnsi="Times New Roman" w:eastAsia="宋体" w:cs="Times New Roman"/>
              <w:sz w:val="26"/>
              <w:szCs w:val="26"/>
            </w:rPr>
            <w:fldChar w:fldCharType="end"/>
          </w:r>
          <w:r>
            <w:rPr>
              <w:rFonts w:ascii="Times New Roman" w:hAnsi="Times New Roman" w:eastAsia="宋体" w:cs="Times New Roman"/>
              <w:sz w:val="26"/>
              <w:szCs w:val="26"/>
            </w:rPr>
            <w:fldChar w:fldCharType="end"/>
          </w:r>
        </w:p>
        <w:p>
          <w:r>
            <w:fldChar w:fldCharType="end"/>
          </w:r>
        </w:p>
      </w:sdtContent>
    </w:sdt>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spacing w:line="480" w:lineRule="auto"/>
        <w:jc w:val="left"/>
        <w:rPr>
          <w:rFonts w:ascii="Times New Roman" w:hAnsi="Times New Roman" w:eastAsia="宋体" w:cs="Times New Roman"/>
          <w:sz w:val="26"/>
          <w:szCs w:val="26"/>
        </w:rPr>
      </w:pPr>
      <w:r>
        <w:rPr>
          <w:rFonts w:ascii="Times New Roman" w:hAnsi="Times New Roman" w:eastAsia="宋体" w:cs="Times New Roman"/>
          <w:sz w:val="26"/>
          <w:szCs w:val="26"/>
        </w:rPr>
        <w:t>附件：</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附件1：项目投资备案证</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附件2：委托书</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附件3：区政府同意项目选址的会议纪要</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附件4：河道治理清淤工程合作协议</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附件5：项目选址距离说明</w:t>
      </w:r>
    </w:p>
    <w:p>
      <w:pPr>
        <w:pStyle w:val="2"/>
        <w:spacing w:line="480" w:lineRule="auto"/>
        <w:rPr>
          <w:rFonts w:ascii="Times New Roman" w:hAnsi="Times New Roman" w:eastAsia="宋体" w:cs="Times New Roman"/>
          <w:sz w:val="26"/>
          <w:szCs w:val="26"/>
        </w:rPr>
      </w:pPr>
      <w:r>
        <w:rPr>
          <w:rFonts w:hint="eastAsia" w:ascii="Times New Roman" w:hAnsi="Times New Roman" w:eastAsia="宋体" w:cs="Times New Roman"/>
          <w:sz w:val="26"/>
          <w:szCs w:val="26"/>
        </w:rPr>
        <w:t>附件6：进度表及内审单</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附图</w:t>
      </w:r>
      <w:r>
        <w:rPr>
          <w:rFonts w:hint="eastAsia" w:ascii="Times New Roman" w:hAnsi="Times New Roman" w:eastAsia="宋体" w:cs="Times New Roman"/>
          <w:sz w:val="26"/>
          <w:szCs w:val="26"/>
        </w:rPr>
        <w:t>：</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附图1：项目地理位置图</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附图2：项目平面布置图</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附图3：项目周边关系及保护目标图</w:t>
      </w:r>
    </w:p>
    <w:p>
      <w:pPr>
        <w:pStyle w:val="2"/>
        <w:spacing w:line="480" w:lineRule="auto"/>
        <w:rPr>
          <w:rFonts w:ascii="Times New Roman" w:hAnsi="Times New Roman" w:eastAsia="宋体" w:cs="Times New Roman"/>
          <w:sz w:val="26"/>
          <w:szCs w:val="26"/>
        </w:rPr>
      </w:pPr>
      <w:r>
        <w:rPr>
          <w:rFonts w:ascii="Times New Roman" w:hAnsi="Times New Roman" w:eastAsia="宋体" w:cs="Times New Roman"/>
          <w:sz w:val="26"/>
          <w:szCs w:val="26"/>
        </w:rPr>
        <w:t>附图4：项目区域水系图</w:t>
      </w:r>
    </w:p>
    <w:p/>
    <w:p/>
    <w:p/>
    <w:p/>
    <w:p/>
    <w:p/>
    <w:p/>
    <w:p/>
    <w:p/>
    <w:p/>
    <w:p/>
    <w:p/>
    <w:p/>
    <w:p/>
    <w:p>
      <w:pPr>
        <w:spacing w:line="360" w:lineRule="auto"/>
        <w:jc w:val="left"/>
        <w:rPr>
          <w:rFonts w:ascii="Times New Roman" w:hAnsi="Times New Roman" w:cs="Times New Roman"/>
          <w:b/>
          <w:color w:val="000000" w:themeColor="text1"/>
          <w:sz w:val="28"/>
          <w:szCs w:val="20"/>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0" w:name="_Toc29532"/>
      <w:r>
        <w:rPr>
          <w:rFonts w:ascii="Times New Roman" w:hAnsi="Times New Roman" w:cs="Times New Roman"/>
          <w:b/>
          <w:color w:val="000000" w:themeColor="text1"/>
          <w:sz w:val="28"/>
          <w:szCs w:val="20"/>
          <w14:textFill>
            <w14:solidFill>
              <w14:schemeClr w14:val="tx1"/>
            </w14:solidFill>
          </w14:textFill>
        </w:rPr>
        <w:t>一、建设项目基本情况</w:t>
      </w:r>
      <w:bookmarkEnd w:id="0"/>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8"/>
        <w:gridCol w:w="1132"/>
        <w:gridCol w:w="2126"/>
        <w:gridCol w:w="2118"/>
        <w:gridCol w:w="6"/>
        <w:gridCol w:w="1420"/>
        <w:gridCol w:w="1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建设项目名称</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东川区再利用废石废渣生产建筑用石用砂小李庄加工厂建设项目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建设单位</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昆明滇中浩翊新型建材有限公司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项目代码</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2020-530113-42-03-046938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126" w:type="dxa"/>
            <w:tcBorders>
              <w:right w:val="single" w:color="auto" w:sz="4" w:space="0"/>
            </w:tcBorders>
            <w:vAlign w:val="center"/>
          </w:tcPr>
          <w:p>
            <w:pPr>
              <w:spacing w:line="360" w:lineRule="auto"/>
              <w:jc w:val="center"/>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摆</w:t>
            </w:r>
            <w:r>
              <w:rPr>
                <w:rFonts w:hint="eastAsia" w:ascii="Times New Roman" w:hAnsi="Times New Roman" w:eastAsia="宋体" w:cs="Times New Roman"/>
                <w:sz w:val="24"/>
                <w:szCs w:val="24"/>
                <w:lang w:val="en-US" w:eastAsia="zh-CN"/>
              </w:rPr>
              <w:t>**</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3166" w:type="dxa"/>
            <w:gridSpan w:val="2"/>
            <w:tcBorders>
              <w:left w:val="single" w:color="auto" w:sz="4" w:space="0"/>
            </w:tcBorders>
            <w:vAlign w:val="center"/>
          </w:tcPr>
          <w:p>
            <w:pPr>
              <w:spacing w:line="360" w:lineRule="auto"/>
              <w:jc w:val="center"/>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188</w:t>
            </w:r>
            <w:r>
              <w:rPr>
                <w:rFonts w:hint="eastAsia" w:ascii="Times New Roman" w:hAnsi="Times New Roman" w:eastAsia="宋体" w:cs="Times New Roman"/>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建设地点</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昆明市东川区铜都镇小李庄村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地理坐标</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东经103°08'9.834"，北纬26°8'20.810"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国民经济行业类别</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C3039</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其它建筑材料制造</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建设项目行业类别</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56、砖瓦、石材等建筑材料制造303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建设性质</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建设项目申报情形</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项目审批（核准/备案）部门（选填）</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昆明市东川区发展和改革局</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项目审批（核准/备案）文号（选填）</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2020-530113-42-03-007586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总投资（万元）</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4683.17</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环保投资（万元）</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t>6222.06m²</w:t>
            </w:r>
            <w:r>
              <w:rPr>
                <w:rFonts w:hint="eastAsia" w:ascii="Times New Roman" w:hAnsi="Times New Roman" w:eastAsia="宋体" w:cs="Times New Roman"/>
                <w:color w:val="000000" w:themeColor="text1"/>
                <w:sz w:val="24"/>
                <w:szCs w:val="24"/>
                <w14:textFill>
                  <w14:solidFill>
                    <w14:schemeClr w14:val="tx1"/>
                  </w14:solidFill>
                </w14:textFill>
              </w:rPr>
              <w:t>（29.97亩）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环保投资占比</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4.345%</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施工工期</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是否开工建设</w:t>
            </w:r>
          </w:p>
        </w:tc>
        <w:tc>
          <w:tcPr>
            <w:tcW w:w="4244" w:type="dxa"/>
            <w:gridSpan w:val="2"/>
            <w:tcBorders>
              <w:right w:val="single" w:color="auto" w:sz="4" w:space="0"/>
            </w:tcBorders>
            <w:vAlign w:val="center"/>
          </w:tcPr>
          <w:p>
            <w:pPr>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否</w:t>
            </w:r>
          </w:p>
        </w:tc>
        <w:tc>
          <w:tcPr>
            <w:tcW w:w="1426"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用地（用海）面积</w:t>
            </w:r>
          </w:p>
        </w:tc>
        <w:tc>
          <w:tcPr>
            <w:tcW w:w="1746" w:type="dxa"/>
            <w:tcBorders>
              <w:lef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29.97亩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专项评价设置情况</w:t>
            </w:r>
          </w:p>
        </w:tc>
        <w:tc>
          <w:tcPr>
            <w:tcW w:w="5290"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规划情况</w:t>
            </w:r>
          </w:p>
        </w:tc>
        <w:tc>
          <w:tcPr>
            <w:tcW w:w="5290"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位于昆明市东川区铜都镇小李庄村，本项目选址不在工业园区内，项目所在区域无相关规划，本项目属于小江河道清淤固废配套的治理工程之一，昆明市东川区人民政府会议纪要（第69期）已明确同意本项目选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规划环境影响评价情况</w:t>
            </w:r>
          </w:p>
        </w:tc>
        <w:tc>
          <w:tcPr>
            <w:tcW w:w="5290"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规划及规划环境影响评价符合性分析</w:t>
            </w:r>
          </w:p>
        </w:tc>
        <w:tc>
          <w:tcPr>
            <w:tcW w:w="5290"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8"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其他符合性分析</w:t>
            </w:r>
          </w:p>
        </w:tc>
        <w:tc>
          <w:tcPr>
            <w:tcW w:w="8548" w:type="dxa"/>
            <w:gridSpan w:val="6"/>
            <w:vAlign w:val="center"/>
          </w:tcPr>
          <w:p>
            <w:pPr>
              <w:spacing w:before="156"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eastAsia="宋体" w:cs="Times New Roman"/>
                <w:b/>
                <w:sz w:val="24"/>
                <w:szCs w:val="24"/>
              </w:rPr>
            </w:pPr>
            <w:r>
              <w:rPr>
                <w:rFonts w:ascii="Times New Roman" w:hAnsi="Times New Roman" w:eastAsia="宋体" w:cs="Times New Roman"/>
                <w:b/>
                <w:sz w:val="24"/>
                <w:szCs w:val="24"/>
              </w:rPr>
              <w:t>（1）“三线一单”符合性分析</w:t>
            </w:r>
          </w:p>
          <w:p>
            <w:pPr>
              <w:tabs>
                <w:tab w:val="left" w:pos="3195"/>
              </w:tabs>
              <w:spacing w:line="48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1 \* GB3 \* MERGEFORMAT </w:instrText>
            </w:r>
            <w:r>
              <w:rPr>
                <w:rFonts w:ascii="Times New Roman" w:hAnsi="Times New Roman" w:cs="Times New Roman"/>
                <w:b/>
                <w:bCs/>
                <w:sz w:val="24"/>
                <w:szCs w:val="24"/>
              </w:rPr>
              <w:fldChar w:fldCharType="separate"/>
            </w:r>
            <w:r>
              <w:rPr>
                <w:rFonts w:ascii="Times New Roman" w:hAnsi="Times New Roman" w:cs="Times New Roman"/>
                <w:sz w:val="24"/>
                <w:szCs w:val="24"/>
              </w:rPr>
              <w:t>①</w:t>
            </w:r>
            <w:r>
              <w:rPr>
                <w:rFonts w:ascii="Times New Roman" w:hAnsi="Times New Roman" w:cs="Times New Roman"/>
                <w:b/>
                <w:bCs/>
                <w:sz w:val="24"/>
                <w:szCs w:val="24"/>
              </w:rPr>
              <w:fldChar w:fldCharType="end"/>
            </w:r>
            <w:r>
              <w:rPr>
                <w:rFonts w:ascii="Times New Roman" w:hAnsi="Times New Roman" w:cs="Times New Roman"/>
                <w:b/>
                <w:bCs/>
                <w:sz w:val="24"/>
                <w:szCs w:val="24"/>
              </w:rPr>
              <w:t>生态保护红线符合性分析</w:t>
            </w:r>
          </w:p>
          <w:p>
            <w:pPr>
              <w:tabs>
                <w:tab w:val="left" w:pos="3195"/>
              </w:tabs>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根据《昆明市人民政府关于昆明市“三线一单”生态环境分区管控的实施意见》（昆政发[2021]21号）：生态保护红线区严格执行云南省人民政府发布的《云南省生态保护红线》，全市生态保护红线总面积为4662.53km</w:t>
            </w:r>
            <w:r>
              <w:rPr>
                <w:rFonts w:ascii="Times New Roman" w:hAnsi="Times New Roman" w:cs="Times New Roman"/>
                <w:sz w:val="24"/>
                <w:szCs w:val="24"/>
                <w:vertAlign w:val="superscript"/>
              </w:rPr>
              <w:t>2</w:t>
            </w:r>
            <w:r>
              <w:rPr>
                <w:rFonts w:ascii="Times New Roman" w:hAnsi="Times New Roman" w:cs="Times New Roman"/>
                <w:sz w:val="24"/>
                <w:szCs w:val="24"/>
              </w:rPr>
              <w:t>，占全市国土面积的22.19%。生态保护红线区按照国家和云南省颁布的生态保护红线有关管控政策办法执行，原则上按禁止开发区域的 要求进行管理，严禁不符合主体功能定位的各类开发活动，严禁任意改变用途，确保生态保护红线生态功能不降低、面积不减少、性质不改变。将未划入生态保护红线的自然保护地、饮用水水源保护区、重要湿地、基本草原、生态公益林、天然林等生态功能重要、生态环境敏感区域划为一般生态空间，全市一般生态空间面积为 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w:t>
            </w:r>
          </w:p>
          <w:p>
            <w:pPr>
              <w:spacing w:line="480" w:lineRule="exact"/>
              <w:ind w:firstLine="480" w:firstLineChars="200"/>
              <w:rPr>
                <w:rFonts w:ascii="Times New Roman" w:hAnsi="Times New Roman" w:cs="Times New Roman"/>
                <w:sz w:val="24"/>
                <w:szCs w:val="24"/>
              </w:rPr>
            </w:pPr>
            <w:r>
              <w:rPr>
                <w:rFonts w:ascii="Times New Roman" w:hAnsi="Times New Roman" w:eastAsia="宋体" w:cs="Times New Roman"/>
                <w:sz w:val="24"/>
                <w:szCs w:val="24"/>
              </w:rPr>
              <w:t>本项目位于昆明市东川区铜都镇小李庄村，</w:t>
            </w:r>
            <w:r>
              <w:rPr>
                <w:rFonts w:ascii="Times New Roman" w:hAnsi="Times New Roman" w:cs="Times New Roman"/>
                <w:sz w:val="24"/>
                <w:szCs w:val="24"/>
              </w:rPr>
              <w:t>项目区域不涉及</w:t>
            </w:r>
            <w:r>
              <w:rPr>
                <w:rFonts w:ascii="Times New Roman" w:hAnsi="Times New Roman" w:eastAsia="宋体" w:cs="Times New Roman"/>
                <w:sz w:val="24"/>
                <w:szCs w:val="24"/>
              </w:rPr>
              <w:t>不涉及生态红线、</w:t>
            </w:r>
            <w:r>
              <w:rPr>
                <w:rFonts w:ascii="Times New Roman" w:hAnsi="Times New Roman" w:cs="Times New Roman"/>
                <w:sz w:val="24"/>
                <w:szCs w:val="24"/>
              </w:rPr>
              <w:t>自然保护地、饮用水水源保护区、重要湿地、基本草原、生态公益林、天然林等一般生态空间。</w:t>
            </w:r>
          </w:p>
          <w:p>
            <w:pPr>
              <w:tabs>
                <w:tab w:val="left" w:pos="3195"/>
              </w:tabs>
              <w:spacing w:line="48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2 \* GB3 \* MERGEFORMAT </w:instrText>
            </w:r>
            <w:r>
              <w:rPr>
                <w:rFonts w:ascii="Times New Roman" w:hAnsi="Times New Roman" w:cs="Times New Roman"/>
                <w:b/>
                <w:bCs/>
                <w:sz w:val="24"/>
                <w:szCs w:val="24"/>
              </w:rPr>
              <w:fldChar w:fldCharType="separate"/>
            </w:r>
            <w:r>
              <w:rPr>
                <w:rFonts w:ascii="Times New Roman" w:hAnsi="Times New Roman" w:cs="Times New Roman"/>
              </w:rPr>
              <w:t>②</w:t>
            </w:r>
            <w:r>
              <w:rPr>
                <w:rFonts w:ascii="Times New Roman" w:hAnsi="Times New Roman" w:cs="Times New Roman"/>
                <w:b/>
                <w:bCs/>
                <w:sz w:val="24"/>
                <w:szCs w:val="24"/>
              </w:rPr>
              <w:fldChar w:fldCharType="end"/>
            </w:r>
            <w:r>
              <w:rPr>
                <w:rFonts w:ascii="Times New Roman" w:hAnsi="Times New Roman" w:cs="Times New Roman"/>
                <w:b/>
                <w:bCs/>
                <w:sz w:val="24"/>
                <w:szCs w:val="24"/>
              </w:rPr>
              <w:t>环境质量底线符合性分析</w:t>
            </w:r>
          </w:p>
          <w:p>
            <w:pPr>
              <w:tabs>
                <w:tab w:val="left" w:pos="3195"/>
              </w:tabs>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昆明市人民政府关于昆明市“三线一单”生态环境分区管控的实施意见》（昆政发[2021]21号）：到2025年，全市生态环境质量持续改善，生态空间得到优化和有效保护，区域生态安全屏障更加牢固。全市环境空气质量总体保持优良，主城建成区空气质量优良天数占比达99%以上，二氧化硫（SO</w:t>
            </w:r>
            <w:r>
              <w:rPr>
                <w:rFonts w:ascii="Times New Roman" w:hAnsi="Times New Roman" w:cs="Times New Roman"/>
                <w:sz w:val="24"/>
                <w:szCs w:val="24"/>
                <w:vertAlign w:val="subscript"/>
              </w:rPr>
              <w:t>2</w:t>
            </w:r>
            <w:r>
              <w:rPr>
                <w:rFonts w:ascii="Times New Roman" w:hAnsi="Times New Roman" w:cs="Times New Roman"/>
                <w:sz w:val="24"/>
                <w:szCs w:val="24"/>
              </w:rPr>
              <w:t>）和氮氧化物（NO</w:t>
            </w:r>
            <w:r>
              <w:rPr>
                <w:rFonts w:ascii="Times New Roman" w:hAnsi="Times New Roman" w:cs="Times New Roman"/>
                <w:sz w:val="24"/>
                <w:szCs w:val="24"/>
                <w:vertAlign w:val="subscript"/>
              </w:rPr>
              <w:t>X</w:t>
            </w:r>
            <w:r>
              <w:rPr>
                <w:rFonts w:ascii="Times New Roman" w:hAnsi="Times New Roman" w:cs="Times New Roman"/>
                <w:sz w:val="24"/>
                <w:szCs w:val="24"/>
              </w:rPr>
              <w:t>）排放总量控制在省下达的目标以内，主城区空气中颗粒物（PM</w:t>
            </w:r>
            <w:r>
              <w:rPr>
                <w:rFonts w:ascii="Times New Roman" w:hAnsi="Times New Roman" w:cs="Times New Roman"/>
                <w:sz w:val="24"/>
                <w:szCs w:val="24"/>
                <w:vertAlign w:val="subscript"/>
              </w:rPr>
              <w:t>10</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tabs>
                <w:tab w:val="left" w:pos="3195"/>
              </w:tabs>
              <w:spacing w:line="480" w:lineRule="exact"/>
              <w:ind w:firstLine="480" w:firstLineChars="200"/>
              <w:rPr>
                <w:rFonts w:ascii="Times New Roman" w:hAnsi="Times New Roman" w:cs="Times New Roman"/>
                <w:sz w:val="24"/>
                <w:szCs w:val="24"/>
              </w:rPr>
            </w:pPr>
            <w:r>
              <w:rPr>
                <w:rFonts w:ascii="Times New Roman" w:hAnsi="Times New Roman" w:eastAsia="宋体" w:cs="Times New Roman"/>
                <w:sz w:val="24"/>
                <w:szCs w:val="24"/>
              </w:rPr>
              <w:t>根据</w:t>
            </w:r>
            <w:r>
              <w:rPr>
                <w:rFonts w:hint="eastAsia" w:ascii="Times New Roman" w:hAnsi="Times New Roman" w:eastAsia="宋体" w:cs="Times New Roman"/>
                <w:sz w:val="24"/>
                <w:szCs w:val="24"/>
              </w:rPr>
              <w:t>2020年度昆明市生态环境状况公报</w:t>
            </w:r>
            <w:r>
              <w:rPr>
                <w:rFonts w:ascii="Times New Roman" w:hAnsi="Times New Roman" w:eastAsia="宋体" w:cs="Times New Roman"/>
                <w:sz w:val="24"/>
                <w:szCs w:val="24"/>
              </w:rPr>
              <w:t>，现目区域空气环境可达到《环境空气质量标准》（GB3095-2012）二级标准，属于空气达标区；地表水体小江板河口断面水质均满足《地表水环境质量标准》（GB3838-2002）III类标准；区域噪声可满足《声环境质量标准》（GB3096-2008）2类标准。项目所在地环境质量现状均满足相应执行标准，且本项目的建设不会改变区域环境质量功能要求。</w:t>
            </w:r>
            <w:r>
              <w:rPr>
                <w:rFonts w:ascii="Times New Roman" w:hAnsi="Times New Roman" w:cs="Times New Roman"/>
                <w:sz w:val="24"/>
                <w:szCs w:val="24"/>
              </w:rPr>
              <w:t>在落实本次环评提出的各项污染物防治措施的情况下，本项目运行不会对周围环境造成较大影响，不会降低周围环境质量，能够满足环境功能区要求，满足环境质量底线要求。</w:t>
            </w:r>
          </w:p>
          <w:p>
            <w:pPr>
              <w:tabs>
                <w:tab w:val="left" w:pos="3195"/>
              </w:tabs>
              <w:spacing w:line="48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3 \* GB3 \* MERGEFORMAT </w:instrText>
            </w:r>
            <w:r>
              <w:rPr>
                <w:rFonts w:ascii="Times New Roman" w:hAnsi="Times New Roman" w:cs="Times New Roman"/>
                <w:b/>
                <w:bCs/>
                <w:sz w:val="24"/>
                <w:szCs w:val="24"/>
              </w:rPr>
              <w:fldChar w:fldCharType="separate"/>
            </w:r>
            <w:r>
              <w:rPr>
                <w:rFonts w:ascii="Times New Roman" w:hAnsi="Times New Roman" w:cs="Times New Roman"/>
              </w:rPr>
              <w:t>③</w:t>
            </w:r>
            <w:r>
              <w:rPr>
                <w:rFonts w:ascii="Times New Roman" w:hAnsi="Times New Roman" w:cs="Times New Roman"/>
                <w:b/>
                <w:bCs/>
                <w:sz w:val="24"/>
                <w:szCs w:val="24"/>
              </w:rPr>
              <w:fldChar w:fldCharType="end"/>
            </w:r>
            <w:r>
              <w:rPr>
                <w:rFonts w:ascii="Times New Roman" w:hAnsi="Times New Roman" w:cs="Times New Roman"/>
                <w:b/>
                <w:bCs/>
                <w:sz w:val="24"/>
                <w:szCs w:val="24"/>
              </w:rPr>
              <w:t>资源利用上线符合性分析</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昆明市人民政府关于昆明市“三线一单”生态环境分区管控的实施意见》（昆政发[2021]21号）：按照国家、省、市有关要求和规划，按时完成全市用水总量、用水效率、限制纳污“三条红线”水资源上限控制指标；按时完成耕地保有量、基本农田保护面积、建设用地总规模等土地资源利用上限控制指标；按时完成单位 GDP 能耗下降率、能源消费总量等能源控制指标。</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本项目属于对小江清淤物进行综合利用生产建筑用砂项目，不存在资源制约因素。本项目的水、电、土地等资源利用不会突破区域资源利用上限。</w:t>
            </w:r>
          </w:p>
          <w:p>
            <w:pPr>
              <w:spacing w:line="48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4 \* GB3 \* MERGEFORMAT </w:instrText>
            </w:r>
            <w:r>
              <w:rPr>
                <w:rFonts w:ascii="Times New Roman" w:hAnsi="Times New Roman" w:cs="Times New Roman"/>
                <w:b/>
                <w:bCs/>
                <w:sz w:val="24"/>
                <w:szCs w:val="24"/>
              </w:rPr>
              <w:fldChar w:fldCharType="separate"/>
            </w:r>
            <w:r>
              <w:rPr>
                <w:rFonts w:ascii="Times New Roman" w:hAnsi="Times New Roman" w:cs="Times New Roman"/>
              </w:rPr>
              <w:t>④</w:t>
            </w:r>
            <w:r>
              <w:rPr>
                <w:rFonts w:ascii="Times New Roman" w:hAnsi="Times New Roman" w:cs="Times New Roman"/>
                <w:b/>
                <w:bCs/>
                <w:sz w:val="24"/>
                <w:szCs w:val="24"/>
              </w:rPr>
              <w:fldChar w:fldCharType="end"/>
            </w:r>
            <w:r>
              <w:rPr>
                <w:rFonts w:ascii="Times New Roman" w:hAnsi="Times New Roman" w:cs="Times New Roman"/>
                <w:b/>
                <w:bCs/>
                <w:sz w:val="24"/>
                <w:szCs w:val="24"/>
              </w:rPr>
              <w:t>环境准入负面清单符合性分析</w:t>
            </w:r>
          </w:p>
          <w:p>
            <w:pPr>
              <w:spacing w:line="48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与昆明市环境管控单元生态环境准入清单符合性分析</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本项目位于昆明市东川区铜都镇小李庄村，根据《昆明市人民政府关于昆明市“三线一单”生态环境分区管控的实施意见》（昆政发[2021]21号），本项目所在区域属于昆明市东川区一般管控单元（单元编码ZH53011330001），项目符合性分析见下表：</w:t>
            </w:r>
          </w:p>
          <w:p>
            <w:pPr>
              <w:pStyle w:val="52"/>
              <w:spacing w:line="480" w:lineRule="exact"/>
              <w:ind w:firstLine="422"/>
              <w:jc w:val="center"/>
              <w:rPr>
                <w:rFonts w:ascii="Times New Roman" w:hAnsi="Times New Roman" w:cs="Times New Roman"/>
                <w:b/>
                <w:bCs/>
              </w:rPr>
            </w:pPr>
            <w:r>
              <w:rPr>
                <w:rFonts w:ascii="Times New Roman" w:hAnsi="Times New Roman" w:cs="Times New Roman"/>
                <w:b/>
                <w:bCs/>
              </w:rPr>
              <w:t>表1-</w:t>
            </w:r>
            <w:r>
              <w:rPr>
                <w:rFonts w:ascii="Times New Roman" w:hAnsi="Times New Roman" w:cs="Times New Roman"/>
                <w:b/>
                <w:bCs/>
                <w:lang w:val="en-US"/>
              </w:rPr>
              <w:t>1</w:t>
            </w:r>
            <w:r>
              <w:rPr>
                <w:rFonts w:ascii="Times New Roman" w:hAnsi="Times New Roman" w:cs="Times New Roman"/>
                <w:b/>
                <w:bCs/>
              </w:rPr>
              <w:t xml:space="preserve"> 项目与“昆明市生态环境准入清单（东川区一般管控单元）”符合性分析表</w:t>
            </w:r>
          </w:p>
          <w:tbl>
            <w:tblPr>
              <w:tblStyle w:val="16"/>
              <w:tblW w:w="814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8"/>
              <w:gridCol w:w="3542"/>
              <w:gridCol w:w="2972"/>
              <w:gridCol w:w="9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9" w:hRule="atLeast"/>
                <w:jc w:val="center"/>
              </w:trPr>
              <w:tc>
                <w:tcPr>
                  <w:tcW w:w="638" w:type="dxa"/>
                  <w:tcBorders>
                    <w:tl2br w:val="nil"/>
                    <w:tr2bl w:val="nil"/>
                  </w:tcBorders>
                  <w:vAlign w:val="center"/>
                </w:tcPr>
                <w:p>
                  <w:pPr>
                    <w:pStyle w:val="52"/>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序</w:t>
                  </w:r>
                </w:p>
              </w:tc>
              <w:tc>
                <w:tcPr>
                  <w:tcW w:w="3542" w:type="dxa"/>
                  <w:tcBorders>
                    <w:tl2br w:val="nil"/>
                    <w:tr2bl w:val="nil"/>
                  </w:tcBorders>
                  <w:vAlign w:val="center"/>
                </w:tcPr>
                <w:p>
                  <w:pPr>
                    <w:pStyle w:val="52"/>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管控要求</w:t>
                  </w:r>
                </w:p>
              </w:tc>
              <w:tc>
                <w:tcPr>
                  <w:tcW w:w="2972" w:type="dxa"/>
                  <w:tcBorders>
                    <w:tl2br w:val="nil"/>
                    <w:tr2bl w:val="nil"/>
                  </w:tcBorders>
                  <w:vAlign w:val="center"/>
                </w:tcPr>
                <w:p>
                  <w:pPr>
                    <w:pStyle w:val="52"/>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本项目情况</w:t>
                  </w:r>
                </w:p>
              </w:tc>
              <w:tc>
                <w:tcPr>
                  <w:tcW w:w="996" w:type="dxa"/>
                  <w:tcBorders>
                    <w:tl2br w:val="nil"/>
                    <w:tr2bl w:val="nil"/>
                  </w:tcBorders>
                  <w:vAlign w:val="center"/>
                </w:tcPr>
                <w:p>
                  <w:pPr>
                    <w:pStyle w:val="52"/>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 w:hRule="atLeast"/>
                <w:jc w:val="center"/>
              </w:trPr>
              <w:tc>
                <w:tcPr>
                  <w:tcW w:w="638" w:type="dxa"/>
                  <w:tcBorders>
                    <w:tl2br w:val="nil"/>
                    <w:tr2bl w:val="nil"/>
                  </w:tcBorders>
                  <w:vAlign w:val="center"/>
                </w:tcPr>
                <w:p>
                  <w:pPr>
                    <w:pStyle w:val="52"/>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一</w:t>
                  </w:r>
                </w:p>
              </w:tc>
              <w:tc>
                <w:tcPr>
                  <w:tcW w:w="6514" w:type="dxa"/>
                  <w:gridSpan w:val="2"/>
                  <w:tcBorders>
                    <w:tl2br w:val="nil"/>
                    <w:tr2bl w:val="nil"/>
                  </w:tcBorders>
                  <w:vAlign w:val="center"/>
                </w:tcPr>
                <w:p>
                  <w:pPr>
                    <w:pStyle w:val="52"/>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空间布局约束</w:t>
                  </w:r>
                </w:p>
              </w:tc>
              <w:tc>
                <w:tcPr>
                  <w:tcW w:w="996" w:type="dxa"/>
                  <w:tcBorders>
                    <w:tl2br w:val="nil"/>
                    <w:tr2bl w:val="nil"/>
                  </w:tcBorders>
                  <w:vAlign w:val="center"/>
                </w:tcPr>
                <w:p>
                  <w:pPr>
                    <w:pStyle w:val="52"/>
                    <w:spacing w:line="320" w:lineRule="exact"/>
                    <w:jc w:val="center"/>
                    <w:rPr>
                      <w:rFonts w:ascii="Times New Roman" w:hAnsi="Times New Roman" w:cs="Times New Roman"/>
                      <w:b/>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83"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禁止在林地、河湖管理范围内新建、改建、扩建房地产开发项目。禁止围湖造田和侵占江河滩地。</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本项目不属于房地产开发项目</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禁止破坏珍稀野生动植物的重要栖息地，不得阻碍野生动物的重要迁徙通道。</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项目为对小江清淤物进行综合利用生产建筑用砂项目，项目区域不涉及珍稀野生动植物中药栖息地及重要迁徙通道</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83"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禁止猎捕国家重点保护陆生野生动物，因特殊需要捕猎的，按照国家有关法规办理。</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本项目为对小江清淤物进行综合利用生产建筑用砂项目，不涉及捕猎活动</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4</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禁止企业向滩涂、沼泽、荒地等未利用地非法排污、倾倒有毒有害物质。</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本项目为对小江清淤物进行综合利用生产建筑用砂项目，不涉及有毒有害物质的使用及排放</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二</w:t>
                  </w:r>
                </w:p>
              </w:tc>
              <w:tc>
                <w:tcPr>
                  <w:tcW w:w="6514" w:type="dxa"/>
                  <w:gridSpan w:val="2"/>
                  <w:tcBorders>
                    <w:tl2br w:val="nil"/>
                    <w:tr2bl w:val="nil"/>
                  </w:tcBorders>
                  <w:vAlign w:val="center"/>
                </w:tcPr>
                <w:p>
                  <w:pPr>
                    <w:pStyle w:val="52"/>
                    <w:spacing w:line="320" w:lineRule="exact"/>
                    <w:jc w:val="center"/>
                    <w:rPr>
                      <w:rFonts w:ascii="Times New Roman" w:hAnsi="Times New Roman" w:cs="Times New Roman"/>
                      <w:sz w:val="22"/>
                      <w:szCs w:val="22"/>
                    </w:rPr>
                  </w:pPr>
                  <w:r>
                    <w:rPr>
                      <w:rFonts w:ascii="Times New Roman" w:hAnsi="Times New Roman" w:cs="Times New Roman"/>
                      <w:b/>
                      <w:bCs/>
                      <w:sz w:val="22"/>
                      <w:szCs w:val="22"/>
                    </w:rPr>
                    <w:t>污染物排放管控</w:t>
                  </w:r>
                </w:p>
              </w:tc>
              <w:tc>
                <w:tcPr>
                  <w:tcW w:w="996" w:type="dxa"/>
                  <w:tcBorders>
                    <w:tl2br w:val="nil"/>
                    <w:tr2bl w:val="nil"/>
                  </w:tcBorders>
                  <w:vAlign w:val="center"/>
                </w:tcPr>
                <w:p>
                  <w:pPr>
                    <w:pStyle w:val="52"/>
                    <w:spacing w:line="320" w:lineRule="exact"/>
                    <w:jc w:val="center"/>
                    <w:rPr>
                      <w:rFonts w:ascii="Times New Roman" w:hAnsi="Times New Roman" w:cs="Times New Roman"/>
                      <w:b/>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7"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严格控制“两高”行业新增产能，新、改、扩建项目要实行产能等量或减量置换。</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本项目为对小江清淤物进行综合利用生产建筑用砂项目，不涉及“高污染、高环境风险”的产品与工艺装备</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严格用地准入，工业用地及物流仓储用地供地前，国土部门需对拟供地块进行土壤环境状况调查，评估环境污染风险后方可供地。</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本项目为对小江清淤物进行综合利用生产建筑用砂项目，已取得相关部门的用地许可</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受重金属污染物或者其他有毒有害污染的农用场地，达不到国家有关标准的，禁止种植使用农产品。</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本项目为对小江清淤物进行综合利用生产建筑用砂项目，不涉及农产品种植</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4</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禁止在禁渔区、禁渔期进行捕捞。禁止使用小于最小网目尺寸的网具进行捕捞，未依法取得捕捞许可证擅自捕捞。</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本项目为对小江清淤物进行综合利用生产建筑用砂项目，不涉及捕捞活动</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9"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三</w:t>
                  </w:r>
                </w:p>
              </w:tc>
              <w:tc>
                <w:tcPr>
                  <w:tcW w:w="6514" w:type="dxa"/>
                  <w:gridSpan w:val="2"/>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b/>
                      <w:bCs/>
                      <w:sz w:val="22"/>
                      <w:szCs w:val="22"/>
                    </w:rPr>
                    <w:t>环境风险防控</w:t>
                  </w:r>
                </w:p>
              </w:tc>
              <w:tc>
                <w:tcPr>
                  <w:tcW w:w="996" w:type="dxa"/>
                  <w:tcBorders>
                    <w:tl2br w:val="nil"/>
                    <w:tr2bl w:val="nil"/>
                  </w:tcBorders>
                  <w:vAlign w:val="center"/>
                </w:tcPr>
                <w:p>
                  <w:pPr>
                    <w:snapToGrid w:val="0"/>
                    <w:spacing w:line="320" w:lineRule="exact"/>
                    <w:jc w:val="center"/>
                    <w:rPr>
                      <w:rFonts w:ascii="Times New Roman" w:hAnsi="Times New Roman" w:cs="Times New Roman"/>
                      <w:b/>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2"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环境风险防控严格限制《环境保护综合名录》（2017年版）中“高污染、高环境风险”产品与工艺装备。</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本项目为对小江清淤物进行综合利用生产建筑用砂项目，不涉及“高污染、高环境风险”的产品与工艺装备</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禁止使用剧毒、高残留以及可能二次中毒的农药。</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本项目不使用剧毒、高残留及可能二次污染中毒的农药</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2"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严格污染场地开发利用和流转审批，在影响健康地块修复达标之前，禁止建设居民区、学校、医疗和养老机构。</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本项目为对小江清淤物进行综合利用生产建筑用砂项目，不属于污染场地的开发利用项目</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b/>
                      <w:bCs/>
                      <w:sz w:val="22"/>
                      <w:szCs w:val="22"/>
                    </w:rPr>
                  </w:pPr>
                  <w:r>
                    <w:rPr>
                      <w:rFonts w:ascii="Times New Roman" w:hAnsi="Times New Roman" w:cs="Times New Roman"/>
                      <w:b/>
                      <w:bCs/>
                      <w:sz w:val="22"/>
                      <w:szCs w:val="22"/>
                    </w:rPr>
                    <w:t>四</w:t>
                  </w:r>
                </w:p>
              </w:tc>
              <w:tc>
                <w:tcPr>
                  <w:tcW w:w="6514" w:type="dxa"/>
                  <w:gridSpan w:val="2"/>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b/>
                      <w:bCs/>
                      <w:sz w:val="22"/>
                      <w:szCs w:val="22"/>
                    </w:rPr>
                    <w:t>资源开发效率要求</w:t>
                  </w:r>
                </w:p>
              </w:tc>
              <w:tc>
                <w:tcPr>
                  <w:tcW w:w="996" w:type="dxa"/>
                  <w:tcBorders>
                    <w:tl2br w:val="nil"/>
                    <w:tr2bl w:val="nil"/>
                  </w:tcBorders>
                  <w:vAlign w:val="center"/>
                </w:tcPr>
                <w:p>
                  <w:pPr>
                    <w:snapToGrid w:val="0"/>
                    <w:spacing w:line="320" w:lineRule="exact"/>
                    <w:jc w:val="center"/>
                    <w:rPr>
                      <w:rFonts w:ascii="Times New Roman" w:hAnsi="Times New Roman" w:cs="Times New Roman"/>
                      <w:b/>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禁止新建、改扩建《高耗水工艺、技术和装备淘汰目录》中项目，现有企业应限期关停退出。</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本项目为对小江清淤物进行综合利用生产建筑用砂项目，项目不属于《高耗水工艺、技术和装备淘汰目录》中项目</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新建、改建和扩建《产业结构调整指导目录（2019年本）》（发改委发〔2019〕29号）明令淘汰的落后工艺技术，装备或者生产明令淘汰产品的建设项目，国土资源管理部门和投资管理部门一律不得办理相关手续。</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本项目为对小江清淤物进行综合利用生产建筑用砂项目，不属于《产业结构调整指导目录（2019年本）》（发改委发〔2019〕29号）明令淘汰的落后工艺技术，装备或者生产明令淘汰产品的建设项目</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新建、扩建和改建《限制用地项目目录（2012年本）》（国土资发〔2012〕）中建设项目，必须符合目录规定条件，国土资源管理部门和投资管理部门方可办理相关手续。</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本项目不属于《限制用地项目目录（2012年本）》（国土资发〔2012〕）中的建设项目</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3"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新建、改建、扩建工业项目投资强度、容积率、建筑系数、行政办公及生活服务设施用地所占比重应符合《工业项目建设用地控制指标》（国土资发〔2008〕24号）。</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本项目建设符合《工业项目建设用地控制指标》（国土资发〔2008〕24号）</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sz w:val="22"/>
                      <w:szCs w:val="22"/>
                    </w:rPr>
                  </w:pPr>
                  <w:r>
                    <w:rPr>
                      <w:rFonts w:ascii="Times New Roman" w:hAnsi="Times New Roman" w:cs="Times New Roman"/>
                      <w:sz w:val="22"/>
                      <w:szCs w:val="22"/>
                    </w:rPr>
                    <w:t>禁止生产高耗能落后设备产品，现有工业企业应限期关停退出。</w:t>
                  </w:r>
                </w:p>
              </w:tc>
              <w:tc>
                <w:tcPr>
                  <w:tcW w:w="2972"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本项目不涉及生产高耗能落后设备产品</w:t>
                  </w:r>
                </w:p>
              </w:tc>
              <w:tc>
                <w:tcPr>
                  <w:tcW w:w="996" w:type="dxa"/>
                  <w:tcBorders>
                    <w:tl2br w:val="nil"/>
                    <w:tr2bl w:val="nil"/>
                  </w:tcBorders>
                  <w:vAlign w:val="center"/>
                </w:tcPr>
                <w:p>
                  <w:pPr>
                    <w:snapToGrid w:val="0"/>
                    <w:spacing w:line="320" w:lineRule="exact"/>
                    <w:jc w:val="center"/>
                    <w:rPr>
                      <w:rFonts w:ascii="Times New Roman" w:hAnsi="Times New Roman" w:cs="Times New Roman"/>
                      <w:sz w:val="22"/>
                      <w:szCs w:val="22"/>
                    </w:rPr>
                  </w:pPr>
                  <w:r>
                    <w:rPr>
                      <w:rFonts w:ascii="Times New Roman" w:hAnsi="Times New Roman" w:cs="Times New Roman"/>
                      <w:sz w:val="22"/>
                      <w:szCs w:val="22"/>
                    </w:rPr>
                    <w:t>符合</w:t>
                  </w:r>
                </w:p>
              </w:tc>
            </w:tr>
          </w:tbl>
          <w:p>
            <w:pPr>
              <w:spacing w:line="360" w:lineRule="auto"/>
              <w:ind w:firstLine="361" w:firstLineChars="150"/>
              <w:rPr>
                <w:rFonts w:ascii="Times New Roman" w:hAnsi="Times New Roman" w:eastAsia="宋体" w:cs="Times New Roman"/>
                <w:b/>
                <w:sz w:val="24"/>
                <w:szCs w:val="24"/>
              </w:rPr>
            </w:pPr>
            <w:r>
              <w:rPr>
                <w:rFonts w:ascii="Times New Roman" w:hAnsi="Times New Roman" w:eastAsia="宋体" w:cs="Times New Roman"/>
                <w:b/>
                <w:sz w:val="24"/>
                <w:szCs w:val="24"/>
              </w:rPr>
              <w:t>（2）与《中华人民共和国长江保护法》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eastAsia="宋体" w:cs="Times New Roman"/>
                <w:b/>
              </w:rPr>
            </w:pPr>
            <w:r>
              <w:rPr>
                <w:rFonts w:ascii="Times New Roman" w:hAnsi="Times New Roman" w:eastAsia="宋体" w:cs="Times New Roman"/>
                <w:b/>
              </w:rPr>
              <w:t>表1-2 与《中华人民共和国长江保护法》符合性分析一览表</w:t>
            </w:r>
          </w:p>
          <w:tbl>
            <w:tblPr>
              <w:tblStyle w:val="17"/>
              <w:tblW w:w="83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2695"/>
              <w:gridCol w:w="4462"/>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1" w:type="dxa"/>
                  <w:vAlign w:val="center"/>
                </w:tcPr>
                <w:p>
                  <w:pPr>
                    <w:pStyle w:val="26"/>
                    <w:spacing w:line="320" w:lineRule="atLeast"/>
                    <w:rPr>
                      <w:color w:val="auto"/>
                      <w:kern w:val="0"/>
                      <w:sz w:val="22"/>
                      <w:szCs w:val="22"/>
                    </w:rPr>
                  </w:pPr>
                  <w:r>
                    <w:rPr>
                      <w:color w:val="auto"/>
                      <w:kern w:val="0"/>
                      <w:sz w:val="22"/>
                      <w:szCs w:val="22"/>
                    </w:rPr>
                    <w:t>序号</w:t>
                  </w:r>
                </w:p>
              </w:tc>
              <w:tc>
                <w:tcPr>
                  <w:tcW w:w="2695" w:type="dxa"/>
                  <w:vAlign w:val="center"/>
                </w:tcPr>
                <w:p>
                  <w:pPr>
                    <w:pStyle w:val="26"/>
                    <w:spacing w:line="320" w:lineRule="atLeast"/>
                    <w:rPr>
                      <w:color w:val="auto"/>
                      <w:kern w:val="0"/>
                      <w:sz w:val="22"/>
                      <w:szCs w:val="22"/>
                    </w:rPr>
                  </w:pPr>
                  <w:r>
                    <w:rPr>
                      <w:color w:val="auto"/>
                      <w:kern w:val="0"/>
                      <w:sz w:val="22"/>
                      <w:szCs w:val="22"/>
                    </w:rPr>
                    <w:t>中华人民共和国长江保护法要求</w:t>
                  </w:r>
                </w:p>
              </w:tc>
              <w:tc>
                <w:tcPr>
                  <w:tcW w:w="4462" w:type="dxa"/>
                  <w:vAlign w:val="center"/>
                </w:tcPr>
                <w:p>
                  <w:pPr>
                    <w:pStyle w:val="26"/>
                    <w:spacing w:line="320" w:lineRule="atLeast"/>
                    <w:rPr>
                      <w:color w:val="auto"/>
                      <w:kern w:val="0"/>
                      <w:sz w:val="22"/>
                      <w:szCs w:val="22"/>
                    </w:rPr>
                  </w:pPr>
                  <w:r>
                    <w:rPr>
                      <w:color w:val="auto"/>
                      <w:kern w:val="0"/>
                      <w:sz w:val="22"/>
                      <w:szCs w:val="22"/>
                    </w:rPr>
                    <w:t>本项目实际情况</w:t>
                  </w:r>
                </w:p>
              </w:tc>
              <w:tc>
                <w:tcPr>
                  <w:tcW w:w="714" w:type="dxa"/>
                  <w:vAlign w:val="center"/>
                </w:tcPr>
                <w:p>
                  <w:pPr>
                    <w:pStyle w:val="26"/>
                    <w:spacing w:line="320" w:lineRule="atLeast"/>
                    <w:rPr>
                      <w:color w:val="auto"/>
                      <w:kern w:val="0"/>
                      <w:sz w:val="22"/>
                      <w:szCs w:val="22"/>
                    </w:rPr>
                  </w:pPr>
                  <w:r>
                    <w:rPr>
                      <w:color w:val="auto"/>
                      <w:kern w:val="0"/>
                      <w:sz w:val="22"/>
                      <w:szCs w:val="22"/>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1" w:type="dxa"/>
                  <w:vAlign w:val="center"/>
                </w:tcPr>
                <w:p>
                  <w:pPr>
                    <w:pStyle w:val="26"/>
                    <w:spacing w:line="320" w:lineRule="atLeast"/>
                    <w:rPr>
                      <w:color w:val="auto"/>
                      <w:kern w:val="0"/>
                      <w:sz w:val="22"/>
                      <w:szCs w:val="22"/>
                    </w:rPr>
                  </w:pPr>
                  <w:r>
                    <w:rPr>
                      <w:color w:val="auto"/>
                      <w:kern w:val="0"/>
                      <w:sz w:val="22"/>
                      <w:szCs w:val="22"/>
                    </w:rPr>
                    <w:t>1</w:t>
                  </w:r>
                </w:p>
              </w:tc>
              <w:tc>
                <w:tcPr>
                  <w:tcW w:w="2695" w:type="dxa"/>
                  <w:vAlign w:val="center"/>
                </w:tcPr>
                <w:p>
                  <w:pPr>
                    <w:pStyle w:val="26"/>
                    <w:spacing w:line="320" w:lineRule="atLeast"/>
                    <w:rPr>
                      <w:color w:val="auto"/>
                      <w:kern w:val="0"/>
                      <w:sz w:val="22"/>
                      <w:szCs w:val="22"/>
                    </w:rPr>
                  </w:pPr>
                  <w:r>
                    <w:rPr>
                      <w:color w:val="auto"/>
                      <w:kern w:val="0"/>
                      <w:sz w:val="22"/>
                      <w:szCs w:val="22"/>
                    </w:rPr>
                    <w:t>禁止在长江干支流岸线一公里范围内新建、扩建化工园区和化工项目。</w:t>
                  </w:r>
                </w:p>
              </w:tc>
              <w:tc>
                <w:tcPr>
                  <w:tcW w:w="4462" w:type="dxa"/>
                  <w:vAlign w:val="center"/>
                </w:tcPr>
                <w:p>
                  <w:pPr>
                    <w:pStyle w:val="26"/>
                    <w:spacing w:line="320" w:lineRule="atLeast"/>
                    <w:rPr>
                      <w:color w:val="auto"/>
                      <w:kern w:val="0"/>
                      <w:sz w:val="22"/>
                      <w:szCs w:val="22"/>
                    </w:rPr>
                  </w:pPr>
                  <w:r>
                    <w:rPr>
                      <w:color w:val="auto"/>
                      <w:kern w:val="0"/>
                      <w:sz w:val="22"/>
                      <w:szCs w:val="22"/>
                    </w:rPr>
                    <w:t>本项目对小江清淤物进行综合利用生产建筑用砂，不属于化工项目。</w:t>
                  </w:r>
                </w:p>
              </w:tc>
              <w:tc>
                <w:tcPr>
                  <w:tcW w:w="714"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83" w:hRule="atLeast"/>
                <w:jc w:val="center"/>
              </w:trPr>
              <w:tc>
                <w:tcPr>
                  <w:tcW w:w="451" w:type="dxa"/>
                  <w:vAlign w:val="center"/>
                </w:tcPr>
                <w:p>
                  <w:pPr>
                    <w:pStyle w:val="26"/>
                    <w:spacing w:line="320" w:lineRule="atLeast"/>
                    <w:rPr>
                      <w:color w:val="auto"/>
                      <w:kern w:val="0"/>
                      <w:sz w:val="22"/>
                      <w:szCs w:val="22"/>
                    </w:rPr>
                  </w:pPr>
                  <w:r>
                    <w:rPr>
                      <w:color w:val="auto"/>
                      <w:kern w:val="0"/>
                      <w:sz w:val="22"/>
                      <w:szCs w:val="22"/>
                    </w:rPr>
                    <w:t>2</w:t>
                  </w:r>
                </w:p>
              </w:tc>
              <w:tc>
                <w:tcPr>
                  <w:tcW w:w="2695" w:type="dxa"/>
                  <w:vAlign w:val="center"/>
                </w:tcPr>
                <w:p>
                  <w:pPr>
                    <w:pStyle w:val="26"/>
                    <w:spacing w:line="320" w:lineRule="atLeast"/>
                    <w:rPr>
                      <w:color w:val="auto"/>
                      <w:kern w:val="0"/>
                      <w:sz w:val="22"/>
                      <w:szCs w:val="22"/>
                    </w:rPr>
                  </w:pPr>
                  <w:r>
                    <w:rPr>
                      <w:color w:val="auto"/>
                      <w:kern w:val="0"/>
                      <w:sz w:val="22"/>
                      <w:szCs w:val="22"/>
                    </w:rPr>
                    <w:t>严格控制高耗水项目建设。</w:t>
                  </w:r>
                </w:p>
              </w:tc>
              <w:tc>
                <w:tcPr>
                  <w:tcW w:w="4462" w:type="dxa"/>
                  <w:vAlign w:val="center"/>
                </w:tcPr>
                <w:p>
                  <w:pPr>
                    <w:pStyle w:val="26"/>
                    <w:pBdr>
                      <w:bottom w:val="single" w:color="DDDDDD" w:sz="6" w:space="7"/>
                    </w:pBdr>
                    <w:spacing w:line="320" w:lineRule="atLeast"/>
                    <w:rPr>
                      <w:color w:val="auto"/>
                      <w:kern w:val="0"/>
                      <w:sz w:val="22"/>
                      <w:szCs w:val="22"/>
                    </w:rPr>
                  </w:pPr>
                  <w:r>
                    <w:rPr>
                      <w:color w:val="auto"/>
                      <w:kern w:val="0"/>
                      <w:sz w:val="22"/>
                      <w:szCs w:val="22"/>
                    </w:rPr>
                    <w:t>水利部发布18项传统高耗水行业包括：钢铁、火力发电、石油炼制、选煤、罐头食品、食糖、毛皮、皮革、核电、氨纶、锦纶、聚酯涤纶、维纶、再生涤纶、多晶硅、离子型稀土矿冶炼分离、对二甲苯、精对二甲苯。</w:t>
                  </w:r>
                </w:p>
                <w:p>
                  <w:pPr>
                    <w:pStyle w:val="26"/>
                    <w:pBdr>
                      <w:bottom w:val="single" w:color="DDDDDD" w:sz="6" w:space="7"/>
                    </w:pBdr>
                    <w:spacing w:line="320" w:lineRule="atLeast"/>
                    <w:rPr>
                      <w:color w:val="auto"/>
                      <w:kern w:val="0"/>
                      <w:sz w:val="22"/>
                      <w:szCs w:val="22"/>
                    </w:rPr>
                  </w:pPr>
                  <w:r>
                    <w:rPr>
                      <w:color w:val="auto"/>
                      <w:kern w:val="0"/>
                      <w:sz w:val="22"/>
                      <w:szCs w:val="22"/>
                    </w:rPr>
                    <w:t>本项目对小江清淤物进行综合利用生产建筑用砂，其主要工艺为破碎、筛分，其各工序均伴随水洗，项目所有生产废水全部循环使用，其总体耗水量不高；其原则上不属于高耗水项目；项目应严格按照水利部门的要求进行取水和生产。</w:t>
                  </w:r>
                </w:p>
              </w:tc>
              <w:tc>
                <w:tcPr>
                  <w:tcW w:w="714"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1" w:type="dxa"/>
                  <w:vAlign w:val="center"/>
                </w:tcPr>
                <w:p>
                  <w:pPr>
                    <w:pStyle w:val="26"/>
                    <w:spacing w:line="320" w:lineRule="atLeast"/>
                    <w:rPr>
                      <w:color w:val="auto"/>
                      <w:kern w:val="0"/>
                      <w:sz w:val="22"/>
                      <w:szCs w:val="22"/>
                    </w:rPr>
                  </w:pPr>
                  <w:r>
                    <w:rPr>
                      <w:color w:val="auto"/>
                      <w:kern w:val="0"/>
                      <w:sz w:val="22"/>
                      <w:szCs w:val="22"/>
                    </w:rPr>
                    <w:t>3</w:t>
                  </w:r>
                </w:p>
              </w:tc>
              <w:tc>
                <w:tcPr>
                  <w:tcW w:w="2695" w:type="dxa"/>
                  <w:vAlign w:val="center"/>
                </w:tcPr>
                <w:p>
                  <w:pPr>
                    <w:pStyle w:val="26"/>
                    <w:spacing w:line="320" w:lineRule="atLeast"/>
                    <w:rPr>
                      <w:color w:val="auto"/>
                      <w:kern w:val="0"/>
                      <w:sz w:val="22"/>
                      <w:szCs w:val="22"/>
                    </w:rPr>
                  </w:pPr>
                  <w:r>
                    <w:rPr>
                      <w:color w:val="auto"/>
                      <w:kern w:val="0"/>
                      <w:sz w:val="22"/>
                      <w:szCs w:val="22"/>
                    </w:rPr>
                    <w:t>禁止在长江流域河湖管理范围内倾倒、填埋、堆放、弃置、处理固体废物。</w:t>
                  </w:r>
                </w:p>
              </w:tc>
              <w:tc>
                <w:tcPr>
                  <w:tcW w:w="4462" w:type="dxa"/>
                  <w:vAlign w:val="center"/>
                </w:tcPr>
                <w:p>
                  <w:pPr>
                    <w:pStyle w:val="26"/>
                    <w:spacing w:line="320" w:lineRule="atLeast"/>
                    <w:rPr>
                      <w:color w:val="auto"/>
                      <w:kern w:val="0"/>
                      <w:sz w:val="22"/>
                      <w:szCs w:val="22"/>
                    </w:rPr>
                  </w:pPr>
                  <w:r>
                    <w:rPr>
                      <w:color w:val="auto"/>
                      <w:kern w:val="0"/>
                      <w:sz w:val="22"/>
                      <w:szCs w:val="22"/>
                    </w:rPr>
                    <w:t>本项目位于昆明市东川区铜都镇小李庄村，该区域不属于长江流域河湖管理范围。</w:t>
                  </w:r>
                </w:p>
              </w:tc>
              <w:tc>
                <w:tcPr>
                  <w:tcW w:w="714" w:type="dxa"/>
                  <w:vAlign w:val="center"/>
                </w:tcPr>
                <w:p>
                  <w:pPr>
                    <w:pStyle w:val="26"/>
                    <w:spacing w:line="320" w:lineRule="atLeast"/>
                    <w:rPr>
                      <w:color w:val="auto"/>
                      <w:kern w:val="0"/>
                      <w:sz w:val="22"/>
                      <w:szCs w:val="22"/>
                    </w:rPr>
                  </w:pPr>
                  <w:r>
                    <w:rPr>
                      <w:color w:val="auto"/>
                      <w:kern w:val="0"/>
                      <w:sz w:val="22"/>
                      <w:szCs w:val="22"/>
                    </w:rPr>
                    <w:t>符合</w:t>
                  </w:r>
                </w:p>
              </w:tc>
            </w:tr>
          </w:tbl>
          <w:p>
            <w:pPr>
              <w:spacing w:before="156" w:beforeLines="50" w:line="360" w:lineRule="auto"/>
              <w:ind w:firstLine="361" w:firstLineChars="150"/>
              <w:rPr>
                <w:rFonts w:ascii="Times New Roman" w:hAnsi="Times New Roman" w:eastAsia="宋体" w:cs="Times New Roman"/>
                <w:b/>
                <w:sz w:val="24"/>
                <w:szCs w:val="24"/>
              </w:rPr>
            </w:pPr>
            <w:r>
              <w:rPr>
                <w:rFonts w:ascii="Times New Roman" w:hAnsi="Times New Roman" w:eastAsia="宋体" w:cs="Times New Roman"/>
                <w:b/>
                <w:sz w:val="24"/>
                <w:szCs w:val="24"/>
              </w:rPr>
              <w:t>（3）与《长江经济带发展负面清单指南》（试行）的符合性分析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2019年1月12日，推动长江经济带发展领导小组办公室发布了《关于发布长江经济带发展负面清单指南（试行）的通知》（第89号），本项目位于昆明市东川区铜都镇小李庄村，项目所在地的纳污水体为小江（清水海-入金沙江口段），小江属于长江的上游主要支流。因此，本环评须分析本项目与《长江经济带发展负面清单指南（试行）》的符合性。具体分析如下表所示。</w:t>
            </w:r>
          </w:p>
          <w:p>
            <w:pPr>
              <w:pStyle w:val="14"/>
              <w:spacing w:after="0"/>
              <w:ind w:left="0" w:leftChars="0"/>
              <w:jc w:val="center"/>
              <w:rPr>
                <w:b/>
                <w:sz w:val="21"/>
                <w:szCs w:val="21"/>
              </w:rPr>
            </w:pPr>
            <w:r>
              <w:rPr>
                <w:b/>
                <w:sz w:val="21"/>
                <w:szCs w:val="21"/>
              </w:rPr>
              <w:t>表1-3 与《长江经济带发展负面清单指南（试行）》符合性分析一览表</w:t>
            </w:r>
          </w:p>
          <w:tbl>
            <w:tblPr>
              <w:tblStyle w:val="17"/>
              <w:tblW w:w="83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0"/>
              <w:gridCol w:w="3640"/>
              <w:gridCol w:w="3262"/>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序号</w:t>
                  </w:r>
                </w:p>
              </w:tc>
              <w:tc>
                <w:tcPr>
                  <w:tcW w:w="3640" w:type="dxa"/>
                  <w:vAlign w:val="center"/>
                </w:tcPr>
                <w:p>
                  <w:pPr>
                    <w:pStyle w:val="26"/>
                    <w:spacing w:line="320" w:lineRule="atLeast"/>
                    <w:rPr>
                      <w:color w:val="auto"/>
                      <w:kern w:val="0"/>
                      <w:sz w:val="22"/>
                      <w:szCs w:val="22"/>
                    </w:rPr>
                  </w:pPr>
                  <w:r>
                    <w:rPr>
                      <w:color w:val="auto"/>
                      <w:sz w:val="22"/>
                      <w:szCs w:val="22"/>
                    </w:rPr>
                    <w:t>长江经济带发展负面清单指南（试行）要求</w:t>
                  </w:r>
                </w:p>
              </w:tc>
              <w:tc>
                <w:tcPr>
                  <w:tcW w:w="3262" w:type="dxa"/>
                  <w:vAlign w:val="center"/>
                </w:tcPr>
                <w:p>
                  <w:pPr>
                    <w:pStyle w:val="26"/>
                    <w:spacing w:line="320" w:lineRule="atLeast"/>
                    <w:rPr>
                      <w:color w:val="auto"/>
                      <w:kern w:val="0"/>
                      <w:sz w:val="22"/>
                      <w:szCs w:val="22"/>
                    </w:rPr>
                  </w:pPr>
                  <w:r>
                    <w:rPr>
                      <w:color w:val="auto"/>
                      <w:kern w:val="0"/>
                      <w:sz w:val="22"/>
                      <w:szCs w:val="22"/>
                    </w:rPr>
                    <w:t>本项目实际情况</w:t>
                  </w:r>
                </w:p>
              </w:tc>
              <w:tc>
                <w:tcPr>
                  <w:tcW w:w="780" w:type="dxa"/>
                  <w:vAlign w:val="center"/>
                </w:tcPr>
                <w:p>
                  <w:pPr>
                    <w:pStyle w:val="26"/>
                    <w:spacing w:line="320" w:lineRule="atLeast"/>
                    <w:rPr>
                      <w:color w:val="auto"/>
                      <w:kern w:val="0"/>
                      <w:sz w:val="22"/>
                      <w:szCs w:val="22"/>
                    </w:rPr>
                  </w:pPr>
                  <w:r>
                    <w:rPr>
                      <w:color w:val="auto"/>
                      <w:kern w:val="0"/>
                      <w:sz w:val="22"/>
                      <w:szCs w:val="22"/>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1</w:t>
                  </w:r>
                </w:p>
              </w:tc>
              <w:tc>
                <w:tcPr>
                  <w:tcW w:w="3640" w:type="dxa"/>
                  <w:vAlign w:val="center"/>
                </w:tcPr>
                <w:p>
                  <w:pPr>
                    <w:pStyle w:val="26"/>
                    <w:spacing w:line="320" w:lineRule="atLeast"/>
                    <w:rPr>
                      <w:color w:val="auto"/>
                      <w:kern w:val="0"/>
                      <w:sz w:val="22"/>
                      <w:szCs w:val="22"/>
                    </w:rPr>
                  </w:pPr>
                  <w:r>
                    <w:rPr>
                      <w:color w:val="auto"/>
                      <w:kern w:val="0"/>
                      <w:sz w:val="22"/>
                      <w:szCs w:val="22"/>
                    </w:rPr>
                    <w:t>禁止建设不符合全国和省级港口布局规划以及港口总体规划的码头项目，禁止建设不符合《长江干线过江通道布局规划》的过江通道项目。</w:t>
                  </w:r>
                </w:p>
              </w:tc>
              <w:tc>
                <w:tcPr>
                  <w:tcW w:w="3262" w:type="dxa"/>
                  <w:vAlign w:val="center"/>
                </w:tcPr>
                <w:p>
                  <w:pPr>
                    <w:pStyle w:val="26"/>
                    <w:spacing w:line="320" w:lineRule="atLeast"/>
                    <w:rPr>
                      <w:color w:val="auto"/>
                      <w:kern w:val="0"/>
                      <w:sz w:val="22"/>
                      <w:szCs w:val="22"/>
                    </w:rPr>
                  </w:pPr>
                  <w:r>
                    <w:rPr>
                      <w:color w:val="auto"/>
                      <w:kern w:val="0"/>
                      <w:sz w:val="22"/>
                      <w:szCs w:val="22"/>
                    </w:rPr>
                    <w:t>本项目对小江清淤物进行综合利用生产建筑用砂，不涉及码头及过江通道。</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2</w:t>
                  </w:r>
                </w:p>
              </w:tc>
              <w:tc>
                <w:tcPr>
                  <w:tcW w:w="3640" w:type="dxa"/>
                  <w:vAlign w:val="center"/>
                </w:tcPr>
                <w:p>
                  <w:pPr>
                    <w:pStyle w:val="26"/>
                    <w:spacing w:line="320" w:lineRule="atLeast"/>
                    <w:rPr>
                      <w:color w:val="auto"/>
                      <w:kern w:val="0"/>
                      <w:sz w:val="22"/>
                      <w:szCs w:val="22"/>
                    </w:rPr>
                  </w:pPr>
                  <w:r>
                    <w:rPr>
                      <w:color w:val="auto"/>
                      <w:kern w:val="0"/>
                      <w:sz w:val="22"/>
                      <w:szCs w:val="22"/>
                    </w:rPr>
                    <w:t>禁止在自然保护区核心区、缓冲区的岸线和河段范围内投资建设旅游和生产经营项目。禁止在风景名胜区核心景区的岸线和河段范围内投资建设与风景名胜资源保护无关的项目；</w:t>
                  </w:r>
                </w:p>
              </w:tc>
              <w:tc>
                <w:tcPr>
                  <w:tcW w:w="3262" w:type="dxa"/>
                  <w:vAlign w:val="center"/>
                </w:tcPr>
                <w:p>
                  <w:pPr>
                    <w:pStyle w:val="26"/>
                    <w:spacing w:line="320" w:lineRule="atLeast"/>
                    <w:rPr>
                      <w:color w:val="auto"/>
                      <w:kern w:val="0"/>
                      <w:sz w:val="22"/>
                      <w:szCs w:val="22"/>
                    </w:rPr>
                  </w:pPr>
                  <w:r>
                    <w:rPr>
                      <w:color w:val="auto"/>
                      <w:kern w:val="0"/>
                      <w:sz w:val="22"/>
                      <w:szCs w:val="22"/>
                    </w:rPr>
                    <w:t>昆明市东川区铜都镇小李庄村，不涉及自然保护区核心区、风景名胜区等特殊敏感区。</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3</w:t>
                  </w:r>
                </w:p>
              </w:tc>
              <w:tc>
                <w:tcPr>
                  <w:tcW w:w="3640" w:type="dxa"/>
                  <w:vAlign w:val="center"/>
                </w:tcPr>
                <w:p>
                  <w:pPr>
                    <w:pStyle w:val="26"/>
                    <w:spacing w:line="320" w:lineRule="atLeast"/>
                    <w:rPr>
                      <w:color w:val="auto"/>
                      <w:kern w:val="0"/>
                      <w:sz w:val="22"/>
                      <w:szCs w:val="22"/>
                    </w:rPr>
                  </w:pPr>
                  <w:r>
                    <w:rPr>
                      <w:color w:val="auto"/>
                      <w:kern w:val="0"/>
                      <w:sz w:val="22"/>
                      <w:szCs w:val="22"/>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262" w:type="dxa"/>
                  <w:vAlign w:val="center"/>
                </w:tcPr>
                <w:p>
                  <w:pPr>
                    <w:pStyle w:val="26"/>
                    <w:spacing w:line="320" w:lineRule="atLeast"/>
                    <w:rPr>
                      <w:color w:val="auto"/>
                      <w:kern w:val="0"/>
                      <w:sz w:val="22"/>
                      <w:szCs w:val="22"/>
                    </w:rPr>
                  </w:pPr>
                  <w:r>
                    <w:rPr>
                      <w:color w:val="auto"/>
                      <w:kern w:val="0"/>
                      <w:sz w:val="22"/>
                      <w:szCs w:val="22"/>
                    </w:rPr>
                    <w:t>昆明市东川区铜都镇小李庄村，不涉及到饮用水水源地的一级保护区或二级保护区。</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4</w:t>
                  </w:r>
                </w:p>
              </w:tc>
              <w:tc>
                <w:tcPr>
                  <w:tcW w:w="3640" w:type="dxa"/>
                  <w:vAlign w:val="center"/>
                </w:tcPr>
                <w:p>
                  <w:pPr>
                    <w:pStyle w:val="26"/>
                    <w:spacing w:line="320" w:lineRule="atLeast"/>
                    <w:rPr>
                      <w:color w:val="auto"/>
                      <w:kern w:val="0"/>
                      <w:sz w:val="22"/>
                      <w:szCs w:val="22"/>
                    </w:rPr>
                  </w:pPr>
                  <w:r>
                    <w:rPr>
                      <w:color w:val="auto"/>
                      <w:kern w:val="0"/>
                      <w:sz w:val="22"/>
                      <w:szCs w:val="22"/>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262" w:type="dxa"/>
                  <w:vAlign w:val="center"/>
                </w:tcPr>
                <w:p>
                  <w:pPr>
                    <w:pStyle w:val="26"/>
                    <w:spacing w:line="320" w:lineRule="atLeast"/>
                    <w:rPr>
                      <w:color w:val="auto"/>
                      <w:kern w:val="0"/>
                      <w:sz w:val="22"/>
                      <w:szCs w:val="22"/>
                    </w:rPr>
                  </w:pPr>
                  <w:r>
                    <w:rPr>
                      <w:color w:val="auto"/>
                      <w:kern w:val="0"/>
                      <w:sz w:val="22"/>
                      <w:szCs w:val="22"/>
                    </w:rPr>
                    <w:t>本项目对小江清淤物进行综合利用生产建筑用砂，符合主体功能定位，项目所在地的纳污水体为</w:t>
                  </w:r>
                  <w:r>
                    <w:rPr>
                      <w:color w:val="auto"/>
                      <w:sz w:val="22"/>
                      <w:szCs w:val="22"/>
                    </w:rPr>
                    <w:t>小江（清水海-入金沙江口段）</w:t>
                  </w:r>
                  <w:r>
                    <w:rPr>
                      <w:color w:val="auto"/>
                      <w:kern w:val="0"/>
                      <w:sz w:val="22"/>
                      <w:szCs w:val="22"/>
                    </w:rPr>
                    <w:t>，不属于水产种植资源保护区的岸线和河段范围。</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5</w:t>
                  </w:r>
                </w:p>
              </w:tc>
              <w:tc>
                <w:tcPr>
                  <w:tcW w:w="3640" w:type="dxa"/>
                  <w:vAlign w:val="center"/>
                </w:tcPr>
                <w:p>
                  <w:pPr>
                    <w:pStyle w:val="26"/>
                    <w:spacing w:line="320" w:lineRule="atLeast"/>
                    <w:rPr>
                      <w:color w:val="auto"/>
                      <w:kern w:val="0"/>
                      <w:sz w:val="22"/>
                      <w:szCs w:val="22"/>
                    </w:rPr>
                  </w:pPr>
                  <w:r>
                    <w:rPr>
                      <w:color w:val="auto"/>
                      <w:kern w:val="0"/>
                      <w:sz w:val="22"/>
                      <w:szCs w:val="22"/>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262" w:type="dxa"/>
                  <w:vAlign w:val="center"/>
                </w:tcPr>
                <w:p>
                  <w:pPr>
                    <w:pStyle w:val="26"/>
                    <w:spacing w:line="320" w:lineRule="atLeast"/>
                    <w:rPr>
                      <w:color w:val="auto"/>
                      <w:kern w:val="0"/>
                      <w:sz w:val="22"/>
                      <w:szCs w:val="22"/>
                    </w:rPr>
                  </w:pPr>
                  <w:r>
                    <w:rPr>
                      <w:color w:val="auto"/>
                      <w:kern w:val="0"/>
                      <w:sz w:val="22"/>
                      <w:szCs w:val="22"/>
                    </w:rPr>
                    <w:t>本项目对小江清淤物进行综合利用生产建筑用砂，项目所在地的纳污水体为</w:t>
                  </w:r>
                  <w:r>
                    <w:rPr>
                      <w:color w:val="auto"/>
                      <w:sz w:val="22"/>
                      <w:szCs w:val="22"/>
                    </w:rPr>
                    <w:t>小江（清水海-入金沙江口段）</w:t>
                  </w:r>
                  <w:r>
                    <w:rPr>
                      <w:color w:val="auto"/>
                      <w:kern w:val="0"/>
                      <w:sz w:val="22"/>
                      <w:szCs w:val="22"/>
                    </w:rPr>
                    <w:t>，该河段不属于《长江岸线保护和开发利用总体规划》划定的岸线保护区，也不属于全国重要江河湖泊水功能区划》划定的河段保护区、保留区。</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6</w:t>
                  </w:r>
                </w:p>
              </w:tc>
              <w:tc>
                <w:tcPr>
                  <w:tcW w:w="3640" w:type="dxa"/>
                  <w:vAlign w:val="center"/>
                </w:tcPr>
                <w:p>
                  <w:pPr>
                    <w:pStyle w:val="26"/>
                    <w:spacing w:line="320" w:lineRule="atLeast"/>
                    <w:rPr>
                      <w:color w:val="auto"/>
                      <w:kern w:val="0"/>
                      <w:sz w:val="22"/>
                      <w:szCs w:val="22"/>
                    </w:rPr>
                  </w:pPr>
                  <w:r>
                    <w:rPr>
                      <w:color w:val="auto"/>
                      <w:kern w:val="0"/>
                      <w:sz w:val="22"/>
                      <w:szCs w:val="22"/>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262" w:type="dxa"/>
                  <w:vAlign w:val="center"/>
                </w:tcPr>
                <w:p>
                  <w:pPr>
                    <w:pStyle w:val="26"/>
                    <w:spacing w:line="320" w:lineRule="atLeast"/>
                    <w:rPr>
                      <w:color w:val="auto"/>
                      <w:kern w:val="0"/>
                      <w:sz w:val="22"/>
                      <w:szCs w:val="22"/>
                    </w:rPr>
                  </w:pPr>
                  <w:r>
                    <w:rPr>
                      <w:color w:val="auto"/>
                      <w:kern w:val="0"/>
                      <w:sz w:val="22"/>
                      <w:szCs w:val="22"/>
                    </w:rPr>
                    <w:t>选址位于昆明市东川区铜都镇小李庄村，项目建设不涉及生态保护红线和永久基本农田。</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7</w:t>
                  </w:r>
                </w:p>
              </w:tc>
              <w:tc>
                <w:tcPr>
                  <w:tcW w:w="3640" w:type="dxa"/>
                  <w:vAlign w:val="center"/>
                </w:tcPr>
                <w:p>
                  <w:pPr>
                    <w:pStyle w:val="26"/>
                    <w:spacing w:line="320" w:lineRule="atLeast"/>
                    <w:rPr>
                      <w:color w:val="auto"/>
                      <w:kern w:val="0"/>
                      <w:sz w:val="22"/>
                      <w:szCs w:val="22"/>
                    </w:rPr>
                  </w:pPr>
                  <w:r>
                    <w:rPr>
                      <w:color w:val="auto"/>
                      <w:kern w:val="0"/>
                      <w:sz w:val="22"/>
                      <w:szCs w:val="22"/>
                    </w:rPr>
                    <w:t>禁止在长江干支流1公里范围内新建、扩建化工园区和化工项目。禁止在合规园区外新建、扩建钢铁、石化、化工、焦化、建材、有色等高污染项目。</w:t>
                  </w:r>
                </w:p>
              </w:tc>
              <w:tc>
                <w:tcPr>
                  <w:tcW w:w="3262" w:type="dxa"/>
                  <w:vAlign w:val="center"/>
                </w:tcPr>
                <w:p>
                  <w:pPr>
                    <w:pStyle w:val="26"/>
                    <w:spacing w:line="320" w:lineRule="atLeast"/>
                    <w:rPr>
                      <w:color w:val="auto"/>
                      <w:kern w:val="0"/>
                      <w:sz w:val="22"/>
                      <w:szCs w:val="22"/>
                    </w:rPr>
                  </w:pPr>
                  <w:r>
                    <w:rPr>
                      <w:color w:val="auto"/>
                      <w:kern w:val="0"/>
                      <w:sz w:val="22"/>
                      <w:szCs w:val="22"/>
                    </w:rPr>
                    <w:t>昆明市东川区铜都镇小李庄村，本项目对小江清淤物进行综合利用生产建筑用砂，属于小江清淤固废的综合利用项目，不属于化工项目，其生产工艺主要为破碎、筛分伴随水洗工艺，不属于高污染项目。</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8</w:t>
                  </w:r>
                </w:p>
              </w:tc>
              <w:tc>
                <w:tcPr>
                  <w:tcW w:w="3640" w:type="dxa"/>
                  <w:vAlign w:val="center"/>
                </w:tcPr>
                <w:p>
                  <w:pPr>
                    <w:pStyle w:val="26"/>
                    <w:spacing w:line="320" w:lineRule="atLeast"/>
                    <w:rPr>
                      <w:color w:val="auto"/>
                      <w:kern w:val="0"/>
                      <w:sz w:val="22"/>
                      <w:szCs w:val="22"/>
                    </w:rPr>
                  </w:pPr>
                  <w:r>
                    <w:rPr>
                      <w:color w:val="auto"/>
                      <w:kern w:val="0"/>
                      <w:sz w:val="22"/>
                      <w:szCs w:val="22"/>
                    </w:rPr>
                    <w:t>禁止新建、扩建不符合国家石化、现代煤化工等产业布局规划的项目。</w:t>
                  </w:r>
                </w:p>
              </w:tc>
              <w:tc>
                <w:tcPr>
                  <w:tcW w:w="3262" w:type="dxa"/>
                  <w:vAlign w:val="center"/>
                </w:tcPr>
                <w:p>
                  <w:pPr>
                    <w:pStyle w:val="26"/>
                    <w:spacing w:line="320" w:lineRule="atLeast"/>
                    <w:rPr>
                      <w:color w:val="auto"/>
                      <w:kern w:val="0"/>
                      <w:sz w:val="22"/>
                      <w:szCs w:val="22"/>
                    </w:rPr>
                  </w:pPr>
                  <w:r>
                    <w:rPr>
                      <w:color w:val="auto"/>
                      <w:kern w:val="0"/>
                      <w:sz w:val="22"/>
                      <w:szCs w:val="22"/>
                    </w:rPr>
                    <w:t>本项目对小江清淤物进行综合利用生产建筑用砂，属于小江清淤固废的综合利用项目，不属于不符合国家石化、现代煤化工等产业布局规划的项目。</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9</w:t>
                  </w:r>
                </w:p>
              </w:tc>
              <w:tc>
                <w:tcPr>
                  <w:tcW w:w="3640" w:type="dxa"/>
                  <w:vAlign w:val="center"/>
                </w:tcPr>
                <w:p>
                  <w:pPr>
                    <w:pStyle w:val="26"/>
                    <w:spacing w:line="320" w:lineRule="atLeast"/>
                    <w:rPr>
                      <w:color w:val="auto"/>
                      <w:kern w:val="0"/>
                      <w:sz w:val="22"/>
                      <w:szCs w:val="22"/>
                    </w:rPr>
                  </w:pPr>
                  <w:r>
                    <w:rPr>
                      <w:color w:val="auto"/>
                      <w:kern w:val="0"/>
                      <w:sz w:val="22"/>
                      <w:szCs w:val="22"/>
                    </w:rPr>
                    <w:t>禁止新建、扩建法律法规和相关政策明令禁止的落后产能项目。</w:t>
                  </w:r>
                </w:p>
              </w:tc>
              <w:tc>
                <w:tcPr>
                  <w:tcW w:w="3262" w:type="dxa"/>
                  <w:vAlign w:val="center"/>
                </w:tcPr>
                <w:p>
                  <w:pPr>
                    <w:pStyle w:val="26"/>
                    <w:spacing w:line="320" w:lineRule="atLeast"/>
                    <w:rPr>
                      <w:color w:val="auto"/>
                      <w:kern w:val="0"/>
                      <w:sz w:val="22"/>
                      <w:szCs w:val="22"/>
                    </w:rPr>
                  </w:pPr>
                  <w:r>
                    <w:rPr>
                      <w:color w:val="auto"/>
                      <w:kern w:val="0"/>
                      <w:sz w:val="22"/>
                      <w:szCs w:val="22"/>
                    </w:rPr>
                    <w:t>本项目属于小江清淤固废的综合利用项目，属于《产业结构调整指导目录（2019年本）》，中鼓励类项目；不属于法律法规和相关政策明令禁止的落后产能项目。</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6"/>
                    <w:spacing w:line="320" w:lineRule="atLeast"/>
                    <w:rPr>
                      <w:color w:val="auto"/>
                      <w:kern w:val="0"/>
                      <w:sz w:val="22"/>
                      <w:szCs w:val="22"/>
                    </w:rPr>
                  </w:pPr>
                  <w:r>
                    <w:rPr>
                      <w:color w:val="auto"/>
                      <w:kern w:val="0"/>
                      <w:sz w:val="22"/>
                      <w:szCs w:val="22"/>
                    </w:rPr>
                    <w:t>10</w:t>
                  </w:r>
                </w:p>
              </w:tc>
              <w:tc>
                <w:tcPr>
                  <w:tcW w:w="3640" w:type="dxa"/>
                  <w:vAlign w:val="center"/>
                </w:tcPr>
                <w:p>
                  <w:pPr>
                    <w:pStyle w:val="26"/>
                    <w:spacing w:line="320" w:lineRule="atLeast"/>
                    <w:rPr>
                      <w:color w:val="auto"/>
                      <w:kern w:val="0"/>
                      <w:sz w:val="22"/>
                      <w:szCs w:val="22"/>
                    </w:rPr>
                  </w:pPr>
                  <w:r>
                    <w:rPr>
                      <w:color w:val="auto"/>
                      <w:kern w:val="0"/>
                      <w:sz w:val="22"/>
                      <w:szCs w:val="22"/>
                    </w:rPr>
                    <w:t>禁止新建、扩建不符合国家产能置换要求的严重过剩产能行业的项目。</w:t>
                  </w:r>
                </w:p>
              </w:tc>
              <w:tc>
                <w:tcPr>
                  <w:tcW w:w="3262" w:type="dxa"/>
                  <w:vAlign w:val="center"/>
                </w:tcPr>
                <w:p>
                  <w:pPr>
                    <w:pStyle w:val="26"/>
                    <w:spacing w:line="320" w:lineRule="atLeast"/>
                    <w:rPr>
                      <w:color w:val="auto"/>
                      <w:kern w:val="0"/>
                      <w:sz w:val="22"/>
                      <w:szCs w:val="22"/>
                    </w:rPr>
                  </w:pPr>
                  <w:r>
                    <w:rPr>
                      <w:color w:val="auto"/>
                      <w:kern w:val="0"/>
                      <w:sz w:val="22"/>
                      <w:szCs w:val="22"/>
                    </w:rPr>
                    <w:t>本项目属于小江清淤固废的综合利用项目，不属于国家产能置换要求的严重过剩产能行业的项目。</w:t>
                  </w:r>
                </w:p>
              </w:tc>
              <w:tc>
                <w:tcPr>
                  <w:tcW w:w="780" w:type="dxa"/>
                  <w:vAlign w:val="center"/>
                </w:tcPr>
                <w:p>
                  <w:pPr>
                    <w:pStyle w:val="26"/>
                    <w:spacing w:line="320" w:lineRule="atLeast"/>
                    <w:rPr>
                      <w:color w:val="auto"/>
                      <w:kern w:val="0"/>
                      <w:sz w:val="22"/>
                      <w:szCs w:val="22"/>
                    </w:rPr>
                  </w:pPr>
                  <w:r>
                    <w:rPr>
                      <w:color w:val="auto"/>
                      <w:kern w:val="0"/>
                      <w:sz w:val="22"/>
                      <w:szCs w:val="22"/>
                    </w:rPr>
                    <w:t>符合</w:t>
                  </w:r>
                </w:p>
              </w:tc>
            </w:tr>
          </w:tbl>
          <w:p>
            <w:pPr>
              <w:spacing w:before="156"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由上表可知，本项目的建设符合《长江经济带发展负面清单指南（试行）》的要求。</w:t>
            </w:r>
          </w:p>
          <w:p>
            <w:pPr>
              <w:spacing w:line="360" w:lineRule="auto"/>
              <w:ind w:firstLine="361" w:firstLineChars="150"/>
              <w:rPr>
                <w:rFonts w:ascii="Times New Roman" w:hAnsi="Times New Roman" w:eastAsia="宋体" w:cs="Times New Roman"/>
                <w:b/>
                <w:sz w:val="24"/>
                <w:szCs w:val="24"/>
              </w:rPr>
            </w:pPr>
            <w:r>
              <w:rPr>
                <w:rFonts w:ascii="Times New Roman" w:hAnsi="Times New Roman" w:eastAsia="宋体" w:cs="Times New Roman"/>
                <w:b/>
                <w:sz w:val="24"/>
                <w:szCs w:val="24"/>
              </w:rPr>
              <w:t>（4）与小江河道管理的符合性</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根据昆明市东川区人民政府的要求，项目生产厂房必须远离小江河道红线50m，规划的沿河慢行系统（河堤10m）至生产厂房之间作为绿化带，需种植切合东川气候特点、树形高大、四季常绿的乔木。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昆明市东川区水务局对本项目与小江河道距离进行了确认，明确项目选址范围距离小江河道管理范围线为50m，满足建设项目与小江的距离要求，同时根据设计，本项目至河道区域，建设单位将严格建设乔木绿化带，从而满足与小江河道管理的要求。</w:t>
            </w:r>
          </w:p>
          <w:p>
            <w:pPr>
              <w:spacing w:line="360" w:lineRule="auto"/>
              <w:ind w:firstLine="361" w:firstLineChars="150"/>
              <w:rPr>
                <w:rFonts w:ascii="Times New Roman" w:hAnsi="Times New Roman" w:eastAsia="宋体" w:cs="Times New Roman"/>
                <w:b/>
                <w:sz w:val="24"/>
                <w:szCs w:val="24"/>
              </w:rPr>
            </w:pPr>
            <w:r>
              <w:rPr>
                <w:rFonts w:ascii="Times New Roman" w:hAnsi="Times New Roman" w:eastAsia="宋体" w:cs="Times New Roman"/>
                <w:b/>
                <w:sz w:val="24"/>
                <w:szCs w:val="24"/>
              </w:rPr>
              <w:t>（5）与《公路安全保护条例》的符合性</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公路安全保护条例》中第十一条的规定，公路建筑控制区的范围，从公路用地外缘起向外的距离标准为：省道不少于15米；属于高速公路的，公路建筑控制区的范围从公路用地外缘起向外的距离标准不少于30米。</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根据调查，项目附近的公路主要有东格高速和省道S101（昆蒙线），其中项目距离东格高速700m，距离省道S101（昆蒙线）280m；达到《公路安全保护条例》的距离要求。</w:t>
            </w: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1" w:name="_Toc30816"/>
      <w:r>
        <w:rPr>
          <w:rFonts w:ascii="Times New Roman" w:hAnsi="Times New Roman" w:cs="Times New Roman"/>
          <w:b/>
          <w:color w:val="000000" w:themeColor="text1"/>
          <w:sz w:val="28"/>
          <w:szCs w:val="20"/>
          <w14:textFill>
            <w14:solidFill>
              <w14:schemeClr w14:val="tx1"/>
            </w14:solidFill>
          </w14:textFill>
        </w:rPr>
        <w:t>二、建设项目工程分析</w:t>
      </w:r>
      <w:bookmarkEnd w:id="1"/>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831" w:type="dxa"/>
            <w:vAlign w:val="center"/>
          </w:tcPr>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昆明滇中浩翊新型建材有限公司在取得昆明市东川区人民政府的同意下，拟在昆明市东川区铜都镇小李庄村建设东川区再利用废石废渣生产建筑用石用砂小李庄加工厂建设项目，主要对小江清淤物资源综合利用生产建筑用砂。</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根据《东川区小江河道清淤疏浚规划（2020-2022）》的分析，东川区小江河道小李庄段1.8km河道实施范围内综合清淤工程量（含泥沙补给量）为77.7万m³，计划实施年限不低于3年。则本项目最大处理量约为25.9万m³/a。</w:t>
            </w:r>
          </w:p>
          <w:p>
            <w:pPr>
              <w:spacing w:line="360" w:lineRule="auto"/>
              <w:ind w:firstLine="361" w:firstLineChars="150"/>
              <w:rPr>
                <w:rFonts w:ascii="Times New Roman" w:hAnsi="Times New Roman" w:cs="Times New Roman"/>
                <w:b/>
                <w:kern w:val="0"/>
                <w:sz w:val="24"/>
                <w:szCs w:val="24"/>
              </w:rPr>
            </w:pPr>
            <w:r>
              <w:rPr>
                <w:rFonts w:ascii="Times New Roman" w:hAnsi="Times New Roman" w:cs="Times New Roman"/>
                <w:b/>
                <w:kern w:val="0"/>
                <w:sz w:val="24"/>
                <w:szCs w:val="24"/>
              </w:rPr>
              <w:t>（2）建设内容</w:t>
            </w:r>
          </w:p>
          <w:p>
            <w:pPr>
              <w:pStyle w:val="10"/>
              <w:spacing w:after="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占地29.97亩。总建筑面积为6222.06m²，建设的绿化和道路占地面积为3953.86m²。新建利用废石废渣生产建筑用砂石生产线2条，并配套建设环保等附属设施。部分辅助设施及办公生活设施建设于项目厂区。其中：</w:t>
            </w:r>
          </w:p>
          <w:p>
            <w:pPr>
              <w:pStyle w:val="10"/>
              <w:spacing w:after="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（1）建筑包括办公楼700m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，宿舍700m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，过磅房81.00m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，成品库房2000m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，生产车间1354.68 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，1#、2#破碎车间约200m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，1#、2#筛分水洗车间400m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w:t>
            </w:r>
          </w:p>
          <w:p>
            <w:pPr>
              <w:pStyle w:val="53"/>
              <w:tabs>
                <w:tab w:val="left" w:pos="702"/>
              </w:tabs>
              <w:spacing w:line="360" w:lineRule="auto"/>
              <w:ind w:left="0" w:firstLine="480" w:firstLineChars="200"/>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lang w:val="en-US"/>
              </w:rPr>
              <w:t>2</w:t>
            </w:r>
            <w:r>
              <w:rPr>
                <w:rFonts w:ascii="Times New Roman" w:hAnsi="Times New Roman" w:cs="Times New Roman"/>
                <w:kern w:val="0"/>
                <w:sz w:val="24"/>
                <w:szCs w:val="24"/>
              </w:rPr>
              <w:t>）室外附属工程包括绿化</w:t>
            </w:r>
            <w:r>
              <w:rPr>
                <w:rFonts w:ascii="Times New Roman" w:hAnsi="Times New Roman" w:cs="Times New Roman"/>
                <w:kern w:val="0"/>
                <w:sz w:val="24"/>
                <w:szCs w:val="24"/>
                <w:lang w:val="en-US"/>
              </w:rPr>
              <w:t>和道路</w:t>
            </w:r>
            <w:r>
              <w:rPr>
                <w:rFonts w:ascii="Times New Roman" w:hAnsi="Times New Roman" w:cs="Times New Roman"/>
                <w:kern w:val="0"/>
                <w:sz w:val="24"/>
                <w:szCs w:val="24"/>
              </w:rPr>
              <w:t>3953.86</w:t>
            </w:r>
            <w:r>
              <w:rPr>
                <w:rFonts w:ascii="Times New Roman" w:hAnsi="Times New Roman" w:cs="Times New Roman"/>
                <w:kern w:val="0"/>
                <w:sz w:val="24"/>
                <w:szCs w:val="24"/>
                <w:lang w:val="en-US"/>
              </w:rPr>
              <w:t>m</w:t>
            </w:r>
            <w:r>
              <w:rPr>
                <w:rFonts w:ascii="Times New Roman" w:hAnsi="Times New Roman" w:cs="Times New Roman"/>
                <w:kern w:val="0"/>
                <w:sz w:val="24"/>
                <w:szCs w:val="24"/>
                <w:vertAlign w:val="superscript"/>
                <w:lang w:val="en-US"/>
              </w:rPr>
              <w:t>2</w:t>
            </w:r>
            <w:r>
              <w:rPr>
                <w:rFonts w:ascii="Times New Roman" w:hAnsi="Times New Roman" w:cs="Times New Roman"/>
                <w:kern w:val="0"/>
                <w:sz w:val="24"/>
                <w:szCs w:val="24"/>
              </w:rPr>
              <w:t xml:space="preserve">，停车位791.12 </w:t>
            </w:r>
            <w:r>
              <w:rPr>
                <w:rFonts w:ascii="Times New Roman" w:hAnsi="Times New Roman" w:cs="Times New Roman"/>
                <w:kern w:val="0"/>
                <w:sz w:val="24"/>
                <w:szCs w:val="24"/>
                <w:lang w:val="en-US"/>
              </w:rPr>
              <w:t>m</w:t>
            </w:r>
            <w:r>
              <w:rPr>
                <w:rFonts w:ascii="Times New Roman" w:hAnsi="Times New Roman" w:cs="Times New Roman"/>
                <w:kern w:val="0"/>
                <w:sz w:val="24"/>
                <w:szCs w:val="24"/>
                <w:vertAlign w:val="superscript"/>
                <w:lang w:val="en-US"/>
              </w:rPr>
              <w:t>2</w:t>
            </w:r>
            <w:r>
              <w:rPr>
                <w:rFonts w:ascii="Times New Roman" w:hAnsi="Times New Roman" w:cs="Times New Roman"/>
                <w:kern w:val="0"/>
                <w:sz w:val="24"/>
                <w:szCs w:val="24"/>
              </w:rPr>
              <w:t>，围墙600m，清水池</w:t>
            </w:r>
            <w:r>
              <w:rPr>
                <w:rFonts w:ascii="Times New Roman" w:hAnsi="Times New Roman" w:cs="Times New Roman"/>
                <w:kern w:val="0"/>
                <w:sz w:val="24"/>
                <w:szCs w:val="24"/>
                <w:lang w:val="en-US"/>
              </w:rPr>
              <w:t>300</w:t>
            </w:r>
            <w:r>
              <w:rPr>
                <w:rFonts w:ascii="Times New Roman" w:hAnsi="Times New Roman" w:cs="Times New Roman"/>
                <w:kern w:val="0"/>
                <w:sz w:val="24"/>
                <w:szCs w:val="24"/>
              </w:rPr>
              <w:t xml:space="preserve"> </w:t>
            </w:r>
            <w:r>
              <w:rPr>
                <w:rFonts w:ascii="Times New Roman" w:hAnsi="Times New Roman" w:cs="Times New Roman"/>
                <w:kern w:val="0"/>
                <w:sz w:val="24"/>
                <w:szCs w:val="24"/>
                <w:lang w:val="en-US"/>
              </w:rPr>
              <w:t>m</w:t>
            </w:r>
            <w:r>
              <w:rPr>
                <w:rFonts w:ascii="Times New Roman" w:hAnsi="Times New Roman" w:cs="Times New Roman"/>
                <w:kern w:val="0"/>
                <w:sz w:val="24"/>
                <w:szCs w:val="24"/>
                <w:vertAlign w:val="superscript"/>
                <w:lang w:val="en-US"/>
              </w:rPr>
              <w:t>3</w:t>
            </w:r>
            <w:r>
              <w:rPr>
                <w:rFonts w:ascii="Times New Roman" w:hAnsi="Times New Roman" w:cs="Times New Roman"/>
                <w:kern w:val="0"/>
                <w:sz w:val="24"/>
                <w:szCs w:val="24"/>
                <w:lang w:val="en-US"/>
              </w:rPr>
              <w:t>（2个，每个150m</w:t>
            </w:r>
            <w:r>
              <w:rPr>
                <w:rFonts w:ascii="Times New Roman" w:hAnsi="Times New Roman" w:cs="Times New Roman"/>
                <w:kern w:val="0"/>
                <w:sz w:val="24"/>
                <w:szCs w:val="24"/>
                <w:vertAlign w:val="superscript"/>
                <w:lang w:val="en-US"/>
              </w:rPr>
              <w:t>3</w:t>
            </w:r>
            <w:r>
              <w:rPr>
                <w:rFonts w:ascii="Times New Roman" w:hAnsi="Times New Roman" w:cs="Times New Roman"/>
                <w:kern w:val="0"/>
                <w:sz w:val="24"/>
                <w:szCs w:val="24"/>
                <w:lang w:val="en-US"/>
              </w:rPr>
              <w:t>）</w:t>
            </w:r>
            <w:r>
              <w:rPr>
                <w:rFonts w:ascii="Times New Roman" w:hAnsi="Times New Roman" w:cs="Times New Roman"/>
                <w:kern w:val="0"/>
                <w:sz w:val="24"/>
                <w:szCs w:val="24"/>
              </w:rPr>
              <w:t>，</w:t>
            </w:r>
            <w:r>
              <w:rPr>
                <w:rFonts w:ascii="Times New Roman" w:hAnsi="Times New Roman" w:cs="Times New Roman"/>
                <w:kern w:val="0"/>
                <w:sz w:val="24"/>
                <w:szCs w:val="24"/>
                <w:lang w:val="en-US"/>
              </w:rPr>
              <w:t>污泥收集</w:t>
            </w:r>
            <w:r>
              <w:rPr>
                <w:rFonts w:ascii="Times New Roman" w:hAnsi="Times New Roman" w:cs="Times New Roman"/>
                <w:kern w:val="0"/>
                <w:sz w:val="24"/>
                <w:szCs w:val="24"/>
              </w:rPr>
              <w:t>池</w:t>
            </w:r>
            <w:r>
              <w:rPr>
                <w:rFonts w:ascii="Times New Roman" w:hAnsi="Times New Roman" w:cs="Times New Roman"/>
                <w:kern w:val="0"/>
                <w:sz w:val="24"/>
                <w:szCs w:val="24"/>
                <w:lang w:val="en-US"/>
              </w:rPr>
              <w:t>100</w:t>
            </w:r>
            <w:r>
              <w:rPr>
                <w:rFonts w:ascii="Times New Roman" w:hAnsi="Times New Roman" w:cs="Times New Roman"/>
                <w:kern w:val="0"/>
                <w:sz w:val="24"/>
                <w:szCs w:val="24"/>
              </w:rPr>
              <w:t xml:space="preserve"> </w:t>
            </w:r>
            <w:r>
              <w:rPr>
                <w:rFonts w:ascii="Times New Roman" w:hAnsi="Times New Roman" w:cs="Times New Roman"/>
                <w:kern w:val="0"/>
                <w:sz w:val="24"/>
                <w:szCs w:val="24"/>
                <w:lang w:val="en-US"/>
              </w:rPr>
              <w:t>m</w:t>
            </w:r>
            <w:r>
              <w:rPr>
                <w:rFonts w:ascii="Times New Roman" w:hAnsi="Times New Roman" w:cs="Times New Roman"/>
                <w:kern w:val="0"/>
                <w:sz w:val="24"/>
                <w:szCs w:val="24"/>
                <w:vertAlign w:val="superscript"/>
                <w:lang w:val="en-US"/>
              </w:rPr>
              <w:t>3</w:t>
            </w:r>
            <w:r>
              <w:rPr>
                <w:rFonts w:ascii="Times New Roman" w:hAnsi="Times New Roman" w:cs="Times New Roman"/>
                <w:kern w:val="0"/>
                <w:sz w:val="24"/>
                <w:szCs w:val="24"/>
                <w:lang w:val="en-US"/>
              </w:rPr>
              <w:t>（2个，每个50m</w:t>
            </w:r>
            <w:r>
              <w:rPr>
                <w:rFonts w:ascii="Times New Roman" w:hAnsi="Times New Roman" w:cs="Times New Roman"/>
                <w:kern w:val="0"/>
                <w:sz w:val="24"/>
                <w:szCs w:val="24"/>
                <w:vertAlign w:val="superscript"/>
                <w:lang w:val="en-US"/>
              </w:rPr>
              <w:t>3</w:t>
            </w:r>
            <w:r>
              <w:rPr>
                <w:rFonts w:ascii="Times New Roman" w:hAnsi="Times New Roman" w:cs="Times New Roman"/>
                <w:kern w:val="0"/>
                <w:sz w:val="24"/>
                <w:szCs w:val="24"/>
                <w:lang w:val="en-US"/>
              </w:rPr>
              <w:t>）</w:t>
            </w:r>
            <w:r>
              <w:rPr>
                <w:rFonts w:ascii="Times New Roman" w:hAnsi="Times New Roman" w:cs="Times New Roman"/>
                <w:kern w:val="0"/>
                <w:sz w:val="24"/>
                <w:szCs w:val="24"/>
              </w:rPr>
              <w:t>，</w:t>
            </w:r>
            <w:r>
              <w:rPr>
                <w:rFonts w:ascii="Times New Roman" w:hAnsi="Times New Roman" w:cs="Times New Roman"/>
                <w:kern w:val="0"/>
                <w:sz w:val="24"/>
                <w:szCs w:val="24"/>
                <w:lang w:val="en-US"/>
              </w:rPr>
              <w:t>生产废水收集池400m</w:t>
            </w:r>
            <w:r>
              <w:rPr>
                <w:rFonts w:ascii="Times New Roman" w:hAnsi="Times New Roman" w:cs="Times New Roman"/>
                <w:kern w:val="0"/>
                <w:sz w:val="24"/>
                <w:szCs w:val="24"/>
                <w:vertAlign w:val="superscript"/>
                <w:lang w:val="en-US"/>
              </w:rPr>
              <w:t>3</w:t>
            </w:r>
            <w:r>
              <w:rPr>
                <w:rFonts w:ascii="Times New Roman" w:hAnsi="Times New Roman" w:cs="Times New Roman"/>
                <w:kern w:val="0"/>
                <w:sz w:val="24"/>
                <w:szCs w:val="24"/>
                <w:lang w:val="en-US"/>
              </w:rPr>
              <w:t>（2个，每个200m</w:t>
            </w:r>
            <w:r>
              <w:rPr>
                <w:rFonts w:ascii="Times New Roman" w:hAnsi="Times New Roman" w:cs="Times New Roman"/>
                <w:kern w:val="0"/>
                <w:sz w:val="24"/>
                <w:szCs w:val="24"/>
                <w:vertAlign w:val="superscript"/>
                <w:lang w:val="en-US"/>
              </w:rPr>
              <w:t>3</w:t>
            </w:r>
            <w:r>
              <w:rPr>
                <w:rFonts w:ascii="Times New Roman" w:hAnsi="Times New Roman" w:cs="Times New Roman"/>
                <w:kern w:val="0"/>
                <w:sz w:val="24"/>
                <w:szCs w:val="24"/>
                <w:lang w:val="en-US"/>
              </w:rPr>
              <w:t>）</w:t>
            </w:r>
            <w:r>
              <w:rPr>
                <w:rFonts w:ascii="Times New Roman" w:hAnsi="Times New Roman" w:cs="Times New Roman"/>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项目主要工程内容如下表所示。</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表2.1-1 项目建设内容组成一览表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20"/>
              <w:gridCol w:w="1071"/>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6"/>
                    <w:spacing w:line="360" w:lineRule="exact"/>
                    <w:rPr>
                      <w:color w:val="auto"/>
                      <w:szCs w:val="21"/>
                    </w:rPr>
                  </w:pPr>
                  <w:r>
                    <w:rPr>
                      <w:color w:val="auto"/>
                      <w:szCs w:val="21"/>
                    </w:rPr>
                    <w:t>类别</w:t>
                  </w:r>
                </w:p>
              </w:tc>
              <w:tc>
                <w:tcPr>
                  <w:tcW w:w="1791" w:type="dxa"/>
                  <w:gridSpan w:val="2"/>
                  <w:vAlign w:val="center"/>
                </w:tcPr>
                <w:p>
                  <w:pPr>
                    <w:pStyle w:val="26"/>
                    <w:spacing w:line="360" w:lineRule="exact"/>
                    <w:rPr>
                      <w:color w:val="auto"/>
                      <w:szCs w:val="21"/>
                    </w:rPr>
                  </w:pPr>
                  <w:r>
                    <w:rPr>
                      <w:color w:val="auto"/>
                      <w:szCs w:val="21"/>
                    </w:rPr>
                    <w:t>工程内容</w:t>
                  </w:r>
                </w:p>
              </w:tc>
              <w:tc>
                <w:tcPr>
                  <w:tcW w:w="5018" w:type="dxa"/>
                  <w:vAlign w:val="center"/>
                </w:tcPr>
                <w:p>
                  <w:pPr>
                    <w:pStyle w:val="26"/>
                    <w:spacing w:line="360" w:lineRule="exact"/>
                    <w:rPr>
                      <w:color w:val="auto"/>
                      <w:szCs w:val="21"/>
                    </w:rPr>
                  </w:pPr>
                  <w:r>
                    <w:rPr>
                      <w:color w:val="auto"/>
                      <w:szCs w:val="21"/>
                    </w:rPr>
                    <w:t>建筑内容及规模</w:t>
                  </w:r>
                </w:p>
              </w:tc>
              <w:tc>
                <w:tcPr>
                  <w:tcW w:w="1064" w:type="dxa"/>
                  <w:vAlign w:val="center"/>
                </w:tcPr>
                <w:p>
                  <w:pPr>
                    <w:pStyle w:val="26"/>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Merge w:val="restart"/>
                  <w:vAlign w:val="center"/>
                </w:tcPr>
                <w:p>
                  <w:pPr>
                    <w:pStyle w:val="26"/>
                    <w:spacing w:line="360" w:lineRule="exact"/>
                    <w:rPr>
                      <w:color w:val="auto"/>
                      <w:szCs w:val="21"/>
                    </w:rPr>
                  </w:pPr>
                  <w:r>
                    <w:rPr>
                      <w:color w:val="auto"/>
                      <w:szCs w:val="21"/>
                    </w:rPr>
                    <w:t>主体工程</w:t>
                  </w:r>
                </w:p>
              </w:tc>
              <w:tc>
                <w:tcPr>
                  <w:tcW w:w="720" w:type="dxa"/>
                  <w:vMerge w:val="restart"/>
                  <w:vAlign w:val="center"/>
                </w:tcPr>
                <w:p>
                  <w:pPr>
                    <w:pStyle w:val="26"/>
                    <w:spacing w:line="360" w:lineRule="exact"/>
                    <w:rPr>
                      <w:color w:val="auto"/>
                      <w:szCs w:val="21"/>
                    </w:rPr>
                  </w:pPr>
                  <w:r>
                    <w:rPr>
                      <w:color w:val="auto"/>
                      <w:szCs w:val="21"/>
                      <w:lang w:val="en-US"/>
                    </w:rPr>
                    <w:t>1#</w:t>
                  </w:r>
                  <w:r>
                    <w:rPr>
                      <w:color w:val="auto"/>
                      <w:szCs w:val="21"/>
                    </w:rPr>
                    <w:t>生产</w:t>
                  </w:r>
                  <w:r>
                    <w:rPr>
                      <w:color w:val="auto"/>
                      <w:szCs w:val="21"/>
                      <w:lang w:val="en-US"/>
                    </w:rPr>
                    <w:t>线</w:t>
                  </w:r>
                </w:p>
              </w:tc>
              <w:tc>
                <w:tcPr>
                  <w:tcW w:w="1071" w:type="dxa"/>
                  <w:vAlign w:val="center"/>
                </w:tcPr>
                <w:p>
                  <w:pPr>
                    <w:pStyle w:val="26"/>
                    <w:spacing w:line="360" w:lineRule="exact"/>
                    <w:rPr>
                      <w:color w:val="auto"/>
                      <w:szCs w:val="21"/>
                    </w:rPr>
                  </w:pPr>
                  <w:r>
                    <w:rPr>
                      <w:color w:val="auto"/>
                      <w:szCs w:val="21"/>
                      <w:lang w:val="en-US"/>
                    </w:rPr>
                    <w:t>1#</w:t>
                  </w:r>
                  <w:r>
                    <w:rPr>
                      <w:color w:val="auto"/>
                      <w:szCs w:val="21"/>
                    </w:rPr>
                    <w:t>破碎车间</w:t>
                  </w:r>
                </w:p>
              </w:tc>
              <w:tc>
                <w:tcPr>
                  <w:tcW w:w="5018" w:type="dxa"/>
                  <w:vAlign w:val="center"/>
                </w:tcPr>
                <w:p>
                  <w:pPr>
                    <w:pStyle w:val="26"/>
                    <w:spacing w:line="360" w:lineRule="exact"/>
                    <w:ind w:firstLine="210" w:firstLineChars="100"/>
                    <w:jc w:val="both"/>
                    <w:rPr>
                      <w:color w:val="auto"/>
                      <w:szCs w:val="21"/>
                    </w:rPr>
                  </w:pPr>
                  <w:r>
                    <w:rPr>
                      <w:color w:val="auto"/>
                      <w:szCs w:val="21"/>
                    </w:rPr>
                    <w:t>根据设计，项目共设置</w:t>
                  </w:r>
                  <w:r>
                    <w:rPr>
                      <w:color w:val="auto"/>
                      <w:szCs w:val="21"/>
                      <w:lang w:val="en-US"/>
                    </w:rPr>
                    <w:t>1354.68</w:t>
                  </w:r>
                  <w:r>
                    <w:rPr>
                      <w:color w:val="auto"/>
                      <w:szCs w:val="21"/>
                    </w:rPr>
                    <w:t>m²的生产车间，共设置</w:t>
                  </w:r>
                  <w:r>
                    <w:rPr>
                      <w:color w:val="auto"/>
                      <w:szCs w:val="21"/>
                      <w:lang w:val="en-US"/>
                    </w:rPr>
                    <w:t>两</w:t>
                  </w:r>
                  <w:r>
                    <w:rPr>
                      <w:color w:val="auto"/>
                      <w:szCs w:val="21"/>
                    </w:rPr>
                    <w:t>条生产线，生产线包括破碎车间和筛分水洗车间，其中</w:t>
                  </w:r>
                  <w:r>
                    <w:rPr>
                      <w:color w:val="auto"/>
                      <w:szCs w:val="21"/>
                      <w:lang w:val="en-US"/>
                    </w:rPr>
                    <w:t>1#</w:t>
                  </w:r>
                  <w:r>
                    <w:rPr>
                      <w:color w:val="auto"/>
                      <w:szCs w:val="21"/>
                    </w:rPr>
                    <w:t>破碎车间建筑面积约为</w:t>
                  </w:r>
                  <w:r>
                    <w:rPr>
                      <w:color w:val="auto"/>
                      <w:szCs w:val="21"/>
                      <w:lang w:val="en-US"/>
                    </w:rPr>
                    <w:t>200</w:t>
                  </w:r>
                  <w:r>
                    <w:rPr>
                      <w:color w:val="auto"/>
                      <w:szCs w:val="21"/>
                    </w:rPr>
                    <w:t>m²，</w:t>
                  </w:r>
                  <w:r>
                    <w:rPr>
                      <w:color w:val="auto"/>
                      <w:szCs w:val="21"/>
                      <w:lang w:val="en-US"/>
                    </w:rPr>
                    <w:t>1#</w:t>
                  </w:r>
                  <w:r>
                    <w:rPr>
                      <w:color w:val="auto"/>
                      <w:szCs w:val="21"/>
                    </w:rPr>
                    <w:t>破碎车间内配套设置1台</w:t>
                  </w:r>
                  <w:r>
                    <w:rPr>
                      <w:color w:val="auto"/>
                      <w:szCs w:val="21"/>
                      <w:lang w:val="en-US"/>
                    </w:rPr>
                    <w:t>颚式破碎机</w:t>
                  </w:r>
                  <w:r>
                    <w:rPr>
                      <w:color w:val="auto"/>
                      <w:szCs w:val="21"/>
                    </w:rPr>
                    <w:t>对进入厂区的清淤固废（河沙）进行一段破碎。调节颚式破碎机的参数，破碎后的物料其规格均Φ≤1</w:t>
                  </w:r>
                  <w:r>
                    <w:rPr>
                      <w:color w:val="auto"/>
                      <w:szCs w:val="21"/>
                      <w:lang w:val="en-US"/>
                    </w:rPr>
                    <w:t>8</w:t>
                  </w:r>
                  <w:r>
                    <w:rPr>
                      <w:color w:val="auto"/>
                      <w:szCs w:val="21"/>
                    </w:rPr>
                    <w:t>0mm。</w:t>
                  </w:r>
                </w:p>
              </w:tc>
              <w:tc>
                <w:tcPr>
                  <w:tcW w:w="1064" w:type="dxa"/>
                  <w:vAlign w:val="center"/>
                </w:tcPr>
                <w:p>
                  <w:pPr>
                    <w:pStyle w:val="26"/>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color w:val="auto"/>
                      <w:szCs w:val="21"/>
                    </w:rPr>
                  </w:pPr>
                  <w:r>
                    <w:rPr>
                      <w:color w:val="auto"/>
                      <w:szCs w:val="21"/>
                    </w:rPr>
                    <w:t>筛分水洗车间</w:t>
                  </w:r>
                </w:p>
              </w:tc>
              <w:tc>
                <w:tcPr>
                  <w:tcW w:w="5018" w:type="dxa"/>
                  <w:vAlign w:val="center"/>
                </w:tcPr>
                <w:p>
                  <w:pPr>
                    <w:pStyle w:val="26"/>
                    <w:spacing w:line="360" w:lineRule="atLeast"/>
                    <w:ind w:firstLine="210" w:firstLineChars="100"/>
                    <w:jc w:val="both"/>
                    <w:rPr>
                      <w:color w:val="auto"/>
                      <w:szCs w:val="21"/>
                    </w:rPr>
                  </w:pPr>
                  <w:r>
                    <w:rPr>
                      <w:color w:val="auto"/>
                      <w:szCs w:val="21"/>
                    </w:rPr>
                    <w:t>根据设计，项目拟设置</w:t>
                  </w:r>
                  <w:r>
                    <w:rPr>
                      <w:color w:val="auto"/>
                      <w:szCs w:val="21"/>
                      <w:lang w:val="en-US"/>
                    </w:rPr>
                    <w:t>建筑面积约400</w:t>
                  </w:r>
                  <w:r>
                    <w:rPr>
                      <w:color w:val="auto"/>
                      <w:szCs w:val="21"/>
                    </w:rPr>
                    <w:t>m²的</w:t>
                  </w:r>
                  <w:r>
                    <w:rPr>
                      <w:color w:val="auto"/>
                      <w:szCs w:val="21"/>
                      <w:lang w:val="en-US"/>
                    </w:rPr>
                    <w:t>1#</w:t>
                  </w:r>
                  <w:r>
                    <w:rPr>
                      <w:color w:val="auto"/>
                      <w:szCs w:val="21"/>
                    </w:rPr>
                    <w:t>筛分水洗车间，该车间内建设设施包括筛分设备、水洗设备和脱水设备。具体如下：</w:t>
                  </w:r>
                </w:p>
                <w:p>
                  <w:pPr>
                    <w:pStyle w:val="26"/>
                    <w:spacing w:line="360" w:lineRule="atLeast"/>
                    <w:ind w:firstLine="210" w:firstLineChars="100"/>
                    <w:jc w:val="both"/>
                    <w:rPr>
                      <w:color w:val="auto"/>
                      <w:szCs w:val="21"/>
                    </w:rPr>
                  </w:pPr>
                  <w:r>
                    <w:rPr>
                      <w:color w:val="auto"/>
                      <w:szCs w:val="21"/>
                    </w:rPr>
                    <w:t>①筛分</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经过颚式破碎机破碎后Φ≤180mm的物料进入四套振动筛进行筛分，根据需要对四套振动筛配套不同的筛网。其中一级破碎后振动筛筛分得到规格为Φ0-5mm的颗粒料（自然砂），以及规格为Φ5-180mm砂石；二级破碎后振动筛筛分得到规格为Φ0-5mm的颗粒料（机制砂），以及规格为Φ5-50mm砂石；三级破碎后振动筛筛分得到规格为Φ0-5mm的颗粒料（自然砂）、Φ10-20mm的颗粒料、Φ20-31.5mm的颗粒料，以及规格为Φ5-10mm、Φ31.5-50mm的中间料。</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筛分后，Φ0-5mm的颗粒料进入水洗工序；各中间料，分别进入对应的中转仓暂存后，再次进行破碎加工。</w:t>
                  </w:r>
                </w:p>
                <w:p>
                  <w:pPr>
                    <w:pStyle w:val="26"/>
                    <w:spacing w:line="360" w:lineRule="atLeast"/>
                    <w:ind w:firstLine="210" w:firstLineChars="100"/>
                    <w:jc w:val="both"/>
                    <w:rPr>
                      <w:color w:val="auto"/>
                      <w:szCs w:val="21"/>
                    </w:rPr>
                  </w:pPr>
                  <w:r>
                    <w:rPr>
                      <w:color w:val="auto"/>
                      <w:szCs w:val="21"/>
                    </w:rPr>
                    <w:t>②水洗</w:t>
                  </w:r>
                </w:p>
                <w:p>
                  <w:pPr>
                    <w:pStyle w:val="26"/>
                    <w:spacing w:line="360" w:lineRule="atLeast"/>
                    <w:ind w:firstLine="210" w:firstLineChars="100"/>
                    <w:jc w:val="both"/>
                    <w:rPr>
                      <w:color w:val="auto"/>
                      <w:szCs w:val="21"/>
                    </w:rPr>
                  </w:pPr>
                  <w:r>
                    <w:rPr>
                      <w:color w:val="auto"/>
                      <w:szCs w:val="21"/>
                      <w:lang w:val="en-US"/>
                    </w:rPr>
                    <w:t>1#</w:t>
                  </w:r>
                  <w:r>
                    <w:rPr>
                      <w:color w:val="auto"/>
                      <w:szCs w:val="21"/>
                    </w:rPr>
                    <w:t>筛分水洗车间的水洗工序配套设置两套螺旋洗砂机分别对筛分后的Φ0-</w:t>
                  </w:r>
                  <w:r>
                    <w:rPr>
                      <w:color w:val="auto"/>
                      <w:szCs w:val="21"/>
                      <w:lang w:val="en-US"/>
                    </w:rPr>
                    <w:t>5</w:t>
                  </w:r>
                  <w:r>
                    <w:rPr>
                      <w:color w:val="auto"/>
                      <w:szCs w:val="21"/>
                    </w:rPr>
                    <w:t>mm的颗粒料（</w:t>
                  </w:r>
                  <w:r>
                    <w:rPr>
                      <w:color w:val="auto"/>
                      <w:szCs w:val="21"/>
                      <w:lang w:val="en-US"/>
                    </w:rPr>
                    <w:t>自然砂</w:t>
                  </w:r>
                  <w:r>
                    <w:rPr>
                      <w:color w:val="auto"/>
                      <w:szCs w:val="21"/>
                    </w:rPr>
                    <w:t>）和Φ0-</w:t>
                  </w:r>
                  <w:r>
                    <w:rPr>
                      <w:color w:val="auto"/>
                      <w:szCs w:val="21"/>
                      <w:lang w:val="en-US"/>
                    </w:rPr>
                    <w:t>5</w:t>
                  </w:r>
                  <w:r>
                    <w:rPr>
                      <w:color w:val="auto"/>
                      <w:szCs w:val="21"/>
                    </w:rPr>
                    <w:t>mm的颗粒料（</w:t>
                  </w:r>
                  <w:r>
                    <w:rPr>
                      <w:color w:val="auto"/>
                      <w:szCs w:val="21"/>
                      <w:lang w:val="en-US"/>
                    </w:rPr>
                    <w:t>机制砂</w:t>
                  </w:r>
                  <w:r>
                    <w:rPr>
                      <w:color w:val="auto"/>
                      <w:szCs w:val="21"/>
                    </w:rPr>
                    <w:t>）进行清洗。</w:t>
                  </w:r>
                </w:p>
                <w:p>
                  <w:pPr>
                    <w:pStyle w:val="26"/>
                    <w:spacing w:line="360" w:lineRule="atLeast"/>
                    <w:ind w:firstLine="210" w:firstLineChars="100"/>
                    <w:jc w:val="both"/>
                    <w:rPr>
                      <w:color w:val="auto"/>
                      <w:szCs w:val="21"/>
                    </w:rPr>
                  </w:pPr>
                  <w:r>
                    <w:rPr>
                      <w:color w:val="auto"/>
                      <w:szCs w:val="21"/>
                    </w:rPr>
                    <w:t>③脱水</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kern w:val="0"/>
                    </w:rPr>
                    <w:t>根据设计，筛分水洗车间的脱水工序配套设置两套脱水筛对水洗后</w:t>
                  </w:r>
                  <w:r>
                    <w:rPr>
                      <w:rFonts w:ascii="Times New Roman" w:hAnsi="Times New Roman" w:eastAsia="宋体" w:cs="Times New Roman"/>
                      <w:bCs/>
                    </w:rPr>
                    <w:t>的Φ0-5mm颗粒料（自然砂）和Φ0-5mm的颗粒料（机制砂）分别进入两套脱水筛进行脱水，脱水后的得到规格为Φ0-5mm颗粒料（自然砂）和Φ0-5mm的颗粒料（机制砂）产品，Φ0-5mm颗粒料（自然砂）产品和Φ0-5mm的颗粒料（机制砂）均进入1#产品库进行堆存。</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该过程会产生大量的废水，废水进入废水处理系统进行处理后，全部回用不外排。</w:t>
                  </w:r>
                </w:p>
                <w:p>
                  <w:pPr>
                    <w:pStyle w:val="26"/>
                    <w:spacing w:line="360" w:lineRule="exact"/>
                    <w:ind w:firstLine="210" w:firstLineChars="100"/>
                    <w:jc w:val="both"/>
                    <w:rPr>
                      <w:color w:val="auto"/>
                      <w:szCs w:val="21"/>
                    </w:rPr>
                  </w:pPr>
                </w:p>
              </w:tc>
              <w:tc>
                <w:tcPr>
                  <w:tcW w:w="1064" w:type="dxa"/>
                  <w:vAlign w:val="center"/>
                </w:tcPr>
                <w:p>
                  <w:pPr>
                    <w:pStyle w:val="26"/>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color w:val="auto"/>
                      <w:szCs w:val="21"/>
                      <w:lang w:val="en-US"/>
                    </w:rPr>
                  </w:pPr>
                  <w:r>
                    <w:rPr>
                      <w:color w:val="auto"/>
                      <w:szCs w:val="21"/>
                      <w:lang w:val="en-US"/>
                    </w:rPr>
                    <w:t>1#检修大棚</w:t>
                  </w:r>
                </w:p>
              </w:tc>
              <w:tc>
                <w:tcPr>
                  <w:tcW w:w="5018" w:type="dxa"/>
                  <w:vAlign w:val="center"/>
                </w:tcPr>
                <w:p>
                  <w:pPr>
                    <w:pStyle w:val="26"/>
                    <w:spacing w:line="360" w:lineRule="exact"/>
                    <w:ind w:firstLine="210" w:firstLineChars="100"/>
                    <w:jc w:val="both"/>
                    <w:rPr>
                      <w:color w:val="auto"/>
                      <w:szCs w:val="21"/>
                      <w:lang w:val="en-US"/>
                    </w:rPr>
                  </w:pPr>
                  <w:r>
                    <w:rPr>
                      <w:color w:val="auto"/>
                      <w:szCs w:val="21"/>
                      <w:lang w:val="en-US"/>
                    </w:rPr>
                    <w:t>项目拟建一座面积约77.34m</w:t>
                  </w:r>
                  <w:r>
                    <w:rPr>
                      <w:color w:val="auto"/>
                      <w:szCs w:val="21"/>
                      <w:vertAlign w:val="superscript"/>
                      <w:lang w:val="en-US"/>
                    </w:rPr>
                    <w:t>2</w:t>
                  </w:r>
                  <w:r>
                    <w:rPr>
                      <w:color w:val="auto"/>
                      <w:szCs w:val="21"/>
                      <w:lang w:val="en-US"/>
                    </w:rPr>
                    <w:t>的1#检修大棚，对1#生产线的设备进行检查、维修</w:t>
                  </w:r>
                </w:p>
              </w:tc>
              <w:tc>
                <w:tcPr>
                  <w:tcW w:w="1064" w:type="dxa"/>
                  <w:vAlign w:val="center"/>
                </w:tcPr>
                <w:p>
                  <w:pPr>
                    <w:pStyle w:val="26"/>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restart"/>
                  <w:vAlign w:val="center"/>
                </w:tcPr>
                <w:p>
                  <w:pPr>
                    <w:pStyle w:val="26"/>
                    <w:spacing w:line="360" w:lineRule="exact"/>
                    <w:rPr>
                      <w:color w:val="auto"/>
                      <w:szCs w:val="21"/>
                      <w:lang w:val="en-US"/>
                    </w:rPr>
                  </w:pPr>
                  <w:r>
                    <w:rPr>
                      <w:color w:val="auto"/>
                      <w:szCs w:val="21"/>
                      <w:lang w:val="en-US"/>
                    </w:rPr>
                    <w:t>2#生产线</w:t>
                  </w:r>
                </w:p>
              </w:tc>
              <w:tc>
                <w:tcPr>
                  <w:tcW w:w="1071" w:type="dxa"/>
                  <w:vAlign w:val="center"/>
                </w:tcPr>
                <w:p>
                  <w:pPr>
                    <w:pStyle w:val="26"/>
                    <w:spacing w:line="360" w:lineRule="exact"/>
                    <w:rPr>
                      <w:color w:val="auto"/>
                      <w:szCs w:val="21"/>
                    </w:rPr>
                  </w:pPr>
                  <w:r>
                    <w:rPr>
                      <w:color w:val="auto"/>
                      <w:szCs w:val="21"/>
                      <w:lang w:val="en-US"/>
                    </w:rPr>
                    <w:t>2#</w:t>
                  </w:r>
                  <w:r>
                    <w:rPr>
                      <w:color w:val="auto"/>
                      <w:szCs w:val="21"/>
                    </w:rPr>
                    <w:t>破碎车间</w:t>
                  </w:r>
                </w:p>
              </w:tc>
              <w:tc>
                <w:tcPr>
                  <w:tcW w:w="5018" w:type="dxa"/>
                  <w:vAlign w:val="center"/>
                </w:tcPr>
                <w:p>
                  <w:pPr>
                    <w:pStyle w:val="26"/>
                    <w:spacing w:line="360" w:lineRule="exact"/>
                    <w:ind w:firstLine="210" w:firstLineChars="100"/>
                    <w:jc w:val="both"/>
                    <w:rPr>
                      <w:color w:val="auto"/>
                      <w:szCs w:val="21"/>
                    </w:rPr>
                  </w:pPr>
                  <w:r>
                    <w:rPr>
                      <w:color w:val="auto"/>
                      <w:szCs w:val="21"/>
                      <w:lang w:val="en-US"/>
                    </w:rPr>
                    <w:t>2#</w:t>
                  </w:r>
                  <w:r>
                    <w:rPr>
                      <w:color w:val="auto"/>
                      <w:szCs w:val="21"/>
                    </w:rPr>
                    <w:t>破碎车间建筑面积约为</w:t>
                  </w:r>
                  <w:r>
                    <w:rPr>
                      <w:color w:val="auto"/>
                      <w:szCs w:val="21"/>
                      <w:lang w:val="en-US"/>
                    </w:rPr>
                    <w:t>200</w:t>
                  </w:r>
                  <w:r>
                    <w:rPr>
                      <w:color w:val="auto"/>
                      <w:szCs w:val="21"/>
                    </w:rPr>
                    <w:t>m²，</w:t>
                  </w:r>
                  <w:r>
                    <w:rPr>
                      <w:color w:val="auto"/>
                      <w:szCs w:val="21"/>
                      <w:lang w:val="en-US"/>
                    </w:rPr>
                    <w:t>2#</w:t>
                  </w:r>
                  <w:r>
                    <w:rPr>
                      <w:color w:val="auto"/>
                      <w:szCs w:val="21"/>
                    </w:rPr>
                    <w:t>破碎车间内配套设置1台</w:t>
                  </w:r>
                  <w:r>
                    <w:rPr>
                      <w:color w:val="auto"/>
                      <w:szCs w:val="21"/>
                      <w:lang w:val="en-US"/>
                    </w:rPr>
                    <w:t>颚式破碎机</w:t>
                  </w:r>
                  <w:r>
                    <w:rPr>
                      <w:color w:val="auto"/>
                      <w:szCs w:val="21"/>
                    </w:rPr>
                    <w:t>对进入厂区的清淤固废（河沙）进行一段破碎。调节颚式破碎机的参数，破碎后的物料其规格均Φ≤1</w:t>
                  </w:r>
                  <w:r>
                    <w:rPr>
                      <w:color w:val="auto"/>
                      <w:szCs w:val="21"/>
                      <w:lang w:val="en-US"/>
                    </w:rPr>
                    <w:t>8</w:t>
                  </w:r>
                  <w:r>
                    <w:rPr>
                      <w:color w:val="auto"/>
                      <w:szCs w:val="21"/>
                    </w:rPr>
                    <w:t>0mm。</w:t>
                  </w:r>
                </w:p>
              </w:tc>
              <w:tc>
                <w:tcPr>
                  <w:tcW w:w="1064" w:type="dxa"/>
                  <w:vAlign w:val="center"/>
                </w:tcPr>
                <w:p>
                  <w:pPr>
                    <w:pStyle w:val="26"/>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color w:val="auto"/>
                      <w:szCs w:val="21"/>
                    </w:rPr>
                  </w:pPr>
                  <w:r>
                    <w:rPr>
                      <w:color w:val="auto"/>
                      <w:szCs w:val="21"/>
                    </w:rPr>
                    <w:t>筛分水洗车间</w:t>
                  </w:r>
                </w:p>
              </w:tc>
              <w:tc>
                <w:tcPr>
                  <w:tcW w:w="5018" w:type="dxa"/>
                  <w:vAlign w:val="center"/>
                </w:tcPr>
                <w:p>
                  <w:pPr>
                    <w:pStyle w:val="26"/>
                    <w:spacing w:line="360" w:lineRule="atLeast"/>
                    <w:ind w:firstLine="210" w:firstLineChars="100"/>
                    <w:jc w:val="both"/>
                    <w:rPr>
                      <w:color w:val="auto"/>
                      <w:szCs w:val="21"/>
                    </w:rPr>
                  </w:pPr>
                  <w:r>
                    <w:rPr>
                      <w:color w:val="auto"/>
                      <w:szCs w:val="21"/>
                    </w:rPr>
                    <w:t>根据设计，项目拟设置</w:t>
                  </w:r>
                  <w:r>
                    <w:rPr>
                      <w:color w:val="auto"/>
                      <w:szCs w:val="21"/>
                      <w:lang w:val="en-US"/>
                    </w:rPr>
                    <w:t>建筑面积约400</w:t>
                  </w:r>
                  <w:r>
                    <w:rPr>
                      <w:color w:val="auto"/>
                      <w:szCs w:val="21"/>
                    </w:rPr>
                    <w:t>m²的</w:t>
                  </w:r>
                  <w:r>
                    <w:rPr>
                      <w:color w:val="auto"/>
                      <w:szCs w:val="21"/>
                      <w:lang w:val="en-US"/>
                    </w:rPr>
                    <w:t>2#</w:t>
                  </w:r>
                  <w:r>
                    <w:rPr>
                      <w:color w:val="auto"/>
                      <w:szCs w:val="21"/>
                    </w:rPr>
                    <w:t>筛分水洗车间，该车间内建设设施包括筛分设备、水洗设备和脱水设备。具体如下：</w:t>
                  </w:r>
                </w:p>
                <w:p>
                  <w:pPr>
                    <w:pStyle w:val="26"/>
                    <w:spacing w:line="360" w:lineRule="atLeast"/>
                    <w:ind w:firstLine="210" w:firstLineChars="100"/>
                    <w:jc w:val="both"/>
                    <w:rPr>
                      <w:color w:val="auto"/>
                      <w:szCs w:val="21"/>
                    </w:rPr>
                  </w:pPr>
                  <w:r>
                    <w:rPr>
                      <w:color w:val="auto"/>
                      <w:szCs w:val="21"/>
                    </w:rPr>
                    <w:t>①筛分</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经过颚式破碎机破碎后Φ≤180mm的物料进入四套振动筛进行筛分，根据需要对四套振动筛配套不同的筛网。其中一级破碎后振动筛筛分得到规格为Φ0-5mm的颗粒料（自然砂），以及规格为Φ5-180mm砂石；二级破碎后振动筛筛分得到规格为Φ0-5mm的颗粒料（机制砂），以及规格为Φ5-50mm砂石；三级破碎后振动筛筛分得到规格为Φ0-5mm的颗粒料（自然砂）、Φ10-20mm的颗粒料、Φ20-31.5mm的颗粒料，以及规格为Φ5-10mm、Φ31.5-50mm的中间料。</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筛分后，Φ0-5mm的颗粒料进入水洗工序；各中间料，分别进入对应的中转仓暂存后，再次进行破碎加工。</w:t>
                  </w:r>
                </w:p>
                <w:p>
                  <w:pPr>
                    <w:pStyle w:val="26"/>
                    <w:spacing w:line="360" w:lineRule="atLeast"/>
                    <w:ind w:firstLine="210" w:firstLineChars="100"/>
                    <w:jc w:val="both"/>
                    <w:rPr>
                      <w:color w:val="auto"/>
                      <w:szCs w:val="21"/>
                    </w:rPr>
                  </w:pPr>
                  <w:r>
                    <w:rPr>
                      <w:color w:val="auto"/>
                      <w:szCs w:val="21"/>
                    </w:rPr>
                    <w:t>②水洗</w:t>
                  </w:r>
                </w:p>
                <w:p>
                  <w:pPr>
                    <w:pStyle w:val="26"/>
                    <w:spacing w:line="360" w:lineRule="atLeast"/>
                    <w:ind w:firstLine="210" w:firstLineChars="100"/>
                    <w:jc w:val="both"/>
                    <w:rPr>
                      <w:color w:val="auto"/>
                      <w:szCs w:val="21"/>
                    </w:rPr>
                  </w:pPr>
                  <w:r>
                    <w:rPr>
                      <w:color w:val="auto"/>
                      <w:szCs w:val="21"/>
                      <w:lang w:val="en-US"/>
                    </w:rPr>
                    <w:t>2#</w:t>
                  </w:r>
                  <w:r>
                    <w:rPr>
                      <w:color w:val="auto"/>
                      <w:szCs w:val="21"/>
                    </w:rPr>
                    <w:t>筛分水洗车间的水洗工序配套设置两套螺旋洗砂机分别对筛分后的Φ0-</w:t>
                  </w:r>
                  <w:r>
                    <w:rPr>
                      <w:color w:val="auto"/>
                      <w:szCs w:val="21"/>
                      <w:lang w:val="en-US"/>
                    </w:rPr>
                    <w:t>5</w:t>
                  </w:r>
                  <w:r>
                    <w:rPr>
                      <w:color w:val="auto"/>
                      <w:szCs w:val="21"/>
                    </w:rPr>
                    <w:t>mm的颗粒料（</w:t>
                  </w:r>
                  <w:r>
                    <w:rPr>
                      <w:color w:val="auto"/>
                      <w:szCs w:val="21"/>
                      <w:lang w:val="en-US"/>
                    </w:rPr>
                    <w:t>自然砂</w:t>
                  </w:r>
                  <w:r>
                    <w:rPr>
                      <w:color w:val="auto"/>
                      <w:szCs w:val="21"/>
                    </w:rPr>
                    <w:t>）和Φ0-</w:t>
                  </w:r>
                  <w:r>
                    <w:rPr>
                      <w:color w:val="auto"/>
                      <w:szCs w:val="21"/>
                      <w:lang w:val="en-US"/>
                    </w:rPr>
                    <w:t>5</w:t>
                  </w:r>
                  <w:r>
                    <w:rPr>
                      <w:color w:val="auto"/>
                      <w:szCs w:val="21"/>
                    </w:rPr>
                    <w:t>mm的颗粒料（</w:t>
                  </w:r>
                  <w:r>
                    <w:rPr>
                      <w:color w:val="auto"/>
                      <w:szCs w:val="21"/>
                      <w:lang w:val="en-US"/>
                    </w:rPr>
                    <w:t>机制砂</w:t>
                  </w:r>
                  <w:r>
                    <w:rPr>
                      <w:color w:val="auto"/>
                      <w:szCs w:val="21"/>
                    </w:rPr>
                    <w:t>）进行清洗。</w:t>
                  </w:r>
                </w:p>
                <w:p>
                  <w:pPr>
                    <w:pStyle w:val="26"/>
                    <w:spacing w:line="360" w:lineRule="atLeast"/>
                    <w:ind w:firstLine="210" w:firstLineChars="100"/>
                    <w:jc w:val="both"/>
                    <w:rPr>
                      <w:color w:val="auto"/>
                      <w:szCs w:val="21"/>
                    </w:rPr>
                  </w:pPr>
                  <w:r>
                    <w:rPr>
                      <w:color w:val="auto"/>
                      <w:szCs w:val="21"/>
                    </w:rPr>
                    <w:t>③脱水</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kern w:val="0"/>
                    </w:rPr>
                    <w:t>根据设计，筛分水洗车间的脱水工序配套设置两套脱水筛对水洗后</w:t>
                  </w:r>
                  <w:r>
                    <w:rPr>
                      <w:rFonts w:ascii="Times New Roman" w:hAnsi="Times New Roman" w:eastAsia="宋体" w:cs="Times New Roman"/>
                      <w:bCs/>
                    </w:rPr>
                    <w:t>的Φ0-5mm颗粒料（自然砂）和Φ0-5mm的颗粒料（机制砂）分别进入两套脱水筛进行脱水，脱水后的得到规格为Φ0-5mm颗粒料（自然砂）和Φ0-5mm的颗粒料（机制砂）产品，Φ0-5mm颗粒料（自然砂）产品和Φ0-5mm的颗粒料（机制砂）均进入1#产品库进行堆存。</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该过程会产生大量的废水，废水进入废水处理系统进行处理后，全部回用不外排。</w:t>
                  </w:r>
                </w:p>
                <w:p>
                  <w:pPr>
                    <w:pStyle w:val="26"/>
                    <w:spacing w:line="360" w:lineRule="exact"/>
                    <w:ind w:firstLine="210" w:firstLineChars="100"/>
                    <w:jc w:val="both"/>
                    <w:rPr>
                      <w:color w:val="auto"/>
                      <w:szCs w:val="21"/>
                    </w:rPr>
                  </w:pPr>
                </w:p>
              </w:tc>
              <w:tc>
                <w:tcPr>
                  <w:tcW w:w="1064" w:type="dxa"/>
                  <w:vAlign w:val="center"/>
                </w:tcPr>
                <w:p>
                  <w:pPr>
                    <w:pStyle w:val="26"/>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color w:val="auto"/>
                      <w:szCs w:val="21"/>
                    </w:rPr>
                  </w:pPr>
                  <w:r>
                    <w:rPr>
                      <w:color w:val="auto"/>
                      <w:szCs w:val="21"/>
                      <w:lang w:val="en-US"/>
                    </w:rPr>
                    <w:t>2#检修大棚</w:t>
                  </w:r>
                </w:p>
              </w:tc>
              <w:tc>
                <w:tcPr>
                  <w:tcW w:w="5018" w:type="dxa"/>
                  <w:vAlign w:val="center"/>
                </w:tcPr>
                <w:p>
                  <w:pPr>
                    <w:pStyle w:val="26"/>
                    <w:spacing w:line="360" w:lineRule="exact"/>
                    <w:ind w:firstLine="210" w:firstLineChars="100"/>
                    <w:jc w:val="both"/>
                    <w:rPr>
                      <w:color w:val="auto"/>
                      <w:szCs w:val="21"/>
                    </w:rPr>
                  </w:pPr>
                  <w:r>
                    <w:rPr>
                      <w:color w:val="auto"/>
                      <w:szCs w:val="21"/>
                      <w:lang w:val="en-US"/>
                    </w:rPr>
                    <w:t>项目拟建一座面积约77.34m</w:t>
                  </w:r>
                  <w:r>
                    <w:rPr>
                      <w:color w:val="auto"/>
                      <w:szCs w:val="21"/>
                      <w:vertAlign w:val="superscript"/>
                      <w:lang w:val="en-US"/>
                    </w:rPr>
                    <w:t>2</w:t>
                  </w:r>
                  <w:r>
                    <w:rPr>
                      <w:color w:val="auto"/>
                      <w:szCs w:val="21"/>
                      <w:lang w:val="en-US"/>
                    </w:rPr>
                    <w:t>的2#检修大棚，对2#生产线的设备进行检查、维修</w:t>
                  </w:r>
                </w:p>
              </w:tc>
              <w:tc>
                <w:tcPr>
                  <w:tcW w:w="1064" w:type="dxa"/>
                  <w:vAlign w:val="center"/>
                </w:tcPr>
                <w:p>
                  <w:pPr>
                    <w:pStyle w:val="26"/>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shd w:val="clear" w:color="auto" w:fill="auto"/>
                  <w:vAlign w:val="center"/>
                </w:tcPr>
                <w:p>
                  <w:pPr>
                    <w:pStyle w:val="26"/>
                    <w:spacing w:line="360" w:lineRule="exact"/>
                    <w:rPr>
                      <w:color w:val="auto"/>
                      <w:szCs w:val="21"/>
                    </w:rPr>
                  </w:pPr>
                  <w:r>
                    <w:rPr>
                      <w:color w:val="auto"/>
                      <w:szCs w:val="21"/>
                    </w:rPr>
                    <w:t>储运工程</w:t>
                  </w:r>
                </w:p>
              </w:tc>
              <w:tc>
                <w:tcPr>
                  <w:tcW w:w="1791" w:type="dxa"/>
                  <w:gridSpan w:val="2"/>
                  <w:vAlign w:val="center"/>
                </w:tcPr>
                <w:p>
                  <w:pPr>
                    <w:pStyle w:val="26"/>
                    <w:spacing w:line="360" w:lineRule="exact"/>
                    <w:rPr>
                      <w:color w:val="auto"/>
                      <w:szCs w:val="21"/>
                    </w:rPr>
                  </w:pPr>
                  <w:r>
                    <w:rPr>
                      <w:color w:val="auto"/>
                      <w:szCs w:val="21"/>
                    </w:rPr>
                    <w:t>原料堆场</w:t>
                  </w:r>
                </w:p>
              </w:tc>
              <w:tc>
                <w:tcPr>
                  <w:tcW w:w="5018" w:type="dxa"/>
                  <w:shd w:val="clear" w:color="auto" w:fill="auto"/>
                  <w:vAlign w:val="center"/>
                </w:tcPr>
                <w:p>
                  <w:pPr>
                    <w:pStyle w:val="26"/>
                    <w:spacing w:line="360" w:lineRule="exact"/>
                    <w:ind w:firstLine="210" w:firstLineChars="100"/>
                    <w:jc w:val="both"/>
                    <w:rPr>
                      <w:color w:val="auto"/>
                      <w:szCs w:val="21"/>
                    </w:rPr>
                  </w:pPr>
                  <w:r>
                    <w:rPr>
                      <w:color w:val="auto"/>
                      <w:szCs w:val="21"/>
                    </w:rPr>
                    <w:t>根据项目所在区域的特点，为降低清淤固废（河沙）暂存对环境造成的影响，项目对小江小李庄段产生的清淤固废（河沙）直接运输至厂区生产车间进行加工，不再设置原料堆场。</w:t>
                  </w:r>
                </w:p>
              </w:tc>
              <w:tc>
                <w:tcPr>
                  <w:tcW w:w="1064" w:type="dxa"/>
                  <w:vAlign w:val="center"/>
                </w:tcPr>
                <w:p>
                  <w:pPr>
                    <w:pStyle w:val="26"/>
                    <w:spacing w:line="360" w:lineRule="exact"/>
                    <w:ind w:firstLine="210" w:firstLineChars="100"/>
                    <w:jc w:val="both"/>
                    <w:rPr>
                      <w:color w:val="auto"/>
                      <w:szCs w:val="21"/>
                    </w:rPr>
                  </w:pPr>
                  <w:r>
                    <w:rPr>
                      <w:color w:val="auto"/>
                      <w:szCs w:val="21"/>
                    </w:rPr>
                    <w:t>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6"/>
                    <w:spacing w:line="360" w:lineRule="exact"/>
                    <w:rPr>
                      <w:color w:val="auto"/>
                      <w:szCs w:val="21"/>
                    </w:rPr>
                  </w:pPr>
                </w:p>
              </w:tc>
              <w:tc>
                <w:tcPr>
                  <w:tcW w:w="1791" w:type="dxa"/>
                  <w:gridSpan w:val="2"/>
                  <w:vAlign w:val="center"/>
                </w:tcPr>
                <w:p>
                  <w:pPr>
                    <w:pStyle w:val="26"/>
                    <w:spacing w:line="360" w:lineRule="exact"/>
                    <w:rPr>
                      <w:color w:val="auto"/>
                      <w:szCs w:val="21"/>
                    </w:rPr>
                  </w:pPr>
                  <w:r>
                    <w:rPr>
                      <w:color w:val="auto"/>
                      <w:szCs w:val="21"/>
                    </w:rPr>
                    <w:t>中转仓</w:t>
                  </w:r>
                </w:p>
              </w:tc>
              <w:tc>
                <w:tcPr>
                  <w:tcW w:w="5018" w:type="dxa"/>
                  <w:shd w:val="clear" w:color="auto" w:fill="auto"/>
                  <w:vAlign w:val="center"/>
                </w:tcPr>
                <w:p>
                  <w:pPr>
                    <w:pStyle w:val="26"/>
                    <w:spacing w:line="360" w:lineRule="exact"/>
                    <w:ind w:firstLine="210" w:firstLineChars="100"/>
                    <w:jc w:val="both"/>
                    <w:rPr>
                      <w:color w:val="auto"/>
                      <w:szCs w:val="21"/>
                    </w:rPr>
                  </w:pPr>
                  <w:r>
                    <w:rPr>
                      <w:color w:val="auto"/>
                      <w:szCs w:val="21"/>
                    </w:rPr>
                    <w:t>根据设计，项目拟在破碎车间前端配套设置1个中转仓，该中转仓拟分为</w:t>
                  </w:r>
                  <w:r>
                    <w:rPr>
                      <w:color w:val="auto"/>
                      <w:szCs w:val="21"/>
                      <w:lang w:val="en-US"/>
                    </w:rPr>
                    <w:t>2</w:t>
                  </w:r>
                  <w:r>
                    <w:rPr>
                      <w:color w:val="auto"/>
                      <w:szCs w:val="21"/>
                    </w:rPr>
                    <w:t>格对筛分水洗车间产生的规格为Φ</w:t>
                  </w:r>
                  <w:r>
                    <w:rPr>
                      <w:color w:val="auto"/>
                      <w:szCs w:val="21"/>
                      <w:lang w:val="en-US"/>
                    </w:rPr>
                    <w:t>5-10</w:t>
                  </w:r>
                  <w:r>
                    <w:rPr>
                      <w:color w:val="auto"/>
                      <w:szCs w:val="21"/>
                    </w:rPr>
                    <w:t>mm、Φ</w:t>
                  </w:r>
                  <w:r>
                    <w:rPr>
                      <w:color w:val="auto"/>
                      <w:szCs w:val="21"/>
                      <w:lang w:val="en-US"/>
                    </w:rPr>
                    <w:t>31.5-50</w:t>
                  </w:r>
                  <w:r>
                    <w:rPr>
                      <w:color w:val="auto"/>
                      <w:szCs w:val="21"/>
                    </w:rPr>
                    <w:t>mm的中间料进行暂存，便于进入破碎车间各规格配套设置的破碎机进行破碎。</w:t>
                  </w:r>
                </w:p>
              </w:tc>
              <w:tc>
                <w:tcPr>
                  <w:tcW w:w="1064" w:type="dxa"/>
                  <w:vAlign w:val="center"/>
                </w:tcPr>
                <w:p>
                  <w:pPr>
                    <w:pStyle w:val="26"/>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6"/>
                    <w:spacing w:line="360" w:lineRule="exact"/>
                    <w:rPr>
                      <w:color w:val="auto"/>
                      <w:szCs w:val="21"/>
                    </w:rPr>
                  </w:pPr>
                </w:p>
              </w:tc>
              <w:tc>
                <w:tcPr>
                  <w:tcW w:w="1791" w:type="dxa"/>
                  <w:gridSpan w:val="2"/>
                  <w:vAlign w:val="center"/>
                </w:tcPr>
                <w:p>
                  <w:pPr>
                    <w:pStyle w:val="26"/>
                    <w:spacing w:line="360" w:lineRule="exact"/>
                    <w:rPr>
                      <w:color w:val="auto"/>
                      <w:szCs w:val="21"/>
                    </w:rPr>
                  </w:pPr>
                  <w:r>
                    <w:rPr>
                      <w:color w:val="auto"/>
                      <w:szCs w:val="21"/>
                    </w:rPr>
                    <w:t>产品库</w:t>
                  </w:r>
                </w:p>
              </w:tc>
              <w:tc>
                <w:tcPr>
                  <w:tcW w:w="5018" w:type="dxa"/>
                  <w:shd w:val="clear" w:color="auto" w:fill="auto"/>
                  <w:vAlign w:val="center"/>
                </w:tcPr>
                <w:p>
                  <w:pPr>
                    <w:pStyle w:val="26"/>
                    <w:spacing w:line="360" w:lineRule="exact"/>
                    <w:ind w:firstLine="210" w:firstLineChars="100"/>
                    <w:jc w:val="both"/>
                    <w:rPr>
                      <w:color w:val="auto"/>
                      <w:szCs w:val="21"/>
                    </w:rPr>
                  </w:pPr>
                  <w:r>
                    <w:rPr>
                      <w:color w:val="auto"/>
                      <w:szCs w:val="21"/>
                    </w:rPr>
                    <w:t>根据设计，项目拟配套设置</w:t>
                  </w:r>
                  <w:r>
                    <w:rPr>
                      <w:color w:val="auto"/>
                      <w:szCs w:val="21"/>
                      <w:lang w:val="en-US"/>
                    </w:rPr>
                    <w:t>建筑面积约2000</w:t>
                  </w:r>
                  <w:r>
                    <w:rPr>
                      <w:color w:val="auto"/>
                      <w:szCs w:val="21"/>
                    </w:rPr>
                    <w:t>m²的产品库，库房内设置</w:t>
                  </w:r>
                  <w:r>
                    <w:rPr>
                      <w:color w:val="auto"/>
                      <w:szCs w:val="21"/>
                      <w:lang w:val="en-US"/>
                    </w:rPr>
                    <w:t>3</w:t>
                  </w:r>
                  <w:r>
                    <w:rPr>
                      <w:color w:val="auto"/>
                      <w:szCs w:val="21"/>
                    </w:rPr>
                    <w:t>种料仓，分别为1#料仓暂存Φ0-</w:t>
                  </w:r>
                  <w:r>
                    <w:rPr>
                      <w:color w:val="auto"/>
                      <w:szCs w:val="21"/>
                      <w:lang w:val="en-US"/>
                    </w:rPr>
                    <w:t>5</w:t>
                  </w:r>
                  <w:r>
                    <w:rPr>
                      <w:color w:val="auto"/>
                      <w:szCs w:val="21"/>
                    </w:rPr>
                    <w:t>mm的颗粒料（</w:t>
                  </w:r>
                  <w:r>
                    <w:rPr>
                      <w:color w:val="auto"/>
                      <w:szCs w:val="21"/>
                      <w:lang w:val="en-US"/>
                    </w:rPr>
                    <w:t>自然砂</w:t>
                  </w:r>
                  <w:r>
                    <w:rPr>
                      <w:color w:val="auto"/>
                      <w:szCs w:val="21"/>
                    </w:rPr>
                    <w:t>）、Φ0-</w:t>
                  </w:r>
                  <w:r>
                    <w:rPr>
                      <w:color w:val="auto"/>
                      <w:szCs w:val="21"/>
                      <w:lang w:val="en-US"/>
                    </w:rPr>
                    <w:t>5</w:t>
                  </w:r>
                  <w:r>
                    <w:rPr>
                      <w:color w:val="auto"/>
                      <w:szCs w:val="21"/>
                    </w:rPr>
                    <w:t>mm的颗粒料（</w:t>
                  </w:r>
                  <w:r>
                    <w:rPr>
                      <w:color w:val="auto"/>
                      <w:szCs w:val="21"/>
                      <w:lang w:val="en-US"/>
                    </w:rPr>
                    <w:t>机制砂</w:t>
                  </w:r>
                  <w:r>
                    <w:rPr>
                      <w:color w:val="auto"/>
                      <w:szCs w:val="21"/>
                    </w:rPr>
                    <w:t>），2#料仓暂存Φ10-20mm的颗粒料，3#料仓暂存暂存Φ20-31.5mm的颗粒料。</w:t>
                  </w:r>
                </w:p>
              </w:tc>
              <w:tc>
                <w:tcPr>
                  <w:tcW w:w="1064" w:type="dxa"/>
                  <w:vAlign w:val="center"/>
                </w:tcPr>
                <w:p>
                  <w:pPr>
                    <w:pStyle w:val="26"/>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shd w:val="clear" w:color="auto" w:fill="auto"/>
                  <w:vAlign w:val="center"/>
                </w:tcPr>
                <w:p>
                  <w:pPr>
                    <w:pStyle w:val="26"/>
                    <w:spacing w:line="360" w:lineRule="exact"/>
                    <w:rPr>
                      <w:color w:val="auto"/>
                      <w:szCs w:val="21"/>
                    </w:rPr>
                  </w:pPr>
                  <w:r>
                    <w:rPr>
                      <w:color w:val="auto"/>
                      <w:szCs w:val="21"/>
                    </w:rPr>
                    <w:t>辅助工程</w:t>
                  </w:r>
                </w:p>
                <w:p>
                  <w:pPr>
                    <w:pStyle w:val="26"/>
                    <w:spacing w:line="360" w:lineRule="exact"/>
                    <w:rPr>
                      <w:color w:val="auto"/>
                      <w:szCs w:val="21"/>
                    </w:rPr>
                  </w:pPr>
                  <w:r>
                    <w:rPr>
                      <w:color w:val="auto"/>
                      <w:szCs w:val="21"/>
                    </w:rPr>
                    <w:t>依托工程</w:t>
                  </w:r>
                </w:p>
              </w:tc>
              <w:tc>
                <w:tcPr>
                  <w:tcW w:w="1791" w:type="dxa"/>
                  <w:gridSpan w:val="2"/>
                  <w:vAlign w:val="center"/>
                </w:tcPr>
                <w:p>
                  <w:pPr>
                    <w:pStyle w:val="26"/>
                    <w:spacing w:line="360" w:lineRule="exact"/>
                    <w:rPr>
                      <w:color w:val="auto"/>
                      <w:szCs w:val="21"/>
                    </w:rPr>
                  </w:pPr>
                  <w:r>
                    <w:rPr>
                      <w:color w:val="auto"/>
                      <w:szCs w:val="21"/>
                    </w:rPr>
                    <w:t>卫生间</w:t>
                  </w:r>
                </w:p>
              </w:tc>
              <w:tc>
                <w:tcPr>
                  <w:tcW w:w="5018" w:type="dxa"/>
                  <w:shd w:val="clear" w:color="auto" w:fill="auto"/>
                  <w:vAlign w:val="center"/>
                </w:tcPr>
                <w:p>
                  <w:pPr>
                    <w:pStyle w:val="26"/>
                    <w:spacing w:line="360" w:lineRule="exact"/>
                    <w:ind w:firstLine="210" w:firstLineChars="100"/>
                    <w:jc w:val="both"/>
                    <w:rPr>
                      <w:color w:val="auto"/>
                      <w:szCs w:val="21"/>
                    </w:rPr>
                  </w:pPr>
                  <w:r>
                    <w:rPr>
                      <w:color w:val="auto"/>
                      <w:szCs w:val="21"/>
                    </w:rPr>
                    <w:t>根据设计，建设单位拟在厂区</w:t>
                  </w:r>
                  <w:r>
                    <w:rPr>
                      <w:color w:val="auto"/>
                      <w:szCs w:val="21"/>
                      <w:lang w:val="en-US"/>
                    </w:rPr>
                    <w:t>南部紧邻工具库处</w:t>
                  </w:r>
                  <w:r>
                    <w:rPr>
                      <w:color w:val="auto"/>
                      <w:szCs w:val="21"/>
                    </w:rPr>
                    <w:t>配套设置一个100m²水冲厕供员工使用。</w:t>
                  </w:r>
                </w:p>
              </w:tc>
              <w:tc>
                <w:tcPr>
                  <w:tcW w:w="1064" w:type="dxa"/>
                  <w:vAlign w:val="center"/>
                </w:tcPr>
                <w:p>
                  <w:pPr>
                    <w:pStyle w:val="26"/>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6"/>
                    <w:spacing w:line="360" w:lineRule="exact"/>
                    <w:rPr>
                      <w:color w:val="auto"/>
                      <w:szCs w:val="21"/>
                    </w:rPr>
                  </w:pPr>
                </w:p>
              </w:tc>
              <w:tc>
                <w:tcPr>
                  <w:tcW w:w="1791" w:type="dxa"/>
                  <w:gridSpan w:val="2"/>
                  <w:vAlign w:val="center"/>
                </w:tcPr>
                <w:p>
                  <w:pPr>
                    <w:pStyle w:val="26"/>
                    <w:spacing w:line="360" w:lineRule="exact"/>
                    <w:rPr>
                      <w:color w:val="auto"/>
                      <w:szCs w:val="21"/>
                    </w:rPr>
                  </w:pPr>
                  <w:r>
                    <w:rPr>
                      <w:color w:val="auto"/>
                      <w:szCs w:val="21"/>
                    </w:rPr>
                    <w:t>磅秤</w:t>
                  </w:r>
                </w:p>
              </w:tc>
              <w:tc>
                <w:tcPr>
                  <w:tcW w:w="5018" w:type="dxa"/>
                  <w:shd w:val="clear" w:color="auto" w:fill="auto"/>
                  <w:vAlign w:val="center"/>
                </w:tcPr>
                <w:p>
                  <w:pPr>
                    <w:pStyle w:val="26"/>
                    <w:spacing w:line="360" w:lineRule="exact"/>
                    <w:ind w:firstLine="210" w:firstLineChars="100"/>
                    <w:jc w:val="both"/>
                    <w:rPr>
                      <w:color w:val="auto"/>
                      <w:szCs w:val="21"/>
                    </w:rPr>
                  </w:pPr>
                  <w:r>
                    <w:rPr>
                      <w:color w:val="auto"/>
                      <w:szCs w:val="21"/>
                    </w:rPr>
                    <w:t>建设单位拟</w:t>
                  </w:r>
                  <w:r>
                    <w:rPr>
                      <w:color w:val="auto"/>
                      <w:szCs w:val="21"/>
                      <w:lang w:val="en-US"/>
                    </w:rPr>
                    <w:t>在厂区西北侧项目区出入口处</w:t>
                  </w:r>
                  <w:r>
                    <w:rPr>
                      <w:color w:val="auto"/>
                      <w:szCs w:val="21"/>
                    </w:rPr>
                    <w:t>设置1台磅秤，</w:t>
                  </w:r>
                  <w:r>
                    <w:rPr>
                      <w:color w:val="auto"/>
                      <w:szCs w:val="21"/>
                      <w:lang w:val="en-US"/>
                    </w:rPr>
                    <w:t>建筑面积约为81</w:t>
                  </w:r>
                  <w:r>
                    <w:rPr>
                      <w:color w:val="auto"/>
                      <w:szCs w:val="21"/>
                    </w:rPr>
                    <w:t>m²。</w:t>
                  </w:r>
                </w:p>
              </w:tc>
              <w:tc>
                <w:tcPr>
                  <w:tcW w:w="1064" w:type="dxa"/>
                  <w:vAlign w:val="center"/>
                </w:tcPr>
                <w:p>
                  <w:pPr>
                    <w:pStyle w:val="26"/>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6"/>
                    <w:spacing w:line="360" w:lineRule="exact"/>
                    <w:rPr>
                      <w:color w:val="auto"/>
                      <w:szCs w:val="21"/>
                    </w:rPr>
                  </w:pPr>
                </w:p>
              </w:tc>
              <w:tc>
                <w:tcPr>
                  <w:tcW w:w="1791" w:type="dxa"/>
                  <w:gridSpan w:val="2"/>
                  <w:vAlign w:val="center"/>
                </w:tcPr>
                <w:p>
                  <w:pPr>
                    <w:pStyle w:val="26"/>
                    <w:spacing w:line="360" w:lineRule="exact"/>
                    <w:rPr>
                      <w:color w:val="auto"/>
                      <w:szCs w:val="21"/>
                    </w:rPr>
                  </w:pPr>
                  <w:r>
                    <w:rPr>
                      <w:color w:val="auto"/>
                      <w:szCs w:val="21"/>
                    </w:rPr>
                    <w:t>办公生活区</w:t>
                  </w:r>
                </w:p>
              </w:tc>
              <w:tc>
                <w:tcPr>
                  <w:tcW w:w="5018" w:type="dxa"/>
                  <w:shd w:val="clear" w:color="auto" w:fill="auto"/>
                  <w:vAlign w:val="center"/>
                </w:tcPr>
                <w:p>
                  <w:pPr>
                    <w:pStyle w:val="26"/>
                    <w:spacing w:line="360" w:lineRule="exact"/>
                    <w:ind w:firstLine="210" w:firstLineChars="100"/>
                    <w:jc w:val="both"/>
                    <w:rPr>
                      <w:color w:val="auto"/>
                      <w:szCs w:val="21"/>
                      <w:lang w:val="en-US"/>
                    </w:rPr>
                  </w:pPr>
                  <w:r>
                    <w:rPr>
                      <w:color w:val="auto"/>
                      <w:szCs w:val="21"/>
                    </w:rPr>
                    <w:t>根据企业实际情况，在生产区厂房</w:t>
                  </w:r>
                  <w:r>
                    <w:rPr>
                      <w:color w:val="auto"/>
                      <w:szCs w:val="21"/>
                      <w:lang w:val="en-US"/>
                    </w:rPr>
                    <w:t>南</w:t>
                  </w:r>
                  <w:r>
                    <w:rPr>
                      <w:color w:val="auto"/>
                      <w:szCs w:val="21"/>
                    </w:rPr>
                    <w:t>侧</w:t>
                  </w:r>
                  <w:r>
                    <w:rPr>
                      <w:color w:val="auto"/>
                      <w:szCs w:val="21"/>
                      <w:lang w:val="en-US"/>
                    </w:rPr>
                    <w:t>约</w:t>
                  </w:r>
                  <w:r>
                    <w:rPr>
                      <w:color w:val="auto"/>
                      <w:szCs w:val="21"/>
                    </w:rPr>
                    <w:t>20m处</w:t>
                  </w:r>
                  <w:r>
                    <w:rPr>
                      <w:color w:val="auto"/>
                      <w:szCs w:val="21"/>
                      <w:lang w:val="en-US"/>
                    </w:rPr>
                    <w:t>建设面积约为1400</w:t>
                  </w:r>
                  <w:r>
                    <w:rPr>
                      <w:color w:val="auto"/>
                      <w:szCs w:val="21"/>
                    </w:rPr>
                    <w:t>m²</w:t>
                  </w:r>
                  <w:r>
                    <w:rPr>
                      <w:color w:val="auto"/>
                      <w:szCs w:val="21"/>
                      <w:lang w:val="en-US"/>
                    </w:rPr>
                    <w:t>的</w:t>
                  </w:r>
                  <w:r>
                    <w:rPr>
                      <w:color w:val="auto"/>
                      <w:szCs w:val="21"/>
                    </w:rPr>
                    <w:t>办公</w:t>
                  </w:r>
                  <w:r>
                    <w:rPr>
                      <w:color w:val="auto"/>
                      <w:szCs w:val="21"/>
                      <w:lang w:val="en-US"/>
                    </w:rPr>
                    <w:t>生活区</w:t>
                  </w:r>
                  <w:r>
                    <w:rPr>
                      <w:color w:val="auto"/>
                      <w:szCs w:val="21"/>
                    </w:rPr>
                    <w:t>。</w:t>
                  </w:r>
                  <w:r>
                    <w:rPr>
                      <w:color w:val="auto"/>
                      <w:szCs w:val="21"/>
                      <w:lang w:val="en-US"/>
                    </w:rPr>
                    <w:t>其中办公楼建设面积约700</w:t>
                  </w:r>
                  <w:r>
                    <w:rPr>
                      <w:color w:val="auto"/>
                      <w:szCs w:val="21"/>
                    </w:rPr>
                    <w:t>m²；</w:t>
                  </w:r>
                  <w:r>
                    <w:rPr>
                      <w:color w:val="auto"/>
                      <w:szCs w:val="21"/>
                      <w:lang w:val="en-US"/>
                    </w:rPr>
                    <w:t>宿舍建设面积约700</w:t>
                  </w:r>
                  <w:r>
                    <w:rPr>
                      <w:color w:val="auto"/>
                      <w:szCs w:val="21"/>
                    </w:rPr>
                    <w:t>m²。</w:t>
                  </w:r>
                </w:p>
              </w:tc>
              <w:tc>
                <w:tcPr>
                  <w:tcW w:w="1064" w:type="dxa"/>
                  <w:vAlign w:val="center"/>
                </w:tcPr>
                <w:p>
                  <w:pPr>
                    <w:pStyle w:val="26"/>
                    <w:spacing w:line="360" w:lineRule="exact"/>
                    <w:rPr>
                      <w:color w:val="auto"/>
                      <w:szCs w:val="21"/>
                    </w:rPr>
                  </w:pPr>
                  <w:r>
                    <w:rPr>
                      <w:rFonts w:hint="eastAsia"/>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vAlign w:val="center"/>
                </w:tcPr>
                <w:p>
                  <w:pPr>
                    <w:pStyle w:val="26"/>
                    <w:spacing w:line="360" w:lineRule="exact"/>
                    <w:rPr>
                      <w:color w:val="auto"/>
                      <w:szCs w:val="21"/>
                    </w:rPr>
                  </w:pPr>
                  <w:r>
                    <w:rPr>
                      <w:color w:val="auto"/>
                      <w:szCs w:val="21"/>
                    </w:rPr>
                    <w:t>公用工程</w:t>
                  </w:r>
                </w:p>
              </w:tc>
              <w:tc>
                <w:tcPr>
                  <w:tcW w:w="1791" w:type="dxa"/>
                  <w:gridSpan w:val="2"/>
                  <w:vAlign w:val="center"/>
                </w:tcPr>
                <w:p>
                  <w:pPr>
                    <w:pStyle w:val="26"/>
                    <w:spacing w:line="360" w:lineRule="exact"/>
                    <w:rPr>
                      <w:color w:val="auto"/>
                      <w:szCs w:val="21"/>
                    </w:rPr>
                  </w:pPr>
                  <w:r>
                    <w:rPr>
                      <w:color w:val="auto"/>
                      <w:szCs w:val="21"/>
                    </w:rPr>
                    <w:t>供电</w:t>
                  </w:r>
                </w:p>
              </w:tc>
              <w:tc>
                <w:tcPr>
                  <w:tcW w:w="5018" w:type="dxa"/>
                  <w:vAlign w:val="center"/>
                </w:tcPr>
                <w:p>
                  <w:pPr>
                    <w:pStyle w:val="26"/>
                    <w:spacing w:line="360" w:lineRule="exact"/>
                    <w:ind w:firstLine="210" w:firstLineChars="100"/>
                    <w:jc w:val="both"/>
                    <w:rPr>
                      <w:color w:val="auto"/>
                      <w:szCs w:val="21"/>
                    </w:rPr>
                  </w:pPr>
                  <w:r>
                    <w:rPr>
                      <w:color w:val="auto"/>
                      <w:szCs w:val="21"/>
                    </w:rPr>
                    <w:t>供电由电力公司供给。</w:t>
                  </w:r>
                </w:p>
              </w:tc>
              <w:tc>
                <w:tcPr>
                  <w:tcW w:w="1064"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1791" w:type="dxa"/>
                  <w:gridSpan w:val="2"/>
                  <w:vAlign w:val="center"/>
                </w:tcPr>
                <w:p>
                  <w:pPr>
                    <w:pStyle w:val="26"/>
                    <w:spacing w:line="360" w:lineRule="exact"/>
                    <w:rPr>
                      <w:color w:val="auto"/>
                      <w:szCs w:val="21"/>
                    </w:rPr>
                  </w:pPr>
                  <w:r>
                    <w:rPr>
                      <w:color w:val="auto"/>
                      <w:szCs w:val="21"/>
                    </w:rPr>
                    <w:t>给水</w:t>
                  </w:r>
                </w:p>
              </w:tc>
              <w:tc>
                <w:tcPr>
                  <w:tcW w:w="5018" w:type="dxa"/>
                  <w:vAlign w:val="center"/>
                </w:tcPr>
                <w:p>
                  <w:pPr>
                    <w:pStyle w:val="26"/>
                    <w:spacing w:line="360" w:lineRule="exact"/>
                    <w:ind w:firstLine="105" w:firstLineChars="50"/>
                    <w:jc w:val="both"/>
                    <w:rPr>
                      <w:color w:val="auto"/>
                      <w:szCs w:val="21"/>
                    </w:rPr>
                  </w:pPr>
                  <w:r>
                    <w:rPr>
                      <w:color w:val="auto"/>
                      <w:szCs w:val="21"/>
                    </w:rPr>
                    <w:t>（1）生产用水</w:t>
                  </w:r>
                </w:p>
                <w:p>
                  <w:pPr>
                    <w:pStyle w:val="26"/>
                    <w:spacing w:line="360" w:lineRule="exact"/>
                    <w:ind w:firstLine="210" w:firstLineChars="100"/>
                    <w:jc w:val="both"/>
                    <w:rPr>
                      <w:color w:val="auto"/>
                      <w:szCs w:val="21"/>
                    </w:rPr>
                  </w:pPr>
                  <w:r>
                    <w:rPr>
                      <w:color w:val="auto"/>
                      <w:szCs w:val="21"/>
                    </w:rPr>
                    <w:t>项目生产用水定额为1.5m³/（m³·河沙），日处清淤固废（河沙）</w:t>
                  </w:r>
                  <w:r>
                    <w:rPr>
                      <w:color w:val="auto"/>
                      <w:szCs w:val="21"/>
                      <w:lang w:val="en-US"/>
                    </w:rPr>
                    <w:t>784.8</w:t>
                  </w:r>
                  <w:r>
                    <w:rPr>
                      <w:color w:val="auto"/>
                      <w:szCs w:val="21"/>
                    </w:rPr>
                    <w:t>m³，则用水量为</w:t>
                  </w:r>
                  <w:r>
                    <w:rPr>
                      <w:color w:val="auto"/>
                      <w:szCs w:val="21"/>
                      <w:lang w:val="en-US"/>
                    </w:rPr>
                    <w:t>1177.2</w:t>
                  </w:r>
                  <w:r>
                    <w:rPr>
                      <w:color w:val="auto"/>
                      <w:szCs w:val="21"/>
                    </w:rPr>
                    <w:t>m³/d，系统废水不外排，系统损失水、物料带走水分，定期补充，使用小江河水。</w:t>
                  </w:r>
                </w:p>
                <w:p>
                  <w:pPr>
                    <w:pStyle w:val="26"/>
                    <w:spacing w:line="360" w:lineRule="exact"/>
                    <w:ind w:firstLine="105" w:firstLineChars="50"/>
                    <w:jc w:val="both"/>
                    <w:rPr>
                      <w:color w:val="auto"/>
                      <w:szCs w:val="21"/>
                    </w:rPr>
                  </w:pPr>
                  <w:r>
                    <w:rPr>
                      <w:color w:val="auto"/>
                      <w:szCs w:val="21"/>
                    </w:rPr>
                    <w:t>（2）生活用水</w:t>
                  </w:r>
                </w:p>
                <w:p>
                  <w:pPr>
                    <w:pStyle w:val="26"/>
                    <w:spacing w:line="360" w:lineRule="exact"/>
                    <w:ind w:firstLine="210" w:firstLineChars="100"/>
                    <w:jc w:val="both"/>
                    <w:rPr>
                      <w:color w:val="auto"/>
                      <w:szCs w:val="21"/>
                    </w:rPr>
                  </w:pPr>
                  <w:r>
                    <w:rPr>
                      <w:color w:val="auto"/>
                      <w:szCs w:val="21"/>
                    </w:rPr>
                    <w:t>生活用水使用自来水。</w:t>
                  </w:r>
                </w:p>
              </w:tc>
              <w:tc>
                <w:tcPr>
                  <w:tcW w:w="1064"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1791" w:type="dxa"/>
                  <w:gridSpan w:val="2"/>
                  <w:vAlign w:val="center"/>
                </w:tcPr>
                <w:p>
                  <w:pPr>
                    <w:pStyle w:val="26"/>
                    <w:spacing w:line="360" w:lineRule="exact"/>
                    <w:rPr>
                      <w:color w:val="auto"/>
                      <w:szCs w:val="21"/>
                    </w:rPr>
                  </w:pPr>
                  <w:r>
                    <w:rPr>
                      <w:color w:val="auto"/>
                      <w:szCs w:val="21"/>
                    </w:rPr>
                    <w:t>排水</w:t>
                  </w:r>
                </w:p>
              </w:tc>
              <w:tc>
                <w:tcPr>
                  <w:tcW w:w="5018" w:type="dxa"/>
                  <w:vAlign w:val="center"/>
                </w:tcPr>
                <w:p>
                  <w:pPr>
                    <w:pStyle w:val="26"/>
                    <w:spacing w:line="360" w:lineRule="exact"/>
                    <w:ind w:firstLine="210" w:firstLineChars="100"/>
                    <w:jc w:val="both"/>
                    <w:rPr>
                      <w:color w:val="auto"/>
                      <w:szCs w:val="21"/>
                    </w:rPr>
                  </w:pPr>
                  <w:r>
                    <w:rPr>
                      <w:color w:val="auto"/>
                      <w:szCs w:val="21"/>
                    </w:rPr>
                    <w:t>根据项目特点，本项目废水包括生产废水、生活污水和初期雨水。</w:t>
                  </w:r>
                </w:p>
                <w:p>
                  <w:pPr>
                    <w:pStyle w:val="26"/>
                    <w:spacing w:line="360" w:lineRule="exact"/>
                    <w:ind w:firstLine="210" w:firstLineChars="100"/>
                    <w:jc w:val="both"/>
                    <w:rPr>
                      <w:color w:val="auto"/>
                      <w:szCs w:val="21"/>
                    </w:rPr>
                  </w:pPr>
                  <w:r>
                    <w:rPr>
                      <w:color w:val="auto"/>
                      <w:szCs w:val="21"/>
                    </w:rPr>
                    <w:t>（1）生产废水：项目生产废水主要为洗砂废水，项目拟设置一套生产废水处理系统对其进行处理，该系统由</w:t>
                  </w:r>
                  <w:r>
                    <w:rPr>
                      <w:color w:val="auto"/>
                      <w:szCs w:val="21"/>
                      <w:lang w:val="en-US"/>
                    </w:rPr>
                    <w:t>2个污水处理塔、2</w:t>
                  </w:r>
                  <w:r>
                    <w:rPr>
                      <w:color w:val="auto"/>
                      <w:szCs w:val="21"/>
                    </w:rPr>
                    <w:t>个生产废水收集池、</w:t>
                  </w:r>
                  <w:r>
                    <w:rPr>
                      <w:color w:val="auto"/>
                      <w:szCs w:val="21"/>
                      <w:lang w:val="en-US"/>
                    </w:rPr>
                    <w:t>2</w:t>
                  </w:r>
                  <w:r>
                    <w:rPr>
                      <w:color w:val="auto"/>
                      <w:szCs w:val="21"/>
                    </w:rPr>
                    <w:t>个</w:t>
                  </w:r>
                  <w:r>
                    <w:rPr>
                      <w:color w:val="auto"/>
                      <w:szCs w:val="21"/>
                      <w:lang w:val="en-US"/>
                    </w:rPr>
                    <w:t>泥浆回收池</w:t>
                  </w:r>
                  <w:r>
                    <w:rPr>
                      <w:color w:val="auto"/>
                      <w:szCs w:val="21"/>
                    </w:rPr>
                    <w:t>、</w:t>
                  </w:r>
                  <w:r>
                    <w:rPr>
                      <w:color w:val="auto"/>
                      <w:szCs w:val="21"/>
                      <w:lang w:val="en-US"/>
                    </w:rPr>
                    <w:t>2</w:t>
                  </w:r>
                  <w:r>
                    <w:rPr>
                      <w:color w:val="auto"/>
                      <w:szCs w:val="21"/>
                    </w:rPr>
                    <w:t>个清水池和</w:t>
                  </w:r>
                  <w:r>
                    <w:rPr>
                      <w:color w:val="auto"/>
                      <w:szCs w:val="21"/>
                      <w:lang w:val="en-US"/>
                    </w:rPr>
                    <w:t>4台500型号污泥压滤机</w:t>
                  </w:r>
                  <w:r>
                    <w:rPr>
                      <w:color w:val="auto"/>
                      <w:szCs w:val="21"/>
                    </w:rPr>
                    <w:t>组成；项目生产废水经处理后完全回用，不外排。</w:t>
                  </w:r>
                </w:p>
                <w:p>
                  <w:pPr>
                    <w:pStyle w:val="26"/>
                    <w:spacing w:line="360" w:lineRule="exact"/>
                    <w:ind w:firstLine="210" w:firstLineChars="100"/>
                    <w:jc w:val="both"/>
                    <w:rPr>
                      <w:color w:val="auto"/>
                      <w:szCs w:val="21"/>
                    </w:rPr>
                  </w:pPr>
                  <w:r>
                    <w:rPr>
                      <w:color w:val="auto"/>
                      <w:szCs w:val="21"/>
                    </w:rPr>
                    <w:t>（2）生活污水：</w:t>
                  </w:r>
                </w:p>
                <w:p>
                  <w:pPr>
                    <w:pStyle w:val="26"/>
                    <w:spacing w:line="360" w:lineRule="exact"/>
                    <w:ind w:firstLine="210" w:firstLineChars="100"/>
                    <w:jc w:val="both"/>
                    <w:rPr>
                      <w:color w:val="auto"/>
                      <w:szCs w:val="21"/>
                    </w:rPr>
                  </w:pPr>
                  <w:r>
                    <w:rPr>
                      <w:color w:val="auto"/>
                      <w:szCs w:val="21"/>
                    </w:rPr>
                    <w:t>根据设计，项目拟设置一个有效容积为2m³的化粪池、处理规模为2m³/d的一体化污水处理设施和一个有效容积为8m³的再生水收集池；项目生活污水经化粪池和一体化污水处理设施处理后，达到《城市污水再生利用 城市杂用水水质》（GB/T18920-2020）城市绿化标准回用于绿化不外排。</w:t>
                  </w:r>
                </w:p>
                <w:p>
                  <w:pPr>
                    <w:pStyle w:val="26"/>
                    <w:spacing w:line="360" w:lineRule="exact"/>
                    <w:ind w:firstLine="210" w:firstLineChars="100"/>
                    <w:jc w:val="both"/>
                    <w:rPr>
                      <w:color w:val="auto"/>
                      <w:szCs w:val="21"/>
                    </w:rPr>
                  </w:pPr>
                  <w:r>
                    <w:rPr>
                      <w:color w:val="auto"/>
                      <w:szCs w:val="21"/>
                    </w:rPr>
                    <w:t>（3）初期雨水：项目为了防止雨天地表径流进入产品库及生产区，使项目区域砂石料流失，造成环境污染，项目拟在厂房外围及厂区周围设置9</w:t>
                  </w:r>
                  <w:r>
                    <w:rPr>
                      <w:color w:val="auto"/>
                      <w:szCs w:val="21"/>
                      <w:lang w:val="en-US"/>
                    </w:rPr>
                    <w:t>00</w:t>
                  </w:r>
                  <w:r>
                    <w:rPr>
                      <w:color w:val="auto"/>
                      <w:szCs w:val="21"/>
                    </w:rPr>
                    <w:t>m的截排水沟对雨天厂区产生的初期雨水及地表径流进行疏导，初期雨水通过截排水沟收集后进入有效容积不低于20m³的初期雨水收集池沉淀后回用于生产，不外排；同时在截排水沟至初期雨水收集池末端设置闸门，初期雨水收集后，关闭闸门，后期雨水外排。</w:t>
                  </w:r>
                </w:p>
              </w:tc>
              <w:tc>
                <w:tcPr>
                  <w:tcW w:w="1064"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vAlign w:val="center"/>
                </w:tcPr>
                <w:p>
                  <w:pPr>
                    <w:pStyle w:val="26"/>
                    <w:spacing w:line="360" w:lineRule="exact"/>
                    <w:rPr>
                      <w:color w:val="auto"/>
                      <w:szCs w:val="21"/>
                    </w:rPr>
                  </w:pPr>
                  <w:r>
                    <w:rPr>
                      <w:color w:val="auto"/>
                      <w:szCs w:val="21"/>
                    </w:rPr>
                    <w:t>环保工程</w:t>
                  </w:r>
                </w:p>
              </w:tc>
              <w:tc>
                <w:tcPr>
                  <w:tcW w:w="720" w:type="dxa"/>
                  <w:vAlign w:val="center"/>
                </w:tcPr>
                <w:p>
                  <w:pPr>
                    <w:pStyle w:val="26"/>
                    <w:spacing w:line="360" w:lineRule="exact"/>
                    <w:rPr>
                      <w:color w:val="auto"/>
                      <w:szCs w:val="21"/>
                    </w:rPr>
                  </w:pPr>
                  <w:r>
                    <w:rPr>
                      <w:color w:val="auto"/>
                      <w:szCs w:val="21"/>
                    </w:rPr>
                    <w:t>废气</w:t>
                  </w:r>
                </w:p>
              </w:tc>
              <w:tc>
                <w:tcPr>
                  <w:tcW w:w="1071" w:type="dxa"/>
                  <w:vAlign w:val="center"/>
                </w:tcPr>
                <w:p>
                  <w:pPr>
                    <w:pStyle w:val="26"/>
                    <w:spacing w:line="360" w:lineRule="exact"/>
                    <w:rPr>
                      <w:color w:val="auto"/>
                      <w:szCs w:val="21"/>
                    </w:rPr>
                  </w:pPr>
                  <w:r>
                    <w:rPr>
                      <w:color w:val="auto"/>
                      <w:szCs w:val="21"/>
                    </w:rPr>
                    <w:t>产品库全封闭</w:t>
                  </w:r>
                </w:p>
              </w:tc>
              <w:tc>
                <w:tcPr>
                  <w:tcW w:w="5018" w:type="dxa"/>
                  <w:vAlign w:val="center"/>
                </w:tcPr>
                <w:p>
                  <w:pPr>
                    <w:pStyle w:val="26"/>
                    <w:spacing w:line="360" w:lineRule="exact"/>
                    <w:ind w:firstLine="210" w:firstLineChars="100"/>
                    <w:jc w:val="both"/>
                    <w:rPr>
                      <w:color w:val="auto"/>
                      <w:szCs w:val="21"/>
                    </w:rPr>
                  </w:pPr>
                  <w:r>
                    <w:rPr>
                      <w:color w:val="auto"/>
                      <w:szCs w:val="21"/>
                    </w:rPr>
                    <w:t>根据设计，项目拟配套设置</w:t>
                  </w:r>
                  <w:r>
                    <w:rPr>
                      <w:color w:val="auto"/>
                      <w:szCs w:val="21"/>
                      <w:lang w:val="en-US"/>
                    </w:rPr>
                    <w:t>面积约2000</w:t>
                  </w:r>
                  <w:r>
                    <w:rPr>
                      <w:color w:val="auto"/>
                      <w:szCs w:val="21"/>
                    </w:rPr>
                    <w:t>m²的产品库，库房内设置</w:t>
                  </w:r>
                  <w:r>
                    <w:rPr>
                      <w:color w:val="auto"/>
                      <w:szCs w:val="21"/>
                      <w:lang w:val="en-US"/>
                    </w:rPr>
                    <w:t>3</w:t>
                  </w:r>
                  <w:r>
                    <w:rPr>
                      <w:color w:val="auto"/>
                      <w:szCs w:val="21"/>
                    </w:rPr>
                    <w:t>种料仓对各类产品进行堆场，为最大限度降低扬尘对环境造成的影响，项目拟将产品库设置为车间式全封闭库房。</w:t>
                  </w:r>
                </w:p>
              </w:tc>
              <w:tc>
                <w:tcPr>
                  <w:tcW w:w="1064" w:type="dxa"/>
                  <w:vAlign w:val="center"/>
                </w:tcPr>
                <w:p>
                  <w:pPr>
                    <w:pStyle w:val="26"/>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1791" w:type="dxa"/>
                  <w:gridSpan w:val="2"/>
                  <w:vAlign w:val="center"/>
                </w:tcPr>
                <w:p>
                  <w:pPr>
                    <w:pStyle w:val="26"/>
                    <w:spacing w:line="360" w:lineRule="exact"/>
                    <w:rPr>
                      <w:color w:val="auto"/>
                      <w:szCs w:val="21"/>
                    </w:rPr>
                  </w:pPr>
                  <w:r>
                    <w:rPr>
                      <w:color w:val="auto"/>
                      <w:szCs w:val="21"/>
                    </w:rPr>
                    <w:t>雨污分流</w:t>
                  </w:r>
                </w:p>
              </w:tc>
              <w:tc>
                <w:tcPr>
                  <w:tcW w:w="5018" w:type="dxa"/>
                  <w:vAlign w:val="center"/>
                </w:tcPr>
                <w:p>
                  <w:pPr>
                    <w:pStyle w:val="26"/>
                    <w:spacing w:line="360" w:lineRule="exact"/>
                    <w:ind w:firstLine="210" w:firstLineChars="100"/>
                    <w:jc w:val="both"/>
                    <w:rPr>
                      <w:color w:val="auto"/>
                      <w:szCs w:val="21"/>
                    </w:rPr>
                  </w:pPr>
                  <w:r>
                    <w:rPr>
                      <w:color w:val="auto"/>
                      <w:szCs w:val="21"/>
                    </w:rPr>
                    <w:t>根据设计，项目区拟设置雨污分流设施。</w:t>
                  </w:r>
                </w:p>
              </w:tc>
              <w:tc>
                <w:tcPr>
                  <w:tcW w:w="1064" w:type="dxa"/>
                  <w:vAlign w:val="center"/>
                </w:tcPr>
                <w:p>
                  <w:pPr>
                    <w:pStyle w:val="26"/>
                    <w:spacing w:line="360" w:lineRule="exact"/>
                    <w:rPr>
                      <w:color w:val="auto"/>
                      <w:szCs w:val="21"/>
                    </w:rPr>
                  </w:pPr>
                  <w:r>
                    <w:rPr>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restart"/>
                  <w:vAlign w:val="center"/>
                </w:tcPr>
                <w:p>
                  <w:pPr>
                    <w:pStyle w:val="26"/>
                    <w:spacing w:line="360" w:lineRule="exact"/>
                    <w:rPr>
                      <w:color w:val="auto"/>
                      <w:szCs w:val="21"/>
                    </w:rPr>
                  </w:pPr>
                  <w:r>
                    <w:rPr>
                      <w:color w:val="auto"/>
                      <w:szCs w:val="21"/>
                    </w:rPr>
                    <w:t>废水</w:t>
                  </w:r>
                </w:p>
              </w:tc>
              <w:tc>
                <w:tcPr>
                  <w:tcW w:w="1071" w:type="dxa"/>
                  <w:vAlign w:val="center"/>
                </w:tcPr>
                <w:p>
                  <w:pPr>
                    <w:pStyle w:val="26"/>
                    <w:spacing w:line="360" w:lineRule="exact"/>
                    <w:rPr>
                      <w:rFonts w:eastAsiaTheme="minorEastAsia"/>
                      <w:color w:val="auto"/>
                      <w:szCs w:val="21"/>
                    </w:rPr>
                  </w:pPr>
                  <w:r>
                    <w:rPr>
                      <w:color w:val="auto"/>
                      <w:szCs w:val="21"/>
                    </w:rPr>
                    <w:t>生产废水处理系统</w:t>
                  </w:r>
                </w:p>
              </w:tc>
              <w:tc>
                <w:tcPr>
                  <w:tcW w:w="5018" w:type="dxa"/>
                  <w:vAlign w:val="center"/>
                </w:tcPr>
                <w:p>
                  <w:pPr>
                    <w:pStyle w:val="26"/>
                    <w:spacing w:line="360" w:lineRule="exact"/>
                    <w:ind w:firstLine="210" w:firstLineChars="100"/>
                    <w:jc w:val="both"/>
                    <w:rPr>
                      <w:color w:val="auto"/>
                      <w:szCs w:val="21"/>
                    </w:rPr>
                  </w:pPr>
                  <w:r>
                    <w:rPr>
                      <w:color w:val="auto"/>
                      <w:szCs w:val="21"/>
                    </w:rPr>
                    <w:t>根据设计，项目拟设置一套生产废水处理系统对生产废水进行处理，该系统由</w:t>
                  </w:r>
                  <w:r>
                    <w:rPr>
                      <w:color w:val="auto"/>
                      <w:szCs w:val="21"/>
                      <w:lang w:val="en-US"/>
                    </w:rPr>
                    <w:t>2个污水处理塔、2</w:t>
                  </w:r>
                  <w:r>
                    <w:rPr>
                      <w:color w:val="auto"/>
                      <w:szCs w:val="21"/>
                    </w:rPr>
                    <w:t>个生产废水收集池、</w:t>
                  </w:r>
                  <w:r>
                    <w:rPr>
                      <w:color w:val="auto"/>
                      <w:szCs w:val="21"/>
                      <w:lang w:val="en-US"/>
                    </w:rPr>
                    <w:t>2</w:t>
                  </w:r>
                  <w:r>
                    <w:rPr>
                      <w:color w:val="auto"/>
                      <w:szCs w:val="21"/>
                    </w:rPr>
                    <w:t>个</w:t>
                  </w:r>
                  <w:r>
                    <w:rPr>
                      <w:color w:val="auto"/>
                      <w:szCs w:val="21"/>
                      <w:lang w:val="en-US"/>
                    </w:rPr>
                    <w:t>泥浆回收池</w:t>
                  </w:r>
                  <w:r>
                    <w:rPr>
                      <w:color w:val="auto"/>
                      <w:szCs w:val="21"/>
                    </w:rPr>
                    <w:t>、</w:t>
                  </w:r>
                  <w:r>
                    <w:rPr>
                      <w:color w:val="auto"/>
                      <w:szCs w:val="21"/>
                      <w:lang w:val="en-US"/>
                    </w:rPr>
                    <w:t>2</w:t>
                  </w:r>
                  <w:r>
                    <w:rPr>
                      <w:color w:val="auto"/>
                      <w:szCs w:val="21"/>
                    </w:rPr>
                    <w:t>个清水池和</w:t>
                  </w:r>
                  <w:r>
                    <w:rPr>
                      <w:color w:val="auto"/>
                      <w:szCs w:val="21"/>
                      <w:lang w:val="en-US"/>
                    </w:rPr>
                    <w:t>4台500型号污泥压滤机</w:t>
                  </w:r>
                  <w:r>
                    <w:rPr>
                      <w:color w:val="auto"/>
                      <w:szCs w:val="21"/>
                    </w:rPr>
                    <w:t>组成；</w:t>
                  </w:r>
                </w:p>
                <w:p>
                  <w:pPr>
                    <w:pStyle w:val="26"/>
                    <w:spacing w:line="360" w:lineRule="exact"/>
                    <w:ind w:firstLine="210" w:firstLineChars="100"/>
                    <w:jc w:val="both"/>
                    <w:rPr>
                      <w:color w:val="auto"/>
                      <w:szCs w:val="21"/>
                    </w:rPr>
                  </w:pPr>
                  <w:r>
                    <w:rPr>
                      <w:color w:val="auto"/>
                      <w:szCs w:val="21"/>
                    </w:rPr>
                    <w:t>项目产生的生产废水主要污染物为SS，首先进入</w:t>
                  </w:r>
                  <w:r>
                    <w:rPr>
                      <w:color w:val="auto"/>
                      <w:szCs w:val="21"/>
                      <w:lang w:val="en-US"/>
                    </w:rPr>
                    <w:t>污水处理塔进行处理</w:t>
                  </w:r>
                  <w:r>
                    <w:rPr>
                      <w:color w:val="auto"/>
                      <w:szCs w:val="21"/>
                    </w:rPr>
                    <w:t>，为提高</w:t>
                  </w:r>
                  <w:r>
                    <w:rPr>
                      <w:color w:val="auto"/>
                      <w:szCs w:val="21"/>
                      <w:lang w:val="en-US"/>
                    </w:rPr>
                    <w:t>处理</w:t>
                  </w:r>
                  <w:r>
                    <w:rPr>
                      <w:color w:val="auto"/>
                      <w:szCs w:val="21"/>
                    </w:rPr>
                    <w:t>效率，项目拟在</w:t>
                  </w:r>
                  <w:r>
                    <w:rPr>
                      <w:color w:val="auto"/>
                      <w:szCs w:val="21"/>
                      <w:lang w:val="en-US"/>
                    </w:rPr>
                    <w:t>污水处理塔</w:t>
                  </w:r>
                  <w:r>
                    <w:rPr>
                      <w:color w:val="auto"/>
                      <w:szCs w:val="21"/>
                    </w:rPr>
                    <w:t>中添加一定量的絮凝剂，</w:t>
                  </w:r>
                  <w:r>
                    <w:rPr>
                      <w:color w:val="auto"/>
                      <w:szCs w:val="21"/>
                      <w:lang w:val="en-US"/>
                    </w:rPr>
                    <w:t>处理</w:t>
                  </w:r>
                  <w:r>
                    <w:rPr>
                      <w:color w:val="auto"/>
                      <w:szCs w:val="21"/>
                    </w:rPr>
                    <w:t>后，上层的清水进入清水池回用于生产，而下层的含泥废水进入污泥压滤机进行压滤，压滤产生的废水进入生产废水收集池收集后再进入</w:t>
                  </w:r>
                  <w:r>
                    <w:rPr>
                      <w:color w:val="auto"/>
                      <w:szCs w:val="21"/>
                      <w:lang w:val="en-US"/>
                    </w:rPr>
                    <w:t>污水处理塔</w:t>
                  </w:r>
                  <w:r>
                    <w:rPr>
                      <w:color w:val="auto"/>
                      <w:szCs w:val="21"/>
                    </w:rPr>
                    <w:t>进行</w:t>
                  </w:r>
                  <w:r>
                    <w:rPr>
                      <w:color w:val="auto"/>
                      <w:szCs w:val="21"/>
                      <w:lang w:val="en-US"/>
                    </w:rPr>
                    <w:t>处理</w:t>
                  </w:r>
                  <w:r>
                    <w:rPr>
                      <w:color w:val="auto"/>
                      <w:szCs w:val="21"/>
                    </w:rPr>
                    <w:t>，从而进行循环处理，处理后全部回用于生产，不外排。</w:t>
                  </w:r>
                </w:p>
              </w:tc>
              <w:tc>
                <w:tcPr>
                  <w:tcW w:w="1064" w:type="dxa"/>
                  <w:vAlign w:val="center"/>
                </w:tcPr>
                <w:p>
                  <w:pPr>
                    <w:pStyle w:val="26"/>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rFonts w:eastAsiaTheme="minorEastAsia"/>
                      <w:color w:val="auto"/>
                      <w:szCs w:val="21"/>
                    </w:rPr>
                  </w:pPr>
                  <w:r>
                    <w:rPr>
                      <w:rFonts w:eastAsiaTheme="minorEastAsia"/>
                      <w:color w:val="auto"/>
                      <w:szCs w:val="21"/>
                    </w:rPr>
                    <w:t>生活污水处理系统</w:t>
                  </w:r>
                </w:p>
              </w:tc>
              <w:tc>
                <w:tcPr>
                  <w:tcW w:w="5018"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根据设计，项目拟设置一套生活污水处理系统对生活污水进行处理，该系统由化粪池、一体化污水处理设施和再生水收集池组成，具体如下：</w:t>
                  </w:r>
                </w:p>
                <w:p>
                  <w:pPr>
                    <w:pStyle w:val="26"/>
                    <w:spacing w:line="360" w:lineRule="exact"/>
                    <w:ind w:firstLine="210" w:firstLineChars="100"/>
                    <w:jc w:val="both"/>
                    <w:rPr>
                      <w:rFonts w:eastAsiaTheme="minorEastAsia"/>
                      <w:color w:val="auto"/>
                      <w:szCs w:val="21"/>
                    </w:rPr>
                  </w:pPr>
                  <w:r>
                    <w:rPr>
                      <w:rFonts w:eastAsiaTheme="minorEastAsia"/>
                      <w:color w:val="auto"/>
                      <w:szCs w:val="21"/>
                    </w:rPr>
                    <w:t>（1）化粪池</w:t>
                  </w:r>
                </w:p>
                <w:p>
                  <w:pPr>
                    <w:pStyle w:val="26"/>
                    <w:spacing w:line="360" w:lineRule="exact"/>
                    <w:ind w:firstLine="210" w:firstLineChars="100"/>
                    <w:jc w:val="both"/>
                    <w:rPr>
                      <w:rFonts w:eastAsiaTheme="minorEastAsia"/>
                      <w:color w:val="auto"/>
                      <w:szCs w:val="21"/>
                    </w:rPr>
                  </w:pPr>
                  <w:r>
                    <w:rPr>
                      <w:rFonts w:eastAsiaTheme="minorEastAsia"/>
                      <w:color w:val="auto"/>
                      <w:szCs w:val="21"/>
                    </w:rPr>
                    <w:t>根据设计，项目拟设置一个有效容积为2m³的化粪池对项目区生活污水进行预处理。</w:t>
                  </w:r>
                </w:p>
                <w:p>
                  <w:pPr>
                    <w:pStyle w:val="26"/>
                    <w:spacing w:line="360" w:lineRule="exact"/>
                    <w:ind w:firstLine="210" w:firstLineChars="100"/>
                    <w:jc w:val="both"/>
                    <w:rPr>
                      <w:rFonts w:eastAsiaTheme="minorEastAsia"/>
                      <w:color w:val="auto"/>
                      <w:szCs w:val="21"/>
                    </w:rPr>
                  </w:pPr>
                  <w:r>
                    <w:rPr>
                      <w:rFonts w:eastAsiaTheme="minorEastAsia"/>
                      <w:color w:val="auto"/>
                      <w:szCs w:val="21"/>
                    </w:rPr>
                    <w:t>（2）一体化污水处理设施</w:t>
                  </w:r>
                </w:p>
                <w:p>
                  <w:pPr>
                    <w:pStyle w:val="26"/>
                    <w:spacing w:line="360" w:lineRule="exact"/>
                    <w:ind w:firstLine="210" w:firstLineChars="100"/>
                    <w:jc w:val="both"/>
                    <w:rPr>
                      <w:rFonts w:eastAsiaTheme="minorEastAsia"/>
                      <w:color w:val="auto"/>
                      <w:szCs w:val="21"/>
                    </w:rPr>
                  </w:pPr>
                  <w:r>
                    <w:rPr>
                      <w:rFonts w:eastAsiaTheme="minorEastAsia"/>
                      <w:color w:val="auto"/>
                      <w:szCs w:val="21"/>
                    </w:rPr>
                    <w:t>由于项目生活污水不具备排水条件，拟配套建设1套处理能力为2m³/d的一体化污水处理设施，对化粪池预处理后的生活污水进行处理，处理达到《城市污水再生利用 城市杂用水水质》（GB/T18920-2020）城市绿化标准回用于绿化，不外排。</w:t>
                  </w:r>
                </w:p>
                <w:p>
                  <w:pPr>
                    <w:pStyle w:val="26"/>
                    <w:spacing w:line="360" w:lineRule="exact"/>
                    <w:ind w:firstLine="210" w:firstLineChars="100"/>
                    <w:jc w:val="both"/>
                    <w:rPr>
                      <w:rFonts w:eastAsiaTheme="minorEastAsia"/>
                      <w:color w:val="auto"/>
                      <w:szCs w:val="21"/>
                    </w:rPr>
                  </w:pPr>
                  <w:r>
                    <w:rPr>
                      <w:rFonts w:eastAsiaTheme="minorEastAsia"/>
                      <w:color w:val="auto"/>
                      <w:szCs w:val="21"/>
                    </w:rPr>
                    <w:t>（3）再生水收集池</w:t>
                  </w:r>
                </w:p>
                <w:p>
                  <w:pPr>
                    <w:pStyle w:val="26"/>
                    <w:spacing w:line="360" w:lineRule="exact"/>
                    <w:ind w:firstLine="210" w:firstLineChars="100"/>
                    <w:jc w:val="both"/>
                    <w:rPr>
                      <w:rFonts w:eastAsiaTheme="minorEastAsia"/>
                      <w:color w:val="auto"/>
                      <w:szCs w:val="21"/>
                    </w:rPr>
                  </w:pPr>
                  <w:r>
                    <w:rPr>
                      <w:rFonts w:eastAsiaTheme="minorEastAsia"/>
                      <w:color w:val="auto"/>
                      <w:szCs w:val="21"/>
                    </w:rPr>
                    <w:t>由于项目生活污水经处理后将回用于绿化，为满足雨天等特殊情况，处理后生活污水的暂存要求，项目拟配套设置1个有效容积为8m³的再生水收集池对处理后的生活污水进行暂存。</w:t>
                  </w:r>
                </w:p>
              </w:tc>
              <w:tc>
                <w:tcPr>
                  <w:tcW w:w="1064" w:type="dxa"/>
                  <w:vAlign w:val="center"/>
                </w:tcPr>
                <w:p>
                  <w:pPr>
                    <w:pStyle w:val="26"/>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rFonts w:eastAsiaTheme="minorEastAsia"/>
                      <w:color w:val="auto"/>
                      <w:szCs w:val="21"/>
                    </w:rPr>
                  </w:pPr>
                  <w:r>
                    <w:rPr>
                      <w:rFonts w:eastAsiaTheme="minorEastAsia"/>
                      <w:color w:val="auto"/>
                      <w:szCs w:val="21"/>
                    </w:rPr>
                    <w:t>初期雨水收集系统</w:t>
                  </w:r>
                </w:p>
              </w:tc>
              <w:tc>
                <w:tcPr>
                  <w:tcW w:w="5018" w:type="dxa"/>
                  <w:vAlign w:val="center"/>
                </w:tcPr>
                <w:p>
                  <w:pPr>
                    <w:pStyle w:val="26"/>
                    <w:spacing w:line="360" w:lineRule="exact"/>
                    <w:ind w:firstLine="210" w:firstLineChars="100"/>
                    <w:jc w:val="both"/>
                    <w:rPr>
                      <w:color w:val="auto"/>
                      <w:szCs w:val="21"/>
                    </w:rPr>
                  </w:pPr>
                  <w:r>
                    <w:rPr>
                      <w:color w:val="auto"/>
                      <w:szCs w:val="21"/>
                    </w:rPr>
                    <w:t>根据设计，项目拟设置一套初期雨水处理系统对初期雨水进行处理，该系统由截排水沟和初期雨水收集池组成，具体如下：</w:t>
                  </w:r>
                </w:p>
                <w:p>
                  <w:pPr>
                    <w:pStyle w:val="26"/>
                    <w:spacing w:line="360" w:lineRule="exact"/>
                    <w:ind w:firstLine="210" w:firstLineChars="100"/>
                    <w:jc w:val="both"/>
                    <w:rPr>
                      <w:color w:val="auto"/>
                      <w:szCs w:val="21"/>
                    </w:rPr>
                  </w:pPr>
                  <w:r>
                    <w:rPr>
                      <w:color w:val="auto"/>
                      <w:szCs w:val="21"/>
                    </w:rPr>
                    <w:t>（1）截排水沟</w:t>
                  </w:r>
                </w:p>
                <w:p>
                  <w:pPr>
                    <w:pStyle w:val="26"/>
                    <w:spacing w:line="360" w:lineRule="exact"/>
                    <w:ind w:firstLine="210" w:firstLineChars="100"/>
                    <w:jc w:val="both"/>
                    <w:rPr>
                      <w:color w:val="auto"/>
                      <w:szCs w:val="21"/>
                    </w:rPr>
                  </w:pPr>
                  <w:r>
                    <w:rPr>
                      <w:color w:val="auto"/>
                      <w:szCs w:val="21"/>
                    </w:rPr>
                    <w:t>项目为了防止雨天地表径流进入产品库及生产区，使项目区域砂石料流失，造成环境污染，项目拟在厂房外围及厂区周围设置9</w:t>
                  </w:r>
                  <w:r>
                    <w:rPr>
                      <w:color w:val="auto"/>
                      <w:szCs w:val="21"/>
                      <w:lang w:val="en-US"/>
                    </w:rPr>
                    <w:t>0</w:t>
                  </w:r>
                  <w:r>
                    <w:rPr>
                      <w:color w:val="auto"/>
                      <w:szCs w:val="21"/>
                    </w:rPr>
                    <w:t>0m的截排水沟对雨天厂区产生的初期雨水及地表径流进行疏导。</w:t>
                  </w:r>
                </w:p>
                <w:p>
                  <w:pPr>
                    <w:pStyle w:val="26"/>
                    <w:spacing w:line="360" w:lineRule="exact"/>
                    <w:ind w:firstLine="210" w:firstLineChars="100"/>
                    <w:jc w:val="both"/>
                    <w:rPr>
                      <w:color w:val="auto"/>
                      <w:szCs w:val="21"/>
                    </w:rPr>
                  </w:pPr>
                  <w:r>
                    <w:rPr>
                      <w:color w:val="auto"/>
                      <w:szCs w:val="21"/>
                    </w:rPr>
                    <w:t>（2）初期雨水收集池</w:t>
                  </w:r>
                </w:p>
                <w:p>
                  <w:pPr>
                    <w:pStyle w:val="26"/>
                    <w:spacing w:line="360" w:lineRule="exact"/>
                    <w:ind w:firstLine="210" w:firstLineChars="100"/>
                    <w:jc w:val="both"/>
                    <w:rPr>
                      <w:color w:val="auto"/>
                      <w:szCs w:val="21"/>
                    </w:rPr>
                  </w:pPr>
                  <w:r>
                    <w:rPr>
                      <w:color w:val="auto"/>
                      <w:szCs w:val="21"/>
                    </w:rPr>
                    <w:t>项目拟设置1个有效容积不低于20m³的初期雨水，初期雨水通过截排水沟收集后进入有效容积不低于20m³的初期雨水收集池沉淀后回用于生产，不外排。</w:t>
                  </w:r>
                </w:p>
              </w:tc>
              <w:tc>
                <w:tcPr>
                  <w:tcW w:w="1064" w:type="dxa"/>
                  <w:vAlign w:val="center"/>
                </w:tcPr>
                <w:p>
                  <w:pPr>
                    <w:pStyle w:val="26"/>
                    <w:spacing w:line="360" w:lineRule="exact"/>
                    <w:rPr>
                      <w:color w:val="auto"/>
                      <w:szCs w:val="21"/>
                      <w:lang w:val="en-US"/>
                    </w:rPr>
                  </w:pPr>
                  <w:r>
                    <w:rPr>
                      <w:color w:val="auto"/>
                      <w:szCs w:val="21"/>
                      <w:lang w:val="en-US"/>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restart"/>
                  <w:vAlign w:val="center"/>
                </w:tcPr>
                <w:p>
                  <w:pPr>
                    <w:pStyle w:val="26"/>
                    <w:spacing w:line="360" w:lineRule="exact"/>
                    <w:rPr>
                      <w:color w:val="auto"/>
                      <w:szCs w:val="21"/>
                    </w:rPr>
                  </w:pPr>
                  <w:r>
                    <w:rPr>
                      <w:color w:val="auto"/>
                      <w:szCs w:val="21"/>
                    </w:rPr>
                    <w:t>地下水防渗</w:t>
                  </w:r>
                </w:p>
              </w:tc>
              <w:tc>
                <w:tcPr>
                  <w:tcW w:w="1071" w:type="dxa"/>
                  <w:vAlign w:val="center"/>
                </w:tcPr>
                <w:p>
                  <w:pPr>
                    <w:pStyle w:val="26"/>
                    <w:spacing w:line="360" w:lineRule="exact"/>
                    <w:rPr>
                      <w:color w:val="auto"/>
                      <w:szCs w:val="21"/>
                    </w:rPr>
                  </w:pPr>
                  <w:r>
                    <w:rPr>
                      <w:color w:val="auto"/>
                      <w:szCs w:val="21"/>
                    </w:rPr>
                    <w:t>重点防渗区</w:t>
                  </w:r>
                </w:p>
              </w:tc>
              <w:tc>
                <w:tcPr>
                  <w:tcW w:w="5018" w:type="dxa"/>
                  <w:vAlign w:val="center"/>
                </w:tcPr>
                <w:p>
                  <w:pPr>
                    <w:pStyle w:val="26"/>
                    <w:spacing w:line="360" w:lineRule="exact"/>
                    <w:ind w:firstLine="210" w:firstLineChars="100"/>
                    <w:jc w:val="both"/>
                    <w:rPr>
                      <w:color w:val="auto"/>
                    </w:rPr>
                  </w:pPr>
                  <w:r>
                    <w:rPr>
                      <w:color w:val="auto"/>
                    </w:rPr>
                    <w:t>项目重点防渗区为危险废物贮存间：危险废物贮存间地面和裙墙应采用不低于2mm后的HDPE膜或其他人工防渗材料进行防渗，使其渗透系数≤10</w:t>
                  </w:r>
                  <w:r>
                    <w:rPr>
                      <w:color w:val="auto"/>
                      <w:vertAlign w:val="superscript"/>
                    </w:rPr>
                    <w:t>-10</w:t>
                  </w:r>
                  <w:r>
                    <w:rPr>
                      <w:color w:val="auto"/>
                    </w:rPr>
                    <w:t>cm/s。</w:t>
                  </w:r>
                </w:p>
              </w:tc>
              <w:tc>
                <w:tcPr>
                  <w:tcW w:w="1064" w:type="dxa"/>
                  <w:vAlign w:val="center"/>
                </w:tcPr>
                <w:p>
                  <w:pPr>
                    <w:pStyle w:val="26"/>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color w:val="auto"/>
                      <w:szCs w:val="21"/>
                    </w:rPr>
                  </w:pPr>
                  <w:r>
                    <w:rPr>
                      <w:color w:val="auto"/>
                      <w:szCs w:val="21"/>
                    </w:rPr>
                    <w:t>一般防渗区</w:t>
                  </w:r>
                </w:p>
              </w:tc>
              <w:tc>
                <w:tcPr>
                  <w:tcW w:w="5018" w:type="dxa"/>
                  <w:vAlign w:val="center"/>
                </w:tcPr>
                <w:p>
                  <w:pPr>
                    <w:pStyle w:val="26"/>
                    <w:spacing w:line="360" w:lineRule="exact"/>
                    <w:ind w:firstLine="210" w:firstLineChars="100"/>
                    <w:jc w:val="both"/>
                    <w:rPr>
                      <w:color w:val="auto"/>
                    </w:rPr>
                  </w:pPr>
                  <w:r>
                    <w:rPr>
                      <w:color w:val="auto"/>
                    </w:rPr>
                    <w:t>根据分区防渗规范要求，项目生产车间、产品库、</w:t>
                  </w:r>
                  <w:r>
                    <w:rPr>
                      <w:color w:val="auto"/>
                      <w:szCs w:val="21"/>
                    </w:rPr>
                    <w:t>生产废水处理系统、</w:t>
                  </w:r>
                  <w:r>
                    <w:rPr>
                      <w:rFonts w:eastAsiaTheme="minorEastAsia"/>
                      <w:color w:val="auto"/>
                      <w:szCs w:val="21"/>
                    </w:rPr>
                    <w:t>生活污水处理系统和初期雨水收集系统</w:t>
                  </w:r>
                  <w:r>
                    <w:rPr>
                      <w:color w:val="auto"/>
                    </w:rPr>
                    <w:t>区域均划定为一般防渗区，各一般防渗区域拟应采用粘土铺底，并在上层铺30cm的混凝土进行硬化。确保防渗性能，使其渗透系数≤1.0×10</w:t>
                  </w:r>
                  <w:r>
                    <w:rPr>
                      <w:color w:val="auto"/>
                      <w:vertAlign w:val="superscript"/>
                    </w:rPr>
                    <w:t>-7</w:t>
                  </w:r>
                  <w:r>
                    <w:rPr>
                      <w:color w:val="auto"/>
                    </w:rPr>
                    <w:t>cm/s。</w:t>
                  </w:r>
                </w:p>
              </w:tc>
              <w:tc>
                <w:tcPr>
                  <w:tcW w:w="1064" w:type="dxa"/>
                  <w:vAlign w:val="center"/>
                </w:tcPr>
                <w:p>
                  <w:pPr>
                    <w:pStyle w:val="26"/>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Align w:val="center"/>
                </w:tcPr>
                <w:p>
                  <w:pPr>
                    <w:pStyle w:val="26"/>
                    <w:spacing w:line="360" w:lineRule="exact"/>
                    <w:rPr>
                      <w:color w:val="auto"/>
                      <w:szCs w:val="21"/>
                    </w:rPr>
                  </w:pPr>
                  <w:r>
                    <w:rPr>
                      <w:color w:val="auto"/>
                      <w:szCs w:val="21"/>
                    </w:rPr>
                    <w:t>噪声</w:t>
                  </w:r>
                </w:p>
              </w:tc>
              <w:tc>
                <w:tcPr>
                  <w:tcW w:w="1071" w:type="dxa"/>
                  <w:vAlign w:val="center"/>
                </w:tcPr>
                <w:p>
                  <w:pPr>
                    <w:pStyle w:val="26"/>
                    <w:spacing w:line="360" w:lineRule="exact"/>
                    <w:rPr>
                      <w:color w:val="auto"/>
                      <w:szCs w:val="21"/>
                    </w:rPr>
                  </w:pPr>
                  <w:r>
                    <w:rPr>
                      <w:color w:val="auto"/>
                      <w:szCs w:val="21"/>
                    </w:rPr>
                    <w:t>设备噪声</w:t>
                  </w:r>
                </w:p>
              </w:tc>
              <w:tc>
                <w:tcPr>
                  <w:tcW w:w="5018" w:type="dxa"/>
                  <w:vAlign w:val="center"/>
                </w:tcPr>
                <w:p>
                  <w:pPr>
                    <w:pStyle w:val="26"/>
                    <w:spacing w:line="360" w:lineRule="exact"/>
                    <w:ind w:firstLine="210" w:firstLineChars="100"/>
                    <w:jc w:val="both"/>
                    <w:rPr>
                      <w:color w:val="auto"/>
                      <w:szCs w:val="21"/>
                    </w:rPr>
                  </w:pPr>
                  <w:r>
                    <w:rPr>
                      <w:color w:val="auto"/>
                      <w:szCs w:val="21"/>
                    </w:rPr>
                    <w:t>设备基础加装减震垫、消声器等。</w:t>
                  </w:r>
                </w:p>
              </w:tc>
              <w:tc>
                <w:tcPr>
                  <w:tcW w:w="1064" w:type="dxa"/>
                  <w:vAlign w:val="center"/>
                </w:tcPr>
                <w:p>
                  <w:pPr>
                    <w:pStyle w:val="26"/>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restart"/>
                  <w:vAlign w:val="center"/>
                </w:tcPr>
                <w:p>
                  <w:pPr>
                    <w:pStyle w:val="26"/>
                    <w:spacing w:line="360" w:lineRule="exact"/>
                    <w:rPr>
                      <w:color w:val="auto"/>
                      <w:szCs w:val="21"/>
                    </w:rPr>
                  </w:pPr>
                  <w:r>
                    <w:rPr>
                      <w:color w:val="auto"/>
                      <w:szCs w:val="21"/>
                    </w:rPr>
                    <w:t>固废</w:t>
                  </w:r>
                </w:p>
              </w:tc>
              <w:tc>
                <w:tcPr>
                  <w:tcW w:w="1071" w:type="dxa"/>
                  <w:vAlign w:val="center"/>
                </w:tcPr>
                <w:p>
                  <w:pPr>
                    <w:pStyle w:val="26"/>
                    <w:spacing w:line="360" w:lineRule="exact"/>
                    <w:rPr>
                      <w:color w:val="auto"/>
                      <w:szCs w:val="21"/>
                    </w:rPr>
                  </w:pPr>
                  <w:r>
                    <w:rPr>
                      <w:color w:val="auto"/>
                      <w:szCs w:val="21"/>
                    </w:rPr>
                    <w:t>污泥暂存库</w:t>
                  </w:r>
                </w:p>
              </w:tc>
              <w:tc>
                <w:tcPr>
                  <w:tcW w:w="5018" w:type="dxa"/>
                  <w:vAlign w:val="center"/>
                </w:tcPr>
                <w:p>
                  <w:pPr>
                    <w:pStyle w:val="26"/>
                    <w:spacing w:line="360" w:lineRule="exact"/>
                    <w:ind w:firstLine="210" w:firstLineChars="100"/>
                    <w:jc w:val="both"/>
                    <w:rPr>
                      <w:color w:val="auto"/>
                      <w:szCs w:val="21"/>
                    </w:rPr>
                  </w:pPr>
                  <w:r>
                    <w:rPr>
                      <w:color w:val="auto"/>
                      <w:szCs w:val="21"/>
                    </w:rPr>
                    <w:t>本项目将产生约一定量的污泥，因此项目拟设置的100m²污泥暂存库对其进行暂存，该污泥的主要成分为小江河流中的泥土，一部分用于厂区周围绿化覆土和道路建设，剩余部分将其用于</w:t>
                  </w:r>
                  <w:r>
                    <w:rPr>
                      <w:color w:val="auto"/>
                      <w:szCs w:val="21"/>
                      <w:lang w:val="en-US"/>
                    </w:rPr>
                    <w:t>小李庄</w:t>
                  </w:r>
                  <w:r>
                    <w:rPr>
                      <w:color w:val="auto"/>
                      <w:szCs w:val="21"/>
                    </w:rPr>
                    <w:t>村肥田。</w:t>
                  </w:r>
                </w:p>
                <w:p>
                  <w:pPr>
                    <w:pStyle w:val="26"/>
                    <w:spacing w:line="360" w:lineRule="exact"/>
                    <w:ind w:firstLine="210" w:firstLineChars="100"/>
                    <w:jc w:val="both"/>
                    <w:rPr>
                      <w:color w:val="auto"/>
                    </w:rPr>
                  </w:pPr>
                  <w:r>
                    <w:rPr>
                      <w:color w:val="auto"/>
                      <w:szCs w:val="21"/>
                    </w:rPr>
                    <w:t>污泥暂存库拟设置三面围挡和顶棚。</w:t>
                  </w:r>
                </w:p>
              </w:tc>
              <w:tc>
                <w:tcPr>
                  <w:tcW w:w="1064" w:type="dxa"/>
                  <w:vAlign w:val="center"/>
                </w:tcPr>
                <w:p>
                  <w:pPr>
                    <w:pStyle w:val="26"/>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Merge w:val="continue"/>
                  <w:vAlign w:val="center"/>
                </w:tcPr>
                <w:p>
                  <w:pPr>
                    <w:pStyle w:val="26"/>
                    <w:spacing w:line="360" w:lineRule="exact"/>
                    <w:rPr>
                      <w:color w:val="auto"/>
                      <w:szCs w:val="21"/>
                    </w:rPr>
                  </w:pPr>
                </w:p>
              </w:tc>
              <w:tc>
                <w:tcPr>
                  <w:tcW w:w="1071" w:type="dxa"/>
                  <w:vAlign w:val="center"/>
                </w:tcPr>
                <w:p>
                  <w:pPr>
                    <w:pStyle w:val="26"/>
                    <w:spacing w:line="360" w:lineRule="exact"/>
                    <w:rPr>
                      <w:color w:val="auto"/>
                      <w:szCs w:val="21"/>
                    </w:rPr>
                  </w:pPr>
                  <w:r>
                    <w:rPr>
                      <w:color w:val="auto"/>
                      <w:szCs w:val="21"/>
                    </w:rPr>
                    <w:t>危险废物贮存间</w:t>
                  </w:r>
                </w:p>
              </w:tc>
              <w:tc>
                <w:tcPr>
                  <w:tcW w:w="5018" w:type="dxa"/>
                  <w:vAlign w:val="center"/>
                </w:tcPr>
                <w:p>
                  <w:pPr>
                    <w:pStyle w:val="26"/>
                    <w:spacing w:line="360" w:lineRule="exact"/>
                    <w:ind w:firstLine="210" w:firstLineChars="100"/>
                    <w:jc w:val="both"/>
                    <w:rPr>
                      <w:color w:val="auto"/>
                    </w:rPr>
                  </w:pPr>
                  <w:r>
                    <w:rPr>
                      <w:color w:val="auto"/>
                    </w:rPr>
                    <w:t>针对项目产生的废机油，厂区拟建设1个5m²的危险废物贮存间对项目区废机油等危险废物进行暂存。</w:t>
                  </w:r>
                  <w:r>
                    <w:rPr>
                      <w:color w:val="auto"/>
                      <w:lang w:val="en-US"/>
                    </w:rPr>
                    <w:t>全部</w:t>
                  </w:r>
                  <w:r>
                    <w:rPr>
                      <w:color w:val="auto"/>
                    </w:rPr>
                    <w:t>用于生产设备润滑使用。</w:t>
                  </w:r>
                </w:p>
                <w:p>
                  <w:pPr>
                    <w:pStyle w:val="26"/>
                    <w:spacing w:line="360" w:lineRule="exact"/>
                    <w:ind w:firstLine="210" w:firstLineChars="100"/>
                    <w:jc w:val="both"/>
                    <w:rPr>
                      <w:color w:val="auto"/>
                    </w:rPr>
                  </w:pPr>
                  <w:r>
                    <w:rPr>
                      <w:color w:val="auto"/>
                    </w:rPr>
                    <w:t>危险废物贮存间地面及裙墙应进行防腐防渗，内部设置导流渠和收集池，设置标识标牌。</w:t>
                  </w:r>
                </w:p>
              </w:tc>
              <w:tc>
                <w:tcPr>
                  <w:tcW w:w="1064" w:type="dxa"/>
                  <w:vAlign w:val="center"/>
                </w:tcPr>
                <w:p>
                  <w:pPr>
                    <w:pStyle w:val="26"/>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6"/>
                    <w:spacing w:line="360" w:lineRule="exact"/>
                    <w:rPr>
                      <w:color w:val="auto"/>
                      <w:szCs w:val="21"/>
                    </w:rPr>
                  </w:pPr>
                </w:p>
              </w:tc>
              <w:tc>
                <w:tcPr>
                  <w:tcW w:w="720" w:type="dxa"/>
                  <w:vAlign w:val="center"/>
                </w:tcPr>
                <w:p>
                  <w:pPr>
                    <w:pStyle w:val="26"/>
                    <w:spacing w:line="360" w:lineRule="exact"/>
                    <w:rPr>
                      <w:color w:val="auto"/>
                      <w:szCs w:val="21"/>
                    </w:rPr>
                  </w:pPr>
                  <w:r>
                    <w:rPr>
                      <w:color w:val="auto"/>
                      <w:szCs w:val="21"/>
                    </w:rPr>
                    <w:t>其他</w:t>
                  </w:r>
                </w:p>
              </w:tc>
              <w:tc>
                <w:tcPr>
                  <w:tcW w:w="1071" w:type="dxa"/>
                  <w:vAlign w:val="center"/>
                </w:tcPr>
                <w:p>
                  <w:pPr>
                    <w:pStyle w:val="26"/>
                    <w:spacing w:line="360" w:lineRule="exact"/>
                    <w:rPr>
                      <w:color w:val="auto"/>
                      <w:szCs w:val="21"/>
                    </w:rPr>
                  </w:pPr>
                  <w:r>
                    <w:rPr>
                      <w:color w:val="auto"/>
                      <w:szCs w:val="21"/>
                    </w:rPr>
                    <w:t>标识牌</w:t>
                  </w:r>
                </w:p>
              </w:tc>
              <w:tc>
                <w:tcPr>
                  <w:tcW w:w="5018" w:type="dxa"/>
                  <w:vAlign w:val="center"/>
                </w:tcPr>
                <w:p>
                  <w:pPr>
                    <w:pStyle w:val="26"/>
                    <w:spacing w:line="360" w:lineRule="exact"/>
                    <w:ind w:firstLine="210" w:firstLineChars="100"/>
                    <w:jc w:val="both"/>
                    <w:rPr>
                      <w:color w:val="auto"/>
                      <w:szCs w:val="21"/>
                    </w:rPr>
                  </w:pPr>
                  <w:r>
                    <w:rPr>
                      <w:color w:val="auto"/>
                      <w:szCs w:val="21"/>
                    </w:rPr>
                    <w:t>建设单位按照危险废物管理的规范要求，设置危险废物识别标志、环境保护图形标志。</w:t>
                  </w:r>
                </w:p>
              </w:tc>
              <w:tc>
                <w:tcPr>
                  <w:tcW w:w="1064" w:type="dxa"/>
                  <w:vAlign w:val="center"/>
                </w:tcPr>
                <w:p>
                  <w:pPr>
                    <w:pStyle w:val="26"/>
                    <w:spacing w:line="360" w:lineRule="exact"/>
                    <w:rPr>
                      <w:color w:val="auto"/>
                      <w:szCs w:val="21"/>
                    </w:rPr>
                  </w:pPr>
                  <w:r>
                    <w:rPr>
                      <w:color w:val="auto"/>
                      <w:szCs w:val="21"/>
                    </w:rPr>
                    <w:t>环评提出</w:t>
                  </w:r>
                </w:p>
              </w:tc>
            </w:tr>
          </w:tbl>
          <w:p>
            <w:pPr>
              <w:autoSpaceDE w:val="0"/>
              <w:autoSpaceDN w:val="0"/>
              <w:spacing w:before="156" w:beforeLines="50" w:line="360" w:lineRule="auto"/>
              <w:ind w:firstLine="241" w:firstLineChars="100"/>
              <w:rPr>
                <w:rFonts w:ascii="Times New Roman" w:hAnsi="Times New Roman" w:cs="Times New Roman"/>
                <w:b/>
                <w:sz w:val="24"/>
                <w:szCs w:val="24"/>
              </w:rPr>
            </w:pPr>
            <w:bookmarkStart w:id="2" w:name="_Toc493693536"/>
            <w:bookmarkStart w:id="3" w:name="_Toc433544969"/>
            <w:r>
              <w:rPr>
                <w:rFonts w:ascii="Times New Roman" w:hAnsi="Times New Roman" w:cs="Times New Roman"/>
                <w:b/>
                <w:sz w:val="24"/>
                <w:szCs w:val="24"/>
              </w:rPr>
              <w:t>2.2 总平面布置</w:t>
            </w:r>
            <w:bookmarkEnd w:id="2"/>
            <w:bookmarkEnd w:id="3"/>
            <w:r>
              <w:rPr>
                <w:rFonts w:ascii="Times New Roman" w:hAnsi="Times New Roman" w:cs="Times New Roman"/>
                <w:b/>
                <w:sz w:val="24"/>
                <w:szCs w:val="24"/>
              </w:rPr>
              <w:t>及其合理性</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2.2.1 本项目在厂区平面布置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厂区拟设置两栋主厂房，东南侧为生产车间，西北侧为产品库，生产车间内共设置2条生产线，分别从东南侧向西北侧进行布置。在厂区南侧设置生产废水处理系统的罐、池设施，污泥压滤机位于生产车间内，卫生间和生活污水处理系统位于厂区</w:t>
            </w:r>
            <w:r>
              <w:rPr>
                <w:rFonts w:hint="eastAsia" w:ascii="Times New Roman" w:hAnsi="Times New Roman" w:cs="Times New Roman"/>
                <w:sz w:val="24"/>
                <w:szCs w:val="24"/>
              </w:rPr>
              <w:t>东北</w:t>
            </w:r>
            <w:r>
              <w:rPr>
                <w:rFonts w:ascii="Times New Roman" w:hAnsi="Times New Roman" w:cs="Times New Roman"/>
                <w:sz w:val="24"/>
                <w:szCs w:val="24"/>
              </w:rPr>
              <w:t>侧办公区域，危险废物贮存间位于项目区</w:t>
            </w:r>
            <w:r>
              <w:rPr>
                <w:rFonts w:hint="eastAsia" w:ascii="Times New Roman" w:hAnsi="Times New Roman" w:cs="Times New Roman"/>
                <w:sz w:val="24"/>
                <w:szCs w:val="24"/>
              </w:rPr>
              <w:t>东北</w:t>
            </w:r>
            <w:r>
              <w:rPr>
                <w:rFonts w:ascii="Times New Roman" w:hAnsi="Times New Roman" w:cs="Times New Roman"/>
                <w:sz w:val="24"/>
                <w:szCs w:val="24"/>
              </w:rPr>
              <w:t>侧。初期雨水收集池位于项目区</w:t>
            </w:r>
            <w:r>
              <w:rPr>
                <w:rFonts w:hint="eastAsia" w:ascii="Times New Roman" w:hAnsi="Times New Roman" w:cs="Times New Roman"/>
                <w:sz w:val="24"/>
                <w:szCs w:val="24"/>
              </w:rPr>
              <w:t>西北侧</w:t>
            </w:r>
            <w:r>
              <w:rPr>
                <w:rFonts w:ascii="Times New Roman" w:hAnsi="Times New Roman" w:cs="Times New Roman"/>
                <w:sz w:val="24"/>
                <w:szCs w:val="24"/>
              </w:rPr>
              <w:t>地势最低处，污泥暂存库位于项目区东侧。根据项目特点可知，本项目生产工艺的平面布置对环境影响不大，因此项目平面布置合理。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项目生产车间平面布置详见附图2 项目区平面布置示意图。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根据设计，本项目对小江清淤物进行综合利用生产建筑用砂，本项目最大处理量约为25.9万m³/a，得到不同规格的机制砂，具体如下表所示。</w:t>
            </w:r>
          </w:p>
          <w:p>
            <w:pPr>
              <w:jc w:val="center"/>
              <w:rPr>
                <w:rFonts w:ascii="Times New Roman" w:hAnsi="Times New Roman" w:cs="Times New Roman"/>
                <w:b/>
              </w:rPr>
            </w:pPr>
            <w:r>
              <w:rPr>
                <w:rFonts w:ascii="Times New Roman" w:hAnsi="Times New Roman" w:cs="Times New Roman"/>
                <w:b/>
              </w:rPr>
              <w:t>表1.5-1 产品方案及规模一览表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8"/>
              <w:gridCol w:w="1843"/>
              <w:gridCol w:w="1866"/>
              <w:gridCol w:w="2150"/>
              <w:gridCol w:w="17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6"/>
                    <w:spacing w:line="360" w:lineRule="exact"/>
                    <w:rPr>
                      <w:color w:val="auto"/>
                      <w:szCs w:val="21"/>
                      <w:lang w:val="en-US"/>
                    </w:rPr>
                  </w:pPr>
                  <w:r>
                    <w:rPr>
                      <w:color w:val="auto"/>
                      <w:szCs w:val="21"/>
                      <w:lang w:val="en-US"/>
                    </w:rPr>
                    <w:t>序号</w:t>
                  </w:r>
                </w:p>
              </w:tc>
              <w:tc>
                <w:tcPr>
                  <w:tcW w:w="1843" w:type="dxa"/>
                  <w:tcBorders>
                    <w:left w:val="single" w:color="auto" w:sz="4" w:space="0"/>
                  </w:tcBorders>
                  <w:vAlign w:val="center"/>
                </w:tcPr>
                <w:p>
                  <w:pPr>
                    <w:pStyle w:val="26"/>
                    <w:spacing w:line="360" w:lineRule="exact"/>
                    <w:rPr>
                      <w:color w:val="auto"/>
                      <w:szCs w:val="21"/>
                      <w:lang w:val="en-US"/>
                    </w:rPr>
                  </w:pPr>
                  <w:r>
                    <w:rPr>
                      <w:color w:val="auto"/>
                      <w:szCs w:val="21"/>
                      <w:lang w:val="en-US"/>
                    </w:rPr>
                    <w:t>主要产品</w:t>
                  </w:r>
                </w:p>
              </w:tc>
              <w:tc>
                <w:tcPr>
                  <w:tcW w:w="1866" w:type="dxa"/>
                  <w:vAlign w:val="center"/>
                </w:tcPr>
                <w:p>
                  <w:pPr>
                    <w:pStyle w:val="26"/>
                    <w:spacing w:line="360" w:lineRule="exact"/>
                    <w:rPr>
                      <w:color w:val="auto"/>
                      <w:szCs w:val="21"/>
                      <w:lang w:val="en-US"/>
                    </w:rPr>
                  </w:pPr>
                  <w:r>
                    <w:rPr>
                      <w:color w:val="auto"/>
                      <w:szCs w:val="21"/>
                      <w:lang w:val="en-US"/>
                    </w:rPr>
                    <w:t>规格</w:t>
                  </w:r>
                </w:p>
              </w:tc>
              <w:tc>
                <w:tcPr>
                  <w:tcW w:w="2150" w:type="dxa"/>
                  <w:vAlign w:val="center"/>
                </w:tcPr>
                <w:p>
                  <w:pPr>
                    <w:pStyle w:val="26"/>
                    <w:spacing w:line="360" w:lineRule="exact"/>
                    <w:rPr>
                      <w:color w:val="auto"/>
                      <w:szCs w:val="21"/>
                      <w:lang w:val="en-US"/>
                    </w:rPr>
                  </w:pPr>
                  <w:r>
                    <w:rPr>
                      <w:color w:val="auto"/>
                      <w:szCs w:val="21"/>
                      <w:lang w:val="en-US"/>
                    </w:rPr>
                    <w:t>产能</w:t>
                  </w:r>
                </w:p>
              </w:tc>
              <w:tc>
                <w:tcPr>
                  <w:tcW w:w="1728" w:type="dxa"/>
                  <w:vAlign w:val="center"/>
                </w:tcPr>
                <w:p>
                  <w:pPr>
                    <w:pStyle w:val="26"/>
                    <w:spacing w:line="360" w:lineRule="exact"/>
                    <w:rPr>
                      <w:color w:val="auto"/>
                      <w:szCs w:val="21"/>
                      <w:lang w:val="en-US"/>
                    </w:rPr>
                  </w:pPr>
                  <w:r>
                    <w:rPr>
                      <w:color w:val="auto"/>
                      <w:szCs w:val="21"/>
                      <w:lang w:val="en-US"/>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6"/>
                    <w:spacing w:line="360" w:lineRule="exact"/>
                    <w:rPr>
                      <w:color w:val="auto"/>
                      <w:szCs w:val="21"/>
                      <w:lang w:val="en-US"/>
                    </w:rPr>
                  </w:pPr>
                  <w:r>
                    <w:rPr>
                      <w:color w:val="auto"/>
                      <w:szCs w:val="21"/>
                      <w:lang w:val="en-US"/>
                    </w:rPr>
                    <w:t>1</w:t>
                  </w:r>
                </w:p>
              </w:tc>
              <w:tc>
                <w:tcPr>
                  <w:tcW w:w="1843" w:type="dxa"/>
                  <w:tcBorders>
                    <w:left w:val="single" w:color="auto" w:sz="4" w:space="0"/>
                  </w:tcBorders>
                  <w:vAlign w:val="center"/>
                </w:tcPr>
                <w:p>
                  <w:pPr>
                    <w:pStyle w:val="26"/>
                    <w:spacing w:line="360" w:lineRule="exact"/>
                    <w:rPr>
                      <w:color w:val="auto"/>
                      <w:szCs w:val="21"/>
                      <w:lang w:val="en-US"/>
                    </w:rPr>
                  </w:pPr>
                  <w:r>
                    <w:rPr>
                      <w:color w:val="auto"/>
                      <w:szCs w:val="21"/>
                      <w:lang w:val="en-US"/>
                    </w:rPr>
                    <w:t>自然砂</w:t>
                  </w:r>
                </w:p>
              </w:tc>
              <w:tc>
                <w:tcPr>
                  <w:tcW w:w="1866" w:type="dxa"/>
                  <w:vAlign w:val="center"/>
                </w:tcPr>
                <w:p>
                  <w:pPr>
                    <w:pStyle w:val="26"/>
                    <w:spacing w:line="360" w:lineRule="exact"/>
                    <w:rPr>
                      <w:color w:val="auto"/>
                      <w:szCs w:val="21"/>
                      <w:lang w:val="en-US"/>
                    </w:rPr>
                  </w:pPr>
                  <w:r>
                    <w:rPr>
                      <w:color w:val="auto"/>
                      <w:szCs w:val="21"/>
                      <w:lang w:val="en-US"/>
                    </w:rPr>
                    <w:t>Φ0-5mm</w:t>
                  </w:r>
                </w:p>
              </w:tc>
              <w:tc>
                <w:tcPr>
                  <w:tcW w:w="2150" w:type="dxa"/>
                  <w:vAlign w:val="center"/>
                </w:tcPr>
                <w:p>
                  <w:pPr>
                    <w:pStyle w:val="26"/>
                    <w:spacing w:line="360" w:lineRule="exact"/>
                    <w:rPr>
                      <w:color w:val="auto"/>
                      <w:szCs w:val="21"/>
                      <w:lang w:val="en-US"/>
                    </w:rPr>
                  </w:pPr>
                  <w:r>
                    <w:rPr>
                      <w:color w:val="auto"/>
                      <w:szCs w:val="21"/>
                      <w:lang w:val="en-US"/>
                    </w:rPr>
                    <w:t>5.25万m³/a</w:t>
                  </w:r>
                </w:p>
              </w:tc>
              <w:tc>
                <w:tcPr>
                  <w:tcW w:w="1728" w:type="dxa"/>
                  <w:vMerge w:val="restart"/>
                  <w:vAlign w:val="center"/>
                </w:tcPr>
                <w:p>
                  <w:pPr>
                    <w:pStyle w:val="26"/>
                    <w:spacing w:line="360" w:lineRule="exact"/>
                    <w:rPr>
                      <w:color w:val="auto"/>
                      <w:szCs w:val="21"/>
                      <w:lang w:val="en-US"/>
                    </w:rPr>
                  </w:pPr>
                  <w:r>
                    <w:rPr>
                      <w:color w:val="auto"/>
                      <w:sz w:val="24"/>
                      <w:szCs w:val="24"/>
                      <w:lang w:val="en-US"/>
                    </w:rPr>
                    <w:t>25.9</w:t>
                  </w:r>
                  <w:r>
                    <w:rPr>
                      <w:color w:val="auto"/>
                      <w:sz w:val="24"/>
                      <w:szCs w:val="24"/>
                    </w:rPr>
                    <w:t>万</w:t>
                  </w:r>
                  <w:r>
                    <w:rPr>
                      <w:color w:val="auto"/>
                      <w:sz w:val="24"/>
                      <w:szCs w:val="24"/>
                      <w:lang w:val="en-US"/>
                    </w:rPr>
                    <w:t>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6"/>
                    <w:spacing w:line="360" w:lineRule="exact"/>
                    <w:rPr>
                      <w:color w:val="auto"/>
                      <w:szCs w:val="21"/>
                      <w:lang w:val="en-US"/>
                    </w:rPr>
                  </w:pPr>
                  <w:r>
                    <w:rPr>
                      <w:color w:val="auto"/>
                      <w:szCs w:val="21"/>
                      <w:lang w:val="en-US"/>
                    </w:rPr>
                    <w:t>2</w:t>
                  </w:r>
                </w:p>
              </w:tc>
              <w:tc>
                <w:tcPr>
                  <w:tcW w:w="1843" w:type="dxa"/>
                  <w:tcBorders>
                    <w:left w:val="single" w:color="auto" w:sz="4" w:space="0"/>
                  </w:tcBorders>
                  <w:vAlign w:val="center"/>
                </w:tcPr>
                <w:p>
                  <w:pPr>
                    <w:pStyle w:val="26"/>
                    <w:spacing w:line="360" w:lineRule="exact"/>
                    <w:rPr>
                      <w:color w:val="auto"/>
                      <w:szCs w:val="21"/>
                      <w:lang w:val="en-US"/>
                    </w:rPr>
                  </w:pPr>
                  <w:r>
                    <w:rPr>
                      <w:color w:val="auto"/>
                      <w:szCs w:val="21"/>
                      <w:lang w:val="en-US"/>
                    </w:rPr>
                    <w:t>制砖砂</w:t>
                  </w:r>
                </w:p>
              </w:tc>
              <w:tc>
                <w:tcPr>
                  <w:tcW w:w="1866" w:type="dxa"/>
                  <w:vAlign w:val="center"/>
                </w:tcPr>
                <w:p>
                  <w:pPr>
                    <w:pStyle w:val="26"/>
                    <w:spacing w:line="360" w:lineRule="exact"/>
                    <w:rPr>
                      <w:color w:val="auto"/>
                      <w:szCs w:val="21"/>
                      <w:lang w:val="en-US"/>
                    </w:rPr>
                  </w:pPr>
                  <w:r>
                    <w:rPr>
                      <w:color w:val="auto"/>
                      <w:szCs w:val="21"/>
                      <w:lang w:val="en-US"/>
                    </w:rPr>
                    <w:t>Φ0-5mm</w:t>
                  </w:r>
                </w:p>
              </w:tc>
              <w:tc>
                <w:tcPr>
                  <w:tcW w:w="2150" w:type="dxa"/>
                  <w:vAlign w:val="center"/>
                </w:tcPr>
                <w:p>
                  <w:pPr>
                    <w:pStyle w:val="26"/>
                    <w:spacing w:line="360" w:lineRule="exact"/>
                    <w:rPr>
                      <w:color w:val="auto"/>
                      <w:szCs w:val="21"/>
                      <w:lang w:val="en-US"/>
                    </w:rPr>
                  </w:pPr>
                  <w:r>
                    <w:rPr>
                      <w:color w:val="auto"/>
                      <w:szCs w:val="21"/>
                      <w:lang w:val="en-US"/>
                    </w:rPr>
                    <w:t>5.25万m³/a</w:t>
                  </w:r>
                </w:p>
              </w:tc>
              <w:tc>
                <w:tcPr>
                  <w:tcW w:w="1728" w:type="dxa"/>
                  <w:vMerge w:val="continue"/>
                  <w:vAlign w:val="center"/>
                </w:tcPr>
                <w:p>
                  <w:pPr>
                    <w:pStyle w:val="26"/>
                    <w:spacing w:line="360" w:lineRule="exact"/>
                    <w:rPr>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6"/>
                    <w:spacing w:line="360" w:lineRule="exact"/>
                    <w:rPr>
                      <w:color w:val="auto"/>
                      <w:szCs w:val="21"/>
                      <w:lang w:val="en-US"/>
                    </w:rPr>
                  </w:pPr>
                  <w:r>
                    <w:rPr>
                      <w:color w:val="auto"/>
                      <w:szCs w:val="21"/>
                      <w:lang w:val="en-US"/>
                    </w:rPr>
                    <w:t>3</w:t>
                  </w:r>
                </w:p>
              </w:tc>
              <w:tc>
                <w:tcPr>
                  <w:tcW w:w="1843" w:type="dxa"/>
                  <w:tcBorders>
                    <w:left w:val="single" w:color="auto" w:sz="4" w:space="0"/>
                  </w:tcBorders>
                  <w:vAlign w:val="center"/>
                </w:tcPr>
                <w:p>
                  <w:pPr>
                    <w:pStyle w:val="26"/>
                    <w:spacing w:line="360" w:lineRule="exact"/>
                    <w:rPr>
                      <w:color w:val="auto"/>
                      <w:szCs w:val="21"/>
                      <w:lang w:val="en-US"/>
                    </w:rPr>
                  </w:pPr>
                  <w:r>
                    <w:rPr>
                      <w:color w:val="auto"/>
                      <w:szCs w:val="21"/>
                      <w:lang w:val="en-US"/>
                    </w:rPr>
                    <w:t>1号料</w:t>
                  </w:r>
                </w:p>
              </w:tc>
              <w:tc>
                <w:tcPr>
                  <w:tcW w:w="1866" w:type="dxa"/>
                  <w:vAlign w:val="center"/>
                </w:tcPr>
                <w:p>
                  <w:pPr>
                    <w:pStyle w:val="26"/>
                    <w:spacing w:line="360" w:lineRule="exact"/>
                    <w:rPr>
                      <w:color w:val="auto"/>
                      <w:szCs w:val="21"/>
                      <w:lang w:val="en-US"/>
                    </w:rPr>
                  </w:pPr>
                  <w:r>
                    <w:rPr>
                      <w:color w:val="auto"/>
                      <w:szCs w:val="21"/>
                      <w:lang w:val="en-US"/>
                    </w:rPr>
                    <w:t>Φ10-20mm</w:t>
                  </w:r>
                </w:p>
              </w:tc>
              <w:tc>
                <w:tcPr>
                  <w:tcW w:w="2150" w:type="dxa"/>
                  <w:vAlign w:val="center"/>
                </w:tcPr>
                <w:p>
                  <w:pPr>
                    <w:pStyle w:val="26"/>
                    <w:spacing w:line="360" w:lineRule="exact"/>
                    <w:rPr>
                      <w:color w:val="auto"/>
                      <w:szCs w:val="21"/>
                      <w:lang w:val="en-US"/>
                    </w:rPr>
                  </w:pPr>
                  <w:r>
                    <w:rPr>
                      <w:color w:val="auto"/>
                      <w:szCs w:val="21"/>
                      <w:lang w:val="en-US"/>
                    </w:rPr>
                    <w:t>8.26万m³/a</w:t>
                  </w:r>
                </w:p>
              </w:tc>
              <w:tc>
                <w:tcPr>
                  <w:tcW w:w="1728" w:type="dxa"/>
                  <w:vMerge w:val="continue"/>
                  <w:vAlign w:val="center"/>
                </w:tcPr>
                <w:p>
                  <w:pPr>
                    <w:pStyle w:val="26"/>
                    <w:spacing w:line="360" w:lineRule="exact"/>
                    <w:rPr>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6"/>
                    <w:spacing w:line="360" w:lineRule="exact"/>
                    <w:rPr>
                      <w:color w:val="auto"/>
                      <w:szCs w:val="21"/>
                      <w:lang w:val="en-US"/>
                    </w:rPr>
                  </w:pPr>
                  <w:r>
                    <w:rPr>
                      <w:color w:val="auto"/>
                      <w:szCs w:val="21"/>
                      <w:lang w:val="en-US"/>
                    </w:rPr>
                    <w:t>4</w:t>
                  </w:r>
                </w:p>
              </w:tc>
              <w:tc>
                <w:tcPr>
                  <w:tcW w:w="1843" w:type="dxa"/>
                  <w:tcBorders>
                    <w:left w:val="single" w:color="auto" w:sz="4" w:space="0"/>
                  </w:tcBorders>
                  <w:vAlign w:val="center"/>
                </w:tcPr>
                <w:p>
                  <w:pPr>
                    <w:pStyle w:val="26"/>
                    <w:spacing w:line="360" w:lineRule="exact"/>
                    <w:rPr>
                      <w:color w:val="auto"/>
                      <w:szCs w:val="21"/>
                      <w:lang w:val="en-US"/>
                    </w:rPr>
                  </w:pPr>
                  <w:r>
                    <w:rPr>
                      <w:color w:val="auto"/>
                      <w:szCs w:val="21"/>
                      <w:lang w:val="en-US"/>
                    </w:rPr>
                    <w:t>2号料</w:t>
                  </w:r>
                </w:p>
              </w:tc>
              <w:tc>
                <w:tcPr>
                  <w:tcW w:w="1866" w:type="dxa"/>
                  <w:vAlign w:val="center"/>
                </w:tcPr>
                <w:p>
                  <w:pPr>
                    <w:pStyle w:val="26"/>
                    <w:spacing w:line="360" w:lineRule="exact"/>
                    <w:rPr>
                      <w:color w:val="auto"/>
                      <w:szCs w:val="21"/>
                      <w:lang w:val="en-US"/>
                    </w:rPr>
                  </w:pPr>
                  <w:r>
                    <w:rPr>
                      <w:color w:val="auto"/>
                      <w:szCs w:val="21"/>
                      <w:lang w:val="en-US"/>
                    </w:rPr>
                    <w:t>Φ20-31.5mm</w:t>
                  </w:r>
                </w:p>
              </w:tc>
              <w:tc>
                <w:tcPr>
                  <w:tcW w:w="2150" w:type="dxa"/>
                  <w:vAlign w:val="center"/>
                </w:tcPr>
                <w:p>
                  <w:pPr>
                    <w:pStyle w:val="26"/>
                    <w:spacing w:line="360" w:lineRule="exact"/>
                    <w:rPr>
                      <w:color w:val="auto"/>
                      <w:szCs w:val="21"/>
                      <w:lang w:val="en-US"/>
                    </w:rPr>
                  </w:pPr>
                  <w:r>
                    <w:rPr>
                      <w:color w:val="auto"/>
                      <w:szCs w:val="21"/>
                      <w:lang w:val="en-US"/>
                    </w:rPr>
                    <w:t>7.14万m³/a</w:t>
                  </w:r>
                </w:p>
              </w:tc>
              <w:tc>
                <w:tcPr>
                  <w:tcW w:w="1728" w:type="dxa"/>
                  <w:vMerge w:val="continue"/>
                  <w:vAlign w:val="center"/>
                </w:tcPr>
                <w:p>
                  <w:pPr>
                    <w:pStyle w:val="26"/>
                    <w:spacing w:line="360" w:lineRule="exact"/>
                    <w:rPr>
                      <w:color w:val="auto"/>
                      <w:szCs w:val="21"/>
                      <w:lang w:val="en-US"/>
                    </w:rPr>
                  </w:pPr>
                </w:p>
              </w:tc>
            </w:tr>
          </w:tbl>
          <w:p>
            <w:pPr>
              <w:autoSpaceDE w:val="0"/>
              <w:autoSpaceDN w:val="0"/>
              <w:spacing w:before="156"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根据设计，项目主要生产单元、主要工艺、生产设施及设施参数如下表所示。</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表2.4-1 主要生产单元、主要工艺、生产设施及设施参数表</w:t>
            </w:r>
          </w:p>
          <w:tbl>
            <w:tblPr>
              <w:tblStyle w:val="17"/>
              <w:tblW w:w="860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9"/>
              <w:gridCol w:w="2422"/>
              <w:gridCol w:w="3123"/>
              <w:gridCol w:w="18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Align w:val="center"/>
                </w:tcPr>
                <w:p>
                  <w:pPr>
                    <w:pStyle w:val="26"/>
                    <w:spacing w:line="320" w:lineRule="atLeast"/>
                    <w:rPr>
                      <w:color w:val="auto"/>
                      <w:szCs w:val="21"/>
                      <w:lang w:val="en-US"/>
                    </w:rPr>
                  </w:pPr>
                  <w:r>
                    <w:rPr>
                      <w:color w:val="auto"/>
                      <w:szCs w:val="21"/>
                      <w:lang w:val="en-US"/>
                    </w:rPr>
                    <w:t>主要生产单元</w:t>
                  </w:r>
                </w:p>
              </w:tc>
              <w:tc>
                <w:tcPr>
                  <w:tcW w:w="2422" w:type="dxa"/>
                  <w:vAlign w:val="center"/>
                </w:tcPr>
                <w:p>
                  <w:pPr>
                    <w:pStyle w:val="26"/>
                    <w:spacing w:line="320" w:lineRule="atLeast"/>
                    <w:rPr>
                      <w:color w:val="auto"/>
                      <w:szCs w:val="21"/>
                      <w:lang w:val="en-US"/>
                    </w:rPr>
                  </w:pPr>
                  <w:r>
                    <w:rPr>
                      <w:color w:val="auto"/>
                      <w:szCs w:val="21"/>
                      <w:lang w:val="en-US"/>
                    </w:rPr>
                    <w:t>主要工艺</w:t>
                  </w:r>
                </w:p>
              </w:tc>
              <w:tc>
                <w:tcPr>
                  <w:tcW w:w="3123" w:type="dxa"/>
                  <w:vAlign w:val="center"/>
                </w:tcPr>
                <w:p>
                  <w:pPr>
                    <w:pStyle w:val="26"/>
                    <w:spacing w:line="320" w:lineRule="atLeast"/>
                    <w:rPr>
                      <w:color w:val="auto"/>
                      <w:szCs w:val="21"/>
                      <w:lang w:val="en-US"/>
                    </w:rPr>
                  </w:pPr>
                  <w:r>
                    <w:rPr>
                      <w:color w:val="auto"/>
                      <w:szCs w:val="21"/>
                      <w:lang w:val="en-US"/>
                    </w:rPr>
                    <w:t>生产设施</w:t>
                  </w:r>
                </w:p>
              </w:tc>
              <w:tc>
                <w:tcPr>
                  <w:tcW w:w="1818" w:type="dxa"/>
                  <w:vAlign w:val="center"/>
                </w:tcPr>
                <w:p>
                  <w:pPr>
                    <w:pStyle w:val="26"/>
                    <w:spacing w:line="320" w:lineRule="atLeast"/>
                    <w:rPr>
                      <w:color w:val="auto"/>
                      <w:szCs w:val="21"/>
                      <w:lang w:val="en-US"/>
                    </w:rPr>
                  </w:pPr>
                  <w:r>
                    <w:rPr>
                      <w:color w:val="auto"/>
                      <w:szCs w:val="21"/>
                      <w:lang w:val="en-US"/>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restart"/>
                  <w:vAlign w:val="center"/>
                </w:tcPr>
                <w:p>
                  <w:pPr>
                    <w:pStyle w:val="26"/>
                    <w:spacing w:line="320" w:lineRule="atLeast"/>
                    <w:rPr>
                      <w:color w:val="auto"/>
                      <w:szCs w:val="21"/>
                      <w:lang w:val="en-US"/>
                    </w:rPr>
                  </w:pPr>
                  <w:r>
                    <w:rPr>
                      <w:color w:val="auto"/>
                      <w:szCs w:val="21"/>
                      <w:lang w:val="en-US"/>
                    </w:rPr>
                    <w:t>主体工程</w:t>
                  </w:r>
                </w:p>
              </w:tc>
              <w:tc>
                <w:tcPr>
                  <w:tcW w:w="2422" w:type="dxa"/>
                  <w:vMerge w:val="restart"/>
                  <w:vAlign w:val="center"/>
                </w:tcPr>
                <w:p>
                  <w:pPr>
                    <w:pStyle w:val="26"/>
                    <w:spacing w:line="320" w:lineRule="atLeast"/>
                    <w:rPr>
                      <w:color w:val="auto"/>
                      <w:szCs w:val="21"/>
                      <w:lang w:val="en-US"/>
                    </w:rPr>
                  </w:pPr>
                  <w:r>
                    <w:rPr>
                      <w:color w:val="auto"/>
                      <w:szCs w:val="21"/>
                      <w:lang w:val="en-US"/>
                    </w:rPr>
                    <w:t>破碎车间</w:t>
                  </w:r>
                </w:p>
              </w:tc>
              <w:tc>
                <w:tcPr>
                  <w:tcW w:w="3123" w:type="dxa"/>
                  <w:vAlign w:val="center"/>
                </w:tcPr>
                <w:p>
                  <w:pPr>
                    <w:pStyle w:val="26"/>
                    <w:spacing w:line="320" w:lineRule="atLeast"/>
                    <w:rPr>
                      <w:color w:val="auto"/>
                      <w:szCs w:val="21"/>
                      <w:lang w:val="en-US"/>
                    </w:rPr>
                  </w:pPr>
                  <w:r>
                    <w:rPr>
                      <w:color w:val="auto"/>
                      <w:szCs w:val="21"/>
                      <w:lang w:val="en-US"/>
                    </w:rPr>
                    <w:t>颚式破碎机</w:t>
                  </w:r>
                  <w:r>
                    <w:rPr>
                      <w:color w:val="auto"/>
                      <w:w w:val="105"/>
                      <w:szCs w:val="21"/>
                    </w:rPr>
                    <w:t>（PE750*1060）</w:t>
                  </w:r>
                  <w:r>
                    <w:rPr>
                      <w:rFonts w:hint="eastAsia"/>
                      <w:color w:val="auto"/>
                      <w:w w:val="105"/>
                      <w:szCs w:val="21"/>
                    </w:rPr>
                    <w:t>（</w:t>
                  </w:r>
                  <w:r>
                    <w:rPr>
                      <w:rFonts w:hint="eastAsia"/>
                      <w:color w:val="auto"/>
                      <w:w w:val="105"/>
                      <w:szCs w:val="21"/>
                      <w:lang w:val="en-US"/>
                    </w:rPr>
                    <w:t>一级破碎</w:t>
                  </w:r>
                  <w:r>
                    <w:rPr>
                      <w:rFonts w:hint="eastAsia"/>
                      <w:color w:val="auto"/>
                      <w:w w:val="105"/>
                      <w:szCs w:val="21"/>
                    </w:rPr>
                    <w:t>）</w:t>
                  </w:r>
                </w:p>
              </w:tc>
              <w:tc>
                <w:tcPr>
                  <w:tcW w:w="1818" w:type="dxa"/>
                  <w:vAlign w:val="center"/>
                </w:tcPr>
                <w:p>
                  <w:pPr>
                    <w:pStyle w:val="26"/>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vAlign w:val="center"/>
                </w:tcPr>
                <w:p>
                  <w:pPr>
                    <w:pStyle w:val="26"/>
                    <w:spacing w:line="320" w:lineRule="atLeast"/>
                    <w:rPr>
                      <w:color w:val="auto"/>
                      <w:szCs w:val="21"/>
                      <w:lang w:val="en-US"/>
                    </w:rPr>
                  </w:pPr>
                  <w:r>
                    <w:rPr>
                      <w:color w:val="auto"/>
                      <w:szCs w:val="21"/>
                      <w:lang w:val="en-US"/>
                    </w:rPr>
                    <w:t>给料机</w:t>
                  </w:r>
                  <w:r>
                    <w:rPr>
                      <w:color w:val="auto"/>
                      <w:w w:val="105"/>
                      <w:szCs w:val="21"/>
                    </w:rPr>
                    <w:t>（ZW1350）</w:t>
                  </w:r>
                </w:p>
              </w:tc>
              <w:tc>
                <w:tcPr>
                  <w:tcW w:w="1818" w:type="dxa"/>
                  <w:vAlign w:val="center"/>
                </w:tcPr>
                <w:p>
                  <w:pPr>
                    <w:pStyle w:val="26"/>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vAlign w:val="center"/>
                </w:tcPr>
                <w:p>
                  <w:pPr>
                    <w:pStyle w:val="26"/>
                    <w:spacing w:line="320" w:lineRule="atLeast"/>
                    <w:rPr>
                      <w:color w:val="auto"/>
                      <w:szCs w:val="21"/>
                      <w:lang w:val="en-US"/>
                    </w:rPr>
                  </w:pPr>
                  <w:r>
                    <w:rPr>
                      <w:color w:val="auto"/>
                      <w:w w:val="105"/>
                      <w:szCs w:val="21"/>
                    </w:rPr>
                    <w:t>多缸液压圆锥机（HPY400）</w:t>
                  </w:r>
                  <w:r>
                    <w:rPr>
                      <w:rFonts w:hint="eastAsia"/>
                      <w:color w:val="auto"/>
                      <w:w w:val="105"/>
                      <w:szCs w:val="21"/>
                    </w:rPr>
                    <w:t>（</w:t>
                  </w:r>
                  <w:r>
                    <w:rPr>
                      <w:rFonts w:hint="eastAsia"/>
                      <w:color w:val="auto"/>
                      <w:w w:val="105"/>
                      <w:szCs w:val="21"/>
                      <w:lang w:val="en-US"/>
                    </w:rPr>
                    <w:t>二级破碎</w:t>
                  </w:r>
                  <w:r>
                    <w:rPr>
                      <w:rFonts w:hint="eastAsia"/>
                      <w:color w:val="auto"/>
                      <w:w w:val="105"/>
                      <w:szCs w:val="21"/>
                    </w:rPr>
                    <w:t>）</w:t>
                  </w:r>
                </w:p>
              </w:tc>
              <w:tc>
                <w:tcPr>
                  <w:tcW w:w="1818" w:type="dxa"/>
                  <w:vAlign w:val="center"/>
                </w:tcPr>
                <w:p>
                  <w:pPr>
                    <w:pStyle w:val="26"/>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vAlign w:val="center"/>
                </w:tcPr>
                <w:p>
                  <w:pPr>
                    <w:pStyle w:val="26"/>
                    <w:spacing w:line="320" w:lineRule="atLeast"/>
                    <w:rPr>
                      <w:color w:val="auto"/>
                      <w:szCs w:val="21"/>
                      <w:lang w:val="en-US"/>
                    </w:rPr>
                  </w:pPr>
                  <w:r>
                    <w:rPr>
                      <w:color w:val="auto"/>
                      <w:w w:val="105"/>
                      <w:szCs w:val="21"/>
                    </w:rPr>
                    <w:t>冲击破（LM9500）</w:t>
                  </w:r>
                  <w:r>
                    <w:rPr>
                      <w:rFonts w:hint="eastAsia"/>
                      <w:color w:val="auto"/>
                      <w:w w:val="105"/>
                      <w:szCs w:val="21"/>
                    </w:rPr>
                    <w:t>（</w:t>
                  </w:r>
                  <w:r>
                    <w:rPr>
                      <w:rFonts w:hint="eastAsia"/>
                      <w:color w:val="auto"/>
                      <w:w w:val="105"/>
                      <w:szCs w:val="21"/>
                      <w:lang w:val="en-US"/>
                    </w:rPr>
                    <w:t>三级破碎</w:t>
                  </w:r>
                  <w:r>
                    <w:rPr>
                      <w:rFonts w:hint="eastAsia"/>
                      <w:color w:val="auto"/>
                      <w:w w:val="105"/>
                      <w:szCs w:val="21"/>
                    </w:rPr>
                    <w:t>）</w:t>
                  </w:r>
                </w:p>
              </w:tc>
              <w:tc>
                <w:tcPr>
                  <w:tcW w:w="1818" w:type="dxa"/>
                  <w:vAlign w:val="center"/>
                </w:tcPr>
                <w:p>
                  <w:pPr>
                    <w:pStyle w:val="26"/>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restart"/>
                  <w:vAlign w:val="center"/>
                </w:tcPr>
                <w:p>
                  <w:pPr>
                    <w:pStyle w:val="26"/>
                    <w:spacing w:line="320" w:lineRule="atLeast"/>
                    <w:rPr>
                      <w:color w:val="auto"/>
                      <w:szCs w:val="21"/>
                      <w:lang w:val="en-US"/>
                    </w:rPr>
                  </w:pPr>
                  <w:r>
                    <w:rPr>
                      <w:color w:val="auto"/>
                      <w:szCs w:val="21"/>
                      <w:lang w:val="en-US"/>
                    </w:rPr>
                    <w:t>筛分水洗车间</w:t>
                  </w:r>
                </w:p>
              </w:tc>
              <w:tc>
                <w:tcPr>
                  <w:tcW w:w="3123" w:type="dxa"/>
                </w:tcPr>
                <w:p>
                  <w:pPr>
                    <w:pStyle w:val="52"/>
                    <w:spacing w:line="320" w:lineRule="atLeast"/>
                    <w:jc w:val="center"/>
                    <w:rPr>
                      <w:rFonts w:ascii="Times New Roman" w:hAnsi="Times New Roman" w:cs="Times New Roman"/>
                      <w:lang w:val="en-US"/>
                    </w:rPr>
                  </w:pPr>
                  <w:r>
                    <w:rPr>
                      <w:rFonts w:ascii="Times New Roman" w:hAnsi="Times New Roman" w:cs="Times New Roman"/>
                      <w:w w:val="105"/>
                    </w:rPr>
                    <w:t>给料机（ZW1020）</w:t>
                  </w:r>
                </w:p>
              </w:tc>
              <w:tc>
                <w:tcPr>
                  <w:tcW w:w="1818" w:type="dxa"/>
                  <w:vAlign w:val="center"/>
                </w:tcPr>
                <w:p>
                  <w:pPr>
                    <w:pStyle w:val="26"/>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tcPr>
                <w:p>
                  <w:pPr>
                    <w:pStyle w:val="52"/>
                    <w:spacing w:line="320" w:lineRule="atLeast"/>
                    <w:jc w:val="center"/>
                    <w:rPr>
                      <w:rFonts w:ascii="Times New Roman" w:hAnsi="Times New Roman" w:cs="Times New Roman"/>
                      <w:lang w:val="en-US"/>
                    </w:rPr>
                  </w:pPr>
                  <w:r>
                    <w:rPr>
                      <w:rFonts w:ascii="Times New Roman" w:hAnsi="Times New Roman" w:cs="Times New Roman"/>
                      <w:w w:val="105"/>
                    </w:rPr>
                    <w:t>螺旋洗砂机</w:t>
                  </w:r>
                  <w:r>
                    <w:rPr>
                      <w:rFonts w:ascii="Times New Roman" w:hAnsi="Times New Roman" w:cs="Times New Roman"/>
                      <w:w w:val="105"/>
                      <w:lang w:val="en-US"/>
                    </w:rPr>
                    <w:t>（LM2RXLK-1200）</w:t>
                  </w:r>
                </w:p>
              </w:tc>
              <w:tc>
                <w:tcPr>
                  <w:tcW w:w="1818" w:type="dxa"/>
                  <w:vAlign w:val="center"/>
                </w:tcPr>
                <w:p>
                  <w:pPr>
                    <w:pStyle w:val="26"/>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4" w:hRule="atLeast"/>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tcPr>
                <w:p>
                  <w:pPr>
                    <w:pStyle w:val="52"/>
                    <w:spacing w:line="320" w:lineRule="atLeast"/>
                    <w:jc w:val="center"/>
                    <w:rPr>
                      <w:rFonts w:ascii="Times New Roman" w:hAnsi="Times New Roman" w:cs="Times New Roman"/>
                      <w:lang w:val="en-US"/>
                    </w:rPr>
                  </w:pPr>
                  <w:r>
                    <w:rPr>
                      <w:rFonts w:ascii="Times New Roman" w:hAnsi="Times New Roman" w:cs="Times New Roman"/>
                      <w:w w:val="105"/>
                    </w:rPr>
                    <w:t>细砂回收一体机（LMTX2445）</w:t>
                  </w:r>
                </w:p>
              </w:tc>
              <w:tc>
                <w:tcPr>
                  <w:tcW w:w="1818" w:type="dxa"/>
                  <w:vAlign w:val="center"/>
                </w:tcPr>
                <w:p>
                  <w:pPr>
                    <w:pStyle w:val="26"/>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tcPr>
                <w:p>
                  <w:pPr>
                    <w:pStyle w:val="52"/>
                    <w:spacing w:line="320" w:lineRule="atLeast"/>
                    <w:jc w:val="center"/>
                    <w:rPr>
                      <w:rFonts w:ascii="Times New Roman" w:hAnsi="Times New Roman" w:cs="Times New Roman"/>
                      <w:w w:val="105"/>
                    </w:rPr>
                  </w:pPr>
                  <w:r>
                    <w:rPr>
                      <w:rFonts w:ascii="Times New Roman" w:hAnsi="Times New Roman" w:cs="Times New Roman"/>
                      <w:w w:val="105"/>
                    </w:rPr>
                    <w:t>振动筛（3YKJ2770）</w:t>
                  </w:r>
                </w:p>
              </w:tc>
              <w:tc>
                <w:tcPr>
                  <w:tcW w:w="1818" w:type="dxa"/>
                  <w:vAlign w:val="center"/>
                </w:tcPr>
                <w:p>
                  <w:pPr>
                    <w:pStyle w:val="26"/>
                    <w:spacing w:line="320" w:lineRule="atLeast"/>
                    <w:rPr>
                      <w:color w:val="auto"/>
                      <w:szCs w:val="21"/>
                      <w:lang w:val="en-US"/>
                    </w:rPr>
                  </w:pPr>
                  <w:r>
                    <w:rPr>
                      <w:rFonts w:hint="eastAsia"/>
                      <w:color w:val="auto"/>
                      <w:szCs w:val="21"/>
                      <w:lang w:val="en-US"/>
                    </w:rPr>
                    <w:t>8台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tcPr>
                <w:p>
                  <w:pPr>
                    <w:pStyle w:val="52"/>
                    <w:spacing w:line="320" w:lineRule="atLeast"/>
                    <w:jc w:val="center"/>
                    <w:rPr>
                      <w:rFonts w:ascii="Times New Roman" w:hAnsi="Times New Roman" w:cs="Times New Roman"/>
                      <w:w w:val="105"/>
                      <w:lang w:val="en-US"/>
                    </w:rPr>
                  </w:pPr>
                  <w:r>
                    <w:rPr>
                      <w:rFonts w:ascii="Times New Roman" w:hAnsi="Times New Roman" w:cs="Times New Roman"/>
                      <w:w w:val="105"/>
                      <w:lang w:val="en-US"/>
                    </w:rPr>
                    <w:t>脱水筛</w:t>
                  </w:r>
                </w:p>
              </w:tc>
              <w:tc>
                <w:tcPr>
                  <w:tcW w:w="1818" w:type="dxa"/>
                  <w:vAlign w:val="center"/>
                </w:tcPr>
                <w:p>
                  <w:pPr>
                    <w:pStyle w:val="26"/>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restart"/>
                  <w:vAlign w:val="center"/>
                </w:tcPr>
                <w:p>
                  <w:pPr>
                    <w:pStyle w:val="26"/>
                    <w:spacing w:line="320" w:lineRule="atLeast"/>
                    <w:rPr>
                      <w:color w:val="auto"/>
                      <w:szCs w:val="21"/>
                      <w:lang w:val="en-US"/>
                    </w:rPr>
                  </w:pPr>
                  <w:r>
                    <w:rPr>
                      <w:color w:val="auto"/>
                      <w:szCs w:val="21"/>
                      <w:lang w:val="en-US"/>
                    </w:rPr>
                    <w:t>储运工程</w:t>
                  </w:r>
                </w:p>
              </w:tc>
              <w:tc>
                <w:tcPr>
                  <w:tcW w:w="2422" w:type="dxa"/>
                  <w:vMerge w:val="restart"/>
                  <w:vAlign w:val="center"/>
                </w:tcPr>
                <w:p>
                  <w:pPr>
                    <w:pStyle w:val="26"/>
                    <w:spacing w:line="320" w:lineRule="atLeast"/>
                    <w:rPr>
                      <w:color w:val="auto"/>
                      <w:szCs w:val="21"/>
                      <w:lang w:val="en-US"/>
                    </w:rPr>
                  </w:pPr>
                  <w:r>
                    <w:rPr>
                      <w:color w:val="auto"/>
                      <w:szCs w:val="21"/>
                      <w:lang w:val="en-US"/>
                    </w:rPr>
                    <w:t>产品库</w:t>
                  </w:r>
                </w:p>
              </w:tc>
              <w:tc>
                <w:tcPr>
                  <w:tcW w:w="3123" w:type="dxa"/>
                  <w:vAlign w:val="center"/>
                </w:tcPr>
                <w:p>
                  <w:pPr>
                    <w:pStyle w:val="26"/>
                    <w:spacing w:line="320" w:lineRule="atLeast"/>
                    <w:rPr>
                      <w:color w:val="auto"/>
                      <w:szCs w:val="21"/>
                      <w:lang w:val="en-US"/>
                    </w:rPr>
                  </w:pPr>
                  <w:r>
                    <w:rPr>
                      <w:color w:val="auto"/>
                      <w:szCs w:val="21"/>
                      <w:lang w:val="en-US"/>
                    </w:rPr>
                    <w:t>装载机</w:t>
                  </w:r>
                </w:p>
              </w:tc>
              <w:tc>
                <w:tcPr>
                  <w:tcW w:w="1818" w:type="dxa"/>
                  <w:vAlign w:val="center"/>
                </w:tcPr>
                <w:p>
                  <w:pPr>
                    <w:pStyle w:val="26"/>
                    <w:spacing w:line="320" w:lineRule="atLeast"/>
                    <w:rPr>
                      <w:color w:val="auto"/>
                      <w:szCs w:val="21"/>
                      <w:lang w:val="en-US"/>
                    </w:rPr>
                  </w:pPr>
                  <w:r>
                    <w:rPr>
                      <w:color w:val="auto"/>
                      <w:szCs w:val="21"/>
                      <w:lang w:val="en-US"/>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vAlign w:val="center"/>
                </w:tcPr>
                <w:p>
                  <w:pPr>
                    <w:pStyle w:val="26"/>
                    <w:spacing w:line="320" w:lineRule="atLeast"/>
                    <w:rPr>
                      <w:color w:val="auto"/>
                      <w:szCs w:val="21"/>
                      <w:lang w:val="en-US"/>
                    </w:rPr>
                  </w:pPr>
                  <w:r>
                    <w:rPr>
                      <w:color w:val="auto"/>
                      <w:szCs w:val="21"/>
                      <w:lang w:val="en-US"/>
                    </w:rPr>
                    <w:t>叉车</w:t>
                  </w:r>
                </w:p>
              </w:tc>
              <w:tc>
                <w:tcPr>
                  <w:tcW w:w="1818" w:type="dxa"/>
                  <w:vAlign w:val="center"/>
                </w:tcPr>
                <w:p>
                  <w:pPr>
                    <w:pStyle w:val="26"/>
                    <w:spacing w:line="320" w:lineRule="atLeast"/>
                    <w:rPr>
                      <w:color w:val="auto"/>
                      <w:szCs w:val="21"/>
                      <w:lang w:val="en-US"/>
                    </w:rPr>
                  </w:pPr>
                  <w:r>
                    <w:rPr>
                      <w:color w:val="auto"/>
                      <w:szCs w:val="21"/>
                      <w:lang w:val="en-US"/>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jc w:val="center"/>
              </w:trPr>
              <w:tc>
                <w:tcPr>
                  <w:tcW w:w="1239" w:type="dxa"/>
                  <w:vMerge w:val="restart"/>
                  <w:vAlign w:val="center"/>
                </w:tcPr>
                <w:p>
                  <w:pPr>
                    <w:pStyle w:val="26"/>
                    <w:spacing w:line="320" w:lineRule="atLeast"/>
                    <w:rPr>
                      <w:color w:val="auto"/>
                      <w:szCs w:val="21"/>
                      <w:lang w:val="en-US"/>
                    </w:rPr>
                  </w:pPr>
                  <w:r>
                    <w:rPr>
                      <w:color w:val="auto"/>
                      <w:szCs w:val="21"/>
                      <w:lang w:val="en-US"/>
                    </w:rPr>
                    <w:t>环保设施</w:t>
                  </w:r>
                </w:p>
              </w:tc>
              <w:tc>
                <w:tcPr>
                  <w:tcW w:w="2422" w:type="dxa"/>
                  <w:vMerge w:val="restart"/>
                  <w:vAlign w:val="center"/>
                </w:tcPr>
                <w:p>
                  <w:pPr>
                    <w:pStyle w:val="26"/>
                    <w:spacing w:line="320" w:lineRule="atLeast"/>
                    <w:rPr>
                      <w:color w:val="auto"/>
                      <w:szCs w:val="21"/>
                      <w:lang w:val="en-US"/>
                    </w:rPr>
                  </w:pPr>
                  <w:r>
                    <w:rPr>
                      <w:color w:val="auto"/>
                      <w:szCs w:val="21"/>
                    </w:rPr>
                    <w:t>生产废水处理系统</w:t>
                  </w:r>
                </w:p>
              </w:tc>
              <w:tc>
                <w:tcPr>
                  <w:tcW w:w="3123" w:type="dxa"/>
                  <w:vAlign w:val="center"/>
                </w:tcPr>
                <w:p>
                  <w:pPr>
                    <w:pStyle w:val="26"/>
                    <w:spacing w:line="320" w:lineRule="atLeast"/>
                    <w:rPr>
                      <w:color w:val="auto"/>
                      <w:szCs w:val="21"/>
                      <w:lang w:val="en-US"/>
                    </w:rPr>
                  </w:pPr>
                  <w:r>
                    <w:rPr>
                      <w:color w:val="auto"/>
                      <w:szCs w:val="21"/>
                      <w:lang w:val="en-US"/>
                    </w:rPr>
                    <w:t>污水处理塔</w:t>
                  </w:r>
                </w:p>
              </w:tc>
              <w:tc>
                <w:tcPr>
                  <w:tcW w:w="1818" w:type="dxa"/>
                  <w:vAlign w:val="center"/>
                </w:tcPr>
                <w:p>
                  <w:pPr>
                    <w:pStyle w:val="26"/>
                    <w:spacing w:line="320" w:lineRule="atLeast"/>
                    <w:rPr>
                      <w:color w:val="auto"/>
                      <w:szCs w:val="21"/>
                      <w:lang w:val="en-US"/>
                    </w:rPr>
                  </w:pPr>
                  <w:r>
                    <w:rPr>
                      <w:color w:val="auto"/>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6"/>
                    <w:spacing w:line="320" w:lineRule="atLeast"/>
                    <w:rPr>
                      <w:color w:val="auto"/>
                      <w:szCs w:val="21"/>
                      <w:lang w:val="en-US"/>
                    </w:rPr>
                  </w:pPr>
                </w:p>
              </w:tc>
              <w:tc>
                <w:tcPr>
                  <w:tcW w:w="2422" w:type="dxa"/>
                  <w:vMerge w:val="continue"/>
                  <w:vAlign w:val="center"/>
                </w:tcPr>
                <w:p>
                  <w:pPr>
                    <w:pStyle w:val="26"/>
                    <w:spacing w:line="320" w:lineRule="atLeast"/>
                    <w:rPr>
                      <w:color w:val="auto"/>
                      <w:szCs w:val="21"/>
                      <w:lang w:val="en-US"/>
                    </w:rPr>
                  </w:pPr>
                </w:p>
              </w:tc>
              <w:tc>
                <w:tcPr>
                  <w:tcW w:w="3123" w:type="dxa"/>
                  <w:vAlign w:val="center"/>
                </w:tcPr>
                <w:p>
                  <w:pPr>
                    <w:pStyle w:val="26"/>
                    <w:spacing w:line="320" w:lineRule="atLeast"/>
                    <w:rPr>
                      <w:color w:val="auto"/>
                      <w:szCs w:val="21"/>
                      <w:lang w:val="en-US"/>
                    </w:rPr>
                  </w:pPr>
                  <w:r>
                    <w:rPr>
                      <w:color w:val="auto"/>
                      <w:szCs w:val="21"/>
                    </w:rPr>
                    <w:t>污泥压滤机</w:t>
                  </w:r>
                </w:p>
              </w:tc>
              <w:tc>
                <w:tcPr>
                  <w:tcW w:w="1818" w:type="dxa"/>
                  <w:vAlign w:val="center"/>
                </w:tcPr>
                <w:p>
                  <w:pPr>
                    <w:pStyle w:val="26"/>
                    <w:spacing w:line="320" w:lineRule="atLeast"/>
                    <w:rPr>
                      <w:color w:val="auto"/>
                      <w:szCs w:val="21"/>
                      <w:lang w:val="en-US"/>
                    </w:rPr>
                  </w:pPr>
                  <w:r>
                    <w:rPr>
                      <w:rFonts w:hint="eastAsia"/>
                      <w:color w:val="auto"/>
                      <w:szCs w:val="21"/>
                      <w:lang w:val="en-US"/>
                    </w:rPr>
                    <w:t>4</w:t>
                  </w:r>
                  <w:r>
                    <w:rPr>
                      <w:color w:val="auto"/>
                      <w:szCs w:val="21"/>
                      <w:lang w:val="en-US"/>
                    </w:rPr>
                    <w:t>台</w:t>
                  </w:r>
                </w:p>
              </w:tc>
            </w:tr>
          </w:tbl>
          <w:p>
            <w:pPr>
              <w:autoSpaceDE w:val="0"/>
              <w:autoSpaceDN w:val="0"/>
              <w:spacing w:before="156"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2.5 原辅料来源及性质</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2.5.1 原料性质及来源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对小江清淤物进行综合利用生产建筑用砂，其原料主要来源于小江小李庄段，根据《东川区小江河道清淤疏浚规划（2020-2022）》的分析，东川区小江河道小李庄段1.8km河道实施范围内综合清淤工程量（含泥沙补给量）为77.7万m³，计划实施年限不低于3年。则本项目最大处理量约为25.9万m³/a。其主要性质即为河沙。</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2.5.2 辅料性质及来源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项目主要工艺为破碎、筛分，其各工序均伴随水洗，生产过程不需要添加任何药剂。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在废水处理过程，为了提高污水处理塔的处理效率，项目拟添加一定量的絮凝剂，添加量约为12t/a。</w:t>
            </w:r>
          </w:p>
          <w:p>
            <w:pPr>
              <w:autoSpaceDE w:val="0"/>
              <w:autoSpaceDN w:val="0"/>
              <w:spacing w:line="360" w:lineRule="auto"/>
              <w:ind w:firstLine="241" w:firstLineChars="100"/>
              <w:rPr>
                <w:rFonts w:ascii="Times New Roman" w:hAnsi="Times New Roman" w:cs="Times New Roman"/>
                <w:b/>
                <w:sz w:val="24"/>
                <w:szCs w:val="24"/>
              </w:rPr>
            </w:pPr>
            <w:bookmarkStart w:id="4" w:name="_Toc493693537"/>
            <w:r>
              <w:rPr>
                <w:rFonts w:ascii="Times New Roman" w:hAnsi="Times New Roman" w:cs="Times New Roman"/>
                <w:b/>
                <w:sz w:val="24"/>
                <w:szCs w:val="24"/>
              </w:rPr>
              <w:t>2.6 劳动定员及工作制度</w:t>
            </w:r>
            <w:bookmarkEnd w:id="4"/>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2.6.1 劳动定员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根据项目特点，本项目拟设置员工30人。</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26.2 工作制度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年工作330d，实行每天2班制，每班8h。</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831" w:type="dxa"/>
            <w:vAlign w:val="center"/>
          </w:tcPr>
          <w:p>
            <w:pPr>
              <w:autoSpaceDE w:val="0"/>
              <w:autoSpaceDN w:val="0"/>
              <w:spacing w:before="156" w:beforeLines="50" w:line="360" w:lineRule="auto"/>
              <w:ind w:firstLine="210" w:firstLineChars="100"/>
              <w:rPr>
                <w:rFonts w:ascii="Times New Roman" w:hAnsi="Times New Roman" w:cs="Times New Roman"/>
                <w:b/>
                <w:sz w:val="24"/>
                <w:szCs w:val="24"/>
              </w:rPr>
            </w:pPr>
            <w:r>
              <w:rPr>
                <w:rFonts w:ascii="Times New Roman" w:hAnsi="Times New Roman" w:cs="Times New Roman"/>
              </w:rPr>
              <w:drawing>
                <wp:anchor distT="0" distB="0" distL="0" distR="0" simplePos="0" relativeHeight="251659264" behindDoc="0" locked="0" layoutInCell="1" allowOverlap="1">
                  <wp:simplePos x="0" y="0"/>
                  <wp:positionH relativeFrom="page">
                    <wp:posOffset>175260</wp:posOffset>
                  </wp:positionH>
                  <wp:positionV relativeFrom="paragraph">
                    <wp:posOffset>2337435</wp:posOffset>
                  </wp:positionV>
                  <wp:extent cx="5318760" cy="5787390"/>
                  <wp:effectExtent l="0" t="0" r="15240" b="381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5" cstate="print"/>
                          <a:stretch>
                            <a:fillRect/>
                          </a:stretch>
                        </pic:blipFill>
                        <pic:spPr>
                          <a:xfrm>
                            <a:off x="0" y="0"/>
                            <a:ext cx="5318760" cy="5787390"/>
                          </a:xfrm>
                          <a:prstGeom prst="rect">
                            <a:avLst/>
                          </a:prstGeom>
                        </pic:spPr>
                      </pic:pic>
                    </a:graphicData>
                  </a:graphic>
                </wp:anchor>
              </w:drawing>
            </w:r>
            <w:r>
              <w:rPr>
                <w:rFonts w:ascii="Times New Roman" w:hAnsi="Times New Roman" w:cs="Times New Roman"/>
                <w:b/>
                <w:sz w:val="24"/>
                <w:szCs w:val="24"/>
              </w:rPr>
              <w:t>2.7 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2.7.1 施工期工艺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施工期主要建设内容为厂房建设、生产及环保设备的安装、污水处理设施、污泥暂存库等环保设施建设等，主要为施工废气、施工噪声、施工固废等。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2.7.2 运营期生产工艺</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（1）工艺流程图示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根据设计，项目工艺流程及产污节点如下图所示。</w:t>
            </w:r>
          </w:p>
          <w:p>
            <w:pPr>
              <w:jc w:val="center"/>
              <w:rPr>
                <w:rFonts w:ascii="Times New Roman" w:hAnsi="Times New Roman" w:eastAsia="宋体" w:cs="Times New Roman"/>
                <w:b/>
                <w:szCs w:val="24"/>
              </w:rPr>
            </w:pPr>
          </w:p>
          <w:p>
            <w:pPr>
              <w:jc w:val="center"/>
              <w:rPr>
                <w:rFonts w:ascii="Times New Roman" w:hAnsi="Times New Roman" w:eastAsia="宋体" w:cs="Times New Roman"/>
                <w:b/>
                <w:szCs w:val="24"/>
              </w:rPr>
            </w:pPr>
            <w:r>
              <w:rPr>
                <w:rFonts w:ascii="Times New Roman" w:hAnsi="Times New Roman" w:eastAsia="宋体" w:cs="Times New Roman"/>
                <w:b/>
                <w:szCs w:val="24"/>
              </w:rPr>
              <w:t>图5.2.1-1  项目运营期流程及产污环节图</w:t>
            </w:r>
          </w:p>
          <w:p>
            <w:pPr>
              <w:spacing w:before="156" w:beforeLines="50"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（2）工艺流程简述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根据设计，项目区每个工序物料均需添加水，使整个生产系统均在含水率较高的环境下进行，且各设备均为产生设备噪声，工艺流程不再赘述。具体工艺简述如下：</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①破碎</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处理的固体废物特点，由于对小江的清淤固废其主要成分为河沙，其部分粒径大于180mm，因此项目拟设置1台颚式破碎机对进入厂区的清淤固废（河沙）进行一段破碎。调节颚式破碎机的参数，破碎后的物料其规格均Φ≤180mm。</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②筛分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经过颚式破碎机破碎后Φ≤180mm的物料进入四套振动筛进行筛分，根据需要对四套振动筛配套不同的筛网。其中一级破碎后振动筛筛分得到规格为Φ0-5mm的颗粒料（自然砂），以及规格为Φ5-180mm砂石；二级破碎后振动筛筛分得到规格为Φ0-5mm的颗粒料（机制砂），以及规格为Φ5-50mm砂石；三级破碎后振动筛筛分得到规格为Φ0-5mm的颗粒料（自然砂）、Φ10-20mm的颗粒料、Φ20-31.5mm的颗粒料，以及规格为Φ5-10mm、Φ31.5-50mm的中间料。</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筛分后，Φ0-5mm的颗粒料进入水洗工序；各中间料，分别进入对应的中转仓暂存后，再次进行破碎加工。</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③水洗、脱水</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⑴水洗</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筛分水洗车间的水洗工序配套设置两套螺旋洗砂机分别对筛分后的Φ0-5mm的颗粒料（自然砂）和Φ0-5mm的颗粒料（机制砂）进行清洗。</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2 \* GB2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⑵</w:t>
            </w:r>
            <w:r>
              <w:rPr>
                <w:rFonts w:ascii="Times New Roman" w:hAnsi="Times New Roman" w:cs="Times New Roman"/>
                <w:b/>
                <w:bCs/>
                <w:sz w:val="24"/>
                <w:szCs w:val="24"/>
              </w:rPr>
              <w:fldChar w:fldCharType="end"/>
            </w:r>
            <w:r>
              <w:rPr>
                <w:rFonts w:ascii="Times New Roman" w:hAnsi="Times New Roman" w:cs="Times New Roman"/>
                <w:b/>
                <w:bCs/>
                <w:sz w:val="24"/>
                <w:szCs w:val="24"/>
              </w:rPr>
              <w:t>脱水</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经水洗后的Φ0-5mm颗粒料（自然砂）和Φ0-5mm的颗粒料（机制砂）分别进入两套脱水筛进行脱水，脱水后的得到规格为Φ0-5mm颗粒料（自然砂）和Φ0-5mm的颗粒料（机制砂）产品，其中Φ0-5mm颗粒料（自然砂）产品进入1#产品库进行堆存、Φ0-5mm的颗粒料（机制砂）的颗粒料产品进入2#产品库进行堆存。</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该过程会产生大量的废水，废水进入废水处理系统进行处理后，全部回用不外排。</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2.8 产排污环节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2.8.1 施工期产污环节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施工期主要建设内容为厂房建设、生产及环保设备的安装、污水处理设施、污泥暂存库等环保设施建设等，主要为施工废气、施工噪声、施工固废等。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2.8.2 运营期产污环节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根据项目工艺流程可知，本项目运营期产污环节具体如下。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根据项目建设内容及生产工艺，本项目生产工艺各环节均为湿法作业，基本无废气产生，主要废气产生节点为产品库扬尘。</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根据项目产污环节可知，本项目废水类型包括生产废水、生活污水和初期雨水。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根据项目建设内容及生产工艺，项目噪声污染源主要为设备噪声。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pStyle w:val="34"/>
              <w:ind w:firstLine="480"/>
              <w:rPr>
                <w:rFonts w:eastAsiaTheme="minorEastAsia"/>
                <w:szCs w:val="24"/>
              </w:rPr>
            </w:pPr>
            <w:r>
              <w:rPr>
                <w:rFonts w:eastAsiaTheme="minorEastAsia"/>
                <w:szCs w:val="24"/>
              </w:rPr>
              <w:t>根据项目工程内容及生产工艺，本项目产生的固体废物包括：生产废水处理系统产生的污泥、设备维修产生的废机油及废弃沾油抹布、生活污水处理系统产生的污泥、生活垃圾。</w:t>
            </w: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831" w:type="dxa"/>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本项目为新建项目，根据调查，不存在与项目有关的原有环境污染问题。</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5" w:name="_Toc21702"/>
      <w:r>
        <w:rPr>
          <w:rFonts w:ascii="Times New Roman" w:hAnsi="Times New Roman" w:cs="Times New Roman"/>
          <w:b/>
          <w:color w:val="000000" w:themeColor="text1"/>
          <w:sz w:val="28"/>
          <w:szCs w:val="20"/>
          <w14:textFill>
            <w14:solidFill>
              <w14:schemeClr w14:val="tx1"/>
            </w14:solidFill>
          </w14:textFill>
        </w:rPr>
        <w:t>三、区域环境质量现状、环境保护目标及评价标准</w:t>
      </w:r>
      <w:bookmarkEnd w:id="5"/>
    </w:p>
    <w:tbl>
      <w:tblPr>
        <w:tblStyle w:val="17"/>
        <w:tblW w:w="953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6"/>
        <w:gridCol w:w="90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9077"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3.1 环境质量现状</w:t>
            </w:r>
          </w:p>
          <w:p>
            <w:pPr>
              <w:pStyle w:val="34"/>
              <w:ind w:firstLine="482"/>
              <w:rPr>
                <w:rFonts w:eastAsiaTheme="minorEastAsia"/>
                <w:b/>
                <w:szCs w:val="24"/>
              </w:rPr>
            </w:pPr>
            <w:r>
              <w:rPr>
                <w:rFonts w:eastAsiaTheme="minorEastAsia"/>
                <w:b/>
                <w:szCs w:val="24"/>
              </w:rPr>
              <w:t>3.1.1 环境空气质量现状</w:t>
            </w:r>
          </w:p>
          <w:p>
            <w:pPr>
              <w:pStyle w:val="34"/>
              <w:ind w:firstLine="480"/>
              <w:rPr>
                <w:rFonts w:eastAsiaTheme="minorEastAsia"/>
                <w:szCs w:val="24"/>
              </w:rPr>
            </w:pPr>
            <w:r>
              <w:rPr>
                <w:rFonts w:hint="eastAsia" w:eastAsiaTheme="minorEastAsia"/>
                <w:szCs w:val="24"/>
              </w:rPr>
              <w:t>根据2020年度昆明市生态环境状况公报：“2020年，昆明市主城区(五华区、盘龙区、西山区、官渡区、呈贡区)城市环境空气优良率达100%，其中优203天，良163天。与2019年相比，主城区环境空气各类污染物年平均浓度均降低，环境空气质量持续改善。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w:t>
            </w:r>
          </w:p>
          <w:p>
            <w:pPr>
              <w:pStyle w:val="34"/>
              <w:ind w:firstLine="480"/>
              <w:rPr>
                <w:rFonts w:eastAsiaTheme="minorEastAsia"/>
                <w:szCs w:val="24"/>
              </w:rPr>
            </w:pPr>
            <w:r>
              <w:rPr>
                <w:rFonts w:eastAsiaTheme="minorEastAsia"/>
                <w:szCs w:val="24"/>
              </w:rPr>
              <w:t>本项目属于东川区行政区划范围内；根据昆明市东川区人民政府办公室发布的发布的《东川区城市环境空气质量周报》，监测数据源自东川区空气自动站2020年3月23日-2020年3月29日的监测结果，如下表所示。</w:t>
            </w:r>
          </w:p>
          <w:p>
            <w:pPr>
              <w:jc w:val="center"/>
              <w:rPr>
                <w:rFonts w:ascii="Times New Roman" w:hAnsi="Times New Roman" w:cs="Times New Roman"/>
                <w:b/>
                <w:szCs w:val="24"/>
              </w:rPr>
            </w:pPr>
            <w:r>
              <w:rPr>
                <w:rFonts w:ascii="Times New Roman" w:hAnsi="Times New Roman" w:cs="Times New Roman"/>
                <w:b/>
                <w:szCs w:val="24"/>
              </w:rPr>
              <w:t>表3.1.1-1 东川区空气自动站2020年3月23日-29日环境空气检测结果一览表</w:t>
            </w:r>
          </w:p>
          <w:tbl>
            <w:tblPr>
              <w:tblStyle w:val="17"/>
              <w:tblW w:w="88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7"/>
              <w:gridCol w:w="437"/>
              <w:gridCol w:w="1067"/>
              <w:gridCol w:w="1142"/>
              <w:gridCol w:w="1142"/>
              <w:gridCol w:w="1200"/>
              <w:gridCol w:w="1142"/>
              <w:gridCol w:w="1142"/>
              <w:gridCol w:w="11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pStyle w:val="26"/>
                    <w:spacing w:line="360" w:lineRule="exact"/>
                    <w:ind w:left="11"/>
                    <w:rPr>
                      <w:rFonts w:eastAsiaTheme="minorEastAsia"/>
                      <w:color w:val="auto"/>
                      <w:szCs w:val="21"/>
                      <w:lang w:val="en-US"/>
                    </w:rPr>
                  </w:pPr>
                  <w:r>
                    <w:rPr>
                      <w:rFonts w:eastAsiaTheme="minorEastAsia"/>
                      <w:color w:val="auto"/>
                      <w:szCs w:val="21"/>
                    </w:rPr>
                    <w:t>站点</w:t>
                  </w:r>
                </w:p>
              </w:tc>
              <w:tc>
                <w:tcPr>
                  <w:tcW w:w="1504" w:type="dxa"/>
                  <w:gridSpan w:val="2"/>
                  <w:vAlign w:val="center"/>
                </w:tcPr>
                <w:p>
                  <w:pPr>
                    <w:pStyle w:val="26"/>
                    <w:spacing w:line="360" w:lineRule="exact"/>
                    <w:ind w:left="11"/>
                    <w:rPr>
                      <w:rFonts w:eastAsiaTheme="minorEastAsia"/>
                      <w:color w:val="auto"/>
                      <w:szCs w:val="21"/>
                      <w:lang w:val="en-US"/>
                    </w:rPr>
                  </w:pPr>
                  <w:r>
                    <w:rPr>
                      <w:rFonts w:eastAsiaTheme="minorEastAsia"/>
                      <w:color w:val="auto"/>
                      <w:szCs w:val="21"/>
                    </w:rPr>
                    <w:t>监测时间</w:t>
                  </w:r>
                </w:p>
              </w:tc>
              <w:tc>
                <w:tcPr>
                  <w:tcW w:w="1142"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SO</w:t>
                  </w:r>
                  <w:r>
                    <w:rPr>
                      <w:rFonts w:eastAsiaTheme="minorEastAsia"/>
                      <w:color w:val="auto"/>
                      <w:szCs w:val="21"/>
                      <w:vertAlign w:val="subscript"/>
                      <w:lang w:val="en-US"/>
                    </w:rPr>
                    <w:t>2</w:t>
                  </w:r>
                </w:p>
                <w:p>
                  <w:pPr>
                    <w:pStyle w:val="26"/>
                    <w:spacing w:line="360" w:lineRule="exact"/>
                    <w:ind w:left="11"/>
                    <w:rPr>
                      <w:rFonts w:eastAsiaTheme="minorEastAsia"/>
                      <w:color w:val="auto"/>
                      <w:szCs w:val="21"/>
                      <w:lang w:val="en-US"/>
                    </w:rPr>
                  </w:pPr>
                  <w:r>
                    <w:rPr>
                      <w:rFonts w:eastAsiaTheme="minorEastAsia"/>
                      <w:color w:val="auto"/>
                      <w:szCs w:val="21"/>
                      <w:lang w:val="en-US"/>
                    </w:rPr>
                    <w:t>（ug/m³）</w:t>
                  </w:r>
                </w:p>
              </w:tc>
              <w:tc>
                <w:tcPr>
                  <w:tcW w:w="1142" w:type="dxa"/>
                  <w:vAlign w:val="center"/>
                </w:tcPr>
                <w:p>
                  <w:pPr>
                    <w:pStyle w:val="26"/>
                    <w:spacing w:line="360" w:lineRule="exact"/>
                    <w:ind w:left="11"/>
                    <w:rPr>
                      <w:rFonts w:eastAsiaTheme="minorEastAsia"/>
                      <w:color w:val="auto"/>
                      <w:szCs w:val="21"/>
                      <w:vertAlign w:val="subscript"/>
                      <w:lang w:val="en-US"/>
                    </w:rPr>
                  </w:pPr>
                  <w:r>
                    <w:rPr>
                      <w:rFonts w:eastAsiaTheme="minorEastAsia"/>
                      <w:color w:val="auto"/>
                      <w:szCs w:val="21"/>
                      <w:lang w:val="en-US"/>
                    </w:rPr>
                    <w:t>NO</w:t>
                  </w:r>
                  <w:r>
                    <w:rPr>
                      <w:rFonts w:eastAsiaTheme="minorEastAsia"/>
                      <w:color w:val="auto"/>
                      <w:szCs w:val="21"/>
                      <w:vertAlign w:val="subscript"/>
                      <w:lang w:val="en-US"/>
                    </w:rPr>
                    <w:t>2</w:t>
                  </w:r>
                </w:p>
                <w:p>
                  <w:pPr>
                    <w:pStyle w:val="26"/>
                    <w:spacing w:line="360" w:lineRule="exact"/>
                    <w:ind w:left="11"/>
                    <w:rPr>
                      <w:rFonts w:eastAsiaTheme="minorEastAsia"/>
                      <w:color w:val="auto"/>
                      <w:szCs w:val="21"/>
                      <w:lang w:val="en-US"/>
                    </w:rPr>
                  </w:pPr>
                  <w:r>
                    <w:rPr>
                      <w:rFonts w:eastAsiaTheme="minorEastAsia"/>
                      <w:color w:val="auto"/>
                      <w:szCs w:val="21"/>
                      <w:lang w:val="en-US"/>
                    </w:rPr>
                    <w:t>（ug/m³）</w:t>
                  </w:r>
                </w:p>
              </w:tc>
              <w:tc>
                <w:tcPr>
                  <w:tcW w:w="1200"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CO</w:t>
                  </w:r>
                </w:p>
                <w:p>
                  <w:pPr>
                    <w:pStyle w:val="26"/>
                    <w:spacing w:line="360" w:lineRule="exact"/>
                    <w:ind w:left="11"/>
                    <w:rPr>
                      <w:rFonts w:eastAsiaTheme="minorEastAsia"/>
                      <w:color w:val="auto"/>
                      <w:szCs w:val="21"/>
                      <w:lang w:val="en-US"/>
                    </w:rPr>
                  </w:pPr>
                  <w:r>
                    <w:rPr>
                      <w:rFonts w:eastAsiaTheme="minorEastAsia"/>
                      <w:color w:val="auto"/>
                      <w:szCs w:val="21"/>
                      <w:lang w:val="en-US"/>
                    </w:rPr>
                    <w:t>（mg/m³）</w:t>
                  </w:r>
                </w:p>
              </w:tc>
              <w:tc>
                <w:tcPr>
                  <w:tcW w:w="1142"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O</w:t>
                  </w:r>
                  <w:r>
                    <w:rPr>
                      <w:rFonts w:eastAsiaTheme="minorEastAsia"/>
                      <w:color w:val="auto"/>
                      <w:szCs w:val="21"/>
                      <w:vertAlign w:val="subscript"/>
                      <w:lang w:val="en-US"/>
                    </w:rPr>
                    <w:t>3</w:t>
                  </w:r>
                  <w:r>
                    <w:rPr>
                      <w:rFonts w:eastAsiaTheme="minorEastAsia"/>
                      <w:color w:val="auto"/>
                      <w:szCs w:val="21"/>
                      <w:lang w:val="en-US"/>
                    </w:rPr>
                    <w:t>-8h</w:t>
                  </w:r>
                </w:p>
                <w:p>
                  <w:pPr>
                    <w:pStyle w:val="26"/>
                    <w:spacing w:line="360" w:lineRule="exact"/>
                    <w:ind w:left="11"/>
                    <w:rPr>
                      <w:rFonts w:eastAsiaTheme="minorEastAsia"/>
                      <w:color w:val="auto"/>
                      <w:szCs w:val="21"/>
                      <w:lang w:val="en-US"/>
                    </w:rPr>
                  </w:pPr>
                  <w:r>
                    <w:rPr>
                      <w:rFonts w:eastAsiaTheme="minorEastAsia"/>
                      <w:color w:val="auto"/>
                      <w:szCs w:val="21"/>
                      <w:lang w:val="en-US"/>
                    </w:rPr>
                    <w:t>（ug/m³）</w:t>
                  </w:r>
                </w:p>
              </w:tc>
              <w:tc>
                <w:tcPr>
                  <w:tcW w:w="1142" w:type="dxa"/>
                  <w:vAlign w:val="center"/>
                </w:tcPr>
                <w:p>
                  <w:pPr>
                    <w:pStyle w:val="26"/>
                    <w:spacing w:line="360" w:lineRule="exact"/>
                    <w:ind w:left="11"/>
                    <w:rPr>
                      <w:rFonts w:eastAsiaTheme="minorEastAsia"/>
                      <w:color w:val="auto"/>
                      <w:szCs w:val="21"/>
                      <w:vertAlign w:val="subscript"/>
                      <w:lang w:val="en-US"/>
                    </w:rPr>
                  </w:pPr>
                  <w:r>
                    <w:rPr>
                      <w:rFonts w:eastAsiaTheme="minorEastAsia"/>
                      <w:color w:val="auto"/>
                      <w:szCs w:val="21"/>
                      <w:lang w:val="en-US"/>
                    </w:rPr>
                    <w:t>PM</w:t>
                  </w:r>
                  <w:r>
                    <w:rPr>
                      <w:rFonts w:eastAsiaTheme="minorEastAsia"/>
                      <w:color w:val="auto"/>
                      <w:szCs w:val="21"/>
                      <w:vertAlign w:val="subscript"/>
                      <w:lang w:val="en-US"/>
                    </w:rPr>
                    <w:t>10</w:t>
                  </w:r>
                </w:p>
                <w:p>
                  <w:pPr>
                    <w:pStyle w:val="26"/>
                    <w:spacing w:line="360" w:lineRule="exact"/>
                    <w:ind w:left="11"/>
                    <w:rPr>
                      <w:rFonts w:eastAsiaTheme="minorEastAsia"/>
                      <w:color w:val="auto"/>
                      <w:szCs w:val="21"/>
                      <w:lang w:val="en-US"/>
                    </w:rPr>
                  </w:pPr>
                  <w:r>
                    <w:rPr>
                      <w:rFonts w:eastAsiaTheme="minorEastAsia"/>
                      <w:color w:val="auto"/>
                      <w:szCs w:val="21"/>
                      <w:lang w:val="en-US"/>
                    </w:rPr>
                    <w:t>（ug/m³）</w:t>
                  </w:r>
                </w:p>
              </w:tc>
              <w:tc>
                <w:tcPr>
                  <w:tcW w:w="1142"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PM</w:t>
                  </w:r>
                  <w:r>
                    <w:rPr>
                      <w:rFonts w:eastAsiaTheme="minorEastAsia"/>
                      <w:color w:val="auto"/>
                      <w:szCs w:val="21"/>
                      <w:vertAlign w:val="subscript"/>
                      <w:lang w:val="en-US"/>
                    </w:rPr>
                    <w:t>2.5</w:t>
                  </w:r>
                  <w:r>
                    <w:rPr>
                      <w:rFonts w:eastAsiaTheme="minorEastAsia"/>
                      <w:color w:val="auto"/>
                      <w:szCs w:val="21"/>
                      <w:lang w:val="en-US"/>
                    </w:rPr>
                    <w:t>（ug/m³）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restart"/>
                  <w:vAlign w:val="center"/>
                </w:tcPr>
                <w:p>
                  <w:pPr>
                    <w:pStyle w:val="26"/>
                    <w:spacing w:line="360" w:lineRule="exact"/>
                    <w:ind w:left="11"/>
                    <w:rPr>
                      <w:rFonts w:eastAsiaTheme="minorEastAsia"/>
                      <w:color w:val="auto"/>
                      <w:szCs w:val="21"/>
                      <w:lang w:val="en-US"/>
                    </w:rPr>
                  </w:pPr>
                  <w:r>
                    <w:rPr>
                      <w:rFonts w:eastAsiaTheme="minorEastAsia"/>
                      <w:color w:val="auto"/>
                      <w:szCs w:val="21"/>
                    </w:rPr>
                    <w:t>东川区空气自动站</w:t>
                  </w:r>
                </w:p>
              </w:tc>
              <w:tc>
                <w:tcPr>
                  <w:tcW w:w="437" w:type="dxa"/>
                  <w:vMerge w:val="restart"/>
                  <w:vAlign w:val="center"/>
                </w:tcPr>
                <w:p>
                  <w:pPr>
                    <w:pStyle w:val="26"/>
                    <w:spacing w:line="360" w:lineRule="exact"/>
                    <w:ind w:left="11"/>
                    <w:rPr>
                      <w:rFonts w:eastAsiaTheme="minorEastAsia"/>
                      <w:color w:val="auto"/>
                      <w:szCs w:val="21"/>
                      <w:lang w:val="en-US"/>
                    </w:rPr>
                  </w:pPr>
                  <w:r>
                    <w:rPr>
                      <w:rFonts w:eastAsiaTheme="minorEastAsia"/>
                      <w:color w:val="auto"/>
                      <w:szCs w:val="21"/>
                    </w:rPr>
                    <w:t>日均值</w:t>
                  </w:r>
                </w:p>
              </w:tc>
              <w:tc>
                <w:tcPr>
                  <w:tcW w:w="1067"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2020.3.23</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9</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109</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53</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6"/>
                    <w:spacing w:line="360" w:lineRule="exact"/>
                    <w:ind w:left="11"/>
                    <w:rPr>
                      <w:rFonts w:eastAsiaTheme="minorEastAsia"/>
                      <w:color w:val="auto"/>
                      <w:szCs w:val="21"/>
                      <w:lang w:val="en-US"/>
                    </w:rPr>
                  </w:pPr>
                </w:p>
              </w:tc>
              <w:tc>
                <w:tcPr>
                  <w:tcW w:w="437" w:type="dxa"/>
                  <w:vMerge w:val="continue"/>
                  <w:vAlign w:val="center"/>
                </w:tcPr>
                <w:p>
                  <w:pPr>
                    <w:pStyle w:val="26"/>
                    <w:spacing w:line="360" w:lineRule="exact"/>
                    <w:ind w:left="11"/>
                    <w:rPr>
                      <w:rFonts w:eastAsiaTheme="minorEastAsia"/>
                      <w:color w:val="auto"/>
                      <w:szCs w:val="21"/>
                      <w:lang w:val="en-US"/>
                    </w:rPr>
                  </w:pPr>
                </w:p>
              </w:tc>
              <w:tc>
                <w:tcPr>
                  <w:tcW w:w="1067"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2020.3.24</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9</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109</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47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6"/>
                    <w:spacing w:line="360" w:lineRule="exact"/>
                    <w:ind w:left="11"/>
                    <w:rPr>
                      <w:rFonts w:eastAsiaTheme="minorEastAsia"/>
                      <w:color w:val="auto"/>
                      <w:szCs w:val="21"/>
                      <w:lang w:val="en-US"/>
                    </w:rPr>
                  </w:pPr>
                </w:p>
              </w:tc>
              <w:tc>
                <w:tcPr>
                  <w:tcW w:w="437" w:type="dxa"/>
                  <w:vMerge w:val="continue"/>
                  <w:vAlign w:val="center"/>
                </w:tcPr>
                <w:p>
                  <w:pPr>
                    <w:pStyle w:val="26"/>
                    <w:spacing w:line="360" w:lineRule="exact"/>
                    <w:ind w:left="11"/>
                    <w:rPr>
                      <w:rFonts w:eastAsiaTheme="minorEastAsia"/>
                      <w:color w:val="auto"/>
                      <w:szCs w:val="21"/>
                      <w:lang w:val="en-US"/>
                    </w:rPr>
                  </w:pPr>
                </w:p>
              </w:tc>
              <w:tc>
                <w:tcPr>
                  <w:tcW w:w="1067"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2020.3.25</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6</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0.6</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118</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38</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6"/>
                    <w:spacing w:line="360" w:lineRule="exact"/>
                    <w:ind w:left="11"/>
                    <w:rPr>
                      <w:rFonts w:eastAsiaTheme="minorEastAsia"/>
                      <w:color w:val="auto"/>
                      <w:szCs w:val="21"/>
                      <w:lang w:val="en-US"/>
                    </w:rPr>
                  </w:pPr>
                </w:p>
              </w:tc>
              <w:tc>
                <w:tcPr>
                  <w:tcW w:w="437" w:type="dxa"/>
                  <w:vMerge w:val="continue"/>
                  <w:vAlign w:val="center"/>
                </w:tcPr>
                <w:p>
                  <w:pPr>
                    <w:pStyle w:val="26"/>
                    <w:spacing w:line="360" w:lineRule="exact"/>
                    <w:ind w:left="11"/>
                    <w:rPr>
                      <w:rFonts w:eastAsiaTheme="minorEastAsia"/>
                      <w:color w:val="auto"/>
                      <w:szCs w:val="21"/>
                      <w:lang w:val="en-US"/>
                    </w:rPr>
                  </w:pPr>
                </w:p>
              </w:tc>
              <w:tc>
                <w:tcPr>
                  <w:tcW w:w="1067"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2020.3.26</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6</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0.6</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101</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25</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6"/>
                    <w:spacing w:line="360" w:lineRule="exact"/>
                    <w:ind w:left="11"/>
                    <w:rPr>
                      <w:rFonts w:eastAsiaTheme="minorEastAsia"/>
                      <w:color w:val="auto"/>
                      <w:szCs w:val="21"/>
                      <w:lang w:val="en-US"/>
                    </w:rPr>
                  </w:pPr>
                </w:p>
              </w:tc>
              <w:tc>
                <w:tcPr>
                  <w:tcW w:w="437" w:type="dxa"/>
                  <w:vMerge w:val="continue"/>
                  <w:vAlign w:val="center"/>
                </w:tcPr>
                <w:p>
                  <w:pPr>
                    <w:pStyle w:val="26"/>
                    <w:spacing w:line="360" w:lineRule="exact"/>
                    <w:ind w:left="11"/>
                    <w:rPr>
                      <w:rFonts w:eastAsiaTheme="minorEastAsia"/>
                      <w:color w:val="auto"/>
                      <w:szCs w:val="21"/>
                      <w:lang w:val="en-US"/>
                    </w:rPr>
                  </w:pPr>
                </w:p>
              </w:tc>
              <w:tc>
                <w:tcPr>
                  <w:tcW w:w="1067"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8</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113</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39</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6"/>
                    <w:spacing w:line="360" w:lineRule="exact"/>
                    <w:ind w:left="11"/>
                    <w:rPr>
                      <w:rFonts w:eastAsiaTheme="minorEastAsia"/>
                      <w:color w:val="auto"/>
                      <w:szCs w:val="21"/>
                      <w:lang w:val="en-US"/>
                    </w:rPr>
                  </w:pPr>
                </w:p>
              </w:tc>
              <w:tc>
                <w:tcPr>
                  <w:tcW w:w="437" w:type="dxa"/>
                  <w:vMerge w:val="continue"/>
                  <w:vAlign w:val="center"/>
                </w:tcPr>
                <w:p>
                  <w:pPr>
                    <w:pStyle w:val="26"/>
                    <w:spacing w:line="360" w:lineRule="exact"/>
                    <w:ind w:left="11"/>
                    <w:rPr>
                      <w:rFonts w:eastAsiaTheme="minorEastAsia"/>
                      <w:color w:val="auto"/>
                      <w:szCs w:val="21"/>
                      <w:lang w:val="en-US"/>
                    </w:rPr>
                  </w:pPr>
                </w:p>
              </w:tc>
              <w:tc>
                <w:tcPr>
                  <w:tcW w:w="1067"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2020.3.28</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47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102</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56</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6"/>
                    <w:spacing w:line="360" w:lineRule="exact"/>
                    <w:ind w:left="11"/>
                    <w:rPr>
                      <w:rFonts w:eastAsiaTheme="minorEastAsia"/>
                      <w:color w:val="auto"/>
                      <w:szCs w:val="21"/>
                      <w:lang w:val="en-US"/>
                    </w:rPr>
                  </w:pPr>
                </w:p>
              </w:tc>
              <w:tc>
                <w:tcPr>
                  <w:tcW w:w="437" w:type="dxa"/>
                  <w:vMerge w:val="continue"/>
                  <w:vAlign w:val="center"/>
                </w:tcPr>
                <w:p>
                  <w:pPr>
                    <w:pStyle w:val="26"/>
                    <w:spacing w:line="360" w:lineRule="exact"/>
                    <w:ind w:left="11"/>
                    <w:rPr>
                      <w:rFonts w:eastAsiaTheme="minorEastAsia"/>
                      <w:color w:val="auto"/>
                      <w:szCs w:val="21"/>
                      <w:lang w:val="en-US"/>
                    </w:rPr>
                  </w:pPr>
                </w:p>
              </w:tc>
              <w:tc>
                <w:tcPr>
                  <w:tcW w:w="1067"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2020.3.29</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19</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8</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0.6</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104</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58</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41" w:type="dxa"/>
                  <w:gridSpan w:val="3"/>
                  <w:vAlign w:val="center"/>
                </w:tcPr>
                <w:p>
                  <w:pPr>
                    <w:pStyle w:val="26"/>
                    <w:spacing w:line="360" w:lineRule="exact"/>
                    <w:ind w:left="11"/>
                    <w:rPr>
                      <w:rFonts w:eastAsiaTheme="minorEastAsia"/>
                      <w:color w:val="auto"/>
                      <w:szCs w:val="21"/>
                      <w:lang w:val="en-US"/>
                    </w:rPr>
                  </w:pPr>
                  <w:r>
                    <w:rPr>
                      <w:rFonts w:eastAsiaTheme="minorEastAsia"/>
                      <w:color w:val="auto"/>
                      <w:szCs w:val="21"/>
                    </w:rPr>
                    <w:t>标准值</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150</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80</w:t>
                  </w:r>
                </w:p>
              </w:tc>
              <w:tc>
                <w:tcPr>
                  <w:tcW w:w="1200"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4</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160</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150</w:t>
                  </w:r>
                </w:p>
              </w:tc>
              <w:tc>
                <w:tcPr>
                  <w:tcW w:w="114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75</w:t>
                  </w:r>
                </w:p>
              </w:tc>
            </w:tr>
          </w:tbl>
          <w:p>
            <w:pPr>
              <w:pStyle w:val="34"/>
              <w:spacing w:before="156" w:beforeLines="50"/>
              <w:ind w:firstLine="480"/>
              <w:rPr>
                <w:rFonts w:eastAsiaTheme="minorEastAsia"/>
                <w:szCs w:val="24"/>
              </w:rPr>
            </w:pPr>
            <w:r>
              <w:rPr>
                <w:rFonts w:eastAsiaTheme="minorEastAsia"/>
                <w:szCs w:val="24"/>
              </w:rPr>
              <w:t>由上表可知，根据东川区空气自动站2020年3月23日-29日连续7天的监测结果，东川区环境空气质量可达到《环境空气质量标准》（GB3095-2012）二级标准。</w:t>
            </w:r>
          </w:p>
          <w:p>
            <w:pPr>
              <w:pStyle w:val="34"/>
              <w:ind w:firstLine="482"/>
              <w:rPr>
                <w:rFonts w:eastAsiaTheme="minorEastAsia"/>
                <w:b/>
                <w:szCs w:val="24"/>
              </w:rPr>
            </w:pPr>
            <w:r>
              <w:rPr>
                <w:rFonts w:eastAsiaTheme="minorEastAsia"/>
                <w:b/>
                <w:szCs w:val="24"/>
              </w:rPr>
              <w:t>3.1.2 地表水环境质量现状</w:t>
            </w:r>
          </w:p>
          <w:p>
            <w:pPr>
              <w:pStyle w:val="34"/>
              <w:ind w:firstLine="480"/>
              <w:rPr>
                <w:szCs w:val="24"/>
              </w:rPr>
            </w:pPr>
            <w:r>
              <w:rPr>
                <w:szCs w:val="24"/>
              </w:rPr>
              <w:t>本项目区属于小江的汇水范围，小江位于项目区西侧约50m。根据云南省水利厅发布的《云南省水功能区划》（2014版），小江（清水海-入金沙江口段）到2030年的水质目标为III类水体，执行《地表水环境质量标准》（GB3838-2002）III类水标准。</w:t>
            </w:r>
          </w:p>
          <w:p>
            <w:pPr>
              <w:pStyle w:val="34"/>
              <w:ind w:firstLine="480"/>
              <w:rPr>
                <w:szCs w:val="24"/>
              </w:rPr>
            </w:pPr>
            <w:r>
              <w:rPr>
                <w:szCs w:val="24"/>
              </w:rPr>
              <w:t>小江干流共设有5个常规例行监测断面，分别是姑海断面、板河口断面、小江桥断面、四级站断面、入金沙江口断面。根据《2020年度昆明市生态环境状况公报》，小江阿旺（姑海）断面水质类别为I类，与2019年相比，水质类别保持不变；四级站断面水质类别为III类，与2019年相比，水质类别由</w:t>
            </w:r>
            <w:r>
              <w:rPr>
                <w:szCs w:val="24"/>
              </w:rPr>
              <w:fldChar w:fldCharType="begin"/>
            </w:r>
            <w:r>
              <w:rPr>
                <w:szCs w:val="24"/>
              </w:rPr>
              <w:instrText xml:space="preserve"> = 2 \* ROMAN \* MERGEFORMAT </w:instrText>
            </w:r>
            <w:r>
              <w:rPr>
                <w:szCs w:val="24"/>
              </w:rPr>
              <w:fldChar w:fldCharType="separate"/>
            </w:r>
            <w:r>
              <w:t>II</w:t>
            </w:r>
            <w:r>
              <w:rPr>
                <w:szCs w:val="24"/>
              </w:rPr>
              <w:fldChar w:fldCharType="end"/>
            </w:r>
            <w:r>
              <w:rPr>
                <w:szCs w:val="24"/>
              </w:rPr>
              <w:t>类下降为Ⅲ类，仍保持为优良水体。东川区环境监测站2020年水质监测资料显示，与本项目距离最近的小江桥断面水质满足《地表水环境质量标准》(GB3838-2002）Ⅲ类标准，属于达标水体，详见下表。</w:t>
            </w:r>
          </w:p>
          <w:p>
            <w:pPr>
              <w:jc w:val="center"/>
              <w:rPr>
                <w:rFonts w:ascii="Times New Roman" w:hAnsi="Times New Roman" w:cs="Times New Roman"/>
                <w:b/>
                <w:szCs w:val="24"/>
              </w:rPr>
            </w:pPr>
            <w:r>
              <w:rPr>
                <w:rFonts w:ascii="Times New Roman" w:hAnsi="Times New Roman" w:cs="Times New Roman"/>
                <w:b/>
                <w:szCs w:val="24"/>
              </w:rPr>
              <w:t>表3.1.2-1 项目区域地表水体小江水质检测结果一览表 单位：mg/L</w:t>
            </w:r>
          </w:p>
          <w:tbl>
            <w:tblPr>
              <w:tblStyle w:val="16"/>
              <w:tblW w:w="8615" w:type="dxa"/>
              <w:tblInd w:w="0" w:type="dxa"/>
              <w:tblLayout w:type="fixed"/>
              <w:tblCellMar>
                <w:top w:w="0" w:type="dxa"/>
                <w:left w:w="108" w:type="dxa"/>
                <w:bottom w:w="0" w:type="dxa"/>
                <w:right w:w="108" w:type="dxa"/>
              </w:tblCellMar>
            </w:tblPr>
            <w:tblGrid>
              <w:gridCol w:w="1074"/>
              <w:gridCol w:w="2392"/>
              <w:gridCol w:w="1741"/>
              <w:gridCol w:w="1915"/>
              <w:gridCol w:w="1493"/>
            </w:tblGrid>
            <w:tr>
              <w:tblPrEx>
                <w:tblLayout w:type="fixed"/>
                <w:tblCellMar>
                  <w:top w:w="0" w:type="dxa"/>
                  <w:left w:w="108" w:type="dxa"/>
                  <w:bottom w:w="0" w:type="dxa"/>
                  <w:right w:w="108" w:type="dxa"/>
                </w:tblCellMar>
              </w:tblPrEx>
              <w:trPr>
                <w:trHeight w:val="148"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序号</w:t>
                  </w:r>
                </w:p>
              </w:tc>
              <w:tc>
                <w:tcPr>
                  <w:tcW w:w="2392"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监测项目</w:t>
                  </w:r>
                </w:p>
              </w:tc>
              <w:tc>
                <w:tcPr>
                  <w:tcW w:w="1741"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小江桥</w:t>
                  </w:r>
                </w:p>
              </w:tc>
              <w:tc>
                <w:tcPr>
                  <w:tcW w:w="1915"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标准值</w:t>
                  </w:r>
                </w:p>
              </w:tc>
              <w:tc>
                <w:tcPr>
                  <w:tcW w:w="1493"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1</w:t>
                  </w:r>
                </w:p>
              </w:tc>
              <w:tc>
                <w:tcPr>
                  <w:tcW w:w="2392"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pH（无量纲）</w:t>
                  </w:r>
                </w:p>
              </w:tc>
              <w:tc>
                <w:tcPr>
                  <w:tcW w:w="1741"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bCs w:val="0"/>
                      <w:color w:val="auto"/>
                      <w:szCs w:val="24"/>
                      <w:lang w:val="en-US"/>
                    </w:rPr>
                  </w:pPr>
                  <w:r>
                    <w:rPr>
                      <w:rFonts w:eastAsiaTheme="minorEastAsia"/>
                      <w:bCs w:val="0"/>
                      <w:color w:val="auto"/>
                      <w:szCs w:val="24"/>
                      <w:lang w:val="en-US"/>
                    </w:rPr>
                    <w:t>8.32</w:t>
                  </w:r>
                </w:p>
              </w:tc>
              <w:tc>
                <w:tcPr>
                  <w:tcW w:w="1915"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6-9</w:t>
                  </w:r>
                </w:p>
              </w:tc>
              <w:tc>
                <w:tcPr>
                  <w:tcW w:w="1493"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2</w:t>
                  </w:r>
                </w:p>
              </w:tc>
              <w:tc>
                <w:tcPr>
                  <w:tcW w:w="2392"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COD</w:t>
                  </w:r>
                  <w:r>
                    <w:rPr>
                      <w:rFonts w:eastAsiaTheme="minorEastAsia"/>
                      <w:color w:val="auto"/>
                      <w:szCs w:val="21"/>
                      <w:vertAlign w:val="subscript"/>
                    </w:rPr>
                    <w:t>Cr</w:t>
                  </w:r>
                </w:p>
              </w:tc>
              <w:tc>
                <w:tcPr>
                  <w:tcW w:w="1741"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bCs w:val="0"/>
                      <w:color w:val="auto"/>
                      <w:szCs w:val="24"/>
                    </w:rPr>
                  </w:pPr>
                  <w:r>
                    <w:rPr>
                      <w:rFonts w:eastAsiaTheme="minorEastAsia"/>
                      <w:bCs w:val="0"/>
                      <w:color w:val="auto"/>
                      <w:szCs w:val="24"/>
                      <w:lang w:val="en-US"/>
                    </w:rPr>
                    <w:t>9</w:t>
                  </w:r>
                </w:p>
              </w:tc>
              <w:tc>
                <w:tcPr>
                  <w:tcW w:w="1915"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≤20</w:t>
                  </w:r>
                </w:p>
              </w:tc>
              <w:tc>
                <w:tcPr>
                  <w:tcW w:w="1493"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3</w:t>
                  </w:r>
                </w:p>
              </w:tc>
              <w:tc>
                <w:tcPr>
                  <w:tcW w:w="2392"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741"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bCs w:val="0"/>
                      <w:color w:val="auto"/>
                      <w:szCs w:val="24"/>
                    </w:rPr>
                  </w:pPr>
                  <w:r>
                    <w:rPr>
                      <w:rFonts w:eastAsiaTheme="minorEastAsia"/>
                      <w:bCs w:val="0"/>
                      <w:color w:val="auto"/>
                      <w:szCs w:val="24"/>
                      <w:lang w:val="en-US"/>
                    </w:rPr>
                    <w:t>2</w:t>
                  </w:r>
                </w:p>
              </w:tc>
              <w:tc>
                <w:tcPr>
                  <w:tcW w:w="1915"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≤4</w:t>
                  </w:r>
                </w:p>
              </w:tc>
              <w:tc>
                <w:tcPr>
                  <w:tcW w:w="1493"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4</w:t>
                  </w:r>
                </w:p>
              </w:tc>
              <w:tc>
                <w:tcPr>
                  <w:tcW w:w="2392"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741"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bCs w:val="0"/>
                      <w:color w:val="auto"/>
                      <w:szCs w:val="24"/>
                      <w:lang w:val="en-US"/>
                    </w:rPr>
                  </w:pPr>
                  <w:r>
                    <w:rPr>
                      <w:rFonts w:eastAsiaTheme="minorEastAsia"/>
                      <w:bCs w:val="0"/>
                      <w:color w:val="auto"/>
                      <w:szCs w:val="24"/>
                      <w:lang w:val="en-US"/>
                    </w:rPr>
                    <w:t>0.21</w:t>
                  </w:r>
                </w:p>
              </w:tc>
              <w:tc>
                <w:tcPr>
                  <w:tcW w:w="1915"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color w:val="auto"/>
                      <w:szCs w:val="21"/>
                    </w:rPr>
                    <w:t>≤1.0</w:t>
                  </w:r>
                </w:p>
              </w:tc>
              <w:tc>
                <w:tcPr>
                  <w:tcW w:w="1493"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5</w:t>
                  </w:r>
                </w:p>
              </w:tc>
              <w:tc>
                <w:tcPr>
                  <w:tcW w:w="2392"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总磷</w:t>
                  </w:r>
                </w:p>
              </w:tc>
              <w:tc>
                <w:tcPr>
                  <w:tcW w:w="1741"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bCs w:val="0"/>
                      <w:color w:val="auto"/>
                      <w:szCs w:val="24"/>
                      <w:lang w:val="en-US"/>
                    </w:rPr>
                  </w:pPr>
                  <w:r>
                    <w:rPr>
                      <w:rFonts w:eastAsiaTheme="minorEastAsia"/>
                      <w:bCs w:val="0"/>
                      <w:color w:val="auto"/>
                      <w:szCs w:val="24"/>
                      <w:lang w:val="en-US"/>
                    </w:rPr>
                    <w:t>0.12</w:t>
                  </w:r>
                </w:p>
              </w:tc>
              <w:tc>
                <w:tcPr>
                  <w:tcW w:w="1915"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color w:val="auto"/>
                      <w:szCs w:val="21"/>
                    </w:rPr>
                    <w:t>≤0.2</w:t>
                  </w:r>
                </w:p>
              </w:tc>
              <w:tc>
                <w:tcPr>
                  <w:tcW w:w="1493" w:type="dxa"/>
                  <w:tcBorders>
                    <w:top w:val="nil"/>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6</w:t>
                  </w:r>
                </w:p>
              </w:tc>
              <w:tc>
                <w:tcPr>
                  <w:tcW w:w="2392"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石油类</w:t>
                  </w:r>
                </w:p>
              </w:tc>
              <w:tc>
                <w:tcPr>
                  <w:tcW w:w="1741"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0.01L</w:t>
                  </w:r>
                </w:p>
              </w:tc>
              <w:tc>
                <w:tcPr>
                  <w:tcW w:w="1915"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color w:val="auto"/>
                      <w:szCs w:val="21"/>
                    </w:rPr>
                    <w:t>≤0.05</w:t>
                  </w:r>
                </w:p>
              </w:tc>
              <w:tc>
                <w:tcPr>
                  <w:tcW w:w="1493"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7</w:t>
                  </w:r>
                </w:p>
              </w:tc>
              <w:tc>
                <w:tcPr>
                  <w:tcW w:w="2392"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阴离子表面活性剂</w:t>
                  </w:r>
                </w:p>
              </w:tc>
              <w:tc>
                <w:tcPr>
                  <w:tcW w:w="1741"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0.05L</w:t>
                  </w:r>
                </w:p>
              </w:tc>
              <w:tc>
                <w:tcPr>
                  <w:tcW w:w="1915"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color w:val="auto"/>
                      <w:szCs w:val="21"/>
                    </w:rPr>
                    <w:t>≤0.2</w:t>
                  </w:r>
                </w:p>
              </w:tc>
              <w:tc>
                <w:tcPr>
                  <w:tcW w:w="1493" w:type="dxa"/>
                  <w:tcBorders>
                    <w:top w:val="single" w:color="auto" w:sz="4" w:space="0"/>
                    <w:left w:val="nil"/>
                    <w:bottom w:val="single" w:color="auto" w:sz="4" w:space="0"/>
                    <w:right w:val="single" w:color="auto" w:sz="4" w:space="0"/>
                  </w:tcBorders>
                  <w:shd w:val="clear" w:color="auto" w:fill="auto"/>
                  <w:vAlign w:val="center"/>
                </w:tcPr>
                <w:p>
                  <w:pPr>
                    <w:pStyle w:val="26"/>
                    <w:spacing w:line="360" w:lineRule="exact"/>
                    <w:ind w:left="11"/>
                    <w:rPr>
                      <w:rFonts w:eastAsiaTheme="minorEastAsia"/>
                      <w:color w:val="auto"/>
                      <w:szCs w:val="21"/>
                    </w:rPr>
                  </w:pPr>
                  <w:r>
                    <w:rPr>
                      <w:rFonts w:eastAsiaTheme="minorEastAsia"/>
                      <w:color w:val="auto"/>
                      <w:szCs w:val="21"/>
                    </w:rPr>
                    <w:t>达标</w:t>
                  </w:r>
                </w:p>
              </w:tc>
            </w:tr>
          </w:tbl>
          <w:p>
            <w:pPr>
              <w:pStyle w:val="34"/>
              <w:spacing w:before="156" w:beforeLines="50"/>
              <w:ind w:firstLine="480"/>
              <w:rPr>
                <w:rFonts w:eastAsiaTheme="minorEastAsia"/>
                <w:szCs w:val="24"/>
              </w:rPr>
            </w:pPr>
            <w:r>
              <w:rPr>
                <w:rFonts w:eastAsiaTheme="minorEastAsia"/>
                <w:szCs w:val="24"/>
              </w:rPr>
              <w:t>根据以上监测结果可知，本项目地表水小江水质可达到《地表水环境质量标准》（GB3838-2002）III类标准。</w:t>
            </w:r>
          </w:p>
          <w:p>
            <w:pPr>
              <w:pStyle w:val="34"/>
              <w:ind w:firstLine="482"/>
              <w:rPr>
                <w:rFonts w:eastAsiaTheme="minorEastAsia"/>
                <w:b/>
                <w:szCs w:val="24"/>
              </w:rPr>
            </w:pPr>
            <w:r>
              <w:rPr>
                <w:rFonts w:eastAsiaTheme="minorEastAsia"/>
                <w:b/>
                <w:szCs w:val="24"/>
              </w:rPr>
              <w:t>3.1.3 声环境质量现状</w:t>
            </w:r>
          </w:p>
          <w:p>
            <w:pPr>
              <w:pStyle w:val="34"/>
              <w:ind w:firstLine="480"/>
              <w:rPr>
                <w:rFonts w:eastAsiaTheme="minorEastAsia"/>
                <w:szCs w:val="24"/>
              </w:rPr>
            </w:pPr>
            <w:r>
              <w:rPr>
                <w:rFonts w:eastAsiaTheme="minorEastAsia"/>
                <w:szCs w:val="24"/>
              </w:rPr>
              <w:t>本项目位于昆明市东川区铜都镇小李庄村，按照《声环境功能区划分技术规范》（GB/T15190-2014）的划分要求，项目区域为2类区。在项目区50m范围内无声环境保护目标；根据《建设项目环境影响报告表编制技术指南》（污染影响类）（试行）的要求，可不进行声环境质量现状调查，根据实际情况，预计项目区域声环境可达到《声环境质量标准》（GB3096-2008）2类区标准。</w:t>
            </w:r>
          </w:p>
          <w:p>
            <w:pPr>
              <w:pStyle w:val="34"/>
              <w:ind w:firstLine="482"/>
              <w:rPr>
                <w:rFonts w:eastAsiaTheme="minorEastAsia"/>
                <w:b/>
                <w:szCs w:val="24"/>
              </w:rPr>
            </w:pPr>
            <w:bookmarkStart w:id="6" w:name="_Toc248077256"/>
            <w:r>
              <w:rPr>
                <w:rFonts w:eastAsiaTheme="minorEastAsia"/>
                <w:b/>
                <w:szCs w:val="24"/>
              </w:rPr>
              <w:t>3.1.4 生态环境质量现状</w:t>
            </w:r>
            <w:bookmarkEnd w:id="6"/>
          </w:p>
          <w:p>
            <w:pPr>
              <w:pStyle w:val="34"/>
              <w:ind w:firstLine="480"/>
              <w:rPr>
                <w:rFonts w:eastAsiaTheme="minorEastAsia"/>
                <w:szCs w:val="24"/>
              </w:rPr>
            </w:pPr>
            <w:r>
              <w:rPr>
                <w:rFonts w:eastAsiaTheme="minorEastAsia"/>
                <w:szCs w:val="24"/>
              </w:rPr>
              <w:t>本项目位于昆明市东川区铜都镇小李庄村，根据现场调查，该区域滩涂用地，项目区域土地已平整，已进行了厂区局部建设。自然植被较少，项目场区天然植被已破坏， 局部区域有灌木草丛等天然植被分布，总体来说该区域地表植被种类较少，生物多样性较差，生态环境自身调控能力较低。</w:t>
            </w:r>
          </w:p>
          <w:p>
            <w:pPr>
              <w:pStyle w:val="34"/>
              <w:ind w:firstLine="480"/>
              <w:rPr>
                <w:rFonts w:eastAsiaTheme="minorEastAsia"/>
                <w:szCs w:val="24"/>
              </w:rPr>
            </w:pPr>
            <w:r>
              <w:rPr>
                <w:rFonts w:eastAsiaTheme="minorEastAsia"/>
                <w:szCs w:val="24"/>
              </w:rPr>
              <w:t>项目区及周边200m范围内未发现珍稀濒危和国家重点保护野生动植物，无国家重点保护的鸟类、两栖类、爬行类、哺乳类动物种类分布。</w:t>
            </w:r>
          </w:p>
          <w:p>
            <w:pPr>
              <w:pStyle w:val="34"/>
              <w:ind w:firstLine="480"/>
              <w:rPr>
                <w:rFonts w:eastAsiaTheme="minorEastAsia"/>
                <w:szCs w:val="24"/>
              </w:rPr>
            </w:pPr>
          </w:p>
          <w:p>
            <w:pPr>
              <w:pStyle w:val="34"/>
              <w:ind w:firstLine="480"/>
              <w:rPr>
                <w:rFonts w:eastAsiaTheme="minorEastAsia"/>
                <w:szCs w:val="24"/>
              </w:rPr>
            </w:pPr>
          </w:p>
          <w:p>
            <w:pPr>
              <w:pStyle w:val="34"/>
              <w:ind w:firstLine="0" w:firstLineChars="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9077"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34"/>
              <w:ind w:firstLine="482"/>
              <w:rPr>
                <w:rFonts w:eastAsiaTheme="minorEastAsia"/>
                <w:b/>
                <w:szCs w:val="24"/>
              </w:rPr>
            </w:pPr>
            <w:r>
              <w:rPr>
                <w:rFonts w:eastAsiaTheme="minorEastAsia"/>
                <w:b/>
                <w:szCs w:val="24"/>
              </w:rPr>
              <w:t>3.2.1 大气环境保护目标</w:t>
            </w:r>
          </w:p>
          <w:p>
            <w:pPr>
              <w:pStyle w:val="34"/>
              <w:ind w:firstLine="480"/>
              <w:rPr>
                <w:rFonts w:eastAsiaTheme="minorEastAsia"/>
                <w:szCs w:val="24"/>
              </w:rPr>
            </w:pPr>
            <w:r>
              <w:rPr>
                <w:rFonts w:eastAsiaTheme="minorEastAsia"/>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4"/>
              <w:ind w:firstLine="480"/>
              <w:rPr>
                <w:rFonts w:eastAsiaTheme="minorEastAsia"/>
                <w:szCs w:val="24"/>
              </w:rPr>
            </w:pPr>
            <w:r>
              <w:rPr>
                <w:rFonts w:eastAsiaTheme="minorEastAsia"/>
                <w:szCs w:val="24"/>
              </w:rPr>
              <w:t>本项目位于昆明市东川区铜都镇小李庄村，根据调查，本项目厂界外500m范围内大气环境保护目标</w:t>
            </w:r>
            <w:r>
              <w:rPr>
                <w:rFonts w:hint="eastAsia" w:eastAsiaTheme="minorEastAsia"/>
                <w:szCs w:val="24"/>
              </w:rPr>
              <w:t>为项目东北侧（侧风向）约150m处的小庄村</w:t>
            </w:r>
            <w:r>
              <w:rPr>
                <w:rFonts w:eastAsiaTheme="minorEastAsia"/>
                <w:szCs w:val="24"/>
              </w:rPr>
              <w:t>。</w:t>
            </w:r>
          </w:p>
          <w:p>
            <w:pPr>
              <w:jc w:val="center"/>
              <w:rPr>
                <w:rFonts w:ascii="Times New Roman" w:hAnsi="Times New Roman" w:cs="Times New Roman"/>
                <w:b/>
                <w:szCs w:val="24"/>
              </w:rPr>
            </w:pPr>
            <w:r>
              <w:rPr>
                <w:rFonts w:ascii="Times New Roman" w:hAnsi="Times New Roman" w:cs="Times New Roman"/>
                <w:b/>
                <w:szCs w:val="24"/>
              </w:rPr>
              <w:t>表3.2.</w:t>
            </w:r>
            <w:r>
              <w:rPr>
                <w:rFonts w:hint="eastAsia" w:ascii="Times New Roman" w:hAnsi="Times New Roman" w:cs="Times New Roman"/>
                <w:b/>
                <w:szCs w:val="24"/>
              </w:rPr>
              <w:t>1</w:t>
            </w:r>
            <w:r>
              <w:rPr>
                <w:rFonts w:ascii="Times New Roman" w:hAnsi="Times New Roman" w:cs="Times New Roman"/>
                <w:b/>
                <w:szCs w:val="24"/>
              </w:rPr>
              <w:t>-</w:t>
            </w:r>
            <w:r>
              <w:rPr>
                <w:rFonts w:hint="eastAsia" w:ascii="Times New Roman" w:hAnsi="Times New Roman" w:cs="Times New Roman"/>
                <w:b/>
                <w:szCs w:val="24"/>
              </w:rPr>
              <w:t>1</w:t>
            </w:r>
            <w:r>
              <w:rPr>
                <w:rFonts w:ascii="Times New Roman" w:hAnsi="Times New Roman" w:cs="Times New Roman"/>
                <w:b/>
                <w:szCs w:val="24"/>
              </w:rPr>
              <w:t xml:space="preserve">  </w:t>
            </w:r>
            <w:r>
              <w:rPr>
                <w:rFonts w:hint="eastAsia" w:ascii="Times New Roman" w:hAnsi="Times New Roman" w:cs="Times New Roman"/>
                <w:b/>
                <w:szCs w:val="24"/>
              </w:rPr>
              <w:t>环境空气</w:t>
            </w:r>
            <w:r>
              <w:rPr>
                <w:rFonts w:ascii="Times New Roman" w:hAnsi="Times New Roman" w:cs="Times New Roman"/>
                <w:b/>
                <w:szCs w:val="24"/>
              </w:rPr>
              <w:t>保护目标及保护级别一览表</w:t>
            </w:r>
          </w:p>
          <w:tbl>
            <w:tblPr>
              <w:tblStyle w:val="17"/>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14"/>
              <w:gridCol w:w="1109"/>
              <w:gridCol w:w="528"/>
              <w:gridCol w:w="739"/>
              <w:gridCol w:w="2301"/>
              <w:gridCol w:w="842"/>
              <w:gridCol w:w="85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94" w:type="dxa"/>
                  <w:vMerge w:val="restart"/>
                  <w:vAlign w:val="center"/>
                </w:tcPr>
                <w:p>
                  <w:pPr>
                    <w:pStyle w:val="34"/>
                    <w:spacing w:line="320" w:lineRule="atLeast"/>
                    <w:ind w:firstLine="0" w:firstLineChars="0"/>
                    <w:jc w:val="center"/>
                    <w:rPr>
                      <w:sz w:val="21"/>
                      <w:szCs w:val="21"/>
                    </w:rPr>
                  </w:pPr>
                  <w:r>
                    <w:rPr>
                      <w:sz w:val="21"/>
                      <w:szCs w:val="21"/>
                    </w:rPr>
                    <w:t>名称</w:t>
                  </w:r>
                </w:p>
              </w:tc>
              <w:tc>
                <w:tcPr>
                  <w:tcW w:w="2323" w:type="dxa"/>
                  <w:gridSpan w:val="2"/>
                  <w:vAlign w:val="center"/>
                </w:tcPr>
                <w:p>
                  <w:pPr>
                    <w:pStyle w:val="34"/>
                    <w:spacing w:line="320" w:lineRule="atLeast"/>
                    <w:ind w:firstLine="0" w:firstLineChars="0"/>
                    <w:jc w:val="center"/>
                    <w:rPr>
                      <w:sz w:val="21"/>
                      <w:szCs w:val="21"/>
                    </w:rPr>
                  </w:pPr>
                  <w:r>
                    <w:rPr>
                      <w:sz w:val="21"/>
                      <w:szCs w:val="21"/>
                    </w:rPr>
                    <w:t>坐标/m</w:t>
                  </w:r>
                </w:p>
              </w:tc>
              <w:tc>
                <w:tcPr>
                  <w:tcW w:w="528" w:type="dxa"/>
                  <w:vMerge w:val="restart"/>
                  <w:vAlign w:val="center"/>
                </w:tcPr>
                <w:p>
                  <w:pPr>
                    <w:pStyle w:val="34"/>
                    <w:spacing w:line="320" w:lineRule="atLeast"/>
                    <w:ind w:firstLine="0" w:firstLineChars="0"/>
                    <w:jc w:val="center"/>
                    <w:rPr>
                      <w:sz w:val="21"/>
                      <w:szCs w:val="21"/>
                    </w:rPr>
                  </w:pPr>
                  <w:r>
                    <w:rPr>
                      <w:sz w:val="21"/>
                      <w:szCs w:val="21"/>
                    </w:rPr>
                    <w:t>保护对象</w:t>
                  </w:r>
                </w:p>
              </w:tc>
              <w:tc>
                <w:tcPr>
                  <w:tcW w:w="739" w:type="dxa"/>
                  <w:vMerge w:val="restart"/>
                  <w:vAlign w:val="center"/>
                </w:tcPr>
                <w:p>
                  <w:pPr>
                    <w:pStyle w:val="34"/>
                    <w:spacing w:line="320" w:lineRule="atLeast"/>
                    <w:ind w:firstLine="0" w:firstLineChars="0"/>
                    <w:jc w:val="center"/>
                    <w:rPr>
                      <w:sz w:val="21"/>
                      <w:szCs w:val="21"/>
                    </w:rPr>
                  </w:pPr>
                  <w:r>
                    <w:rPr>
                      <w:sz w:val="21"/>
                      <w:szCs w:val="21"/>
                    </w:rPr>
                    <w:t>保护内容</w:t>
                  </w:r>
                </w:p>
              </w:tc>
              <w:tc>
                <w:tcPr>
                  <w:tcW w:w="2301" w:type="dxa"/>
                  <w:vMerge w:val="restart"/>
                  <w:vAlign w:val="center"/>
                </w:tcPr>
                <w:p>
                  <w:pPr>
                    <w:pStyle w:val="34"/>
                    <w:spacing w:line="320" w:lineRule="atLeast"/>
                    <w:ind w:firstLine="0" w:firstLineChars="0"/>
                    <w:jc w:val="center"/>
                    <w:rPr>
                      <w:sz w:val="21"/>
                      <w:szCs w:val="21"/>
                    </w:rPr>
                  </w:pPr>
                  <w:r>
                    <w:rPr>
                      <w:sz w:val="21"/>
                      <w:szCs w:val="21"/>
                    </w:rPr>
                    <w:t>保护级别</w:t>
                  </w:r>
                </w:p>
              </w:tc>
              <w:tc>
                <w:tcPr>
                  <w:tcW w:w="842" w:type="dxa"/>
                  <w:vMerge w:val="restart"/>
                  <w:vAlign w:val="center"/>
                </w:tcPr>
                <w:p>
                  <w:pPr>
                    <w:pStyle w:val="34"/>
                    <w:spacing w:line="320" w:lineRule="atLeast"/>
                    <w:ind w:firstLine="0" w:firstLineChars="0"/>
                    <w:jc w:val="center"/>
                    <w:rPr>
                      <w:sz w:val="21"/>
                      <w:szCs w:val="21"/>
                    </w:rPr>
                  </w:pPr>
                  <w:r>
                    <w:rPr>
                      <w:sz w:val="21"/>
                      <w:szCs w:val="21"/>
                    </w:rPr>
                    <w:t>相对厂址方位</w:t>
                  </w:r>
                </w:p>
              </w:tc>
              <w:tc>
                <w:tcPr>
                  <w:tcW w:w="859" w:type="dxa"/>
                  <w:vMerge w:val="restart"/>
                  <w:vAlign w:val="center"/>
                </w:tcPr>
                <w:p>
                  <w:pPr>
                    <w:pStyle w:val="34"/>
                    <w:spacing w:line="320" w:lineRule="atLeast"/>
                    <w:ind w:firstLine="0" w:firstLineChars="0"/>
                    <w:jc w:val="center"/>
                    <w:rPr>
                      <w:sz w:val="21"/>
                      <w:szCs w:val="21"/>
                    </w:rPr>
                  </w:pPr>
                  <w:r>
                    <w:rPr>
                      <w:sz w:val="21"/>
                      <w:szCs w:val="21"/>
                    </w:rPr>
                    <w:t>相对厂址距离/m</w:t>
                  </w:r>
                </w:p>
              </w:tc>
              <w:tc>
                <w:tcPr>
                  <w:tcW w:w="765" w:type="dxa"/>
                  <w:vMerge w:val="restart"/>
                  <w:vAlign w:val="center"/>
                </w:tcPr>
                <w:p>
                  <w:pPr>
                    <w:pStyle w:val="34"/>
                    <w:spacing w:line="320" w:lineRule="atLeast"/>
                    <w:ind w:firstLine="0" w:firstLineChars="0"/>
                    <w:jc w:val="center"/>
                    <w:rPr>
                      <w:sz w:val="21"/>
                      <w:szCs w:val="21"/>
                    </w:rPr>
                  </w:pPr>
                  <w:r>
                    <w:rPr>
                      <w:rFonts w:hint="eastAsia"/>
                      <w:sz w:val="21"/>
                      <w:szCs w:val="21"/>
                    </w:rPr>
                    <w:t>相对高差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94" w:type="dxa"/>
                  <w:vMerge w:val="continue"/>
                  <w:vAlign w:val="center"/>
                </w:tcPr>
                <w:p>
                  <w:pPr>
                    <w:pStyle w:val="34"/>
                    <w:spacing w:line="320" w:lineRule="atLeast"/>
                    <w:ind w:firstLine="0" w:firstLineChars="0"/>
                    <w:jc w:val="center"/>
                    <w:rPr>
                      <w:sz w:val="21"/>
                      <w:szCs w:val="21"/>
                    </w:rPr>
                  </w:pPr>
                </w:p>
              </w:tc>
              <w:tc>
                <w:tcPr>
                  <w:tcW w:w="1214" w:type="dxa"/>
                  <w:vAlign w:val="center"/>
                </w:tcPr>
                <w:p>
                  <w:pPr>
                    <w:pStyle w:val="34"/>
                    <w:spacing w:line="320" w:lineRule="atLeast"/>
                    <w:ind w:firstLine="0" w:firstLineChars="0"/>
                    <w:jc w:val="center"/>
                    <w:rPr>
                      <w:sz w:val="21"/>
                      <w:szCs w:val="21"/>
                    </w:rPr>
                  </w:pPr>
                  <w:r>
                    <w:rPr>
                      <w:sz w:val="21"/>
                      <w:szCs w:val="21"/>
                    </w:rPr>
                    <w:t>经度</w:t>
                  </w:r>
                </w:p>
              </w:tc>
              <w:tc>
                <w:tcPr>
                  <w:tcW w:w="1109" w:type="dxa"/>
                  <w:vAlign w:val="center"/>
                </w:tcPr>
                <w:p>
                  <w:pPr>
                    <w:pStyle w:val="34"/>
                    <w:spacing w:line="320" w:lineRule="atLeast"/>
                    <w:ind w:firstLine="0" w:firstLineChars="0"/>
                    <w:jc w:val="center"/>
                    <w:rPr>
                      <w:sz w:val="21"/>
                      <w:szCs w:val="21"/>
                    </w:rPr>
                  </w:pPr>
                  <w:r>
                    <w:rPr>
                      <w:sz w:val="21"/>
                      <w:szCs w:val="21"/>
                    </w:rPr>
                    <w:t>纬度</w:t>
                  </w:r>
                </w:p>
              </w:tc>
              <w:tc>
                <w:tcPr>
                  <w:tcW w:w="528" w:type="dxa"/>
                  <w:vMerge w:val="continue"/>
                  <w:vAlign w:val="center"/>
                </w:tcPr>
                <w:p>
                  <w:pPr>
                    <w:pStyle w:val="34"/>
                    <w:spacing w:line="320" w:lineRule="atLeast"/>
                    <w:ind w:firstLine="0" w:firstLineChars="0"/>
                    <w:jc w:val="center"/>
                    <w:rPr>
                      <w:sz w:val="21"/>
                      <w:szCs w:val="21"/>
                    </w:rPr>
                  </w:pPr>
                </w:p>
              </w:tc>
              <w:tc>
                <w:tcPr>
                  <w:tcW w:w="739" w:type="dxa"/>
                  <w:vMerge w:val="continue"/>
                  <w:vAlign w:val="center"/>
                </w:tcPr>
                <w:p>
                  <w:pPr>
                    <w:pStyle w:val="34"/>
                    <w:spacing w:line="320" w:lineRule="atLeast"/>
                    <w:ind w:firstLine="0" w:firstLineChars="0"/>
                    <w:jc w:val="center"/>
                    <w:rPr>
                      <w:sz w:val="21"/>
                      <w:szCs w:val="21"/>
                    </w:rPr>
                  </w:pPr>
                </w:p>
              </w:tc>
              <w:tc>
                <w:tcPr>
                  <w:tcW w:w="2301" w:type="dxa"/>
                  <w:vMerge w:val="continue"/>
                  <w:vAlign w:val="center"/>
                </w:tcPr>
                <w:p>
                  <w:pPr>
                    <w:pStyle w:val="34"/>
                    <w:spacing w:line="320" w:lineRule="atLeast"/>
                    <w:ind w:firstLine="0" w:firstLineChars="0"/>
                    <w:jc w:val="center"/>
                    <w:rPr>
                      <w:sz w:val="21"/>
                      <w:szCs w:val="21"/>
                    </w:rPr>
                  </w:pPr>
                </w:p>
              </w:tc>
              <w:tc>
                <w:tcPr>
                  <w:tcW w:w="842" w:type="dxa"/>
                  <w:vMerge w:val="continue"/>
                  <w:vAlign w:val="center"/>
                </w:tcPr>
                <w:p>
                  <w:pPr>
                    <w:pStyle w:val="34"/>
                    <w:spacing w:line="320" w:lineRule="atLeast"/>
                    <w:ind w:firstLine="0" w:firstLineChars="0"/>
                    <w:jc w:val="center"/>
                    <w:rPr>
                      <w:sz w:val="21"/>
                      <w:szCs w:val="21"/>
                    </w:rPr>
                  </w:pPr>
                </w:p>
              </w:tc>
              <w:tc>
                <w:tcPr>
                  <w:tcW w:w="859" w:type="dxa"/>
                  <w:vMerge w:val="continue"/>
                  <w:vAlign w:val="center"/>
                </w:tcPr>
                <w:p>
                  <w:pPr>
                    <w:pStyle w:val="34"/>
                    <w:spacing w:line="320" w:lineRule="atLeast"/>
                    <w:ind w:firstLine="0" w:firstLineChars="0"/>
                    <w:jc w:val="center"/>
                    <w:rPr>
                      <w:sz w:val="21"/>
                      <w:szCs w:val="21"/>
                    </w:rPr>
                  </w:pPr>
                </w:p>
              </w:tc>
              <w:tc>
                <w:tcPr>
                  <w:tcW w:w="765" w:type="dxa"/>
                  <w:vMerge w:val="continue"/>
                  <w:vAlign w:val="center"/>
                </w:tcPr>
                <w:p>
                  <w:pPr>
                    <w:pStyle w:val="34"/>
                    <w:spacing w:line="320" w:lineRule="atLeas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Align w:val="center"/>
                </w:tcPr>
                <w:p>
                  <w:pPr>
                    <w:pStyle w:val="34"/>
                    <w:spacing w:line="320" w:lineRule="atLeast"/>
                    <w:ind w:firstLine="0" w:firstLineChars="0"/>
                    <w:jc w:val="center"/>
                    <w:rPr>
                      <w:sz w:val="21"/>
                      <w:szCs w:val="21"/>
                    </w:rPr>
                  </w:pPr>
                  <w:r>
                    <w:rPr>
                      <w:sz w:val="21"/>
                      <w:szCs w:val="21"/>
                    </w:rPr>
                    <w:t>小李庄</w:t>
                  </w:r>
                </w:p>
              </w:tc>
              <w:tc>
                <w:tcPr>
                  <w:tcW w:w="1214" w:type="dxa"/>
                  <w:vAlign w:val="center"/>
                </w:tcPr>
                <w:p>
                  <w:pPr>
                    <w:pStyle w:val="34"/>
                    <w:spacing w:line="320" w:lineRule="atLeast"/>
                    <w:ind w:firstLine="0" w:firstLineChars="0"/>
                    <w:jc w:val="center"/>
                    <w:rPr>
                      <w:sz w:val="21"/>
                      <w:szCs w:val="21"/>
                    </w:rPr>
                  </w:pPr>
                  <w:r>
                    <w:rPr>
                      <w:sz w:val="21"/>
                      <w:szCs w:val="21"/>
                    </w:rPr>
                    <w:t>103.209308</w:t>
                  </w:r>
                </w:p>
              </w:tc>
              <w:tc>
                <w:tcPr>
                  <w:tcW w:w="1109" w:type="dxa"/>
                  <w:vAlign w:val="center"/>
                </w:tcPr>
                <w:p>
                  <w:pPr>
                    <w:pStyle w:val="34"/>
                    <w:spacing w:line="320" w:lineRule="atLeast"/>
                    <w:ind w:firstLine="0" w:firstLineChars="0"/>
                    <w:jc w:val="center"/>
                    <w:rPr>
                      <w:sz w:val="21"/>
                      <w:szCs w:val="21"/>
                    </w:rPr>
                  </w:pPr>
                  <w:r>
                    <w:rPr>
                      <w:sz w:val="21"/>
                      <w:szCs w:val="21"/>
                    </w:rPr>
                    <w:t>26.026499</w:t>
                  </w:r>
                </w:p>
              </w:tc>
              <w:tc>
                <w:tcPr>
                  <w:tcW w:w="528" w:type="dxa"/>
                  <w:vAlign w:val="center"/>
                </w:tcPr>
                <w:p>
                  <w:pPr>
                    <w:pStyle w:val="34"/>
                    <w:spacing w:line="320" w:lineRule="atLeast"/>
                    <w:ind w:firstLine="0" w:firstLineChars="0"/>
                    <w:jc w:val="center"/>
                    <w:rPr>
                      <w:sz w:val="21"/>
                      <w:szCs w:val="21"/>
                    </w:rPr>
                  </w:pPr>
                  <w:r>
                    <w:rPr>
                      <w:sz w:val="21"/>
                      <w:szCs w:val="21"/>
                    </w:rPr>
                    <w:t>居民</w:t>
                  </w:r>
                </w:p>
              </w:tc>
              <w:tc>
                <w:tcPr>
                  <w:tcW w:w="739" w:type="dxa"/>
                  <w:vAlign w:val="center"/>
                </w:tcPr>
                <w:p>
                  <w:pPr>
                    <w:pStyle w:val="34"/>
                    <w:spacing w:line="320" w:lineRule="atLeast"/>
                    <w:ind w:firstLine="0" w:firstLineChars="0"/>
                    <w:jc w:val="center"/>
                    <w:rPr>
                      <w:sz w:val="21"/>
                      <w:szCs w:val="21"/>
                    </w:rPr>
                  </w:pPr>
                  <w:r>
                    <w:rPr>
                      <w:sz w:val="21"/>
                      <w:szCs w:val="21"/>
                    </w:rPr>
                    <w:t>9户，30人</w:t>
                  </w:r>
                </w:p>
              </w:tc>
              <w:tc>
                <w:tcPr>
                  <w:tcW w:w="2301" w:type="dxa"/>
                  <w:vAlign w:val="center"/>
                </w:tcPr>
                <w:p>
                  <w:pPr>
                    <w:pStyle w:val="34"/>
                    <w:spacing w:line="320" w:lineRule="atLeast"/>
                    <w:ind w:firstLine="0" w:firstLineChars="0"/>
                    <w:jc w:val="center"/>
                    <w:rPr>
                      <w:sz w:val="21"/>
                      <w:szCs w:val="21"/>
                    </w:rPr>
                  </w:pPr>
                  <w:r>
                    <w:rPr>
                      <w:sz w:val="21"/>
                      <w:szCs w:val="21"/>
                    </w:rPr>
                    <w:t>《环境空气质量标准》（GB3095-2012）二级标准</w:t>
                  </w:r>
                </w:p>
              </w:tc>
              <w:tc>
                <w:tcPr>
                  <w:tcW w:w="842" w:type="dxa"/>
                  <w:vAlign w:val="center"/>
                </w:tcPr>
                <w:p>
                  <w:pPr>
                    <w:pStyle w:val="34"/>
                    <w:spacing w:line="320" w:lineRule="atLeast"/>
                    <w:ind w:firstLine="0" w:firstLineChars="0"/>
                    <w:jc w:val="center"/>
                    <w:rPr>
                      <w:sz w:val="21"/>
                      <w:szCs w:val="21"/>
                    </w:rPr>
                  </w:pPr>
                  <w:r>
                    <w:rPr>
                      <w:sz w:val="21"/>
                      <w:szCs w:val="21"/>
                    </w:rPr>
                    <w:t>东北侧（测风向）</w:t>
                  </w:r>
                </w:p>
              </w:tc>
              <w:tc>
                <w:tcPr>
                  <w:tcW w:w="859" w:type="dxa"/>
                  <w:vAlign w:val="center"/>
                </w:tcPr>
                <w:p>
                  <w:pPr>
                    <w:pStyle w:val="34"/>
                    <w:spacing w:line="320" w:lineRule="atLeast"/>
                    <w:ind w:firstLine="0" w:firstLineChars="0"/>
                    <w:jc w:val="center"/>
                    <w:rPr>
                      <w:sz w:val="21"/>
                      <w:szCs w:val="21"/>
                    </w:rPr>
                  </w:pPr>
                  <w:r>
                    <w:rPr>
                      <w:sz w:val="21"/>
                      <w:szCs w:val="21"/>
                    </w:rPr>
                    <w:t>150m</w:t>
                  </w:r>
                </w:p>
              </w:tc>
              <w:tc>
                <w:tcPr>
                  <w:tcW w:w="765" w:type="dxa"/>
                  <w:vAlign w:val="center"/>
                </w:tcPr>
                <w:p>
                  <w:pPr>
                    <w:pStyle w:val="34"/>
                    <w:spacing w:line="320" w:lineRule="atLeast"/>
                    <w:ind w:firstLine="0" w:firstLineChars="0"/>
                    <w:jc w:val="center"/>
                    <w:rPr>
                      <w:sz w:val="21"/>
                      <w:szCs w:val="21"/>
                    </w:rPr>
                  </w:pPr>
                  <w:r>
                    <w:rPr>
                      <w:sz w:val="21"/>
                      <w:szCs w:val="21"/>
                    </w:rPr>
                    <w:t>+10m</w:t>
                  </w:r>
                </w:p>
              </w:tc>
            </w:tr>
          </w:tbl>
          <w:p>
            <w:pPr>
              <w:pStyle w:val="34"/>
              <w:ind w:firstLine="0" w:firstLineChars="0"/>
              <w:rPr>
                <w:rFonts w:eastAsiaTheme="minorEastAsia"/>
                <w:szCs w:val="24"/>
              </w:rPr>
            </w:pPr>
          </w:p>
          <w:p>
            <w:pPr>
              <w:pStyle w:val="34"/>
              <w:ind w:firstLine="482"/>
              <w:rPr>
                <w:rFonts w:eastAsiaTheme="minorEastAsia"/>
                <w:b/>
                <w:szCs w:val="24"/>
              </w:rPr>
            </w:pPr>
            <w:r>
              <w:rPr>
                <w:rFonts w:eastAsiaTheme="minorEastAsia"/>
                <w:b/>
                <w:szCs w:val="24"/>
              </w:rPr>
              <w:t>3.2.2 地表水环境保护目标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未要求设施地表水环境保护目标；但项目所在区域属于小江的汇水范围，因此拟将小江列入本项目水环境保护目标。具体如下表所示。</w:t>
            </w:r>
          </w:p>
          <w:p>
            <w:pPr>
              <w:jc w:val="center"/>
              <w:rPr>
                <w:rFonts w:ascii="Times New Roman" w:hAnsi="Times New Roman" w:cs="Times New Roman"/>
                <w:b/>
                <w:szCs w:val="24"/>
              </w:rPr>
            </w:pPr>
            <w:r>
              <w:rPr>
                <w:rFonts w:ascii="Times New Roman" w:hAnsi="Times New Roman" w:cs="Times New Roman"/>
                <w:b/>
                <w:szCs w:val="24"/>
              </w:rPr>
              <w:t>表3.2.2-</w:t>
            </w:r>
            <w:r>
              <w:rPr>
                <w:rFonts w:hint="eastAsia" w:ascii="Times New Roman" w:hAnsi="Times New Roman" w:cs="Times New Roman"/>
                <w:b/>
                <w:szCs w:val="24"/>
              </w:rPr>
              <w:t>1</w:t>
            </w:r>
            <w:r>
              <w:rPr>
                <w:rFonts w:ascii="Times New Roman" w:hAnsi="Times New Roman" w:cs="Times New Roman"/>
                <w:b/>
                <w:szCs w:val="24"/>
              </w:rPr>
              <w:t xml:space="preserve"> 地表水环境保护目标及保护级别一览表</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69"/>
              <w:gridCol w:w="2174"/>
              <w:gridCol w:w="1376"/>
              <w:gridCol w:w="110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类别</w:t>
                  </w:r>
                </w:p>
              </w:tc>
              <w:tc>
                <w:tcPr>
                  <w:tcW w:w="1169"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保护目标</w:t>
                  </w:r>
                </w:p>
              </w:tc>
              <w:tc>
                <w:tcPr>
                  <w:tcW w:w="217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坐标</w:t>
                  </w:r>
                </w:p>
              </w:tc>
              <w:tc>
                <w:tcPr>
                  <w:tcW w:w="1376"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与项目区的方位及距离</w:t>
                  </w:r>
                </w:p>
              </w:tc>
              <w:tc>
                <w:tcPr>
                  <w:tcW w:w="1106"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高差</w:t>
                  </w:r>
                </w:p>
              </w:tc>
              <w:tc>
                <w:tcPr>
                  <w:tcW w:w="2121"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05" w:type="dxa"/>
                  <w:tcBorders>
                    <w:top w:val="single" w:color="auto" w:sz="4" w:space="0"/>
                    <w:left w:val="single" w:color="auto" w:sz="4" w:space="0"/>
                    <w:right w:val="single" w:color="auto" w:sz="4" w:space="0"/>
                  </w:tcBorders>
                  <w:vAlign w:val="center"/>
                </w:tcPr>
                <w:p>
                  <w:pPr>
                    <w:pStyle w:val="26"/>
                    <w:spacing w:line="360" w:lineRule="exact"/>
                    <w:rPr>
                      <w:color w:val="auto"/>
                      <w:szCs w:val="21"/>
                    </w:rPr>
                  </w:pPr>
                  <w:r>
                    <w:rPr>
                      <w:color w:val="auto"/>
                      <w:szCs w:val="21"/>
                    </w:rPr>
                    <w:t>地表水</w:t>
                  </w:r>
                </w:p>
              </w:tc>
              <w:tc>
                <w:tcPr>
                  <w:tcW w:w="1169" w:type="dxa"/>
                  <w:tcBorders>
                    <w:top w:val="single" w:color="auto" w:sz="4" w:space="0"/>
                    <w:left w:val="single" w:color="auto" w:sz="4" w:space="0"/>
                    <w:right w:val="single" w:color="auto" w:sz="4" w:space="0"/>
                  </w:tcBorders>
                  <w:vAlign w:val="center"/>
                </w:tcPr>
                <w:p>
                  <w:pPr>
                    <w:pStyle w:val="26"/>
                    <w:spacing w:line="360" w:lineRule="exact"/>
                    <w:rPr>
                      <w:color w:val="auto"/>
                      <w:szCs w:val="21"/>
                    </w:rPr>
                  </w:pPr>
                  <w:r>
                    <w:rPr>
                      <w:bCs w:val="0"/>
                      <w:color w:val="auto"/>
                      <w:szCs w:val="24"/>
                    </w:rPr>
                    <w:t>小江</w:t>
                  </w:r>
                </w:p>
              </w:tc>
              <w:tc>
                <w:tcPr>
                  <w:tcW w:w="2174" w:type="dxa"/>
                  <w:tcBorders>
                    <w:top w:val="single" w:color="auto" w:sz="4" w:space="0"/>
                    <w:left w:val="single" w:color="auto" w:sz="4" w:space="0"/>
                    <w:right w:val="single" w:color="auto" w:sz="4" w:space="0"/>
                  </w:tcBorders>
                  <w:vAlign w:val="center"/>
                </w:tcPr>
                <w:p>
                  <w:pPr>
                    <w:pStyle w:val="26"/>
                    <w:spacing w:line="360" w:lineRule="exact"/>
                    <w:ind w:firstLine="210" w:firstLineChars="100"/>
                    <w:jc w:val="left"/>
                    <w:rPr>
                      <w:color w:val="auto"/>
                      <w:szCs w:val="21"/>
                    </w:rPr>
                  </w:pPr>
                  <w:r>
                    <w:rPr>
                      <w:color w:val="auto"/>
                      <w:szCs w:val="21"/>
                    </w:rPr>
                    <w:t>起点：东经103°08′14.70″，北纬26°08′0.08″；</w:t>
                  </w:r>
                </w:p>
                <w:p>
                  <w:pPr>
                    <w:pStyle w:val="26"/>
                    <w:spacing w:line="360" w:lineRule="exact"/>
                    <w:ind w:firstLine="210" w:firstLineChars="100"/>
                    <w:jc w:val="left"/>
                    <w:rPr>
                      <w:color w:val="auto"/>
                      <w:szCs w:val="21"/>
                    </w:rPr>
                  </w:pPr>
                  <w:r>
                    <w:rPr>
                      <w:color w:val="auto"/>
                      <w:szCs w:val="21"/>
                    </w:rPr>
                    <w:t>终点：东经103°07′49.63″，北纬26°8′32.12″；</w:t>
                  </w:r>
                </w:p>
              </w:tc>
              <w:tc>
                <w:tcPr>
                  <w:tcW w:w="1376"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bCs w:val="0"/>
                      <w:color w:val="auto"/>
                      <w:szCs w:val="24"/>
                    </w:rPr>
                    <w:t>西侧50m</w:t>
                  </w:r>
                </w:p>
              </w:tc>
              <w:tc>
                <w:tcPr>
                  <w:tcW w:w="1106"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rFonts w:hint="eastAsia"/>
                      <w:color w:val="auto"/>
                      <w:szCs w:val="21"/>
                      <w:lang w:val="en-US"/>
                    </w:rPr>
                    <w:t>5</w:t>
                  </w:r>
                  <w:r>
                    <w:rPr>
                      <w:color w:val="auto"/>
                      <w:szCs w:val="21"/>
                    </w:rPr>
                    <w:t>m</w:t>
                  </w:r>
                </w:p>
              </w:tc>
              <w:tc>
                <w:tcPr>
                  <w:tcW w:w="2121" w:type="dxa"/>
                  <w:tcBorders>
                    <w:top w:val="single" w:color="auto" w:sz="4" w:space="0"/>
                    <w:left w:val="single" w:color="auto" w:sz="4" w:space="0"/>
                    <w:right w:val="single" w:color="auto" w:sz="4" w:space="0"/>
                  </w:tcBorders>
                  <w:vAlign w:val="center"/>
                </w:tcPr>
                <w:p>
                  <w:pPr>
                    <w:pStyle w:val="26"/>
                    <w:spacing w:line="360" w:lineRule="exact"/>
                    <w:ind w:firstLine="210" w:firstLineChars="100"/>
                    <w:jc w:val="left"/>
                    <w:rPr>
                      <w:color w:val="auto"/>
                      <w:szCs w:val="21"/>
                    </w:rPr>
                  </w:pPr>
                  <w:r>
                    <w:rPr>
                      <w:color w:val="auto"/>
                      <w:szCs w:val="21"/>
                    </w:rPr>
                    <w:t>《地表水环境质量标准》（GB3838-2002）III类标准</w:t>
                  </w:r>
                </w:p>
              </w:tc>
            </w:tr>
          </w:tbl>
          <w:p>
            <w:pPr>
              <w:pStyle w:val="34"/>
              <w:spacing w:before="156" w:beforeLines="50"/>
              <w:ind w:firstLine="482"/>
              <w:rPr>
                <w:rFonts w:eastAsiaTheme="minorEastAsia"/>
                <w:b/>
                <w:szCs w:val="24"/>
              </w:rPr>
            </w:pPr>
            <w:r>
              <w:rPr>
                <w:rFonts w:eastAsiaTheme="minorEastAsia"/>
                <w:b/>
                <w:szCs w:val="24"/>
              </w:rPr>
              <w:t>3.2.3 地下水环境保护目标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本项目位于昆明市东川区铜都镇小李庄村，本项目选址不涉及到地下水集中式饮用水水源和热水、矿泉水、温泉等特殊地下水资源。</w:t>
            </w:r>
          </w:p>
          <w:p>
            <w:pPr>
              <w:pStyle w:val="34"/>
              <w:ind w:firstLine="482"/>
              <w:rPr>
                <w:rFonts w:eastAsiaTheme="minorEastAsia"/>
                <w:b/>
                <w:szCs w:val="24"/>
              </w:rPr>
            </w:pPr>
            <w:r>
              <w:rPr>
                <w:rFonts w:eastAsiaTheme="minorEastAsia"/>
                <w:b/>
                <w:szCs w:val="24"/>
              </w:rPr>
              <w:t>3.2.4 声环境环境保护目标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根据《建设项目环境影响报告表编制技术指南》（污染影响类）（试行）的要求，本项目声环境评价范围为50m，根据现场调查，本项目50m范围内无声环境保护目标。</w:t>
            </w:r>
          </w:p>
          <w:p>
            <w:pPr>
              <w:pStyle w:val="34"/>
              <w:ind w:firstLine="482"/>
              <w:rPr>
                <w:rFonts w:eastAsiaTheme="minorEastAsia"/>
                <w:b/>
                <w:szCs w:val="24"/>
              </w:rPr>
            </w:pPr>
            <w:r>
              <w:rPr>
                <w:rFonts w:eastAsiaTheme="minorEastAsia"/>
                <w:b/>
                <w:szCs w:val="24"/>
              </w:rPr>
              <w:t>3.2.5 生态环境保护目标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本项目位于昆明市东川区铜都镇小李庄村，本环评拟定生态环境评价范围为200m，本项目的主要生态环境保护目标如下。</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表3.2.5-1  生态环境保护目标一览表</w:t>
            </w:r>
          </w:p>
          <w:tbl>
            <w:tblPr>
              <w:tblStyle w:val="17"/>
              <w:tblW w:w="885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
              <w:gridCol w:w="2740"/>
              <w:gridCol w:w="1896"/>
              <w:gridCol w:w="32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2" w:type="dxa"/>
                  <w:vAlign w:val="center"/>
                </w:tcPr>
                <w:p>
                  <w:pPr>
                    <w:pStyle w:val="26"/>
                    <w:spacing w:line="360" w:lineRule="exact"/>
                    <w:rPr>
                      <w:color w:val="auto"/>
                      <w:szCs w:val="21"/>
                    </w:rPr>
                  </w:pPr>
                  <w:r>
                    <w:rPr>
                      <w:color w:val="auto"/>
                      <w:szCs w:val="21"/>
                    </w:rPr>
                    <w:t>类别</w:t>
                  </w:r>
                </w:p>
              </w:tc>
              <w:tc>
                <w:tcPr>
                  <w:tcW w:w="2740" w:type="dxa"/>
                  <w:vAlign w:val="center"/>
                </w:tcPr>
                <w:p>
                  <w:pPr>
                    <w:pStyle w:val="26"/>
                    <w:spacing w:line="360" w:lineRule="exact"/>
                    <w:rPr>
                      <w:color w:val="auto"/>
                      <w:szCs w:val="21"/>
                    </w:rPr>
                  </w:pPr>
                  <w:r>
                    <w:rPr>
                      <w:color w:val="auto"/>
                      <w:szCs w:val="21"/>
                    </w:rPr>
                    <w:t>与项目区的方位及距离</w:t>
                  </w:r>
                </w:p>
              </w:tc>
              <w:tc>
                <w:tcPr>
                  <w:tcW w:w="1896" w:type="dxa"/>
                  <w:vAlign w:val="center"/>
                </w:tcPr>
                <w:p>
                  <w:pPr>
                    <w:pStyle w:val="26"/>
                    <w:spacing w:line="360" w:lineRule="exact"/>
                    <w:rPr>
                      <w:color w:val="auto"/>
                      <w:szCs w:val="21"/>
                    </w:rPr>
                  </w:pPr>
                  <w:r>
                    <w:rPr>
                      <w:color w:val="auto"/>
                      <w:szCs w:val="21"/>
                    </w:rPr>
                    <w:t>生态保护目标</w:t>
                  </w:r>
                </w:p>
              </w:tc>
              <w:tc>
                <w:tcPr>
                  <w:tcW w:w="3283" w:type="dxa"/>
                  <w:vAlign w:val="center"/>
                </w:tcPr>
                <w:p>
                  <w:pPr>
                    <w:pStyle w:val="26"/>
                    <w:spacing w:line="360" w:lineRule="exact"/>
                    <w:rPr>
                      <w:color w:val="auto"/>
                      <w:szCs w:val="21"/>
                    </w:rPr>
                  </w:pPr>
                  <w:r>
                    <w:rPr>
                      <w:color w:val="auto"/>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2" w:type="dxa"/>
                  <w:vAlign w:val="center"/>
                </w:tcPr>
                <w:p>
                  <w:pPr>
                    <w:pStyle w:val="26"/>
                    <w:spacing w:line="360" w:lineRule="exact"/>
                    <w:rPr>
                      <w:color w:val="auto"/>
                      <w:szCs w:val="21"/>
                    </w:rPr>
                  </w:pPr>
                  <w:r>
                    <w:rPr>
                      <w:color w:val="auto"/>
                      <w:szCs w:val="21"/>
                    </w:rPr>
                    <w:t>生态环境</w:t>
                  </w:r>
                </w:p>
              </w:tc>
              <w:tc>
                <w:tcPr>
                  <w:tcW w:w="2740" w:type="dxa"/>
                  <w:vAlign w:val="center"/>
                </w:tcPr>
                <w:p>
                  <w:pPr>
                    <w:pStyle w:val="26"/>
                    <w:spacing w:line="360" w:lineRule="exact"/>
                    <w:ind w:firstLine="210" w:firstLineChars="100"/>
                    <w:jc w:val="left"/>
                    <w:rPr>
                      <w:color w:val="auto"/>
                      <w:szCs w:val="21"/>
                    </w:rPr>
                  </w:pPr>
                  <w:r>
                    <w:rPr>
                      <w:color w:val="auto"/>
                      <w:szCs w:val="21"/>
                    </w:rPr>
                    <w:t>项目区边界200m范围</w:t>
                  </w:r>
                </w:p>
              </w:tc>
              <w:tc>
                <w:tcPr>
                  <w:tcW w:w="1896" w:type="dxa"/>
                  <w:vAlign w:val="center"/>
                </w:tcPr>
                <w:p>
                  <w:pPr>
                    <w:pStyle w:val="26"/>
                    <w:spacing w:line="360" w:lineRule="exact"/>
                    <w:ind w:firstLine="210" w:firstLineChars="100"/>
                    <w:jc w:val="left"/>
                    <w:rPr>
                      <w:color w:val="auto"/>
                      <w:szCs w:val="21"/>
                    </w:rPr>
                  </w:pPr>
                  <w:r>
                    <w:rPr>
                      <w:color w:val="auto"/>
                      <w:szCs w:val="21"/>
                    </w:rPr>
                    <w:t>土地利用、植被、植物、动物。</w:t>
                  </w:r>
                </w:p>
              </w:tc>
              <w:tc>
                <w:tcPr>
                  <w:tcW w:w="3283" w:type="dxa"/>
                  <w:vAlign w:val="center"/>
                </w:tcPr>
                <w:p>
                  <w:pPr>
                    <w:pStyle w:val="26"/>
                    <w:spacing w:line="360" w:lineRule="exact"/>
                    <w:ind w:firstLine="210" w:firstLineChars="100"/>
                    <w:jc w:val="left"/>
                    <w:rPr>
                      <w:color w:val="auto"/>
                      <w:szCs w:val="21"/>
                    </w:rPr>
                  </w:pPr>
                  <w:r>
                    <w:rPr>
                      <w:color w:val="auto"/>
                      <w:szCs w:val="21"/>
                    </w:rPr>
                    <w:t>不得随意破坏、降低当地生态环境质量，使水土流失在可以接受的范围内。</w:t>
                  </w:r>
                </w:p>
              </w:tc>
            </w:tr>
          </w:tbl>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9077" w:type="dxa"/>
            <w:vAlign w:val="center"/>
          </w:tcPr>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只需填写污染物控制标准，不需填写环境质量标准。但由于环评涉及环境质量现状评价，因此拟填写环境质量标准和污染物排放控制标准。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3.3 环境质量标准</w:t>
            </w:r>
          </w:p>
          <w:p>
            <w:pPr>
              <w:pStyle w:val="34"/>
              <w:ind w:firstLine="482"/>
              <w:rPr>
                <w:rFonts w:eastAsiaTheme="minorEastAsia"/>
                <w:b/>
                <w:szCs w:val="24"/>
              </w:rPr>
            </w:pPr>
            <w:r>
              <w:rPr>
                <w:rFonts w:eastAsiaTheme="minorEastAsia"/>
                <w:b/>
                <w:szCs w:val="24"/>
              </w:rPr>
              <w:t>3.3.1环境空气质量标准</w:t>
            </w:r>
          </w:p>
          <w:p>
            <w:pPr>
              <w:pStyle w:val="34"/>
              <w:ind w:firstLine="480"/>
              <w:rPr>
                <w:rFonts w:eastAsiaTheme="minorEastAsia"/>
                <w:szCs w:val="24"/>
              </w:rPr>
            </w:pPr>
            <w:r>
              <w:rPr>
                <w:rFonts w:eastAsiaTheme="minorEastAsia"/>
                <w:szCs w:val="24"/>
              </w:rPr>
              <w:t>本项目位于昆明市东川区铜都镇小李庄村，属于环境空气二类区，执行《环境空气质量标准》（GB3095-2012）二级标准。标准限值详见下表。</w:t>
            </w:r>
          </w:p>
          <w:p>
            <w:pPr>
              <w:jc w:val="center"/>
              <w:rPr>
                <w:rFonts w:ascii="Times New Roman" w:hAnsi="Times New Roman" w:cs="Times New Roman"/>
                <w:b/>
                <w:szCs w:val="24"/>
              </w:rPr>
            </w:pPr>
            <w:r>
              <w:rPr>
                <w:rFonts w:ascii="Times New Roman" w:hAnsi="Times New Roman" w:cs="Times New Roman"/>
                <w:b/>
                <w:szCs w:val="24"/>
              </w:rPr>
              <w:t>表3.3.1-1 环境空气污染物浓度限值</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064"/>
              <w:gridCol w:w="19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污染物项目</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平均时间</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二级浓度限值</w:t>
                  </w:r>
                </w:p>
              </w:tc>
              <w:tc>
                <w:tcPr>
                  <w:tcW w:w="1244" w:type="dxa"/>
                  <w:tcBorders>
                    <w:top w:val="single" w:color="auto" w:sz="4" w:space="0"/>
                    <w:left w:val="single" w:color="000000"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二氧化硫（SO</w:t>
                  </w:r>
                  <w:r>
                    <w:rPr>
                      <w:color w:val="auto"/>
                      <w:szCs w:val="21"/>
                      <w:vertAlign w:val="subscript"/>
                    </w:rPr>
                    <w:t>2</w:t>
                  </w:r>
                  <w:r>
                    <w:rPr>
                      <w:color w:val="auto"/>
                      <w:szCs w:val="21"/>
                    </w:rPr>
                    <w:t>）</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60</w:t>
                  </w:r>
                </w:p>
              </w:tc>
              <w:tc>
                <w:tcPr>
                  <w:tcW w:w="1244" w:type="dxa"/>
                  <w:vMerge w:val="restart"/>
                  <w:tcBorders>
                    <w:top w:val="single" w:color="auto" w:sz="4" w:space="0"/>
                    <w:left w:val="single" w:color="000000" w:sz="4" w:space="0"/>
                    <w:right w:val="single" w:color="auto" w:sz="4" w:space="0"/>
                  </w:tcBorders>
                  <w:vAlign w:val="center"/>
                </w:tcPr>
                <w:p>
                  <w:pPr>
                    <w:pStyle w:val="26"/>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150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500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right w:val="single" w:color="auto" w:sz="4" w:space="0"/>
                  </w:tcBorders>
                  <w:vAlign w:val="center"/>
                </w:tcPr>
                <w:p>
                  <w:pPr>
                    <w:pStyle w:val="26"/>
                    <w:spacing w:line="360" w:lineRule="exact"/>
                    <w:rPr>
                      <w:color w:val="auto"/>
                      <w:szCs w:val="21"/>
                    </w:rPr>
                  </w:pPr>
                  <w:r>
                    <w:rPr>
                      <w:color w:val="auto"/>
                      <w:szCs w:val="21"/>
                    </w:rPr>
                    <w:t>二氧化氮（NO</w:t>
                  </w:r>
                  <w:r>
                    <w:rPr>
                      <w:color w:val="auto"/>
                      <w:szCs w:val="21"/>
                      <w:vertAlign w:val="subscript"/>
                    </w:rPr>
                    <w:t>2</w:t>
                  </w:r>
                  <w:r>
                    <w:rPr>
                      <w:color w:val="auto"/>
                      <w:szCs w:val="21"/>
                    </w:rPr>
                    <w:t>）</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40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80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200</w:t>
                  </w:r>
                </w:p>
              </w:tc>
              <w:tc>
                <w:tcPr>
                  <w:tcW w:w="1244" w:type="dxa"/>
                  <w:vMerge w:val="continue"/>
                  <w:tcBorders>
                    <w:left w:val="single" w:color="000000" w:sz="4" w:space="0"/>
                    <w:bottom w:val="single" w:color="auto"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left w:val="single" w:color="auto" w:sz="4" w:space="0"/>
                    <w:right w:val="single" w:color="auto" w:sz="4" w:space="0"/>
                  </w:tcBorders>
                  <w:vAlign w:val="center"/>
                </w:tcPr>
                <w:p>
                  <w:pPr>
                    <w:pStyle w:val="26"/>
                    <w:spacing w:line="360" w:lineRule="exact"/>
                    <w:rPr>
                      <w:color w:val="auto"/>
                      <w:szCs w:val="21"/>
                    </w:rPr>
                  </w:pPr>
                  <w:r>
                    <w:rPr>
                      <w:color w:val="auto"/>
                      <w:szCs w:val="21"/>
                    </w:rPr>
                    <w:t>一氧化碳（CO）</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4</w:t>
                  </w:r>
                </w:p>
              </w:tc>
              <w:tc>
                <w:tcPr>
                  <w:tcW w:w="1244" w:type="dxa"/>
                  <w:vMerge w:val="restart"/>
                  <w:tcBorders>
                    <w:top w:val="single" w:color="auto" w:sz="4" w:space="0"/>
                    <w:left w:val="single" w:color="000000" w:sz="4" w:space="0"/>
                    <w:right w:val="single" w:color="auto" w:sz="4" w:space="0"/>
                  </w:tcBorders>
                  <w:vAlign w:val="center"/>
                </w:tcPr>
                <w:p>
                  <w:pPr>
                    <w:pStyle w:val="26"/>
                    <w:spacing w:line="360" w:lineRule="exact"/>
                    <w:rPr>
                      <w:color w:val="auto"/>
                      <w:szCs w:val="21"/>
                    </w:rPr>
                  </w:pPr>
                  <w:r>
                    <w:rPr>
                      <w:color w:val="auto"/>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10</w:t>
                  </w:r>
                </w:p>
              </w:tc>
              <w:tc>
                <w:tcPr>
                  <w:tcW w:w="1244" w:type="dxa"/>
                  <w:vMerge w:val="continue"/>
                  <w:tcBorders>
                    <w:left w:val="single" w:color="000000" w:sz="4" w:space="0"/>
                    <w:bottom w:val="single" w:color="auto"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left w:val="single" w:color="auto" w:sz="4" w:space="0"/>
                    <w:right w:val="single" w:color="auto" w:sz="4" w:space="0"/>
                  </w:tcBorders>
                  <w:vAlign w:val="center"/>
                </w:tcPr>
                <w:p>
                  <w:pPr>
                    <w:pStyle w:val="26"/>
                    <w:spacing w:line="360" w:lineRule="exact"/>
                    <w:rPr>
                      <w:color w:val="auto"/>
                      <w:szCs w:val="21"/>
                    </w:rPr>
                  </w:pPr>
                  <w:r>
                    <w:rPr>
                      <w:color w:val="auto"/>
                      <w:szCs w:val="21"/>
                    </w:rPr>
                    <w:t>臭氧（O</w:t>
                  </w:r>
                  <w:r>
                    <w:rPr>
                      <w:color w:val="auto"/>
                      <w:szCs w:val="21"/>
                      <w:vertAlign w:val="subscript"/>
                    </w:rPr>
                    <w:t>3</w:t>
                  </w:r>
                  <w:r>
                    <w:rPr>
                      <w:color w:val="auto"/>
                      <w:szCs w:val="21"/>
                    </w:rPr>
                    <w:t>）</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日最大8小时平均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160</w:t>
                  </w:r>
                </w:p>
              </w:tc>
              <w:tc>
                <w:tcPr>
                  <w:tcW w:w="1244" w:type="dxa"/>
                  <w:vMerge w:val="restart"/>
                  <w:tcBorders>
                    <w:left w:val="single" w:color="000000" w:sz="4" w:space="0"/>
                    <w:right w:val="single" w:color="auto" w:sz="4" w:space="0"/>
                  </w:tcBorders>
                  <w:vAlign w:val="center"/>
                </w:tcPr>
                <w:p>
                  <w:pPr>
                    <w:pStyle w:val="26"/>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200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颗粒物（粒径小于等于10um）</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70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150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right w:val="single" w:color="auto" w:sz="4" w:space="0"/>
                  </w:tcBorders>
                  <w:vAlign w:val="center"/>
                </w:tcPr>
                <w:p>
                  <w:pPr>
                    <w:pStyle w:val="26"/>
                    <w:spacing w:line="360" w:lineRule="exact"/>
                    <w:rPr>
                      <w:color w:val="auto"/>
                      <w:szCs w:val="21"/>
                    </w:rPr>
                  </w:pPr>
                  <w:r>
                    <w:rPr>
                      <w:color w:val="auto"/>
                      <w:szCs w:val="21"/>
                    </w:rPr>
                    <w:t>颗粒物（粒径小于等于2.5um）</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35</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75</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left w:val="single" w:color="auto" w:sz="4" w:space="0"/>
                    <w:right w:val="single" w:color="auto" w:sz="4" w:space="0"/>
                  </w:tcBorders>
                  <w:vAlign w:val="center"/>
                </w:tcPr>
                <w:p>
                  <w:pPr>
                    <w:pStyle w:val="26"/>
                    <w:spacing w:line="360" w:lineRule="exact"/>
                    <w:rPr>
                      <w:color w:val="auto"/>
                      <w:szCs w:val="21"/>
                    </w:rPr>
                  </w:pPr>
                  <w:r>
                    <w:rPr>
                      <w:color w:val="auto"/>
                      <w:szCs w:val="21"/>
                    </w:rPr>
                    <w:t>总悬浮颗粒物（TSP）</w:t>
                  </w: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200</w:t>
                  </w:r>
                </w:p>
              </w:tc>
              <w:tc>
                <w:tcPr>
                  <w:tcW w:w="1244" w:type="dxa"/>
                  <w:vMerge w:val="continue"/>
                  <w:tcBorders>
                    <w:left w:val="single" w:color="000000" w:sz="4" w:space="0"/>
                    <w:right w:val="single" w:color="auto" w:sz="4" w:space="0"/>
                  </w:tcBorders>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right w:val="single" w:color="auto" w:sz="4" w:space="0"/>
                  </w:tcBorders>
                  <w:vAlign w:val="center"/>
                </w:tcPr>
                <w:p>
                  <w:pPr>
                    <w:pStyle w:val="26"/>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6"/>
                    <w:spacing w:line="360" w:lineRule="exact"/>
                    <w:rPr>
                      <w:color w:val="auto"/>
                      <w:szCs w:val="21"/>
                    </w:rPr>
                  </w:pPr>
                  <w:r>
                    <w:rPr>
                      <w:color w:val="auto"/>
                      <w:szCs w:val="21"/>
                    </w:rPr>
                    <w:t>300</w:t>
                  </w:r>
                </w:p>
              </w:tc>
              <w:tc>
                <w:tcPr>
                  <w:tcW w:w="1244" w:type="dxa"/>
                  <w:vMerge w:val="continue"/>
                  <w:tcBorders>
                    <w:left w:val="single" w:color="000000" w:sz="4" w:space="0"/>
                    <w:bottom w:val="single" w:color="auto" w:sz="4" w:space="0"/>
                    <w:right w:val="single" w:color="auto" w:sz="4" w:space="0"/>
                  </w:tcBorders>
                  <w:vAlign w:val="center"/>
                </w:tcPr>
                <w:p>
                  <w:pPr>
                    <w:pStyle w:val="26"/>
                    <w:spacing w:line="360" w:lineRule="exact"/>
                    <w:rPr>
                      <w:color w:val="auto"/>
                      <w:szCs w:val="21"/>
                    </w:rPr>
                  </w:pPr>
                </w:p>
              </w:tc>
            </w:tr>
          </w:tbl>
          <w:p>
            <w:pPr>
              <w:pStyle w:val="34"/>
              <w:spacing w:before="156" w:beforeLines="50"/>
              <w:ind w:firstLine="482"/>
              <w:rPr>
                <w:rFonts w:eastAsiaTheme="minorEastAsia"/>
                <w:b/>
                <w:szCs w:val="24"/>
              </w:rPr>
            </w:pPr>
            <w:r>
              <w:rPr>
                <w:rFonts w:eastAsiaTheme="minorEastAsia"/>
                <w:b/>
                <w:szCs w:val="24"/>
              </w:rPr>
              <w:t>3.3.2 地表水环境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区属于小江的汇水范围，小江位于项目区西侧50m。根据云南省水利厅发布的《云南省水功能区划》（2014版），小江（清水海-入金沙江口段）到2030年的水质目标为III类水体，执行《地表水环境质量标准》（GB3838-2002）III类水标准。</w:t>
            </w:r>
          </w:p>
          <w:p>
            <w:pPr>
              <w:spacing w:line="360" w:lineRule="auto"/>
              <w:ind w:firstLine="480" w:firstLineChars="200"/>
              <w:rPr>
                <w:rFonts w:ascii="Times New Roman" w:hAnsi="Times New Roman" w:cs="Times New Roman"/>
                <w:b/>
                <w:szCs w:val="24"/>
              </w:rPr>
            </w:pPr>
            <w:r>
              <w:rPr>
                <w:rFonts w:ascii="Times New Roman" w:hAnsi="Times New Roman" w:cs="Times New Roman"/>
                <w:sz w:val="24"/>
                <w:szCs w:val="24"/>
              </w:rPr>
              <w:t>标准限值详见下表。</w:t>
            </w:r>
          </w:p>
          <w:p>
            <w:pPr>
              <w:jc w:val="center"/>
              <w:rPr>
                <w:rFonts w:ascii="Times New Roman" w:hAnsi="Times New Roman" w:cs="Times New Roman"/>
                <w:b/>
                <w:szCs w:val="24"/>
              </w:rPr>
            </w:pPr>
            <w:r>
              <w:rPr>
                <w:rFonts w:ascii="Times New Roman" w:hAnsi="Times New Roman" w:cs="Times New Roman"/>
                <w:b/>
                <w:szCs w:val="24"/>
              </w:rPr>
              <w:t>表3.3.2-1 地表水环境质量评价标准值  单位：mg/L</w:t>
            </w:r>
          </w:p>
          <w:tbl>
            <w:tblPr>
              <w:tblStyle w:val="17"/>
              <w:tblW w:w="885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31"/>
              <w:gridCol w:w="1598"/>
              <w:gridCol w:w="1608"/>
              <w:gridCol w:w="2244"/>
              <w:gridCol w:w="17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1" w:type="dxa"/>
                  <w:vAlign w:val="center"/>
                </w:tcPr>
                <w:p>
                  <w:pPr>
                    <w:pStyle w:val="26"/>
                    <w:spacing w:line="360" w:lineRule="exact"/>
                    <w:ind w:left="11"/>
                    <w:rPr>
                      <w:color w:val="auto"/>
                      <w:szCs w:val="21"/>
                    </w:rPr>
                  </w:pPr>
                  <w:r>
                    <w:rPr>
                      <w:color w:val="auto"/>
                      <w:szCs w:val="21"/>
                    </w:rPr>
                    <w:t>项目</w:t>
                  </w:r>
                </w:p>
              </w:tc>
              <w:tc>
                <w:tcPr>
                  <w:tcW w:w="1598" w:type="dxa"/>
                  <w:vAlign w:val="center"/>
                </w:tcPr>
                <w:p>
                  <w:pPr>
                    <w:pStyle w:val="26"/>
                    <w:spacing w:line="360" w:lineRule="exact"/>
                    <w:ind w:left="11"/>
                    <w:rPr>
                      <w:color w:val="auto"/>
                      <w:szCs w:val="21"/>
                    </w:rPr>
                  </w:pPr>
                  <w:r>
                    <w:rPr>
                      <w:color w:val="auto"/>
                      <w:szCs w:val="21"/>
                    </w:rPr>
                    <w:t>pH</w:t>
                  </w:r>
                </w:p>
              </w:tc>
              <w:tc>
                <w:tcPr>
                  <w:tcW w:w="1608" w:type="dxa"/>
                  <w:vAlign w:val="center"/>
                </w:tcPr>
                <w:p>
                  <w:pPr>
                    <w:pStyle w:val="26"/>
                    <w:spacing w:line="360" w:lineRule="exact"/>
                    <w:ind w:left="11"/>
                    <w:rPr>
                      <w:color w:val="auto"/>
                      <w:szCs w:val="21"/>
                    </w:rPr>
                  </w:pPr>
                  <w:r>
                    <w:rPr>
                      <w:color w:val="auto"/>
                      <w:szCs w:val="21"/>
                    </w:rPr>
                    <w:t>CODcr</w:t>
                  </w:r>
                </w:p>
              </w:tc>
              <w:tc>
                <w:tcPr>
                  <w:tcW w:w="2244" w:type="dxa"/>
                  <w:vAlign w:val="center"/>
                </w:tcPr>
                <w:p>
                  <w:pPr>
                    <w:pStyle w:val="26"/>
                    <w:spacing w:line="360" w:lineRule="exact"/>
                    <w:ind w:left="11"/>
                    <w:rPr>
                      <w:color w:val="auto"/>
                      <w:szCs w:val="21"/>
                    </w:rPr>
                  </w:pPr>
                  <w:r>
                    <w:rPr>
                      <w:color w:val="auto"/>
                      <w:szCs w:val="21"/>
                    </w:rPr>
                    <w:t>BOD</w:t>
                  </w:r>
                  <w:r>
                    <w:rPr>
                      <w:color w:val="auto"/>
                      <w:szCs w:val="21"/>
                      <w:vertAlign w:val="subscript"/>
                    </w:rPr>
                    <w:t>5</w:t>
                  </w:r>
                </w:p>
              </w:tc>
              <w:tc>
                <w:tcPr>
                  <w:tcW w:w="1770" w:type="dxa"/>
                  <w:vAlign w:val="center"/>
                </w:tcPr>
                <w:p>
                  <w:pPr>
                    <w:pStyle w:val="26"/>
                    <w:spacing w:line="360" w:lineRule="exact"/>
                    <w:ind w:left="11"/>
                    <w:rPr>
                      <w:color w:val="auto"/>
                      <w:szCs w:val="21"/>
                    </w:rPr>
                  </w:pPr>
                  <w:r>
                    <w:rPr>
                      <w:color w:val="auto"/>
                      <w:szCs w:val="21"/>
                    </w:rPr>
                    <w:t>NH</w:t>
                  </w:r>
                  <w:r>
                    <w:rPr>
                      <w:color w:val="auto"/>
                      <w:szCs w:val="21"/>
                      <w:vertAlign w:val="subscript"/>
                    </w:rPr>
                    <w:t>3</w:t>
                  </w:r>
                  <w:r>
                    <w:rPr>
                      <w:color w:val="auto"/>
                      <w:szCs w:val="21"/>
                    </w:rPr>
                    <w:t>-N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1" w:type="dxa"/>
                  <w:vAlign w:val="center"/>
                </w:tcPr>
                <w:p>
                  <w:pPr>
                    <w:pStyle w:val="26"/>
                    <w:spacing w:line="360" w:lineRule="exact"/>
                    <w:ind w:left="11"/>
                    <w:rPr>
                      <w:color w:val="auto"/>
                      <w:szCs w:val="21"/>
                    </w:rPr>
                  </w:pPr>
                  <w:r>
                    <w:rPr>
                      <w:color w:val="auto"/>
                      <w:szCs w:val="21"/>
                    </w:rPr>
                    <w:t>III类</w:t>
                  </w:r>
                </w:p>
              </w:tc>
              <w:tc>
                <w:tcPr>
                  <w:tcW w:w="1598" w:type="dxa"/>
                  <w:vAlign w:val="center"/>
                </w:tcPr>
                <w:p>
                  <w:pPr>
                    <w:pStyle w:val="26"/>
                    <w:spacing w:line="360" w:lineRule="exact"/>
                    <w:ind w:left="11"/>
                    <w:rPr>
                      <w:color w:val="auto"/>
                      <w:szCs w:val="21"/>
                    </w:rPr>
                  </w:pPr>
                  <w:r>
                    <w:rPr>
                      <w:color w:val="auto"/>
                      <w:szCs w:val="21"/>
                    </w:rPr>
                    <w:t>6-9</w:t>
                  </w:r>
                </w:p>
              </w:tc>
              <w:tc>
                <w:tcPr>
                  <w:tcW w:w="1608" w:type="dxa"/>
                  <w:vAlign w:val="center"/>
                </w:tcPr>
                <w:p>
                  <w:pPr>
                    <w:pStyle w:val="26"/>
                    <w:spacing w:line="360" w:lineRule="exact"/>
                    <w:ind w:left="11"/>
                    <w:rPr>
                      <w:color w:val="auto"/>
                      <w:szCs w:val="21"/>
                    </w:rPr>
                  </w:pPr>
                  <w:r>
                    <w:rPr>
                      <w:color w:val="auto"/>
                      <w:szCs w:val="21"/>
                    </w:rPr>
                    <w:t>≤20</w:t>
                  </w:r>
                </w:p>
              </w:tc>
              <w:tc>
                <w:tcPr>
                  <w:tcW w:w="2244" w:type="dxa"/>
                  <w:vAlign w:val="center"/>
                </w:tcPr>
                <w:p>
                  <w:pPr>
                    <w:pStyle w:val="26"/>
                    <w:spacing w:line="360" w:lineRule="exact"/>
                    <w:ind w:left="11"/>
                    <w:rPr>
                      <w:color w:val="auto"/>
                      <w:szCs w:val="21"/>
                    </w:rPr>
                  </w:pPr>
                  <w:r>
                    <w:rPr>
                      <w:color w:val="auto"/>
                      <w:szCs w:val="21"/>
                    </w:rPr>
                    <w:t>≤4</w:t>
                  </w:r>
                </w:p>
              </w:tc>
              <w:tc>
                <w:tcPr>
                  <w:tcW w:w="1770" w:type="dxa"/>
                  <w:vAlign w:val="center"/>
                </w:tcPr>
                <w:p>
                  <w:pPr>
                    <w:pStyle w:val="26"/>
                    <w:spacing w:line="360" w:lineRule="exact"/>
                    <w:ind w:left="11"/>
                    <w:rPr>
                      <w:color w:val="auto"/>
                      <w:szCs w:val="21"/>
                    </w:rPr>
                  </w:pPr>
                  <w:r>
                    <w:rPr>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1" w:type="dxa"/>
                  <w:vAlign w:val="center"/>
                </w:tcPr>
                <w:p>
                  <w:pPr>
                    <w:pStyle w:val="26"/>
                    <w:spacing w:line="360" w:lineRule="exact"/>
                    <w:ind w:left="11"/>
                    <w:rPr>
                      <w:color w:val="auto"/>
                      <w:szCs w:val="21"/>
                    </w:rPr>
                  </w:pPr>
                  <w:r>
                    <w:rPr>
                      <w:color w:val="auto"/>
                      <w:szCs w:val="21"/>
                    </w:rPr>
                    <w:t>项目</w:t>
                  </w:r>
                </w:p>
              </w:tc>
              <w:tc>
                <w:tcPr>
                  <w:tcW w:w="1598" w:type="dxa"/>
                  <w:vAlign w:val="center"/>
                </w:tcPr>
                <w:p>
                  <w:pPr>
                    <w:pStyle w:val="26"/>
                    <w:spacing w:line="360" w:lineRule="exact"/>
                    <w:ind w:left="11"/>
                    <w:rPr>
                      <w:color w:val="auto"/>
                      <w:szCs w:val="21"/>
                    </w:rPr>
                  </w:pPr>
                  <w:r>
                    <w:rPr>
                      <w:color w:val="auto"/>
                      <w:szCs w:val="21"/>
                    </w:rPr>
                    <w:t>总磷</w:t>
                  </w:r>
                </w:p>
              </w:tc>
              <w:tc>
                <w:tcPr>
                  <w:tcW w:w="1608" w:type="dxa"/>
                  <w:vAlign w:val="center"/>
                </w:tcPr>
                <w:p>
                  <w:pPr>
                    <w:pStyle w:val="26"/>
                    <w:spacing w:line="360" w:lineRule="exact"/>
                    <w:ind w:left="11"/>
                    <w:rPr>
                      <w:color w:val="auto"/>
                      <w:szCs w:val="21"/>
                    </w:rPr>
                  </w:pPr>
                  <w:r>
                    <w:rPr>
                      <w:color w:val="auto"/>
                      <w:szCs w:val="21"/>
                    </w:rPr>
                    <w:t>石油类</w:t>
                  </w:r>
                </w:p>
              </w:tc>
              <w:tc>
                <w:tcPr>
                  <w:tcW w:w="2244"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阴离子表面活性剂</w:t>
                  </w:r>
                </w:p>
              </w:tc>
              <w:tc>
                <w:tcPr>
                  <w:tcW w:w="1770"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粪大肠菌群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1" w:type="dxa"/>
                  <w:vAlign w:val="center"/>
                </w:tcPr>
                <w:p>
                  <w:pPr>
                    <w:pStyle w:val="26"/>
                    <w:spacing w:line="360" w:lineRule="exact"/>
                    <w:ind w:left="11"/>
                    <w:rPr>
                      <w:color w:val="auto"/>
                      <w:szCs w:val="21"/>
                    </w:rPr>
                  </w:pPr>
                  <w:r>
                    <w:rPr>
                      <w:color w:val="auto"/>
                      <w:szCs w:val="21"/>
                    </w:rPr>
                    <w:t>III类</w:t>
                  </w:r>
                </w:p>
              </w:tc>
              <w:tc>
                <w:tcPr>
                  <w:tcW w:w="1598" w:type="dxa"/>
                  <w:vAlign w:val="center"/>
                </w:tcPr>
                <w:p>
                  <w:pPr>
                    <w:pStyle w:val="26"/>
                    <w:spacing w:line="360" w:lineRule="exact"/>
                    <w:ind w:left="11"/>
                    <w:rPr>
                      <w:color w:val="auto"/>
                      <w:szCs w:val="21"/>
                    </w:rPr>
                  </w:pPr>
                  <w:r>
                    <w:rPr>
                      <w:color w:val="auto"/>
                      <w:szCs w:val="21"/>
                    </w:rPr>
                    <w:t>≤0.2</w:t>
                  </w:r>
                </w:p>
              </w:tc>
              <w:tc>
                <w:tcPr>
                  <w:tcW w:w="1608" w:type="dxa"/>
                  <w:vAlign w:val="center"/>
                </w:tcPr>
                <w:p>
                  <w:pPr>
                    <w:pStyle w:val="26"/>
                    <w:spacing w:line="360" w:lineRule="exact"/>
                    <w:ind w:left="11"/>
                    <w:rPr>
                      <w:color w:val="auto"/>
                      <w:szCs w:val="21"/>
                    </w:rPr>
                  </w:pPr>
                  <w:r>
                    <w:rPr>
                      <w:color w:val="auto"/>
                      <w:szCs w:val="21"/>
                    </w:rPr>
                    <w:t>≤0.05</w:t>
                  </w:r>
                </w:p>
              </w:tc>
              <w:tc>
                <w:tcPr>
                  <w:tcW w:w="2244"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≤0.2</w:t>
                  </w:r>
                </w:p>
              </w:tc>
              <w:tc>
                <w:tcPr>
                  <w:tcW w:w="1770"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10000个/L</w:t>
                  </w:r>
                </w:p>
              </w:tc>
            </w:tr>
          </w:tbl>
          <w:p>
            <w:pPr>
              <w:pStyle w:val="34"/>
              <w:spacing w:before="156" w:beforeLines="50"/>
              <w:ind w:firstLine="482"/>
              <w:rPr>
                <w:rFonts w:eastAsiaTheme="minorEastAsia"/>
                <w:b/>
                <w:szCs w:val="24"/>
              </w:rPr>
            </w:pPr>
            <w:r>
              <w:rPr>
                <w:rFonts w:eastAsiaTheme="minorEastAsia"/>
                <w:b/>
                <w:szCs w:val="24"/>
              </w:rPr>
              <w:t>3.3.3 声环境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本项目位于昆明市东川区铜都镇小李庄村，按照《声环境功能区划分技术规范》（GB/T15190-2014）的划分要求，项目区域为2类区，声环境执行《声环境质量标准》（GB3096-2008）2类区标准。标准限值详见下表。</w:t>
            </w:r>
          </w:p>
          <w:p>
            <w:pPr>
              <w:jc w:val="center"/>
              <w:rPr>
                <w:rFonts w:ascii="Times New Roman" w:hAnsi="Times New Roman" w:cs="Times New Roman"/>
                <w:b/>
                <w:szCs w:val="24"/>
              </w:rPr>
            </w:pPr>
            <w:r>
              <w:rPr>
                <w:rFonts w:ascii="Times New Roman" w:hAnsi="Times New Roman" w:cs="Times New Roman"/>
                <w:b/>
                <w:szCs w:val="24"/>
              </w:rPr>
              <w:t>表3.3.3-1  环境噪声限值  单位：dB（A）</w:t>
            </w:r>
          </w:p>
          <w:tbl>
            <w:tblPr>
              <w:tblStyle w:val="16"/>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333"/>
              <w:gridCol w:w="218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213" w:type="dxa"/>
                  <w:vMerge w:val="restart"/>
                  <w:vAlign w:val="center"/>
                </w:tcPr>
                <w:p>
                  <w:pPr>
                    <w:pStyle w:val="26"/>
                    <w:spacing w:line="360" w:lineRule="exact"/>
                    <w:rPr>
                      <w:color w:val="auto"/>
                      <w:szCs w:val="21"/>
                    </w:rPr>
                  </w:pPr>
                  <w:r>
                    <w:rPr>
                      <w:color w:val="auto"/>
                      <w:szCs w:val="21"/>
                    </w:rPr>
                    <w:t>执行区域</w:t>
                  </w:r>
                </w:p>
              </w:tc>
              <w:tc>
                <w:tcPr>
                  <w:tcW w:w="2333" w:type="dxa"/>
                  <w:vMerge w:val="restart"/>
                  <w:vAlign w:val="center"/>
                </w:tcPr>
                <w:p>
                  <w:pPr>
                    <w:pStyle w:val="26"/>
                    <w:spacing w:line="360" w:lineRule="exact"/>
                    <w:rPr>
                      <w:color w:val="auto"/>
                      <w:szCs w:val="21"/>
                    </w:rPr>
                  </w:pPr>
                  <w:r>
                    <w:rPr>
                      <w:color w:val="auto"/>
                      <w:szCs w:val="21"/>
                    </w:rPr>
                    <w:t>声环境功能区类别</w:t>
                  </w:r>
                </w:p>
              </w:tc>
              <w:tc>
                <w:tcPr>
                  <w:tcW w:w="4305" w:type="dxa"/>
                  <w:gridSpan w:val="2"/>
                  <w:vAlign w:val="center"/>
                </w:tcPr>
                <w:p>
                  <w:pPr>
                    <w:pStyle w:val="26"/>
                    <w:spacing w:line="360" w:lineRule="exact"/>
                    <w:rPr>
                      <w:color w:val="auto"/>
                      <w:szCs w:val="21"/>
                    </w:rPr>
                  </w:pPr>
                  <w:r>
                    <w:rPr>
                      <w:color w:val="auto"/>
                      <w:szCs w:val="21"/>
                    </w:rPr>
                    <w:t>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213" w:type="dxa"/>
                  <w:vMerge w:val="continue"/>
                  <w:vAlign w:val="center"/>
                </w:tcPr>
                <w:p>
                  <w:pPr>
                    <w:pStyle w:val="26"/>
                    <w:spacing w:line="360" w:lineRule="exact"/>
                    <w:rPr>
                      <w:color w:val="auto"/>
                      <w:szCs w:val="21"/>
                    </w:rPr>
                  </w:pPr>
                </w:p>
              </w:tc>
              <w:tc>
                <w:tcPr>
                  <w:tcW w:w="2333" w:type="dxa"/>
                  <w:vMerge w:val="continue"/>
                  <w:vAlign w:val="center"/>
                </w:tcPr>
                <w:p>
                  <w:pPr>
                    <w:pStyle w:val="26"/>
                    <w:spacing w:line="360" w:lineRule="exact"/>
                    <w:rPr>
                      <w:color w:val="auto"/>
                      <w:szCs w:val="21"/>
                    </w:rPr>
                  </w:pPr>
                </w:p>
              </w:tc>
              <w:tc>
                <w:tcPr>
                  <w:tcW w:w="2188" w:type="dxa"/>
                  <w:vAlign w:val="center"/>
                </w:tcPr>
                <w:p>
                  <w:pPr>
                    <w:pStyle w:val="26"/>
                    <w:spacing w:line="360" w:lineRule="exact"/>
                    <w:rPr>
                      <w:color w:val="auto"/>
                      <w:szCs w:val="21"/>
                    </w:rPr>
                  </w:pPr>
                  <w:r>
                    <w:rPr>
                      <w:color w:val="auto"/>
                      <w:szCs w:val="21"/>
                    </w:rPr>
                    <w:t>昼间</w:t>
                  </w:r>
                </w:p>
              </w:tc>
              <w:tc>
                <w:tcPr>
                  <w:tcW w:w="2117" w:type="dxa"/>
                  <w:vAlign w:val="center"/>
                </w:tcPr>
                <w:p>
                  <w:pPr>
                    <w:pStyle w:val="26"/>
                    <w:spacing w:line="360" w:lineRule="exact"/>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213" w:type="dxa"/>
                  <w:vAlign w:val="center"/>
                </w:tcPr>
                <w:p>
                  <w:pPr>
                    <w:pStyle w:val="26"/>
                    <w:spacing w:line="360" w:lineRule="exact"/>
                    <w:rPr>
                      <w:color w:val="auto"/>
                      <w:szCs w:val="21"/>
                    </w:rPr>
                  </w:pPr>
                  <w:r>
                    <w:rPr>
                      <w:color w:val="auto"/>
                      <w:szCs w:val="21"/>
                    </w:rPr>
                    <w:t>其他区域</w:t>
                  </w:r>
                </w:p>
              </w:tc>
              <w:tc>
                <w:tcPr>
                  <w:tcW w:w="2333" w:type="dxa"/>
                  <w:vAlign w:val="center"/>
                </w:tcPr>
                <w:p>
                  <w:pPr>
                    <w:pStyle w:val="26"/>
                    <w:spacing w:line="360" w:lineRule="exact"/>
                    <w:rPr>
                      <w:color w:val="auto"/>
                      <w:szCs w:val="21"/>
                    </w:rPr>
                  </w:pPr>
                  <w:r>
                    <w:rPr>
                      <w:color w:val="auto"/>
                      <w:szCs w:val="21"/>
                    </w:rPr>
                    <w:t>2类</w:t>
                  </w:r>
                </w:p>
              </w:tc>
              <w:tc>
                <w:tcPr>
                  <w:tcW w:w="2188" w:type="dxa"/>
                  <w:vAlign w:val="center"/>
                </w:tcPr>
                <w:p>
                  <w:pPr>
                    <w:pStyle w:val="26"/>
                    <w:spacing w:line="360" w:lineRule="exact"/>
                    <w:rPr>
                      <w:color w:val="auto"/>
                      <w:szCs w:val="21"/>
                    </w:rPr>
                  </w:pPr>
                  <w:r>
                    <w:rPr>
                      <w:color w:val="auto"/>
                      <w:szCs w:val="21"/>
                    </w:rPr>
                    <w:t>60</w:t>
                  </w:r>
                </w:p>
              </w:tc>
              <w:tc>
                <w:tcPr>
                  <w:tcW w:w="2117" w:type="dxa"/>
                  <w:vAlign w:val="center"/>
                </w:tcPr>
                <w:p>
                  <w:pPr>
                    <w:pStyle w:val="26"/>
                    <w:spacing w:line="360" w:lineRule="exact"/>
                    <w:rPr>
                      <w:color w:val="auto"/>
                      <w:szCs w:val="21"/>
                    </w:rPr>
                  </w:pPr>
                  <w:r>
                    <w:rPr>
                      <w:color w:val="auto"/>
                      <w:szCs w:val="21"/>
                    </w:rPr>
                    <w:t>50</w:t>
                  </w:r>
                </w:p>
              </w:tc>
            </w:tr>
          </w:tbl>
          <w:p>
            <w:pPr>
              <w:autoSpaceDE w:val="0"/>
              <w:autoSpaceDN w:val="0"/>
              <w:spacing w:before="156"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3.4 污染物排放控制标准</w:t>
            </w:r>
          </w:p>
          <w:p>
            <w:pPr>
              <w:pStyle w:val="34"/>
              <w:ind w:firstLine="482"/>
              <w:rPr>
                <w:rFonts w:eastAsiaTheme="minorEastAsia"/>
                <w:b/>
                <w:szCs w:val="24"/>
              </w:rPr>
            </w:pPr>
            <w:r>
              <w:rPr>
                <w:rFonts w:eastAsiaTheme="minorEastAsia"/>
                <w:b/>
                <w:szCs w:val="24"/>
              </w:rPr>
              <w:t>3.4.1 废气排放标准</w:t>
            </w:r>
          </w:p>
          <w:p>
            <w:pPr>
              <w:pStyle w:val="34"/>
              <w:ind w:firstLine="361" w:firstLineChars="150"/>
              <w:rPr>
                <w:rFonts w:eastAsiaTheme="minorEastAsia"/>
                <w:b/>
              </w:rPr>
            </w:pPr>
            <w:r>
              <w:rPr>
                <w:rFonts w:eastAsiaTheme="minorEastAsia"/>
                <w:b/>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施工期扬尘执行《大气污染物综合排放标准》（GB16297-1996）中表2无组织排放监控浓度限值，周界外浓度最高点≤1.0mg/m³。</w:t>
            </w:r>
          </w:p>
          <w:p>
            <w:pPr>
              <w:pStyle w:val="34"/>
              <w:ind w:firstLine="361" w:firstLineChars="150"/>
              <w:rPr>
                <w:rFonts w:eastAsiaTheme="minorEastAsia"/>
                <w:b/>
              </w:rPr>
            </w:pPr>
            <w:r>
              <w:rPr>
                <w:rFonts w:eastAsiaTheme="minorEastAsia"/>
                <w:b/>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项目生产线采取湿法作业，基本无粉尘产生，主要废气为产品库扬尘。项目产品库产生的扬尘执行《大气污染物综合排放标准》（GB16297-1996）无组织排放标准，标准值如下表所示。</w:t>
            </w:r>
          </w:p>
          <w:p>
            <w:pPr>
              <w:jc w:val="center"/>
              <w:rPr>
                <w:rFonts w:ascii="Times New Roman" w:hAnsi="Times New Roman" w:cs="Times New Roman"/>
                <w:b/>
                <w:szCs w:val="24"/>
              </w:rPr>
            </w:pPr>
            <w:r>
              <w:rPr>
                <w:rFonts w:ascii="Times New Roman" w:hAnsi="Times New Roman" w:cs="Times New Roman"/>
                <w:b/>
                <w:szCs w:val="24"/>
              </w:rPr>
              <w:t>表3.4.1-1  《大气污染物综合排放标准》无组织排放限值 单位mg/Nm³</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417"/>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0" w:type="dxa"/>
                  <w:vAlign w:val="center"/>
                </w:tcPr>
                <w:p>
                  <w:pPr>
                    <w:pStyle w:val="26"/>
                    <w:spacing w:line="360" w:lineRule="exact"/>
                    <w:rPr>
                      <w:color w:val="auto"/>
                      <w:szCs w:val="21"/>
                    </w:rPr>
                  </w:pPr>
                  <w:r>
                    <w:rPr>
                      <w:color w:val="auto"/>
                      <w:szCs w:val="21"/>
                    </w:rPr>
                    <w:t>项目</w:t>
                  </w:r>
                </w:p>
              </w:tc>
              <w:tc>
                <w:tcPr>
                  <w:tcW w:w="2417" w:type="dxa"/>
                  <w:vAlign w:val="center"/>
                </w:tcPr>
                <w:p>
                  <w:pPr>
                    <w:pStyle w:val="26"/>
                    <w:spacing w:line="360" w:lineRule="exact"/>
                    <w:rPr>
                      <w:color w:val="auto"/>
                      <w:szCs w:val="21"/>
                    </w:rPr>
                  </w:pPr>
                  <w:r>
                    <w:rPr>
                      <w:color w:val="auto"/>
                      <w:szCs w:val="21"/>
                    </w:rPr>
                    <w:t>最高允许排放浓度限值</w:t>
                  </w:r>
                </w:p>
              </w:tc>
              <w:tc>
                <w:tcPr>
                  <w:tcW w:w="4234" w:type="dxa"/>
                  <w:vAlign w:val="center"/>
                </w:tcPr>
                <w:p>
                  <w:pPr>
                    <w:pStyle w:val="26"/>
                    <w:spacing w:line="360" w:lineRule="exact"/>
                    <w:rPr>
                      <w:color w:val="auto"/>
                      <w:szCs w:val="21"/>
                    </w:rPr>
                  </w:pPr>
                  <w:r>
                    <w:rPr>
                      <w:color w:val="auto"/>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0" w:type="dxa"/>
                  <w:vAlign w:val="center"/>
                </w:tcPr>
                <w:p>
                  <w:pPr>
                    <w:pStyle w:val="26"/>
                    <w:spacing w:line="360" w:lineRule="exact"/>
                    <w:rPr>
                      <w:color w:val="auto"/>
                      <w:szCs w:val="21"/>
                    </w:rPr>
                  </w:pPr>
                  <w:r>
                    <w:rPr>
                      <w:color w:val="auto"/>
                      <w:szCs w:val="21"/>
                    </w:rPr>
                    <w:t>颗粒物</w:t>
                  </w:r>
                </w:p>
              </w:tc>
              <w:tc>
                <w:tcPr>
                  <w:tcW w:w="2417" w:type="dxa"/>
                  <w:vAlign w:val="center"/>
                </w:tcPr>
                <w:p>
                  <w:pPr>
                    <w:pStyle w:val="26"/>
                    <w:spacing w:line="360" w:lineRule="exact"/>
                    <w:rPr>
                      <w:color w:val="auto"/>
                      <w:szCs w:val="21"/>
                    </w:rPr>
                  </w:pPr>
                  <w:r>
                    <w:rPr>
                      <w:color w:val="auto"/>
                      <w:szCs w:val="21"/>
                    </w:rPr>
                    <w:t>≤1.0</w:t>
                  </w:r>
                </w:p>
              </w:tc>
              <w:tc>
                <w:tcPr>
                  <w:tcW w:w="4234" w:type="dxa"/>
                  <w:vAlign w:val="center"/>
                </w:tcPr>
                <w:p>
                  <w:pPr>
                    <w:pStyle w:val="26"/>
                    <w:spacing w:line="360" w:lineRule="exact"/>
                    <w:rPr>
                      <w:color w:val="auto"/>
                      <w:szCs w:val="21"/>
                    </w:rPr>
                  </w:pPr>
                  <w:r>
                    <w:rPr>
                      <w:color w:val="auto"/>
                      <w:szCs w:val="21"/>
                    </w:rPr>
                    <w:t>周外界浓度</w:t>
                  </w:r>
                </w:p>
              </w:tc>
            </w:tr>
          </w:tbl>
          <w:p>
            <w:pPr>
              <w:pStyle w:val="34"/>
              <w:spacing w:before="156" w:beforeLines="50"/>
              <w:ind w:firstLine="482"/>
              <w:rPr>
                <w:rFonts w:eastAsiaTheme="minorEastAsia"/>
                <w:b/>
                <w:szCs w:val="24"/>
              </w:rPr>
            </w:pPr>
            <w:r>
              <w:rPr>
                <w:rFonts w:eastAsiaTheme="minorEastAsia"/>
                <w:b/>
                <w:szCs w:val="24"/>
              </w:rPr>
              <w:t>3.4.2 废水排放标准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根据项目特点，本项目施工量较小，施工过程使用的少量施工用水全部自然蒸发，无废水产生。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项目运营期废水包括生产废水、初期雨水和生活污水。</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①生产废水和初期雨水执行标准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废水主要为洗砂废水，项目拟设置一套生产废水处理系统对其进行处理，该系统由2个生产废水收集池、2个污水处理塔、2个清水池、2个泥浆回收池和4台污泥压滤机组成；项目生产废水经处理后完全回用，不外排。初期雨水通过截排水沟收集后进入有效容积不低于20m³的初期雨水收集池沉淀后回用于生产，不外排。参照执行《城市污水再生利用  工业用水水质》（GB/T 19923-2005）标准，标准值如下表所示。</w:t>
            </w:r>
          </w:p>
          <w:p>
            <w:pPr>
              <w:jc w:val="center"/>
              <w:rPr>
                <w:rFonts w:ascii="Times New Roman" w:hAnsi="Times New Roman" w:cs="Times New Roman"/>
                <w:b/>
                <w:szCs w:val="24"/>
              </w:rPr>
            </w:pPr>
            <w:r>
              <w:rPr>
                <w:rFonts w:ascii="Times New Roman" w:hAnsi="Times New Roman" w:cs="Times New Roman"/>
                <w:b/>
                <w:szCs w:val="24"/>
              </w:rPr>
              <w:t>表3.4.2-1 城市污水再生利用  工业用水水质标准限值</w:t>
            </w:r>
          </w:p>
          <w:tbl>
            <w:tblPr>
              <w:tblStyle w:val="16"/>
              <w:tblW w:w="8841" w:type="dxa"/>
              <w:jc w:val="center"/>
              <w:tblInd w:w="0" w:type="dxa"/>
              <w:tblLayout w:type="fixed"/>
              <w:tblCellMar>
                <w:top w:w="0" w:type="dxa"/>
                <w:left w:w="0" w:type="dxa"/>
                <w:bottom w:w="0" w:type="dxa"/>
                <w:right w:w="0" w:type="dxa"/>
              </w:tblCellMar>
            </w:tblPr>
            <w:tblGrid>
              <w:gridCol w:w="1205"/>
              <w:gridCol w:w="4968"/>
              <w:gridCol w:w="2668"/>
            </w:tblGrid>
            <w:tr>
              <w:tblPrEx>
                <w:tblLayout w:type="fixed"/>
                <w:tblCellMar>
                  <w:top w:w="0" w:type="dxa"/>
                  <w:left w:w="0" w:type="dxa"/>
                  <w:bottom w:w="0" w:type="dxa"/>
                  <w:right w:w="0" w:type="dxa"/>
                </w:tblCellMar>
              </w:tblPrEx>
              <w:trPr>
                <w:cantSplit/>
                <w:trHeight w:val="58" w:hRule="atLeast"/>
                <w:jc w:val="center"/>
              </w:trPr>
              <w:tc>
                <w:tcPr>
                  <w:tcW w:w="1205" w:type="dxa"/>
                  <w:tcBorders>
                    <w:top w:val="single" w:color="auto" w:sz="8" w:space="0"/>
                    <w:left w:val="single" w:color="auto" w:sz="8" w:space="0"/>
                    <w:bottom w:val="single" w:color="auto" w:sz="8" w:space="0"/>
                    <w:right w:val="single" w:color="auto" w:sz="8" w:space="0"/>
                  </w:tcBorders>
                  <w:vAlign w:val="center"/>
                </w:tcPr>
                <w:p>
                  <w:pPr>
                    <w:pStyle w:val="26"/>
                    <w:spacing w:line="360" w:lineRule="exact"/>
                    <w:rPr>
                      <w:color w:val="auto"/>
                      <w:szCs w:val="21"/>
                    </w:rPr>
                  </w:pPr>
                  <w:r>
                    <w:rPr>
                      <w:color w:val="auto"/>
                      <w:szCs w:val="21"/>
                    </w:rPr>
                    <w:t>序号</w:t>
                  </w:r>
                </w:p>
              </w:tc>
              <w:tc>
                <w:tcPr>
                  <w:tcW w:w="4968" w:type="dxa"/>
                  <w:tcBorders>
                    <w:top w:val="single" w:color="auto" w:sz="8" w:space="0"/>
                    <w:left w:val="nil"/>
                    <w:bottom w:val="single" w:color="auto" w:sz="8" w:space="0"/>
                    <w:right w:val="single" w:color="auto" w:sz="8" w:space="0"/>
                  </w:tcBorders>
                  <w:vAlign w:val="center"/>
                </w:tcPr>
                <w:p>
                  <w:pPr>
                    <w:pStyle w:val="26"/>
                    <w:spacing w:line="360" w:lineRule="exact"/>
                    <w:rPr>
                      <w:color w:val="auto"/>
                      <w:szCs w:val="21"/>
                    </w:rPr>
                  </w:pPr>
                  <w:r>
                    <w:rPr>
                      <w:color w:val="auto"/>
                      <w:szCs w:val="21"/>
                    </w:rPr>
                    <w:t>控制项目</w:t>
                  </w:r>
                </w:p>
              </w:tc>
              <w:tc>
                <w:tcPr>
                  <w:tcW w:w="2668" w:type="dxa"/>
                  <w:tcBorders>
                    <w:top w:val="single" w:color="auto" w:sz="8" w:space="0"/>
                    <w:left w:val="nil"/>
                    <w:bottom w:val="single" w:color="auto" w:sz="8" w:space="0"/>
                    <w:right w:val="single" w:color="auto" w:sz="8" w:space="0"/>
                  </w:tcBorders>
                  <w:vAlign w:val="center"/>
                </w:tcPr>
                <w:p>
                  <w:pPr>
                    <w:pStyle w:val="26"/>
                    <w:spacing w:line="360" w:lineRule="exact"/>
                    <w:rPr>
                      <w:color w:val="auto"/>
                      <w:szCs w:val="21"/>
                    </w:rPr>
                  </w:pPr>
                  <w:r>
                    <w:rPr>
                      <w:color w:val="auto"/>
                      <w:szCs w:val="21"/>
                    </w:rPr>
                    <w:t>工艺与产品用水</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pH值</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6.5-8.5</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2</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悬浮物（SS）（mg/L） ≤</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3</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浊度（NTU）≤</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5</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4</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色度（度）≤</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30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5</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生化需氧量（BOD5）（mg/L）≤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6</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化学需氧量（CODcr）（mg/L）≤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60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7</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铁（mg/L）≤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0.3</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8</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锰（mg/L）≤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0.1</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9</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氯离子（mg/L）≤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250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10</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二氧化硅（SiO</w:t>
                  </w:r>
                  <w:r>
                    <w:rPr>
                      <w:color w:val="auto"/>
                      <w:szCs w:val="21"/>
                      <w:vertAlign w:val="subscript"/>
                    </w:rPr>
                    <w:t>2</w:t>
                  </w:r>
                  <w:r>
                    <w:rPr>
                      <w:color w:val="auto"/>
                      <w:szCs w:val="21"/>
                    </w:rPr>
                    <w:t>）≤</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30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11</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总硬度（以CaCO</w:t>
                  </w:r>
                  <w:r>
                    <w:rPr>
                      <w:color w:val="auto"/>
                      <w:szCs w:val="21"/>
                      <w:vertAlign w:val="subscript"/>
                    </w:rPr>
                    <w:t>3</w:t>
                  </w:r>
                  <w:r>
                    <w:rPr>
                      <w:color w:val="auto"/>
                      <w:szCs w:val="21"/>
                    </w:rPr>
                    <w:t>计/mg/L）≤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450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12</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总碱度（以CaCO</w:t>
                  </w:r>
                  <w:r>
                    <w:rPr>
                      <w:color w:val="auto"/>
                      <w:szCs w:val="21"/>
                      <w:vertAlign w:val="subscript"/>
                    </w:rPr>
                    <w:t>3</w:t>
                  </w:r>
                  <w:r>
                    <w:rPr>
                      <w:color w:val="auto"/>
                      <w:szCs w:val="21"/>
                    </w:rPr>
                    <w:t>计 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350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13</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硫酸盐（mg/L）≤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250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14</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氨氮（以N计 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15</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总磷（以P计 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16</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溶解性总固体（mg/L）≤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1000</w:t>
                  </w:r>
                </w:p>
              </w:tc>
            </w:tr>
            <w:tr>
              <w:tblPrEx>
                <w:tblLayout w:type="fixed"/>
                <w:tblCellMar>
                  <w:top w:w="0" w:type="dxa"/>
                  <w:left w:w="0" w:type="dxa"/>
                  <w:bottom w:w="0" w:type="dxa"/>
                  <w:right w:w="0" w:type="dxa"/>
                </w:tblCellMar>
              </w:tblPrEx>
              <w:trPr>
                <w:cantSplit/>
                <w:jc w:val="center"/>
              </w:trPr>
              <w:tc>
                <w:tcPr>
                  <w:tcW w:w="12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17</w:t>
                  </w:r>
                </w:p>
              </w:tc>
              <w:tc>
                <w:tcPr>
                  <w:tcW w:w="49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石油类（mg/L）≤</w:t>
                  </w:r>
                </w:p>
              </w:tc>
              <w:tc>
                <w:tcPr>
                  <w:tcW w:w="26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6"/>
                    <w:spacing w:line="360" w:lineRule="exact"/>
                    <w:rPr>
                      <w:color w:val="auto"/>
                      <w:szCs w:val="21"/>
                    </w:rPr>
                  </w:pPr>
                  <w:r>
                    <w:rPr>
                      <w:color w:val="auto"/>
                      <w:szCs w:val="21"/>
                    </w:rPr>
                    <w:t>1</w:t>
                  </w:r>
                </w:p>
              </w:tc>
            </w:tr>
          </w:tbl>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②生活污水执行标准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项目生活污水经化粪池和一体化污水处理设施处理后，回用于绿化不外排。执行《城市污水再生利用 城市杂用水水质》（GB/T18920-2020）城市绿化标准。标准限值详见下表。</w:t>
            </w:r>
          </w:p>
          <w:p>
            <w:pPr>
              <w:jc w:val="center"/>
              <w:rPr>
                <w:rFonts w:ascii="Times New Roman" w:hAnsi="Times New Roman" w:cs="Times New Roman"/>
                <w:b/>
                <w:szCs w:val="24"/>
              </w:rPr>
            </w:pPr>
            <w:r>
              <w:rPr>
                <w:rFonts w:ascii="Times New Roman" w:hAnsi="Times New Roman" w:cs="Times New Roman"/>
                <w:b/>
                <w:szCs w:val="24"/>
              </w:rPr>
              <w:t>表3.4.2-2  城市污水再生利用 城市杂用水标准</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51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序号</w:t>
                  </w:r>
                </w:p>
              </w:tc>
              <w:tc>
                <w:tcPr>
                  <w:tcW w:w="4519" w:type="dxa"/>
                  <w:vAlign w:val="center"/>
                </w:tcPr>
                <w:p>
                  <w:pPr>
                    <w:pStyle w:val="26"/>
                    <w:spacing w:line="360" w:lineRule="exact"/>
                    <w:rPr>
                      <w:color w:val="auto"/>
                      <w:szCs w:val="21"/>
                    </w:rPr>
                  </w:pPr>
                  <w:r>
                    <w:rPr>
                      <w:color w:val="auto"/>
                      <w:szCs w:val="21"/>
                    </w:rPr>
                    <w:t>项目</w:t>
                  </w:r>
                </w:p>
              </w:tc>
              <w:tc>
                <w:tcPr>
                  <w:tcW w:w="3261" w:type="dxa"/>
                  <w:vAlign w:val="center"/>
                </w:tcPr>
                <w:p>
                  <w:pPr>
                    <w:pStyle w:val="26"/>
                    <w:spacing w:line="360" w:lineRule="exact"/>
                    <w:rPr>
                      <w:color w:val="auto"/>
                      <w:szCs w:val="21"/>
                    </w:rPr>
                  </w:pPr>
                  <w:r>
                    <w:rPr>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1</w:t>
                  </w:r>
                </w:p>
              </w:tc>
              <w:tc>
                <w:tcPr>
                  <w:tcW w:w="4519" w:type="dxa"/>
                  <w:vAlign w:val="center"/>
                </w:tcPr>
                <w:p>
                  <w:pPr>
                    <w:pStyle w:val="26"/>
                    <w:spacing w:line="360" w:lineRule="exact"/>
                    <w:rPr>
                      <w:color w:val="auto"/>
                      <w:szCs w:val="21"/>
                    </w:rPr>
                  </w:pPr>
                  <w:r>
                    <w:rPr>
                      <w:color w:val="auto"/>
                      <w:szCs w:val="21"/>
                    </w:rPr>
                    <w:t>pH</w:t>
                  </w:r>
                </w:p>
              </w:tc>
              <w:tc>
                <w:tcPr>
                  <w:tcW w:w="3261" w:type="dxa"/>
                  <w:vAlign w:val="center"/>
                </w:tcPr>
                <w:p>
                  <w:pPr>
                    <w:pStyle w:val="26"/>
                    <w:spacing w:line="360" w:lineRule="exact"/>
                    <w:rPr>
                      <w:color w:val="auto"/>
                      <w:szCs w:val="21"/>
                    </w:rPr>
                  </w:pPr>
                  <w:r>
                    <w:rPr>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2</w:t>
                  </w:r>
                </w:p>
              </w:tc>
              <w:tc>
                <w:tcPr>
                  <w:tcW w:w="4519" w:type="dxa"/>
                  <w:vAlign w:val="center"/>
                </w:tcPr>
                <w:p>
                  <w:pPr>
                    <w:pStyle w:val="26"/>
                    <w:spacing w:line="360" w:lineRule="exact"/>
                    <w:rPr>
                      <w:color w:val="auto"/>
                      <w:szCs w:val="21"/>
                    </w:rPr>
                  </w:pPr>
                  <w:r>
                    <w:rPr>
                      <w:color w:val="auto"/>
                      <w:szCs w:val="21"/>
                    </w:rPr>
                    <w:t>色（度）≤</w:t>
                  </w:r>
                </w:p>
              </w:tc>
              <w:tc>
                <w:tcPr>
                  <w:tcW w:w="3261" w:type="dxa"/>
                  <w:vAlign w:val="center"/>
                </w:tcPr>
                <w:p>
                  <w:pPr>
                    <w:pStyle w:val="26"/>
                    <w:spacing w:line="360" w:lineRule="exact"/>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3</w:t>
                  </w:r>
                </w:p>
              </w:tc>
              <w:tc>
                <w:tcPr>
                  <w:tcW w:w="4519" w:type="dxa"/>
                  <w:vAlign w:val="center"/>
                </w:tcPr>
                <w:p>
                  <w:pPr>
                    <w:pStyle w:val="26"/>
                    <w:spacing w:line="360" w:lineRule="exact"/>
                    <w:rPr>
                      <w:color w:val="auto"/>
                      <w:szCs w:val="21"/>
                    </w:rPr>
                  </w:pPr>
                  <w:r>
                    <w:rPr>
                      <w:color w:val="auto"/>
                      <w:szCs w:val="21"/>
                    </w:rPr>
                    <w:t>嗅</w:t>
                  </w:r>
                </w:p>
              </w:tc>
              <w:tc>
                <w:tcPr>
                  <w:tcW w:w="3261" w:type="dxa"/>
                  <w:vAlign w:val="center"/>
                </w:tcPr>
                <w:p>
                  <w:pPr>
                    <w:pStyle w:val="26"/>
                    <w:spacing w:line="360" w:lineRule="exact"/>
                    <w:rPr>
                      <w:color w:val="auto"/>
                      <w:szCs w:val="21"/>
                    </w:rPr>
                  </w:pPr>
                  <w:r>
                    <w:rPr>
                      <w:color w:val="auto"/>
                      <w:szCs w:val="21"/>
                    </w:rPr>
                    <w:t>无不快感觉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4</w:t>
                  </w:r>
                </w:p>
              </w:tc>
              <w:tc>
                <w:tcPr>
                  <w:tcW w:w="4519" w:type="dxa"/>
                  <w:vAlign w:val="center"/>
                </w:tcPr>
                <w:p>
                  <w:pPr>
                    <w:pStyle w:val="26"/>
                    <w:spacing w:line="360" w:lineRule="exact"/>
                    <w:rPr>
                      <w:color w:val="auto"/>
                      <w:szCs w:val="21"/>
                    </w:rPr>
                  </w:pPr>
                  <w:r>
                    <w:rPr>
                      <w:color w:val="auto"/>
                      <w:szCs w:val="21"/>
                    </w:rPr>
                    <w:t>浊度（NTU）≤</w:t>
                  </w:r>
                </w:p>
              </w:tc>
              <w:tc>
                <w:tcPr>
                  <w:tcW w:w="3261" w:type="dxa"/>
                  <w:vAlign w:val="center"/>
                </w:tcPr>
                <w:p>
                  <w:pPr>
                    <w:pStyle w:val="26"/>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5</w:t>
                  </w:r>
                </w:p>
              </w:tc>
              <w:tc>
                <w:tcPr>
                  <w:tcW w:w="4519" w:type="dxa"/>
                  <w:vAlign w:val="center"/>
                </w:tcPr>
                <w:p>
                  <w:pPr>
                    <w:pStyle w:val="26"/>
                    <w:spacing w:line="360" w:lineRule="exact"/>
                    <w:rPr>
                      <w:color w:val="auto"/>
                      <w:szCs w:val="21"/>
                    </w:rPr>
                  </w:pPr>
                  <w:r>
                    <w:rPr>
                      <w:color w:val="auto"/>
                      <w:szCs w:val="21"/>
                    </w:rPr>
                    <w:t>溶解性总固体（mg/L）≤</w:t>
                  </w:r>
                </w:p>
              </w:tc>
              <w:tc>
                <w:tcPr>
                  <w:tcW w:w="3261" w:type="dxa"/>
                  <w:vAlign w:val="center"/>
                </w:tcPr>
                <w:p>
                  <w:pPr>
                    <w:pStyle w:val="26"/>
                    <w:spacing w:line="360" w:lineRule="exact"/>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6</w:t>
                  </w:r>
                </w:p>
              </w:tc>
              <w:tc>
                <w:tcPr>
                  <w:tcW w:w="4519" w:type="dxa"/>
                  <w:vAlign w:val="center"/>
                </w:tcPr>
                <w:p>
                  <w:pPr>
                    <w:pStyle w:val="26"/>
                    <w:spacing w:line="360" w:lineRule="exact"/>
                    <w:rPr>
                      <w:color w:val="auto"/>
                      <w:szCs w:val="21"/>
                    </w:rPr>
                  </w:pPr>
                  <w:r>
                    <w:rPr>
                      <w:color w:val="auto"/>
                      <w:szCs w:val="21"/>
                    </w:rPr>
                    <w:t>五日生化需氧量BOD</w:t>
                  </w:r>
                  <w:r>
                    <w:rPr>
                      <w:color w:val="auto"/>
                      <w:szCs w:val="21"/>
                      <w:vertAlign w:val="subscript"/>
                    </w:rPr>
                    <w:t>5</w:t>
                  </w:r>
                  <w:r>
                    <w:rPr>
                      <w:color w:val="auto"/>
                      <w:szCs w:val="21"/>
                    </w:rPr>
                    <w:t>（mg/L）≤</w:t>
                  </w:r>
                </w:p>
              </w:tc>
              <w:tc>
                <w:tcPr>
                  <w:tcW w:w="3261" w:type="dxa"/>
                  <w:vAlign w:val="center"/>
                </w:tcPr>
                <w:p>
                  <w:pPr>
                    <w:pStyle w:val="26"/>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7</w:t>
                  </w:r>
                </w:p>
              </w:tc>
              <w:tc>
                <w:tcPr>
                  <w:tcW w:w="4519" w:type="dxa"/>
                  <w:vAlign w:val="center"/>
                </w:tcPr>
                <w:p>
                  <w:pPr>
                    <w:pStyle w:val="26"/>
                    <w:spacing w:line="360" w:lineRule="exact"/>
                    <w:rPr>
                      <w:color w:val="auto"/>
                      <w:szCs w:val="21"/>
                    </w:rPr>
                  </w:pPr>
                  <w:r>
                    <w:rPr>
                      <w:color w:val="auto"/>
                      <w:szCs w:val="21"/>
                    </w:rPr>
                    <w:t>氨氮（mg/L）≤</w:t>
                  </w:r>
                </w:p>
              </w:tc>
              <w:tc>
                <w:tcPr>
                  <w:tcW w:w="3261" w:type="dxa"/>
                  <w:vAlign w:val="center"/>
                </w:tcPr>
                <w:p>
                  <w:pPr>
                    <w:pStyle w:val="26"/>
                    <w:spacing w:line="360" w:lineRule="exact"/>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8</w:t>
                  </w:r>
                </w:p>
              </w:tc>
              <w:tc>
                <w:tcPr>
                  <w:tcW w:w="4519" w:type="dxa"/>
                  <w:vAlign w:val="center"/>
                </w:tcPr>
                <w:p>
                  <w:pPr>
                    <w:pStyle w:val="26"/>
                    <w:spacing w:line="360" w:lineRule="exact"/>
                    <w:rPr>
                      <w:color w:val="auto"/>
                      <w:szCs w:val="21"/>
                    </w:rPr>
                  </w:pPr>
                  <w:r>
                    <w:rPr>
                      <w:color w:val="auto"/>
                      <w:szCs w:val="21"/>
                    </w:rPr>
                    <w:t>阴离子表面活性（mg/L）≤</w:t>
                  </w:r>
                </w:p>
              </w:tc>
              <w:tc>
                <w:tcPr>
                  <w:tcW w:w="3261" w:type="dxa"/>
                  <w:vAlign w:val="center"/>
                </w:tcPr>
                <w:p>
                  <w:pPr>
                    <w:pStyle w:val="26"/>
                    <w:spacing w:line="360" w:lineRule="exact"/>
                    <w:rPr>
                      <w:color w:val="auto"/>
                      <w:szCs w:val="21"/>
                    </w:rPr>
                  </w:pPr>
                  <w:r>
                    <w:rPr>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9</w:t>
                  </w:r>
                </w:p>
              </w:tc>
              <w:tc>
                <w:tcPr>
                  <w:tcW w:w="4519" w:type="dxa"/>
                  <w:vAlign w:val="center"/>
                </w:tcPr>
                <w:p>
                  <w:pPr>
                    <w:pStyle w:val="26"/>
                    <w:spacing w:line="360" w:lineRule="exact"/>
                    <w:rPr>
                      <w:color w:val="auto"/>
                      <w:szCs w:val="21"/>
                    </w:rPr>
                  </w:pPr>
                  <w:r>
                    <w:rPr>
                      <w:color w:val="auto"/>
                      <w:szCs w:val="21"/>
                    </w:rPr>
                    <w:t>铁（mg/L）≤</w:t>
                  </w:r>
                </w:p>
              </w:tc>
              <w:tc>
                <w:tcPr>
                  <w:tcW w:w="3261"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10</w:t>
                  </w:r>
                </w:p>
              </w:tc>
              <w:tc>
                <w:tcPr>
                  <w:tcW w:w="4519" w:type="dxa"/>
                  <w:vAlign w:val="center"/>
                </w:tcPr>
                <w:p>
                  <w:pPr>
                    <w:pStyle w:val="26"/>
                    <w:spacing w:line="360" w:lineRule="exact"/>
                    <w:rPr>
                      <w:color w:val="auto"/>
                      <w:szCs w:val="21"/>
                    </w:rPr>
                  </w:pPr>
                  <w:r>
                    <w:rPr>
                      <w:color w:val="auto"/>
                      <w:szCs w:val="21"/>
                    </w:rPr>
                    <w:t>锰（mg/L）≤</w:t>
                  </w:r>
                </w:p>
              </w:tc>
              <w:tc>
                <w:tcPr>
                  <w:tcW w:w="3261"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11</w:t>
                  </w:r>
                </w:p>
              </w:tc>
              <w:tc>
                <w:tcPr>
                  <w:tcW w:w="4519" w:type="dxa"/>
                  <w:vAlign w:val="center"/>
                </w:tcPr>
                <w:p>
                  <w:pPr>
                    <w:pStyle w:val="26"/>
                    <w:spacing w:line="360" w:lineRule="exact"/>
                    <w:rPr>
                      <w:color w:val="auto"/>
                      <w:szCs w:val="21"/>
                    </w:rPr>
                  </w:pPr>
                  <w:r>
                    <w:rPr>
                      <w:color w:val="auto"/>
                      <w:szCs w:val="21"/>
                    </w:rPr>
                    <w:t>溶解氧（mg/L）≥</w:t>
                  </w:r>
                </w:p>
              </w:tc>
              <w:tc>
                <w:tcPr>
                  <w:tcW w:w="3261" w:type="dxa"/>
                  <w:vAlign w:val="center"/>
                </w:tcPr>
                <w:p>
                  <w:pPr>
                    <w:pStyle w:val="26"/>
                    <w:spacing w:line="360" w:lineRule="exact"/>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12</w:t>
                  </w:r>
                </w:p>
              </w:tc>
              <w:tc>
                <w:tcPr>
                  <w:tcW w:w="4519" w:type="dxa"/>
                  <w:vAlign w:val="center"/>
                </w:tcPr>
                <w:p>
                  <w:pPr>
                    <w:pStyle w:val="26"/>
                    <w:spacing w:line="360" w:lineRule="exact"/>
                    <w:rPr>
                      <w:color w:val="auto"/>
                      <w:szCs w:val="21"/>
                    </w:rPr>
                  </w:pPr>
                  <w:r>
                    <w:rPr>
                      <w:color w:val="auto"/>
                      <w:szCs w:val="21"/>
                    </w:rPr>
                    <w:t>总余氯（mg/L）</w:t>
                  </w:r>
                </w:p>
              </w:tc>
              <w:tc>
                <w:tcPr>
                  <w:tcW w:w="3261" w:type="dxa"/>
                  <w:vAlign w:val="center"/>
                </w:tcPr>
                <w:p>
                  <w:pPr>
                    <w:pStyle w:val="26"/>
                    <w:spacing w:line="360" w:lineRule="exact"/>
                    <w:rPr>
                      <w:color w:val="auto"/>
                      <w:szCs w:val="21"/>
                    </w:rPr>
                  </w:pPr>
                  <w:r>
                    <w:rPr>
                      <w:color w:val="auto"/>
                      <w:szCs w:val="21"/>
                    </w:rPr>
                    <w:t>1.0（出厂），0.2（管网末端）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6"/>
                    <w:spacing w:line="360" w:lineRule="exact"/>
                    <w:rPr>
                      <w:color w:val="auto"/>
                      <w:szCs w:val="21"/>
                    </w:rPr>
                  </w:pPr>
                  <w:r>
                    <w:rPr>
                      <w:color w:val="auto"/>
                      <w:szCs w:val="21"/>
                    </w:rPr>
                    <w:t>13</w:t>
                  </w:r>
                </w:p>
              </w:tc>
              <w:tc>
                <w:tcPr>
                  <w:tcW w:w="4519" w:type="dxa"/>
                  <w:vAlign w:val="center"/>
                </w:tcPr>
                <w:p>
                  <w:pPr>
                    <w:pStyle w:val="26"/>
                    <w:spacing w:line="360" w:lineRule="exact"/>
                    <w:rPr>
                      <w:color w:val="auto"/>
                      <w:szCs w:val="21"/>
                    </w:rPr>
                  </w:pPr>
                  <w:r>
                    <w:rPr>
                      <w:color w:val="auto"/>
                      <w:szCs w:val="21"/>
                    </w:rPr>
                    <w:t>大肠埃氏菌/(MPN/100mL，或CFU/100 mL)</w:t>
                  </w:r>
                </w:p>
              </w:tc>
              <w:tc>
                <w:tcPr>
                  <w:tcW w:w="3261" w:type="dxa"/>
                  <w:vAlign w:val="center"/>
                </w:tcPr>
                <w:p>
                  <w:pPr>
                    <w:pStyle w:val="26"/>
                    <w:spacing w:line="360" w:lineRule="exact"/>
                    <w:rPr>
                      <w:color w:val="auto"/>
                      <w:szCs w:val="21"/>
                    </w:rPr>
                  </w:pPr>
                  <w:r>
                    <w:rPr>
                      <w:color w:val="auto"/>
                      <w:szCs w:val="21"/>
                    </w:rPr>
                    <w:t>无</w:t>
                  </w:r>
                </w:p>
              </w:tc>
            </w:tr>
          </w:tbl>
          <w:p>
            <w:pPr>
              <w:pStyle w:val="34"/>
              <w:spacing w:before="156" w:beforeLines="50"/>
              <w:ind w:firstLine="482"/>
              <w:rPr>
                <w:rFonts w:eastAsiaTheme="minorEastAsia"/>
                <w:b/>
                <w:szCs w:val="24"/>
              </w:rPr>
            </w:pPr>
            <w:r>
              <w:rPr>
                <w:rFonts w:eastAsiaTheme="minorEastAsia"/>
                <w:b/>
                <w:szCs w:val="24"/>
              </w:rPr>
              <w:t>3.4.3 噪声排放标准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施工期噪声排放执行《建筑施工场界噪声环境噪声排放标准》（GB12523-2011）。标准值详见下表。</w:t>
            </w:r>
          </w:p>
          <w:p>
            <w:pPr>
              <w:jc w:val="center"/>
              <w:rPr>
                <w:rFonts w:ascii="Times New Roman" w:hAnsi="Times New Roman" w:cs="Times New Roman"/>
                <w:b/>
                <w:szCs w:val="24"/>
              </w:rPr>
            </w:pPr>
            <w:r>
              <w:rPr>
                <w:rFonts w:ascii="Times New Roman" w:hAnsi="Times New Roman" w:cs="Times New Roman"/>
                <w:b/>
                <w:szCs w:val="24"/>
              </w:rPr>
              <w:t>表3.4.3-1 建筑施工场界噪声标准限值  单位：dB（A）</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905"/>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136" w:type="dxa"/>
                  <w:vMerge w:val="restart"/>
                  <w:vAlign w:val="center"/>
                </w:tcPr>
                <w:p>
                  <w:pPr>
                    <w:pStyle w:val="26"/>
                    <w:spacing w:line="360" w:lineRule="exact"/>
                    <w:ind w:left="11"/>
                    <w:rPr>
                      <w:rFonts w:eastAsiaTheme="minorEastAsia"/>
                      <w:color w:val="auto"/>
                      <w:szCs w:val="21"/>
                    </w:rPr>
                  </w:pPr>
                  <w:r>
                    <w:rPr>
                      <w:rFonts w:eastAsiaTheme="minorEastAsia"/>
                      <w:color w:val="auto"/>
                      <w:szCs w:val="21"/>
                    </w:rPr>
                    <w:t>控制区域</w:t>
                  </w:r>
                </w:p>
              </w:tc>
              <w:tc>
                <w:tcPr>
                  <w:tcW w:w="5715" w:type="dxa"/>
                  <w:gridSpan w:val="2"/>
                  <w:vAlign w:val="center"/>
                </w:tcPr>
                <w:p>
                  <w:pPr>
                    <w:pStyle w:val="26"/>
                    <w:spacing w:line="360" w:lineRule="exact"/>
                    <w:ind w:left="11"/>
                    <w:rPr>
                      <w:rFonts w:eastAsiaTheme="minorEastAsia"/>
                      <w:color w:val="auto"/>
                      <w:szCs w:val="21"/>
                    </w:rPr>
                  </w:pPr>
                  <w:r>
                    <w:rPr>
                      <w:rFonts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136" w:type="dxa"/>
                  <w:vMerge w:val="continue"/>
                  <w:vAlign w:val="center"/>
                </w:tcPr>
                <w:p>
                  <w:pPr>
                    <w:pStyle w:val="26"/>
                    <w:spacing w:line="360" w:lineRule="exact"/>
                    <w:ind w:left="11"/>
                    <w:rPr>
                      <w:rFonts w:eastAsiaTheme="minorEastAsia"/>
                      <w:color w:val="auto"/>
                      <w:szCs w:val="21"/>
                    </w:rPr>
                  </w:pPr>
                </w:p>
              </w:tc>
              <w:tc>
                <w:tcPr>
                  <w:tcW w:w="2905" w:type="dxa"/>
                  <w:vAlign w:val="center"/>
                </w:tcPr>
                <w:p>
                  <w:pPr>
                    <w:pStyle w:val="26"/>
                    <w:spacing w:line="360" w:lineRule="exact"/>
                    <w:ind w:left="11"/>
                    <w:rPr>
                      <w:rFonts w:eastAsiaTheme="minorEastAsia"/>
                      <w:color w:val="auto"/>
                      <w:szCs w:val="21"/>
                    </w:rPr>
                  </w:pPr>
                  <w:r>
                    <w:rPr>
                      <w:rFonts w:eastAsiaTheme="minorEastAsia"/>
                      <w:color w:val="auto"/>
                      <w:szCs w:val="21"/>
                    </w:rPr>
                    <w:t>昼间</w:t>
                  </w:r>
                </w:p>
              </w:tc>
              <w:tc>
                <w:tcPr>
                  <w:tcW w:w="2810" w:type="dxa"/>
                  <w:vAlign w:val="center"/>
                </w:tcPr>
                <w:p>
                  <w:pPr>
                    <w:pStyle w:val="26"/>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136" w:type="dxa"/>
                  <w:vAlign w:val="center"/>
                </w:tcPr>
                <w:p>
                  <w:pPr>
                    <w:pStyle w:val="26"/>
                    <w:spacing w:line="360" w:lineRule="exact"/>
                    <w:ind w:left="11"/>
                    <w:rPr>
                      <w:rFonts w:eastAsiaTheme="minorEastAsia"/>
                      <w:color w:val="auto"/>
                      <w:szCs w:val="21"/>
                    </w:rPr>
                  </w:pPr>
                  <w:r>
                    <w:rPr>
                      <w:rFonts w:eastAsiaTheme="minorEastAsia"/>
                      <w:color w:val="auto"/>
                      <w:szCs w:val="21"/>
                    </w:rPr>
                    <w:t>厂界</w:t>
                  </w:r>
                </w:p>
              </w:tc>
              <w:tc>
                <w:tcPr>
                  <w:tcW w:w="2905" w:type="dxa"/>
                  <w:vAlign w:val="center"/>
                </w:tcPr>
                <w:p>
                  <w:pPr>
                    <w:pStyle w:val="26"/>
                    <w:spacing w:line="360" w:lineRule="exact"/>
                    <w:ind w:left="11"/>
                    <w:rPr>
                      <w:rFonts w:eastAsiaTheme="minorEastAsia"/>
                      <w:color w:val="auto"/>
                      <w:szCs w:val="21"/>
                    </w:rPr>
                  </w:pPr>
                  <w:r>
                    <w:rPr>
                      <w:rFonts w:eastAsiaTheme="minorEastAsia"/>
                      <w:color w:val="auto"/>
                      <w:szCs w:val="21"/>
                    </w:rPr>
                    <w:t>70</w:t>
                  </w:r>
                </w:p>
              </w:tc>
              <w:tc>
                <w:tcPr>
                  <w:tcW w:w="2810" w:type="dxa"/>
                  <w:vAlign w:val="center"/>
                </w:tcPr>
                <w:p>
                  <w:pPr>
                    <w:pStyle w:val="26"/>
                    <w:spacing w:line="360" w:lineRule="exact"/>
                    <w:ind w:left="11"/>
                    <w:rPr>
                      <w:rFonts w:eastAsiaTheme="minorEastAsia"/>
                      <w:color w:val="auto"/>
                      <w:szCs w:val="21"/>
                    </w:rPr>
                  </w:pPr>
                  <w:r>
                    <w:rPr>
                      <w:rFonts w:eastAsiaTheme="minorEastAsia"/>
                      <w:color w:val="auto"/>
                      <w:szCs w:val="21"/>
                    </w:rPr>
                    <w:t>55</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项目位于昆明市东川区铜都镇小李庄村，本项目噪声执行《工业企业厂界环境噪声排放标准》（GB12348-2008）2类标准。标准限值详见下表。</w:t>
            </w:r>
          </w:p>
          <w:p>
            <w:pPr>
              <w:jc w:val="center"/>
              <w:rPr>
                <w:rFonts w:ascii="Times New Roman" w:hAnsi="Times New Roman" w:cs="Times New Roman"/>
                <w:b/>
                <w:szCs w:val="24"/>
              </w:rPr>
            </w:pPr>
            <w:r>
              <w:rPr>
                <w:rFonts w:ascii="Times New Roman" w:hAnsi="Times New Roman" w:cs="Times New Roman"/>
                <w:b/>
                <w:szCs w:val="24"/>
              </w:rPr>
              <w:t>表3.4.3-2 《工业企业厂界环境噪声排放标准》  Leq[dB（A）</w:t>
            </w:r>
          </w:p>
          <w:tbl>
            <w:tblPr>
              <w:tblStyle w:val="16"/>
              <w:tblW w:w="884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3004"/>
              <w:gridCol w:w="297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862" w:type="dxa"/>
                  <w:vMerge w:val="restart"/>
                  <w:vAlign w:val="center"/>
                </w:tcPr>
                <w:p>
                  <w:pPr>
                    <w:pStyle w:val="26"/>
                    <w:spacing w:line="360" w:lineRule="exact"/>
                    <w:ind w:left="11"/>
                    <w:rPr>
                      <w:rFonts w:eastAsiaTheme="minorEastAsia"/>
                      <w:color w:val="auto"/>
                      <w:szCs w:val="21"/>
                    </w:rPr>
                  </w:pPr>
                  <w:r>
                    <w:rPr>
                      <w:rFonts w:eastAsiaTheme="minorEastAsia"/>
                      <w:color w:val="auto"/>
                      <w:szCs w:val="21"/>
                    </w:rPr>
                    <w:t>声环境功能区类别</w:t>
                  </w:r>
                </w:p>
              </w:tc>
              <w:tc>
                <w:tcPr>
                  <w:tcW w:w="5983" w:type="dxa"/>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862" w:type="dxa"/>
                  <w:vMerge w:val="continue"/>
                  <w:vAlign w:val="center"/>
                </w:tcPr>
                <w:p>
                  <w:pPr>
                    <w:pStyle w:val="26"/>
                    <w:spacing w:line="360" w:lineRule="exact"/>
                    <w:ind w:left="11"/>
                    <w:rPr>
                      <w:rFonts w:eastAsiaTheme="minorEastAsia"/>
                      <w:color w:val="auto"/>
                      <w:szCs w:val="21"/>
                    </w:rPr>
                  </w:pPr>
                </w:p>
              </w:tc>
              <w:tc>
                <w:tcPr>
                  <w:tcW w:w="3004"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297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862" w:type="dxa"/>
                  <w:vAlign w:val="center"/>
                </w:tcPr>
                <w:p>
                  <w:pPr>
                    <w:pStyle w:val="26"/>
                    <w:spacing w:line="360" w:lineRule="exact"/>
                    <w:ind w:left="11"/>
                    <w:rPr>
                      <w:rFonts w:eastAsiaTheme="minorEastAsia"/>
                      <w:color w:val="auto"/>
                      <w:szCs w:val="21"/>
                    </w:rPr>
                  </w:pPr>
                  <w:r>
                    <w:rPr>
                      <w:rFonts w:eastAsiaTheme="minorEastAsia"/>
                      <w:color w:val="auto"/>
                      <w:szCs w:val="21"/>
                    </w:rPr>
                    <w:t>2类</w:t>
                  </w:r>
                </w:p>
              </w:tc>
              <w:tc>
                <w:tcPr>
                  <w:tcW w:w="3004"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60</w:t>
                  </w:r>
                </w:p>
              </w:tc>
              <w:tc>
                <w:tcPr>
                  <w:tcW w:w="297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50</w:t>
                  </w:r>
                </w:p>
              </w:tc>
            </w:tr>
          </w:tbl>
          <w:p>
            <w:pPr>
              <w:pStyle w:val="34"/>
              <w:spacing w:before="156" w:beforeLines="50"/>
              <w:ind w:firstLine="482"/>
              <w:rPr>
                <w:rFonts w:eastAsiaTheme="minorEastAsia"/>
                <w:b/>
                <w:szCs w:val="24"/>
              </w:rPr>
            </w:pPr>
            <w:r>
              <w:rPr>
                <w:rFonts w:eastAsiaTheme="minorEastAsia"/>
                <w:b/>
                <w:szCs w:val="24"/>
              </w:rPr>
              <w:t>3.4.4 固废执行标准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危险废物执行《危险废物贮存污染控制标准》（GB18597-2001）及修改单。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一般固体废物处置执行《一般工业固体废物贮存和填埋污染控制标准》（GB18599-2020）。</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 w:hRule="atLeast"/>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9077" w:type="dxa"/>
            <w:vAlign w:val="center"/>
          </w:tcPr>
          <w:p>
            <w:pPr>
              <w:spacing w:before="156"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（1）废气产排量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本项目废气产生及排放情况主要为产品库扬尘，无组织扬尘产生量为2.57t/a，无组织排放量为0.28t/a。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（2）废水产排量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①生产废水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项目生产废水产生量为363452.1m³/a ，其中CODcr产生量为18.17t/a；SS产生量为1054.01t/a；NH</w:t>
            </w:r>
            <w:r>
              <w:rPr>
                <w:rFonts w:ascii="Times New Roman" w:hAnsi="Times New Roman" w:cs="Times New Roman"/>
                <w:sz w:val="24"/>
                <w:szCs w:val="24"/>
                <w:vertAlign w:val="subscript"/>
              </w:rPr>
              <w:t>3</w:t>
            </w:r>
            <w:r>
              <w:rPr>
                <w:rFonts w:ascii="Times New Roman" w:hAnsi="Times New Roman" w:cs="Times New Roman"/>
                <w:sz w:val="24"/>
                <w:szCs w:val="24"/>
              </w:rPr>
              <w:t>-N产生量为1.63t/a；项目拟设置一套生产废水处理系统对其进行处理，该系统由2个生产废水收集池、2个污水处理塔、2个清水池、2个泥浆回收池和4台污泥压滤机组成；项目生产废水经处理后完全回用，不外排。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②生活污水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项目生活污水产生量为356.4m³/a，CODcr产生量为0.10t/a、BOD</w:t>
            </w:r>
            <w:r>
              <w:rPr>
                <w:rFonts w:ascii="Times New Roman" w:hAnsi="Times New Roman" w:cs="Times New Roman"/>
                <w:sz w:val="24"/>
                <w:szCs w:val="24"/>
                <w:vertAlign w:val="subscript"/>
              </w:rPr>
              <w:t>5</w:t>
            </w:r>
            <w:r>
              <w:rPr>
                <w:rFonts w:ascii="Times New Roman" w:hAnsi="Times New Roman" w:cs="Times New Roman"/>
                <w:sz w:val="24"/>
                <w:szCs w:val="24"/>
              </w:rPr>
              <w:t>产生量为0.07t/a、NH</w:t>
            </w:r>
            <w:r>
              <w:rPr>
                <w:rFonts w:ascii="Times New Roman" w:hAnsi="Times New Roman" w:cs="Times New Roman"/>
                <w:sz w:val="24"/>
                <w:szCs w:val="24"/>
                <w:vertAlign w:val="subscript"/>
              </w:rPr>
              <w:t>3</w:t>
            </w:r>
            <w:r>
              <w:rPr>
                <w:rFonts w:ascii="Times New Roman" w:hAnsi="Times New Roman" w:cs="Times New Roman"/>
                <w:sz w:val="24"/>
                <w:szCs w:val="24"/>
              </w:rPr>
              <w:t>-N产生量为0.01/a、SS产生量为0.06t/a、总磷产生量为0.002t/a、总氮产生量为0.01t/a、阴离子表面活性剂产生量为0.004t/a。项目生活污水经化粪池和一体化污水处理设施处理后，可达到《城市污水再生利用 城市杂用水水质》（GB/T18920-2020）中城市绿化标准。不外排。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③初期雨水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初期雨水产生量约为19.16m³/次；项目拟在厂房外围及厂区周围设置900m的截排水沟对雨天厂区产生的初期雨水及地表径流进行疏导，初期雨水通过截排水沟收集后进入有效容积不低于20m³的初期雨水收集池沉淀后回用于生产，不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固体废物产生量包括：生产废水污泥产生量1024.93t/a主要成分为小江河流中的泥土，一部分用于厂区周围绿化覆土和道路建设，剩余部分将其用于小李庄村肥田；废机油产生量约为50kg/a，废机油部分用于生产设备润滑使用，无法使用部分委托有资质的单位处置；废弃沾油抹布产生量为10kg/a，委托环卫部门定期清运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生活污水污泥产生量约为0.06t/a，委托环卫部门定期清运处置；生活垃圾产生量为9.9t/a，委托环卫部门定期清运处置。处置率为100%。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根据国家要求，需进行总量控制指标的因子主要包括有组织排放的SO</w:t>
            </w:r>
            <w:r>
              <w:rPr>
                <w:rFonts w:ascii="Times New Roman" w:hAnsi="Times New Roman" w:cs="Times New Roman"/>
                <w:sz w:val="24"/>
                <w:szCs w:val="24"/>
                <w:vertAlign w:val="subscript"/>
              </w:rPr>
              <w:t>2</w:t>
            </w:r>
            <w:r>
              <w:rPr>
                <w:rFonts w:ascii="Times New Roman" w:hAnsi="Times New Roman" w:cs="Times New Roman"/>
                <w:sz w:val="24"/>
                <w:szCs w:val="24"/>
              </w:rPr>
              <w:t>、NOx、有机废气和CODcr、NH</w:t>
            </w:r>
            <w:r>
              <w:rPr>
                <w:rFonts w:ascii="Times New Roman" w:hAnsi="Times New Roman" w:cs="Times New Roman"/>
                <w:sz w:val="24"/>
                <w:szCs w:val="24"/>
                <w:vertAlign w:val="subscript"/>
              </w:rPr>
              <w:t>3</w:t>
            </w:r>
            <w:r>
              <w:rPr>
                <w:rFonts w:ascii="Times New Roman" w:hAnsi="Times New Roman" w:cs="Times New Roman"/>
                <w:sz w:val="24"/>
                <w:szCs w:val="24"/>
              </w:rPr>
              <w:t>-N。综上，本项目无总量控制指。</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7" w:name="_Toc3693"/>
      <w:r>
        <w:rPr>
          <w:rFonts w:ascii="Times New Roman" w:hAnsi="Times New Roman" w:cs="Times New Roman"/>
          <w:b/>
          <w:color w:val="000000" w:themeColor="text1"/>
          <w:sz w:val="28"/>
          <w:szCs w:val="20"/>
          <w14:textFill>
            <w14:solidFill>
              <w14:schemeClr w14:val="tx1"/>
            </w14:solidFill>
          </w14:textFill>
        </w:rPr>
        <w:t>四、主要环境影响和保护措施</w:t>
      </w:r>
      <w:bookmarkEnd w:id="7"/>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4.1 施工期环境保护措施</w:t>
            </w:r>
          </w:p>
          <w:p>
            <w:pPr>
              <w:pStyle w:val="34"/>
              <w:ind w:firstLine="482"/>
              <w:rPr>
                <w:rFonts w:eastAsiaTheme="minorEastAsia"/>
                <w:b/>
                <w:szCs w:val="24"/>
              </w:rPr>
            </w:pPr>
            <w:r>
              <w:rPr>
                <w:rFonts w:eastAsiaTheme="minorEastAsia"/>
                <w:b/>
                <w:szCs w:val="24"/>
              </w:rPr>
              <w:t>4.1.1 施工期废气污染防治措施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项目施工期拟采取的扬尘防治措施主要包括：</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Times New Roman" w:hAnsi="Times New Roman"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（1）建设单位相关要求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②督促施工单位按规定做好工地现场PM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监测、视频监控等扬尘信息化监管设备的安装、使用、维护工作，工地现场PM</w:t>
            </w:r>
            <w:r>
              <w:rPr>
                <w:rFonts w:ascii="Times New Roman" w:hAnsi="Times New Roman" w:cs="Times New Roman"/>
                <w:sz w:val="24"/>
                <w:szCs w:val="24"/>
                <w:vertAlign w:val="subscript"/>
              </w:rPr>
              <w:t>10</w:t>
            </w:r>
            <w:r>
              <w:rPr>
                <w:rFonts w:ascii="Times New Roman" w:hAnsi="Times New Roman" w:cs="Times New Roman"/>
                <w:sz w:val="24"/>
                <w:szCs w:val="24"/>
              </w:rPr>
              <w:t>浓度达到规定的临界值时，督促施工单位采取相应的应急措施；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（2）施工单位相关要求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浓度超过60时，立即采取洒水降尘+喷雾降尘等综合降尘措施，12h平均PM</w:t>
            </w:r>
            <w:r>
              <w:rPr>
                <w:rFonts w:ascii="Times New Roman" w:hAnsi="Times New Roman" w:cs="Times New Roman"/>
                <w:sz w:val="24"/>
                <w:szCs w:val="24"/>
                <w:vertAlign w:val="subscript"/>
              </w:rPr>
              <w:t>10</w:t>
            </w:r>
            <w:r>
              <w:rPr>
                <w:rFonts w:ascii="Times New Roman" w:hAnsi="Times New Roman" w:cs="Times New Roman"/>
                <w:sz w:val="24"/>
                <w:szCs w:val="24"/>
              </w:rPr>
              <w:t>浓度超过100时，必须停工整改、加强综合降尘措施；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（3）监理单位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③监督施工单位做好工地现场PM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浓度超过临界值时，督促施工单位及时采取应急措施；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⑤对施工单位扬尘污染防治工作不到位的，予以责令整改，拒不整改或整改不到位的及时上报建设单位和项目监督机构。</w:t>
            </w:r>
          </w:p>
          <w:p>
            <w:pPr>
              <w:pStyle w:val="34"/>
              <w:ind w:firstLine="482"/>
              <w:rPr>
                <w:rFonts w:eastAsiaTheme="minorEastAsia"/>
                <w:b/>
                <w:szCs w:val="24"/>
              </w:rPr>
            </w:pPr>
            <w:r>
              <w:rPr>
                <w:rFonts w:eastAsiaTheme="minorEastAsia"/>
                <w:b/>
                <w:szCs w:val="24"/>
              </w:rPr>
              <w:t>4.1.2 施工期废水污染防治措施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①施工期施工人员不在项目区食宿，生活污水仅为洗手污水，通过施工场地的临时沉淀池沉淀处理后，回用于施工场地洒水降尘，不外排。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pStyle w:val="34"/>
              <w:ind w:firstLine="482"/>
              <w:rPr>
                <w:rFonts w:eastAsiaTheme="minorEastAsia"/>
                <w:b/>
                <w:szCs w:val="24"/>
              </w:rPr>
            </w:pPr>
            <w:r>
              <w:rPr>
                <w:rFonts w:eastAsiaTheme="minorEastAsia"/>
                <w:b/>
                <w:szCs w:val="24"/>
              </w:rPr>
              <w:t>4.1.3 施工期噪声污染防治措施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①加强施工期的操作规范；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③加强与周围居民的沟通，避免扰民事件发生。</w:t>
            </w:r>
          </w:p>
          <w:p>
            <w:pPr>
              <w:pStyle w:val="34"/>
              <w:ind w:firstLine="482"/>
              <w:rPr>
                <w:rFonts w:eastAsiaTheme="minorEastAsia"/>
                <w:b/>
                <w:szCs w:val="24"/>
              </w:rPr>
            </w:pPr>
            <w:r>
              <w:rPr>
                <w:rFonts w:eastAsiaTheme="minorEastAsia"/>
                <w:b/>
                <w:szCs w:val="24"/>
              </w:rPr>
              <w:t>4.1.4 施工期固体废物污染防治措施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①建设垃圾包括混凝土块、废木材、废钢材等，严格按照相关部门的要求，对其进行分类收集，其中废钢材收集后外售废品收购站，其他不能回收部分运至相关部门指定地点进行合理处置。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②生活垃圾委托环卫部门清运处置。</w:t>
            </w:r>
          </w:p>
          <w:p>
            <w:pPr>
              <w:pStyle w:val="34"/>
              <w:ind w:firstLine="482"/>
              <w:rPr>
                <w:rFonts w:eastAsiaTheme="minorEastAsia"/>
                <w:b/>
                <w:szCs w:val="24"/>
              </w:rPr>
            </w:pPr>
            <w:r>
              <w:rPr>
                <w:rFonts w:eastAsiaTheme="minorEastAsia"/>
                <w:b/>
                <w:szCs w:val="24"/>
              </w:rPr>
              <w:t>4.1.5 施工期生态保护措施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本项目位于昆明市东川区铜都镇小李庄村，项目占地全部为滩涂地，建设过程中主要采取的生态保护措施为对靠河一侧建设绿化带。</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（1）废气污染源强核算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本项目生产工艺各环节均为湿法作业，基本无废气产生，另外项目为降低清淤固废（河沙）暂存对对环境造成的影响，项目对小江小李庄段产生的清淤固废（河沙）直接运输至厂区生产车间进行加工，不设置原料堆场；因此项目的主要废气产生节点为产品库扬尘。根据颗粒料生产车间的工程内容，该生产车间不设原料库，设置了1个2000m²产品库，共分为3个分区，产品库区域在物料堆存和装卸过程会有一定量扬尘产生，其扬尘产生量受风速、水分含量等多种因素的影响。本环评采用经验公式对其进行计算，公示如下：</w:t>
            </w:r>
          </w:p>
          <w:p>
            <w:pPr>
              <w:spacing w:line="360" w:lineRule="auto"/>
              <w:ind w:firstLine="480" w:firstLineChars="200"/>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Q</m:t>
                </m:r>
                <m:sSup>
                  <m:sSupPr>
                    <m:ctrlPr>
                      <w:rPr>
                        <w:rFonts w:ascii="Cambria Math" w:hAnsi="Cambria Math" w:cs="Times New Roman"/>
                        <w:sz w:val="24"/>
                        <w:szCs w:val="24"/>
                      </w:rPr>
                    </m:ctrlPr>
                  </m:sSupPr>
                  <m:e>
                    <m:r>
                      <m:rPr>
                        <m:sty m:val="p"/>
                      </m:rPr>
                      <w:rPr>
                        <w:rFonts w:ascii="Cambria Math" w:hAnsi="Cambria Math" w:cs="Times New Roman"/>
                        <w:sz w:val="24"/>
                        <w:szCs w:val="24"/>
                      </w:rPr>
                      <m:t>=0.009U</m:t>
                    </m:r>
                    <m:ctrlPr>
                      <w:rPr>
                        <w:rFonts w:ascii="Cambria Math" w:hAnsi="Cambria Math" w:cs="Times New Roman"/>
                        <w:sz w:val="24"/>
                        <w:szCs w:val="24"/>
                      </w:rPr>
                    </m:ctrlPr>
                  </m:e>
                  <m:sup>
                    <m:r>
                      <m:rPr>
                        <m:sty m:val="p"/>
                      </m:rPr>
                      <w:rPr>
                        <w:rFonts w:ascii="Cambria Math" w:hAnsi="Cambria Math" w:cs="Times New Roman"/>
                        <w:sz w:val="24"/>
                        <w:szCs w:val="24"/>
                      </w:rPr>
                      <m:t>4.1</m:t>
                    </m:r>
                    <m:ctrlPr>
                      <w:rPr>
                        <w:rFonts w:ascii="Cambria Math" w:hAnsi="Cambria Math" w:cs="Times New Roman"/>
                        <w:sz w:val="24"/>
                        <w:szCs w:val="24"/>
                      </w:rPr>
                    </m:ctrlPr>
                  </m:sup>
                </m:sSup>
                <m:sSup>
                  <m:sSupPr>
                    <m:ctrlPr>
                      <w:rPr>
                        <w:rFonts w:ascii="Cambria Math" w:hAnsi="Cambria Math" w:cs="Times New Roman"/>
                        <w:sz w:val="24"/>
                        <w:szCs w:val="24"/>
                      </w:rPr>
                    </m:ctrlPr>
                  </m:sSupPr>
                  <m:e>
                    <m:r>
                      <m:rPr>
                        <m:sty m:val="p"/>
                      </m:rPr>
                      <w:rPr>
                        <w:rFonts w:ascii="Cambria Math" w:hAnsi="Cambria Math" w:cs="Times New Roman"/>
                        <w:sz w:val="24"/>
                        <w:szCs w:val="24"/>
                      </w:rPr>
                      <m:t>e</m:t>
                    </m:r>
                    <m:ctrlPr>
                      <w:rPr>
                        <w:rFonts w:ascii="Cambria Math" w:hAnsi="Cambria Math" w:cs="Times New Roman"/>
                        <w:sz w:val="24"/>
                        <w:szCs w:val="24"/>
                      </w:rPr>
                    </m:ctrlPr>
                  </m:e>
                  <m:sup>
                    <m:r>
                      <m:rPr>
                        <m:sty m:val="p"/>
                      </m:rPr>
                      <w:rPr>
                        <w:rFonts w:ascii="Cambria Math" w:hAnsi="Cambria Math" w:cs="Times New Roman"/>
                        <w:sz w:val="24"/>
                        <w:szCs w:val="24"/>
                      </w:rPr>
                      <m:t>-0.55w</m:t>
                    </m:r>
                    <m:ctrlPr>
                      <w:rPr>
                        <w:rFonts w:ascii="Cambria Math" w:hAnsi="Cambria Math" w:cs="Times New Roman"/>
                        <w:sz w:val="24"/>
                        <w:szCs w:val="24"/>
                      </w:rPr>
                    </m:ctrlPr>
                  </m:sup>
                </m:sSup>
              </m:oMath>
            </m:oMathPara>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式中：Q--起尘量，（kg/a·m²）</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U--当地风速，（m/s），当地平均风速约为3.4m/s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w--物料含水率，（%）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可知，产品库堆存的颗粒料，其中1#库合计面积为500m²，堆存颗粒料的含水率约为15%；3#库面积为1500m²，堆存颗粒料含水率为6%；经计算，项目产生的扬尘量为2.57t/a；为最大限度降低扬尘对环境造成的影响，项目拟将产品库设置为车间式全封闭库房，则其扬尘抑制率约为90%，则产品库堆存和装卸过程扬尘排放量为0.28t/a；为无组织排放。</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（2）废气污染物污染防治措施及达标性分析</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①</w:t>
            </w:r>
            <w:r>
              <w:rPr>
                <w:rFonts w:ascii="Times New Roman" w:hAnsi="Times New Roman" w:cs="Times New Roman"/>
                <w:b/>
                <w:sz w:val="24"/>
              </w:rPr>
              <w:t>废气污染物治理措施及排放方式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4.2.1-1 废气污染物治理措施及排放方式一览表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918"/>
              <w:gridCol w:w="848"/>
              <w:gridCol w:w="3260"/>
              <w:gridCol w:w="992"/>
              <w:gridCol w:w="19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gridSpan w:val="2"/>
                  <w:vAlign w:val="center"/>
                </w:tcPr>
                <w:p>
                  <w:pPr>
                    <w:pStyle w:val="26"/>
                    <w:spacing w:line="360" w:lineRule="exact"/>
                    <w:rPr>
                      <w:color w:val="auto"/>
                      <w:szCs w:val="21"/>
                    </w:rPr>
                  </w:pPr>
                  <w:r>
                    <w:rPr>
                      <w:color w:val="auto"/>
                      <w:szCs w:val="21"/>
                    </w:rPr>
                    <w:t>产排污环节</w:t>
                  </w:r>
                </w:p>
              </w:tc>
              <w:tc>
                <w:tcPr>
                  <w:tcW w:w="848" w:type="dxa"/>
                  <w:vAlign w:val="center"/>
                </w:tcPr>
                <w:p>
                  <w:pPr>
                    <w:pStyle w:val="26"/>
                    <w:spacing w:line="360" w:lineRule="exact"/>
                    <w:rPr>
                      <w:color w:val="auto"/>
                      <w:szCs w:val="21"/>
                    </w:rPr>
                  </w:pPr>
                  <w:r>
                    <w:rPr>
                      <w:color w:val="auto"/>
                      <w:szCs w:val="21"/>
                    </w:rPr>
                    <w:t>污染物种类</w:t>
                  </w:r>
                </w:p>
              </w:tc>
              <w:tc>
                <w:tcPr>
                  <w:tcW w:w="3260" w:type="dxa"/>
                  <w:vAlign w:val="center"/>
                </w:tcPr>
                <w:p>
                  <w:pPr>
                    <w:pStyle w:val="26"/>
                    <w:spacing w:line="360" w:lineRule="exact"/>
                    <w:rPr>
                      <w:color w:val="auto"/>
                      <w:szCs w:val="21"/>
                    </w:rPr>
                  </w:pPr>
                  <w:r>
                    <w:rPr>
                      <w:color w:val="auto"/>
                      <w:szCs w:val="21"/>
                    </w:rPr>
                    <w:t>治理设施及效率</w:t>
                  </w:r>
                </w:p>
              </w:tc>
              <w:tc>
                <w:tcPr>
                  <w:tcW w:w="992"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eastAsia="宋体" w:cs="Times New Roman"/>
                      <w:bCs/>
                      <w:snapToGrid w:val="0"/>
                      <w:kern w:val="32"/>
                      <w:lang w:val="zh-CN"/>
                    </w:rPr>
                    <w:t>排放形式</w:t>
                  </w:r>
                </w:p>
              </w:tc>
              <w:tc>
                <w:tcPr>
                  <w:tcW w:w="1917" w:type="dxa"/>
                  <w:vAlign w:val="center"/>
                </w:tcPr>
                <w:p>
                  <w:pPr>
                    <w:pStyle w:val="26"/>
                    <w:spacing w:line="360" w:lineRule="exact"/>
                    <w:rPr>
                      <w:color w:val="auto"/>
                      <w:szCs w:val="21"/>
                    </w:rPr>
                  </w:pPr>
                  <w:r>
                    <w:rPr>
                      <w:color w:val="auto"/>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Align w:val="center"/>
                </w:tcPr>
                <w:p>
                  <w:pPr>
                    <w:pStyle w:val="26"/>
                    <w:spacing w:line="360" w:lineRule="exact"/>
                    <w:rPr>
                      <w:color w:val="auto"/>
                      <w:szCs w:val="21"/>
                    </w:rPr>
                  </w:pPr>
                  <w:r>
                    <w:rPr>
                      <w:color w:val="auto"/>
                      <w:szCs w:val="21"/>
                    </w:rPr>
                    <w:t>产品库</w:t>
                  </w:r>
                </w:p>
              </w:tc>
              <w:tc>
                <w:tcPr>
                  <w:tcW w:w="918" w:type="dxa"/>
                  <w:vAlign w:val="center"/>
                </w:tcPr>
                <w:p>
                  <w:pPr>
                    <w:pStyle w:val="26"/>
                    <w:spacing w:line="360" w:lineRule="exact"/>
                    <w:rPr>
                      <w:color w:val="auto"/>
                      <w:szCs w:val="21"/>
                    </w:rPr>
                  </w:pPr>
                  <w:r>
                    <w:rPr>
                      <w:color w:val="auto"/>
                      <w:szCs w:val="21"/>
                    </w:rPr>
                    <w:t>装卸、暂存</w:t>
                  </w:r>
                </w:p>
              </w:tc>
              <w:tc>
                <w:tcPr>
                  <w:tcW w:w="848" w:type="dxa"/>
                  <w:vAlign w:val="center"/>
                </w:tcPr>
                <w:p>
                  <w:pPr>
                    <w:pStyle w:val="26"/>
                    <w:spacing w:line="360" w:lineRule="exact"/>
                    <w:rPr>
                      <w:color w:val="auto"/>
                      <w:szCs w:val="21"/>
                    </w:rPr>
                  </w:pPr>
                  <w:r>
                    <w:rPr>
                      <w:color w:val="auto"/>
                      <w:szCs w:val="21"/>
                    </w:rPr>
                    <w:t>颗粒物</w:t>
                  </w:r>
                </w:p>
              </w:tc>
              <w:tc>
                <w:tcPr>
                  <w:tcW w:w="3260" w:type="dxa"/>
                  <w:vAlign w:val="center"/>
                </w:tcPr>
                <w:p>
                  <w:pPr>
                    <w:pStyle w:val="26"/>
                    <w:spacing w:line="360" w:lineRule="exact"/>
                    <w:ind w:firstLine="210" w:firstLineChars="100"/>
                    <w:jc w:val="both"/>
                    <w:rPr>
                      <w:color w:val="auto"/>
                      <w:szCs w:val="21"/>
                    </w:rPr>
                  </w:pPr>
                  <w:r>
                    <w:rPr>
                      <w:rFonts w:eastAsiaTheme="minorEastAsia"/>
                      <w:color w:val="auto"/>
                      <w:szCs w:val="21"/>
                    </w:rPr>
                    <w:t>为最大限度降低扬尘对环境造成的影响，项目拟将产品库设置为车间式全封闭库房，则其扬尘抑制率约为90%。</w:t>
                  </w:r>
                </w:p>
              </w:tc>
              <w:tc>
                <w:tcPr>
                  <w:tcW w:w="992" w:type="dxa"/>
                  <w:vAlign w:val="center"/>
                </w:tcPr>
                <w:p>
                  <w:pPr>
                    <w:pStyle w:val="26"/>
                    <w:spacing w:line="360" w:lineRule="exact"/>
                    <w:rPr>
                      <w:color w:val="auto"/>
                      <w:szCs w:val="21"/>
                    </w:rPr>
                  </w:pPr>
                  <w:r>
                    <w:rPr>
                      <w:color w:val="auto"/>
                      <w:szCs w:val="21"/>
                    </w:rPr>
                    <w:t>无组织</w:t>
                  </w:r>
                </w:p>
              </w:tc>
              <w:tc>
                <w:tcPr>
                  <w:tcW w:w="1917" w:type="dxa"/>
                  <w:vAlign w:val="center"/>
                </w:tcPr>
                <w:p>
                  <w:pPr>
                    <w:pStyle w:val="26"/>
                    <w:spacing w:line="360" w:lineRule="exact"/>
                    <w:rPr>
                      <w:color w:val="auto"/>
                      <w:szCs w:val="21"/>
                    </w:rPr>
                  </w:pPr>
                  <w:r>
                    <w:rPr>
                      <w:color w:val="auto"/>
                      <w:szCs w:val="21"/>
                    </w:rPr>
                    <w:t>--</w:t>
                  </w:r>
                </w:p>
              </w:tc>
            </w:tr>
          </w:tbl>
          <w:p>
            <w:pPr>
              <w:spacing w:before="156"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废气污染物排放源产排量及达标情况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根据项目产污环节和废气污染源强核算可知，项目废气污染物排放源产排量及达标情况如下表所示。</w:t>
            </w:r>
          </w:p>
          <w:p>
            <w:pPr>
              <w:jc w:val="center"/>
              <w:rPr>
                <w:rFonts w:ascii="Times New Roman" w:hAnsi="Times New Roman" w:cs="Times New Roman"/>
                <w:b/>
                <w:szCs w:val="24"/>
              </w:rPr>
            </w:pPr>
            <w:r>
              <w:rPr>
                <w:rFonts w:ascii="Times New Roman" w:hAnsi="Times New Roman" w:cs="Times New Roman"/>
                <w:b/>
                <w:szCs w:val="24"/>
              </w:rPr>
              <w:t>表4.2.1-2  废气污染物排放源产排量及达标情况一览表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4"/>
              <w:gridCol w:w="901"/>
              <w:gridCol w:w="851"/>
              <w:gridCol w:w="996"/>
              <w:gridCol w:w="851"/>
              <w:gridCol w:w="850"/>
              <w:gridCol w:w="847"/>
              <w:gridCol w:w="728"/>
              <w:gridCol w:w="1256"/>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5" w:type="dxa"/>
                  <w:gridSpan w:val="2"/>
                  <w:vMerge w:val="restart"/>
                  <w:vAlign w:val="center"/>
                </w:tcPr>
                <w:p>
                  <w:pPr>
                    <w:pStyle w:val="26"/>
                    <w:spacing w:line="360" w:lineRule="exact"/>
                    <w:rPr>
                      <w:color w:val="auto"/>
                      <w:szCs w:val="21"/>
                    </w:rPr>
                  </w:pPr>
                  <w:r>
                    <w:rPr>
                      <w:color w:val="auto"/>
                      <w:szCs w:val="21"/>
                    </w:rPr>
                    <w:t>产排污环节</w:t>
                  </w:r>
                </w:p>
              </w:tc>
              <w:tc>
                <w:tcPr>
                  <w:tcW w:w="851" w:type="dxa"/>
                  <w:vMerge w:val="restart"/>
                  <w:vAlign w:val="center"/>
                </w:tcPr>
                <w:p>
                  <w:pPr>
                    <w:pStyle w:val="26"/>
                    <w:spacing w:line="360" w:lineRule="exact"/>
                    <w:rPr>
                      <w:color w:val="auto"/>
                      <w:szCs w:val="21"/>
                    </w:rPr>
                  </w:pPr>
                  <w:r>
                    <w:rPr>
                      <w:color w:val="auto"/>
                      <w:szCs w:val="21"/>
                    </w:rPr>
                    <w:t>污染物种类</w:t>
                  </w:r>
                </w:p>
              </w:tc>
              <w:tc>
                <w:tcPr>
                  <w:tcW w:w="1847" w:type="dxa"/>
                  <w:gridSpan w:val="2"/>
                  <w:vAlign w:val="center"/>
                </w:tcPr>
                <w:p>
                  <w:pPr>
                    <w:pStyle w:val="26"/>
                    <w:spacing w:line="360" w:lineRule="exact"/>
                    <w:rPr>
                      <w:color w:val="auto"/>
                      <w:szCs w:val="21"/>
                    </w:rPr>
                  </w:pPr>
                  <w:r>
                    <w:rPr>
                      <w:color w:val="auto"/>
                      <w:szCs w:val="21"/>
                    </w:rPr>
                    <w:t>污染物产生情况</w:t>
                  </w:r>
                </w:p>
              </w:tc>
              <w:tc>
                <w:tcPr>
                  <w:tcW w:w="2425" w:type="dxa"/>
                  <w:gridSpan w:val="3"/>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污染物排放量和浓度</w:t>
                  </w:r>
                </w:p>
              </w:tc>
              <w:tc>
                <w:tcPr>
                  <w:tcW w:w="1256"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排放标准mg/m³</w:t>
                  </w:r>
                </w:p>
              </w:tc>
              <w:tc>
                <w:tcPr>
                  <w:tcW w:w="641"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5" w:type="dxa"/>
                  <w:gridSpan w:val="2"/>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996" w:type="dxa"/>
                  <w:vAlign w:val="center"/>
                </w:tcPr>
                <w:p>
                  <w:pPr>
                    <w:pStyle w:val="26"/>
                    <w:spacing w:line="360" w:lineRule="exact"/>
                    <w:rPr>
                      <w:color w:val="auto"/>
                      <w:szCs w:val="21"/>
                    </w:rPr>
                  </w:pPr>
                  <w:r>
                    <w:rPr>
                      <w:color w:val="auto"/>
                      <w:szCs w:val="21"/>
                    </w:rPr>
                    <w:t>产生浓度mg/m³</w:t>
                  </w:r>
                </w:p>
              </w:tc>
              <w:tc>
                <w:tcPr>
                  <w:tcW w:w="851" w:type="dxa"/>
                  <w:vAlign w:val="center"/>
                </w:tcPr>
                <w:p>
                  <w:pPr>
                    <w:pStyle w:val="26"/>
                    <w:spacing w:line="360" w:lineRule="exact"/>
                    <w:rPr>
                      <w:color w:val="auto"/>
                      <w:szCs w:val="21"/>
                    </w:rPr>
                  </w:pPr>
                  <w:r>
                    <w:rPr>
                      <w:color w:val="auto"/>
                      <w:szCs w:val="21"/>
                    </w:rPr>
                    <w:t>产生量t/a</w:t>
                  </w:r>
                </w:p>
              </w:tc>
              <w:tc>
                <w:tcPr>
                  <w:tcW w:w="850" w:type="dxa"/>
                  <w:vAlign w:val="center"/>
                </w:tcPr>
                <w:p>
                  <w:pPr>
                    <w:pStyle w:val="26"/>
                    <w:spacing w:line="360" w:lineRule="exact"/>
                    <w:rPr>
                      <w:color w:val="auto"/>
                      <w:szCs w:val="21"/>
                    </w:rPr>
                  </w:pPr>
                  <w:r>
                    <w:rPr>
                      <w:color w:val="auto"/>
                      <w:szCs w:val="21"/>
                    </w:rPr>
                    <w:t>排放浓度mg/m³</w:t>
                  </w:r>
                </w:p>
              </w:tc>
              <w:tc>
                <w:tcPr>
                  <w:tcW w:w="847" w:type="dxa"/>
                  <w:tcBorders>
                    <w:top w:val="single" w:color="auto" w:sz="4" w:space="0"/>
                    <w:right w:val="single" w:color="auto" w:sz="4" w:space="0"/>
                  </w:tcBorders>
                  <w:vAlign w:val="center"/>
                </w:tcPr>
                <w:p>
                  <w:pPr>
                    <w:pStyle w:val="26"/>
                    <w:spacing w:line="360" w:lineRule="exact"/>
                    <w:rPr>
                      <w:color w:val="auto"/>
                      <w:szCs w:val="21"/>
                    </w:rPr>
                  </w:pPr>
                  <w:r>
                    <w:rPr>
                      <w:color w:val="auto"/>
                      <w:szCs w:val="21"/>
                    </w:rPr>
                    <w:t>排放量t/a</w:t>
                  </w:r>
                </w:p>
              </w:tc>
              <w:tc>
                <w:tcPr>
                  <w:tcW w:w="728" w:type="dxa"/>
                  <w:tcBorders>
                    <w:top w:val="single" w:color="auto" w:sz="4" w:space="0"/>
                    <w:left w:val="single" w:color="auto" w:sz="4" w:space="0"/>
                  </w:tcBorders>
                  <w:vAlign w:val="center"/>
                </w:tcPr>
                <w:p>
                  <w:pPr>
                    <w:pStyle w:val="26"/>
                    <w:spacing w:line="360" w:lineRule="exact"/>
                    <w:rPr>
                      <w:color w:val="auto"/>
                      <w:szCs w:val="21"/>
                    </w:rPr>
                  </w:pPr>
                  <w:r>
                    <w:rPr>
                      <w:color w:val="auto"/>
                      <w:szCs w:val="21"/>
                    </w:rPr>
                    <w:t>排放速率kg/h</w:t>
                  </w:r>
                </w:p>
              </w:tc>
              <w:tc>
                <w:tcPr>
                  <w:tcW w:w="1256" w:type="dxa"/>
                  <w:vMerge w:val="continue"/>
                  <w:vAlign w:val="center"/>
                </w:tcPr>
                <w:p>
                  <w:pPr>
                    <w:pStyle w:val="26"/>
                    <w:spacing w:line="360" w:lineRule="exact"/>
                    <w:rPr>
                      <w:color w:val="auto"/>
                      <w:szCs w:val="21"/>
                    </w:rPr>
                  </w:pPr>
                </w:p>
              </w:tc>
              <w:tc>
                <w:tcPr>
                  <w:tcW w:w="641" w:type="dxa"/>
                  <w:vMerge w:val="continue"/>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4" w:type="dxa"/>
                  <w:vAlign w:val="center"/>
                </w:tcPr>
                <w:p>
                  <w:pPr>
                    <w:pStyle w:val="26"/>
                    <w:spacing w:line="360" w:lineRule="exact"/>
                    <w:rPr>
                      <w:color w:val="auto"/>
                      <w:szCs w:val="21"/>
                    </w:rPr>
                  </w:pPr>
                  <w:r>
                    <w:rPr>
                      <w:color w:val="auto"/>
                      <w:szCs w:val="21"/>
                    </w:rPr>
                    <w:t>产品库</w:t>
                  </w:r>
                </w:p>
              </w:tc>
              <w:tc>
                <w:tcPr>
                  <w:tcW w:w="901" w:type="dxa"/>
                  <w:vAlign w:val="center"/>
                </w:tcPr>
                <w:p>
                  <w:pPr>
                    <w:pStyle w:val="26"/>
                    <w:spacing w:line="360" w:lineRule="exact"/>
                    <w:rPr>
                      <w:color w:val="auto"/>
                      <w:szCs w:val="21"/>
                    </w:rPr>
                  </w:pPr>
                  <w:r>
                    <w:rPr>
                      <w:color w:val="auto"/>
                      <w:szCs w:val="21"/>
                    </w:rPr>
                    <w:t>装卸、暂存</w:t>
                  </w:r>
                </w:p>
              </w:tc>
              <w:tc>
                <w:tcPr>
                  <w:tcW w:w="851" w:type="dxa"/>
                  <w:vAlign w:val="center"/>
                </w:tcPr>
                <w:p>
                  <w:pPr>
                    <w:pStyle w:val="26"/>
                    <w:spacing w:line="360" w:lineRule="exact"/>
                    <w:rPr>
                      <w:color w:val="auto"/>
                      <w:szCs w:val="21"/>
                    </w:rPr>
                  </w:pPr>
                  <w:r>
                    <w:rPr>
                      <w:color w:val="auto"/>
                      <w:szCs w:val="21"/>
                    </w:rPr>
                    <w:t>颗粒物</w:t>
                  </w:r>
                </w:p>
              </w:tc>
              <w:tc>
                <w:tcPr>
                  <w:tcW w:w="996" w:type="dxa"/>
                  <w:tcBorders>
                    <w:top w:val="single" w:color="auto" w:sz="4" w:space="0"/>
                  </w:tcBorders>
                  <w:vAlign w:val="center"/>
                </w:tcPr>
                <w:p>
                  <w:pPr>
                    <w:pStyle w:val="26"/>
                    <w:spacing w:before="78" w:line="360" w:lineRule="exact"/>
                    <w:rPr>
                      <w:color w:val="auto"/>
                      <w:szCs w:val="21"/>
                    </w:rPr>
                  </w:pPr>
                  <w:r>
                    <w:rPr>
                      <w:color w:val="auto"/>
                      <w:szCs w:val="21"/>
                    </w:rPr>
                    <w:t>--</w:t>
                  </w:r>
                </w:p>
              </w:tc>
              <w:tc>
                <w:tcPr>
                  <w:tcW w:w="851" w:type="dxa"/>
                  <w:tcBorders>
                    <w:top w:val="single" w:color="auto" w:sz="4" w:space="0"/>
                  </w:tcBorders>
                  <w:vAlign w:val="center"/>
                </w:tcPr>
                <w:p>
                  <w:pPr>
                    <w:pStyle w:val="26"/>
                    <w:spacing w:line="360" w:lineRule="exact"/>
                    <w:rPr>
                      <w:color w:val="auto"/>
                      <w:szCs w:val="21"/>
                    </w:rPr>
                  </w:pPr>
                  <w:r>
                    <w:rPr>
                      <w:color w:val="auto"/>
                      <w:szCs w:val="21"/>
                    </w:rPr>
                    <w:t>2.57</w:t>
                  </w:r>
                </w:p>
              </w:tc>
              <w:tc>
                <w:tcPr>
                  <w:tcW w:w="850" w:type="dxa"/>
                  <w:vAlign w:val="center"/>
                </w:tcPr>
                <w:p>
                  <w:pPr>
                    <w:pStyle w:val="26"/>
                    <w:spacing w:line="360" w:lineRule="exact"/>
                    <w:rPr>
                      <w:color w:val="auto"/>
                      <w:szCs w:val="21"/>
                    </w:rPr>
                  </w:pPr>
                  <w:r>
                    <w:rPr>
                      <w:color w:val="auto"/>
                      <w:szCs w:val="21"/>
                    </w:rPr>
                    <w:t>--</w:t>
                  </w:r>
                </w:p>
              </w:tc>
              <w:tc>
                <w:tcPr>
                  <w:tcW w:w="847" w:type="dxa"/>
                  <w:tcBorders>
                    <w:right w:val="single" w:color="auto" w:sz="4" w:space="0"/>
                  </w:tcBorders>
                  <w:vAlign w:val="center"/>
                </w:tcPr>
                <w:p>
                  <w:pPr>
                    <w:pStyle w:val="26"/>
                    <w:spacing w:line="360" w:lineRule="exact"/>
                    <w:rPr>
                      <w:color w:val="auto"/>
                      <w:szCs w:val="21"/>
                    </w:rPr>
                  </w:pPr>
                  <w:r>
                    <w:rPr>
                      <w:color w:val="auto"/>
                      <w:szCs w:val="21"/>
                    </w:rPr>
                    <w:t>0.28</w:t>
                  </w:r>
                </w:p>
              </w:tc>
              <w:tc>
                <w:tcPr>
                  <w:tcW w:w="728" w:type="dxa"/>
                  <w:tcBorders>
                    <w:left w:val="single" w:color="auto" w:sz="4" w:space="0"/>
                  </w:tcBorders>
                  <w:vAlign w:val="center"/>
                </w:tcPr>
                <w:p>
                  <w:pPr>
                    <w:pStyle w:val="26"/>
                    <w:spacing w:before="78" w:line="360" w:lineRule="exact"/>
                    <w:rPr>
                      <w:color w:val="auto"/>
                      <w:szCs w:val="21"/>
                    </w:rPr>
                  </w:pPr>
                  <w:r>
                    <w:rPr>
                      <w:color w:val="auto"/>
                      <w:szCs w:val="21"/>
                    </w:rPr>
                    <w:t>--</w:t>
                  </w:r>
                </w:p>
              </w:tc>
              <w:tc>
                <w:tcPr>
                  <w:tcW w:w="1256" w:type="dxa"/>
                  <w:vAlign w:val="center"/>
                </w:tcPr>
                <w:p>
                  <w:pPr>
                    <w:pStyle w:val="26"/>
                    <w:spacing w:before="78" w:line="360" w:lineRule="exact"/>
                    <w:rPr>
                      <w:color w:val="auto"/>
                      <w:szCs w:val="21"/>
                    </w:rPr>
                  </w:pPr>
                  <w:r>
                    <w:rPr>
                      <w:color w:val="auto"/>
                      <w:szCs w:val="21"/>
                    </w:rPr>
                    <w:t>≤1.0</w:t>
                  </w:r>
                </w:p>
              </w:tc>
              <w:tc>
                <w:tcPr>
                  <w:tcW w:w="641" w:type="dxa"/>
                  <w:vAlign w:val="center"/>
                </w:tcPr>
                <w:p>
                  <w:pPr>
                    <w:pStyle w:val="26"/>
                    <w:spacing w:before="78" w:line="360" w:lineRule="exact"/>
                    <w:rPr>
                      <w:color w:val="auto"/>
                      <w:szCs w:val="21"/>
                    </w:rPr>
                  </w:pPr>
                  <w:r>
                    <w:rPr>
                      <w:color w:val="auto"/>
                      <w:szCs w:val="21"/>
                    </w:rPr>
                    <w:t>达标</w:t>
                  </w:r>
                </w:p>
              </w:tc>
            </w:tr>
          </w:tbl>
          <w:p>
            <w:pPr>
              <w:pStyle w:val="34"/>
              <w:spacing w:before="156" w:beforeLines="50"/>
              <w:ind w:firstLine="480"/>
              <w:rPr>
                <w:szCs w:val="24"/>
              </w:rPr>
            </w:pPr>
            <w:r>
              <w:rPr>
                <w:szCs w:val="24"/>
              </w:rPr>
              <w:t>由上表可知，项目拟将产品库设置为车间式全封闭库房，其装卸和暂存扬尘可达到《大气污染物综合排放标准》（GB16297-1996）无组织排放标准限值。</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项目设计提出拟建设的废气污染治理设施为车间式全封闭库房，为常见可行的废气污染防治措施，属于可行技术，措施可行。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总则》（HJ819-2017）的要求，项目废气自行监测要求如下表所示。</w:t>
            </w:r>
          </w:p>
          <w:p>
            <w:pPr>
              <w:jc w:val="center"/>
              <w:rPr>
                <w:rFonts w:ascii="Times New Roman" w:hAnsi="Times New Roman" w:cs="Times New Roman"/>
                <w:b/>
                <w:szCs w:val="24"/>
              </w:rPr>
            </w:pPr>
            <w:r>
              <w:rPr>
                <w:rFonts w:ascii="Times New Roman" w:hAnsi="Times New Roman" w:cs="Times New Roman"/>
                <w:b/>
                <w:szCs w:val="24"/>
              </w:rPr>
              <w:t>表4.2.1-3  项目运营期废气自行监测计划一览表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66"/>
              <w:gridCol w:w="1134"/>
              <w:gridCol w:w="1134"/>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Align w:val="center"/>
                </w:tcPr>
                <w:p>
                  <w:pPr>
                    <w:pStyle w:val="26"/>
                    <w:spacing w:line="360" w:lineRule="exact"/>
                    <w:rPr>
                      <w:rFonts w:eastAsiaTheme="minorEastAsia"/>
                      <w:color w:val="auto"/>
                      <w:szCs w:val="21"/>
                    </w:rPr>
                  </w:pPr>
                  <w:r>
                    <w:rPr>
                      <w:rFonts w:eastAsiaTheme="minorEastAsia"/>
                      <w:color w:val="auto"/>
                      <w:szCs w:val="21"/>
                    </w:rPr>
                    <w:t>对象</w:t>
                  </w:r>
                </w:p>
              </w:tc>
              <w:tc>
                <w:tcPr>
                  <w:tcW w:w="1366" w:type="dxa"/>
                  <w:vAlign w:val="center"/>
                </w:tcPr>
                <w:p>
                  <w:pPr>
                    <w:pStyle w:val="26"/>
                    <w:spacing w:line="360" w:lineRule="exact"/>
                    <w:rPr>
                      <w:rFonts w:eastAsiaTheme="minorEastAsia"/>
                      <w:color w:val="auto"/>
                      <w:szCs w:val="21"/>
                    </w:rPr>
                  </w:pPr>
                  <w:r>
                    <w:rPr>
                      <w:rFonts w:eastAsiaTheme="minorEastAsia"/>
                      <w:color w:val="auto"/>
                      <w:szCs w:val="21"/>
                    </w:rPr>
                    <w:t>监测点位</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监测因子</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最低监测频率</w:t>
                  </w:r>
                </w:p>
              </w:tc>
              <w:tc>
                <w:tcPr>
                  <w:tcW w:w="4043" w:type="dxa"/>
                  <w:vAlign w:val="center"/>
                </w:tcPr>
                <w:p>
                  <w:pPr>
                    <w:pStyle w:val="26"/>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28" w:type="dxa"/>
                  <w:vAlign w:val="center"/>
                </w:tcPr>
                <w:p>
                  <w:pPr>
                    <w:pStyle w:val="26"/>
                    <w:spacing w:line="360" w:lineRule="exact"/>
                    <w:rPr>
                      <w:rFonts w:eastAsiaTheme="minorEastAsia"/>
                      <w:color w:val="auto"/>
                      <w:szCs w:val="21"/>
                    </w:rPr>
                  </w:pPr>
                  <w:r>
                    <w:rPr>
                      <w:rFonts w:eastAsiaTheme="minorEastAsia"/>
                      <w:color w:val="auto"/>
                      <w:szCs w:val="21"/>
                    </w:rPr>
                    <w:t>废气</w:t>
                  </w:r>
                </w:p>
              </w:tc>
              <w:tc>
                <w:tcPr>
                  <w:tcW w:w="1366" w:type="dxa"/>
                  <w:vAlign w:val="center"/>
                </w:tcPr>
                <w:p>
                  <w:pPr>
                    <w:pStyle w:val="26"/>
                    <w:spacing w:line="360" w:lineRule="exact"/>
                    <w:ind w:firstLine="210" w:firstLineChars="100"/>
                    <w:jc w:val="left"/>
                    <w:rPr>
                      <w:rFonts w:eastAsiaTheme="minorEastAsia"/>
                      <w:color w:val="auto"/>
                      <w:szCs w:val="21"/>
                    </w:rPr>
                  </w:pPr>
                  <w:r>
                    <w:rPr>
                      <w:rFonts w:eastAsiaTheme="minorEastAsia"/>
                      <w:color w:val="auto"/>
                      <w:szCs w:val="21"/>
                    </w:rPr>
                    <w:t>企业边界</w:t>
                  </w:r>
                </w:p>
              </w:tc>
              <w:tc>
                <w:tcPr>
                  <w:tcW w:w="1134" w:type="dxa"/>
                  <w:vAlign w:val="center"/>
                </w:tcPr>
                <w:p>
                  <w:pPr>
                    <w:pStyle w:val="26"/>
                    <w:spacing w:line="360" w:lineRule="exact"/>
                    <w:rPr>
                      <w:rFonts w:eastAsiaTheme="minorEastAsia"/>
                      <w:color w:val="auto"/>
                      <w:szCs w:val="21"/>
                    </w:rPr>
                  </w:pPr>
                  <w:r>
                    <w:rPr>
                      <w:color w:val="auto"/>
                      <w:szCs w:val="21"/>
                    </w:rPr>
                    <w:t>颗粒物</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1次/年</w:t>
                  </w:r>
                </w:p>
              </w:tc>
              <w:tc>
                <w:tcPr>
                  <w:tcW w:w="4043"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《大气污染物综合排放标准》（GB16297-1996）表2中无组织排放限值</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（4）大气环境影响分析结论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上述分析可知，本项目生产工艺各环节均为湿法作业，基本无废气产生，主要废气产生节点为产品库扬尘。为最大限度降低扬尘对环境造成的影响，项目拟将产品库设置为车间式全封闭库房，其装卸和暂存扬尘可达到《大气污染物综合排放标准》（GB16297-1996）无组织排放标准限值。且项目位于环境空气质量达标区，而主要大气环境保护目标东北侧（侧风向）150m处的小李庄村，距离该项目较远因此项目排放的废气对大气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 xml:space="preserve"> 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（1）废水污染源分析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根据项目产污环节可知，本项目废水类型包括生产废水、生活污水和初期雨水。具体产排情况核算如下：</w:t>
            </w:r>
          </w:p>
          <w:p>
            <w:pPr>
              <w:spacing w:line="360" w:lineRule="auto"/>
              <w:ind w:firstLine="482" w:firstLineChars="200"/>
              <w:rPr>
                <w:rFonts w:ascii="Times New Roman" w:hAnsi="Times New Roman" w:cs="Times New Roman"/>
                <w:b/>
                <w:sz w:val="24"/>
                <w:szCs w:val="24"/>
              </w:rPr>
            </w:pPr>
            <w:r>
              <w:rPr>
                <w:rFonts w:ascii="Times New Roman" w:hAnsi="Times New Roman" w:eastAsia="宋体" w:cs="Times New Roman"/>
                <w:b/>
                <w:sz w:val="24"/>
                <w:szCs w:val="24"/>
              </w:rPr>
              <w:t>①</w:t>
            </w:r>
            <w:r>
              <w:rPr>
                <w:rFonts w:ascii="Times New Roman" w:hAnsi="Times New Roman" w:cs="Times New Roman"/>
                <w:b/>
                <w:sz w:val="24"/>
                <w:szCs w:val="24"/>
              </w:rPr>
              <w:t>生产废水产排核算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根据工艺流程可知，本项目生产工艺各环节均为湿法作业，项目生产用水定额为1.5m³/（m³·河沙），日处清淤固废（河沙）784.8m³，则用水量为1177.2m³/d，主要添加水的环节包括破碎、筛分、水洗等工序。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ascii="Times New Roman" w:hAnsi="Times New Roman" w:cs="Times New Roman"/>
                <w:sz w:val="24"/>
                <w:szCs w:val="24"/>
              </w:rPr>
              <w:t>⑴</w:t>
            </w:r>
            <w:r>
              <w:rPr>
                <w:rFonts w:ascii="Times New Roman" w:hAnsi="Times New Roman" w:cs="Times New Roman"/>
                <w:sz w:val="24"/>
                <w:szCs w:val="24"/>
              </w:rPr>
              <w:fldChar w:fldCharType="end"/>
            </w:r>
            <w:r>
              <w:rPr>
                <w:rFonts w:ascii="Times New Roman" w:hAnsi="Times New Roman" w:cs="Times New Roman"/>
                <w:sz w:val="24"/>
                <w:szCs w:val="24"/>
              </w:rPr>
              <w:t>用水环节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根据设计，为了保证各生产段的物料的含水率，各工段废水添加量情况具体如为：破碎加水量为350m³/d、水洗加水量为477.2m³/d、筛分加水量为350m³/d，合计为1177.2m³/d。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ascii="Times New Roman" w:hAnsi="Times New Roman" w:cs="Times New Roman"/>
                <w:sz w:val="24"/>
                <w:szCs w:val="24"/>
              </w:rPr>
              <w:t>⑵</w:t>
            </w:r>
            <w:r>
              <w:rPr>
                <w:rFonts w:ascii="Times New Roman" w:hAnsi="Times New Roman" w:cs="Times New Roman"/>
                <w:sz w:val="24"/>
                <w:szCs w:val="24"/>
              </w:rPr>
              <w:fldChar w:fldCharType="end"/>
            </w:r>
            <w:r>
              <w:rPr>
                <w:rFonts w:ascii="Times New Roman" w:hAnsi="Times New Roman" w:cs="Times New Roman"/>
                <w:sz w:val="24"/>
                <w:szCs w:val="24"/>
              </w:rPr>
              <w:t>废水量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生产工艺，进入系统的水量为1177.2m³/d，除了产品、污泥带走以外，其他全部变为废水，损失环节主要包括各颗粒料带走和污泥带走，其中规格为Φ0-5mm（自然砂）、Φ0-5mm（机制砂）颗粒料的含水率为15%，规格为Φ10-20mm、Φ20-31.5mm颗粒料的含水率为6%，污泥含水率为10%；则Φ0-5mm（自然砂）产品带走水量为23.8m³/d、Φ0-5mm（自然砂）产品带走水量为23.8m³/d、Φ10-20mm产品带走水量为15.02m³/d、Φ20-31.5mm产品带走水量为12.98m³/d、污泥带走水量为0.23m³/d。则废水量约为1101.37m³/d（363452.1m³/a）。项目生产废水产排如下表所示。</w:t>
            </w:r>
          </w:p>
          <w:p>
            <w:pPr>
              <w:jc w:val="center"/>
              <w:rPr>
                <w:rFonts w:ascii="Times New Roman" w:hAnsi="Times New Roman" w:cs="Times New Roman"/>
                <w:b/>
                <w:bCs/>
                <w:kern w:val="0"/>
              </w:rPr>
            </w:pPr>
            <w:r>
              <w:rPr>
                <w:rFonts w:ascii="Times New Roman" w:hAnsi="Times New Roman" w:cs="Times New Roman"/>
                <w:b/>
                <w:bCs/>
                <w:kern w:val="0"/>
              </w:rPr>
              <w:t>表4.2.2-1 项目生产废水产排情况一览表  m³/d</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2"/>
              <w:gridCol w:w="1786"/>
              <w:gridCol w:w="1134"/>
              <w:gridCol w:w="2551"/>
              <w:gridCol w:w="1134"/>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Merge w:val="restart"/>
                  <w:vAlign w:val="center"/>
                </w:tcPr>
                <w:p>
                  <w:pPr>
                    <w:pStyle w:val="26"/>
                    <w:spacing w:line="360" w:lineRule="exact"/>
                    <w:rPr>
                      <w:rFonts w:eastAsiaTheme="minorEastAsia"/>
                      <w:color w:val="auto"/>
                      <w:szCs w:val="21"/>
                    </w:rPr>
                  </w:pPr>
                  <w:r>
                    <w:rPr>
                      <w:rFonts w:eastAsiaTheme="minorEastAsia"/>
                      <w:color w:val="auto"/>
                      <w:szCs w:val="21"/>
                    </w:rPr>
                    <w:t>序号</w:t>
                  </w:r>
                </w:p>
              </w:tc>
              <w:tc>
                <w:tcPr>
                  <w:tcW w:w="2920" w:type="dxa"/>
                  <w:gridSpan w:val="2"/>
                  <w:vAlign w:val="center"/>
                </w:tcPr>
                <w:p>
                  <w:pPr>
                    <w:pStyle w:val="26"/>
                    <w:spacing w:line="360" w:lineRule="exact"/>
                    <w:rPr>
                      <w:rFonts w:eastAsiaTheme="minorEastAsia"/>
                      <w:color w:val="auto"/>
                      <w:szCs w:val="21"/>
                    </w:rPr>
                  </w:pPr>
                  <w:r>
                    <w:rPr>
                      <w:rFonts w:eastAsiaTheme="minorEastAsia"/>
                      <w:color w:val="auto"/>
                      <w:szCs w:val="21"/>
                    </w:rPr>
                    <w:t>用水环节</w:t>
                  </w:r>
                </w:p>
              </w:tc>
              <w:tc>
                <w:tcPr>
                  <w:tcW w:w="3685" w:type="dxa"/>
                  <w:gridSpan w:val="2"/>
                  <w:tcBorders>
                    <w:righ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损失环节</w:t>
                  </w:r>
                </w:p>
              </w:tc>
              <w:tc>
                <w:tcPr>
                  <w:tcW w:w="1208" w:type="dxa"/>
                  <w:tcBorders>
                    <w:lef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废水产生环节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Merge w:val="continue"/>
                  <w:vAlign w:val="center"/>
                </w:tcPr>
                <w:p>
                  <w:pPr>
                    <w:pStyle w:val="26"/>
                    <w:spacing w:line="360" w:lineRule="exact"/>
                    <w:rPr>
                      <w:rFonts w:eastAsiaTheme="minorEastAsia"/>
                      <w:color w:val="auto"/>
                      <w:szCs w:val="21"/>
                    </w:rPr>
                  </w:pPr>
                </w:p>
              </w:tc>
              <w:tc>
                <w:tcPr>
                  <w:tcW w:w="1786" w:type="dxa"/>
                  <w:vAlign w:val="center"/>
                </w:tcPr>
                <w:p>
                  <w:pPr>
                    <w:pStyle w:val="26"/>
                    <w:spacing w:line="360" w:lineRule="exact"/>
                    <w:rPr>
                      <w:rFonts w:eastAsiaTheme="minorEastAsia"/>
                      <w:color w:val="auto"/>
                      <w:szCs w:val="21"/>
                    </w:rPr>
                  </w:pPr>
                  <w:r>
                    <w:rPr>
                      <w:rFonts w:eastAsiaTheme="minorEastAsia"/>
                      <w:color w:val="auto"/>
                      <w:szCs w:val="21"/>
                    </w:rPr>
                    <w:t>用水工序</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用水量</w:t>
                  </w:r>
                </w:p>
              </w:tc>
              <w:tc>
                <w:tcPr>
                  <w:tcW w:w="2551" w:type="dxa"/>
                  <w:vAlign w:val="center"/>
                </w:tcPr>
                <w:p>
                  <w:pPr>
                    <w:pStyle w:val="26"/>
                    <w:spacing w:line="360" w:lineRule="exact"/>
                    <w:rPr>
                      <w:rFonts w:eastAsiaTheme="minorEastAsia"/>
                      <w:color w:val="auto"/>
                      <w:szCs w:val="21"/>
                    </w:rPr>
                  </w:pPr>
                  <w:r>
                    <w:rPr>
                      <w:rFonts w:eastAsiaTheme="minorEastAsia"/>
                      <w:color w:val="auto"/>
                      <w:szCs w:val="21"/>
                    </w:rPr>
                    <w:t>损失或废水产生工序</w:t>
                  </w:r>
                </w:p>
              </w:tc>
              <w:tc>
                <w:tcPr>
                  <w:tcW w:w="1134" w:type="dxa"/>
                  <w:tcBorders>
                    <w:righ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损失量</w:t>
                  </w:r>
                </w:p>
              </w:tc>
              <w:tc>
                <w:tcPr>
                  <w:tcW w:w="1208" w:type="dxa"/>
                  <w:tcBorders>
                    <w:lef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废水量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Align w:val="center"/>
                </w:tcPr>
                <w:p>
                  <w:pPr>
                    <w:pStyle w:val="26"/>
                    <w:spacing w:line="360" w:lineRule="exact"/>
                    <w:rPr>
                      <w:rFonts w:eastAsiaTheme="minorEastAsia"/>
                      <w:color w:val="auto"/>
                      <w:szCs w:val="21"/>
                    </w:rPr>
                  </w:pPr>
                  <w:r>
                    <w:rPr>
                      <w:rFonts w:eastAsiaTheme="minorEastAsia"/>
                      <w:color w:val="auto"/>
                      <w:szCs w:val="21"/>
                    </w:rPr>
                    <w:t>1</w:t>
                  </w:r>
                </w:p>
              </w:tc>
              <w:tc>
                <w:tcPr>
                  <w:tcW w:w="1786" w:type="dxa"/>
                  <w:vAlign w:val="center"/>
                </w:tcPr>
                <w:p>
                  <w:pPr>
                    <w:pStyle w:val="26"/>
                    <w:spacing w:line="360" w:lineRule="exact"/>
                    <w:rPr>
                      <w:rFonts w:eastAsiaTheme="minorEastAsia"/>
                      <w:color w:val="auto"/>
                      <w:szCs w:val="21"/>
                    </w:rPr>
                  </w:pPr>
                  <w:r>
                    <w:rPr>
                      <w:rFonts w:eastAsiaTheme="minorEastAsia"/>
                      <w:color w:val="auto"/>
                      <w:szCs w:val="21"/>
                    </w:rPr>
                    <w:t>生产线破碎</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238.63</w:t>
                  </w:r>
                </w:p>
              </w:tc>
              <w:tc>
                <w:tcPr>
                  <w:tcW w:w="2551" w:type="dxa"/>
                  <w:vAlign w:val="center"/>
                </w:tcPr>
                <w:p>
                  <w:pPr>
                    <w:pStyle w:val="26"/>
                    <w:spacing w:line="360" w:lineRule="exact"/>
                    <w:rPr>
                      <w:rFonts w:eastAsiaTheme="minorEastAsia"/>
                      <w:color w:val="auto"/>
                      <w:szCs w:val="21"/>
                    </w:rPr>
                  </w:pPr>
                  <w:r>
                    <w:rPr>
                      <w:rFonts w:eastAsiaTheme="minorEastAsia"/>
                      <w:color w:val="auto"/>
                      <w:szCs w:val="21"/>
                    </w:rPr>
                    <w:t>Φ0-</w:t>
                  </w:r>
                  <w:r>
                    <w:rPr>
                      <w:rFonts w:eastAsiaTheme="minorEastAsia"/>
                      <w:color w:val="auto"/>
                      <w:szCs w:val="21"/>
                      <w:lang w:val="en-US"/>
                    </w:rPr>
                    <w:t>5</w:t>
                  </w:r>
                  <w:r>
                    <w:rPr>
                      <w:rFonts w:eastAsiaTheme="minorEastAsia"/>
                      <w:color w:val="auto"/>
                      <w:szCs w:val="21"/>
                    </w:rPr>
                    <w:t>mm（</w:t>
                  </w:r>
                  <w:r>
                    <w:rPr>
                      <w:rFonts w:eastAsiaTheme="minorEastAsia"/>
                      <w:color w:val="auto"/>
                      <w:szCs w:val="21"/>
                      <w:lang w:val="en-US"/>
                    </w:rPr>
                    <w:t>自然砂</w:t>
                  </w:r>
                  <w:r>
                    <w:rPr>
                      <w:rFonts w:eastAsiaTheme="minorEastAsia"/>
                      <w:color w:val="auto"/>
                      <w:szCs w:val="21"/>
                    </w:rPr>
                    <w:t>）产品带走</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23.</w:t>
                  </w:r>
                  <w:r>
                    <w:rPr>
                      <w:rFonts w:eastAsiaTheme="minorEastAsia"/>
                      <w:color w:val="auto"/>
                      <w:szCs w:val="21"/>
                      <w:lang w:val="en-US"/>
                    </w:rPr>
                    <w:t>8</w:t>
                  </w:r>
                </w:p>
              </w:tc>
              <w:tc>
                <w:tcPr>
                  <w:tcW w:w="1208" w:type="dxa"/>
                  <w:vMerge w:val="restart"/>
                  <w:vAlign w:val="center"/>
                </w:tcPr>
                <w:p>
                  <w:pPr>
                    <w:pStyle w:val="26"/>
                    <w:spacing w:line="360" w:lineRule="exact"/>
                    <w:rPr>
                      <w:rFonts w:eastAsiaTheme="minorEastAsia"/>
                      <w:color w:val="auto"/>
                      <w:szCs w:val="21"/>
                    </w:rPr>
                  </w:pPr>
                  <w:r>
                    <w:rPr>
                      <w:rFonts w:eastAsiaTheme="minorEastAsia"/>
                      <w:color w:val="auto"/>
                      <w:szCs w:val="21"/>
                    </w:rPr>
                    <w:t>1101.37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Align w:val="center"/>
                </w:tcPr>
                <w:p>
                  <w:pPr>
                    <w:pStyle w:val="26"/>
                    <w:spacing w:line="360" w:lineRule="exact"/>
                    <w:rPr>
                      <w:rFonts w:eastAsiaTheme="minorEastAsia"/>
                      <w:color w:val="auto"/>
                      <w:szCs w:val="21"/>
                    </w:rPr>
                  </w:pPr>
                  <w:r>
                    <w:rPr>
                      <w:rFonts w:eastAsiaTheme="minorEastAsia"/>
                      <w:color w:val="auto"/>
                      <w:szCs w:val="21"/>
                    </w:rPr>
                    <w:t>2</w:t>
                  </w:r>
                </w:p>
              </w:tc>
              <w:tc>
                <w:tcPr>
                  <w:tcW w:w="1786" w:type="dxa"/>
                  <w:vAlign w:val="center"/>
                </w:tcPr>
                <w:p>
                  <w:pPr>
                    <w:pStyle w:val="26"/>
                    <w:spacing w:line="360" w:lineRule="exact"/>
                    <w:rPr>
                      <w:rFonts w:eastAsiaTheme="minorEastAsia"/>
                      <w:color w:val="auto"/>
                      <w:szCs w:val="21"/>
                    </w:rPr>
                  </w:pPr>
                  <w:r>
                    <w:rPr>
                      <w:rFonts w:eastAsiaTheme="minorEastAsia"/>
                      <w:color w:val="auto"/>
                      <w:szCs w:val="21"/>
                    </w:rPr>
                    <w:t>生产线筛分</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238.63</w:t>
                  </w:r>
                </w:p>
              </w:tc>
              <w:tc>
                <w:tcPr>
                  <w:tcW w:w="2551" w:type="dxa"/>
                  <w:vAlign w:val="center"/>
                </w:tcPr>
                <w:p>
                  <w:pPr>
                    <w:pStyle w:val="26"/>
                    <w:spacing w:line="360" w:lineRule="exact"/>
                    <w:rPr>
                      <w:rFonts w:eastAsiaTheme="minorEastAsia"/>
                      <w:color w:val="auto"/>
                      <w:szCs w:val="21"/>
                    </w:rPr>
                  </w:pPr>
                  <w:r>
                    <w:rPr>
                      <w:rFonts w:eastAsiaTheme="minorEastAsia"/>
                      <w:color w:val="auto"/>
                      <w:szCs w:val="21"/>
                    </w:rPr>
                    <w:t>Φ0-</w:t>
                  </w:r>
                  <w:r>
                    <w:rPr>
                      <w:rFonts w:eastAsiaTheme="minorEastAsia"/>
                      <w:color w:val="auto"/>
                      <w:szCs w:val="21"/>
                      <w:lang w:val="en-US"/>
                    </w:rPr>
                    <w:t>5</w:t>
                  </w:r>
                  <w:r>
                    <w:rPr>
                      <w:rFonts w:eastAsiaTheme="minorEastAsia"/>
                      <w:color w:val="auto"/>
                      <w:szCs w:val="21"/>
                    </w:rPr>
                    <w:t>mm（</w:t>
                  </w:r>
                  <w:r>
                    <w:rPr>
                      <w:rFonts w:eastAsiaTheme="minorEastAsia"/>
                      <w:color w:val="auto"/>
                      <w:szCs w:val="21"/>
                      <w:lang w:val="en-US"/>
                    </w:rPr>
                    <w:t>机制砂</w:t>
                  </w:r>
                  <w:r>
                    <w:rPr>
                      <w:rFonts w:eastAsiaTheme="minorEastAsia"/>
                      <w:color w:val="auto"/>
                      <w:szCs w:val="21"/>
                    </w:rPr>
                    <w:t>）产品带走</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23.8</w:t>
                  </w:r>
                </w:p>
              </w:tc>
              <w:tc>
                <w:tcPr>
                  <w:tcW w:w="1208"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Align w:val="center"/>
                </w:tcPr>
                <w:p>
                  <w:pPr>
                    <w:pStyle w:val="26"/>
                    <w:spacing w:line="360" w:lineRule="exact"/>
                    <w:rPr>
                      <w:rFonts w:eastAsiaTheme="minorEastAsia"/>
                      <w:color w:val="auto"/>
                      <w:szCs w:val="21"/>
                    </w:rPr>
                  </w:pPr>
                  <w:r>
                    <w:rPr>
                      <w:rFonts w:eastAsiaTheme="minorEastAsia"/>
                      <w:color w:val="auto"/>
                      <w:szCs w:val="21"/>
                      <w:lang w:val="en-US"/>
                    </w:rPr>
                    <w:t>3</w:t>
                  </w:r>
                </w:p>
              </w:tc>
              <w:tc>
                <w:tcPr>
                  <w:tcW w:w="1786" w:type="dxa"/>
                  <w:vAlign w:val="center"/>
                </w:tcPr>
                <w:p>
                  <w:pPr>
                    <w:pStyle w:val="26"/>
                    <w:spacing w:line="360" w:lineRule="exact"/>
                    <w:rPr>
                      <w:rFonts w:eastAsiaTheme="minorEastAsia"/>
                      <w:color w:val="auto"/>
                      <w:szCs w:val="21"/>
                    </w:rPr>
                  </w:pPr>
                  <w:r>
                    <w:rPr>
                      <w:rFonts w:eastAsiaTheme="minorEastAsia"/>
                      <w:color w:val="auto"/>
                      <w:szCs w:val="21"/>
                    </w:rPr>
                    <w:t>生产线破碎</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375.45</w:t>
                  </w:r>
                </w:p>
              </w:tc>
              <w:tc>
                <w:tcPr>
                  <w:tcW w:w="2551" w:type="dxa"/>
                  <w:vAlign w:val="center"/>
                </w:tcPr>
                <w:p>
                  <w:pPr>
                    <w:pStyle w:val="26"/>
                    <w:spacing w:line="360" w:lineRule="exact"/>
                    <w:rPr>
                      <w:rFonts w:eastAsiaTheme="minorEastAsia"/>
                      <w:color w:val="auto"/>
                      <w:szCs w:val="21"/>
                    </w:rPr>
                  </w:pPr>
                  <w:r>
                    <w:rPr>
                      <w:rFonts w:eastAsiaTheme="minorEastAsia"/>
                      <w:color w:val="auto"/>
                      <w:szCs w:val="21"/>
                    </w:rPr>
                    <w:t>Φ10-20mm产品带走</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15.02</w:t>
                  </w:r>
                </w:p>
              </w:tc>
              <w:tc>
                <w:tcPr>
                  <w:tcW w:w="1208"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Align w:val="center"/>
                </w:tcPr>
                <w:p>
                  <w:pPr>
                    <w:pStyle w:val="26"/>
                    <w:spacing w:line="360" w:lineRule="exact"/>
                    <w:rPr>
                      <w:rFonts w:eastAsiaTheme="minorEastAsia"/>
                      <w:color w:val="auto"/>
                      <w:szCs w:val="21"/>
                    </w:rPr>
                  </w:pPr>
                  <w:r>
                    <w:rPr>
                      <w:rFonts w:eastAsiaTheme="minorEastAsia"/>
                      <w:color w:val="auto"/>
                      <w:szCs w:val="21"/>
                      <w:lang w:val="en-US"/>
                    </w:rPr>
                    <w:t>4</w:t>
                  </w:r>
                </w:p>
              </w:tc>
              <w:tc>
                <w:tcPr>
                  <w:tcW w:w="1786" w:type="dxa"/>
                  <w:vAlign w:val="center"/>
                </w:tcPr>
                <w:p>
                  <w:pPr>
                    <w:pStyle w:val="26"/>
                    <w:spacing w:line="360" w:lineRule="exact"/>
                    <w:rPr>
                      <w:rFonts w:eastAsiaTheme="minorEastAsia"/>
                      <w:color w:val="auto"/>
                      <w:szCs w:val="21"/>
                    </w:rPr>
                  </w:pPr>
                  <w:r>
                    <w:rPr>
                      <w:rFonts w:eastAsiaTheme="minorEastAsia"/>
                      <w:color w:val="auto"/>
                      <w:szCs w:val="21"/>
                    </w:rPr>
                    <w:t>生产线筛分</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324.49</w:t>
                  </w:r>
                </w:p>
              </w:tc>
              <w:tc>
                <w:tcPr>
                  <w:tcW w:w="2551" w:type="dxa"/>
                  <w:vAlign w:val="center"/>
                </w:tcPr>
                <w:p>
                  <w:pPr>
                    <w:pStyle w:val="26"/>
                    <w:spacing w:line="360" w:lineRule="exact"/>
                    <w:rPr>
                      <w:rFonts w:eastAsiaTheme="minorEastAsia"/>
                      <w:color w:val="auto"/>
                      <w:szCs w:val="21"/>
                    </w:rPr>
                  </w:pPr>
                  <w:r>
                    <w:rPr>
                      <w:rFonts w:eastAsiaTheme="minorEastAsia"/>
                      <w:color w:val="auto"/>
                      <w:szCs w:val="21"/>
                    </w:rPr>
                    <w:t>Φ20-31.5mm产品带走</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12.98</w:t>
                  </w:r>
                </w:p>
              </w:tc>
              <w:tc>
                <w:tcPr>
                  <w:tcW w:w="1208"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Align w:val="center"/>
                </w:tcPr>
                <w:p>
                  <w:pPr>
                    <w:pStyle w:val="26"/>
                    <w:spacing w:line="360" w:lineRule="exact"/>
                    <w:rPr>
                      <w:rFonts w:eastAsiaTheme="minorEastAsia"/>
                      <w:color w:val="auto"/>
                      <w:szCs w:val="21"/>
                    </w:rPr>
                  </w:pPr>
                  <w:r>
                    <w:rPr>
                      <w:rFonts w:eastAsiaTheme="minorEastAsia"/>
                      <w:color w:val="auto"/>
                      <w:szCs w:val="21"/>
                      <w:lang w:val="en-US"/>
                    </w:rPr>
                    <w:t>5</w:t>
                  </w:r>
                </w:p>
              </w:tc>
              <w:tc>
                <w:tcPr>
                  <w:tcW w:w="1786" w:type="dxa"/>
                  <w:vAlign w:val="center"/>
                </w:tcPr>
                <w:p>
                  <w:pPr>
                    <w:pStyle w:val="26"/>
                    <w:spacing w:line="360" w:lineRule="exact"/>
                    <w:rPr>
                      <w:rFonts w:eastAsiaTheme="minorEastAsia"/>
                      <w:color w:val="auto"/>
                      <w:szCs w:val="21"/>
                    </w:rPr>
                  </w:pPr>
                  <w:r>
                    <w:rPr>
                      <w:rFonts w:eastAsiaTheme="minorEastAsia"/>
                      <w:color w:val="auto"/>
                      <w:szCs w:val="21"/>
                    </w:rPr>
                    <w:t>生产线水洗</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w:t>
                  </w:r>
                </w:p>
              </w:tc>
              <w:tc>
                <w:tcPr>
                  <w:tcW w:w="2551" w:type="dxa"/>
                  <w:vAlign w:val="center"/>
                </w:tcPr>
                <w:p>
                  <w:pPr>
                    <w:pStyle w:val="26"/>
                    <w:spacing w:line="360" w:lineRule="exact"/>
                    <w:rPr>
                      <w:rFonts w:eastAsiaTheme="minorEastAsia"/>
                      <w:color w:val="auto"/>
                      <w:szCs w:val="21"/>
                    </w:rPr>
                  </w:pPr>
                  <w:r>
                    <w:rPr>
                      <w:rFonts w:eastAsiaTheme="minorEastAsia"/>
                      <w:color w:val="auto"/>
                      <w:szCs w:val="21"/>
                    </w:rPr>
                    <w:t>污泥带走</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rPr>
                    <w:t>0.</w:t>
                  </w:r>
                  <w:r>
                    <w:rPr>
                      <w:rFonts w:eastAsiaTheme="minorEastAsia"/>
                      <w:color w:val="auto"/>
                      <w:szCs w:val="21"/>
                      <w:lang w:val="en-US"/>
                    </w:rPr>
                    <w:t>23</w:t>
                  </w:r>
                </w:p>
              </w:tc>
              <w:tc>
                <w:tcPr>
                  <w:tcW w:w="1208"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2" w:type="dxa"/>
                  <w:vAlign w:val="center"/>
                </w:tcPr>
                <w:p>
                  <w:pPr>
                    <w:pStyle w:val="26"/>
                    <w:spacing w:line="360" w:lineRule="exact"/>
                    <w:rPr>
                      <w:rFonts w:eastAsiaTheme="minorEastAsia"/>
                      <w:color w:val="auto"/>
                      <w:szCs w:val="21"/>
                    </w:rPr>
                  </w:pPr>
                  <w:r>
                    <w:rPr>
                      <w:rFonts w:eastAsiaTheme="minorEastAsia"/>
                      <w:color w:val="auto"/>
                      <w:szCs w:val="21"/>
                      <w:lang w:val="en-US"/>
                    </w:rPr>
                    <w:t>6</w:t>
                  </w:r>
                </w:p>
              </w:tc>
              <w:tc>
                <w:tcPr>
                  <w:tcW w:w="1786" w:type="dxa"/>
                  <w:vAlign w:val="center"/>
                </w:tcPr>
                <w:p>
                  <w:pPr>
                    <w:pStyle w:val="26"/>
                    <w:spacing w:line="360" w:lineRule="exact"/>
                    <w:rPr>
                      <w:rFonts w:eastAsiaTheme="minorEastAsia"/>
                      <w:color w:val="auto"/>
                      <w:szCs w:val="21"/>
                    </w:rPr>
                  </w:pPr>
                  <w:r>
                    <w:rPr>
                      <w:rFonts w:eastAsiaTheme="minorEastAsia"/>
                      <w:color w:val="auto"/>
                      <w:szCs w:val="21"/>
                    </w:rPr>
                    <w:t>合计</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1177.2</w:t>
                  </w:r>
                </w:p>
              </w:tc>
              <w:tc>
                <w:tcPr>
                  <w:tcW w:w="2551" w:type="dxa"/>
                  <w:vAlign w:val="center"/>
                </w:tcPr>
                <w:p>
                  <w:pPr>
                    <w:pStyle w:val="26"/>
                    <w:spacing w:line="360" w:lineRule="exact"/>
                    <w:rPr>
                      <w:rFonts w:eastAsiaTheme="minorEastAsia"/>
                      <w:color w:val="auto"/>
                      <w:szCs w:val="21"/>
                    </w:rPr>
                  </w:pPr>
                  <w:r>
                    <w:rPr>
                      <w:rFonts w:eastAsiaTheme="minorEastAsia"/>
                      <w:color w:val="auto"/>
                      <w:szCs w:val="21"/>
                    </w:rPr>
                    <w:t>--</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75.83</w:t>
                  </w:r>
                </w:p>
              </w:tc>
              <w:tc>
                <w:tcPr>
                  <w:tcW w:w="1208"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1101.37</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根据项目废水特点，项目生产废水的水质如下表所示。</w:t>
            </w:r>
          </w:p>
          <w:p>
            <w:pPr>
              <w:jc w:val="center"/>
              <w:rPr>
                <w:rFonts w:ascii="Times New Roman" w:hAnsi="Times New Roman" w:cs="Times New Roman"/>
                <w:b/>
                <w:bCs/>
                <w:kern w:val="0"/>
              </w:rPr>
            </w:pPr>
          </w:p>
          <w:p>
            <w:pPr>
              <w:jc w:val="center"/>
              <w:rPr>
                <w:rFonts w:ascii="Times New Roman" w:hAnsi="Times New Roman" w:cs="Times New Roman"/>
                <w:b/>
                <w:bCs/>
                <w:kern w:val="0"/>
              </w:rPr>
            </w:pPr>
            <w:r>
              <w:rPr>
                <w:rFonts w:ascii="Times New Roman" w:hAnsi="Times New Roman" w:cs="Times New Roman"/>
                <w:b/>
                <w:bCs/>
                <w:kern w:val="0"/>
              </w:rPr>
              <w:t>表4.2.2-2 生产废水水质指标一览表 mg/L</w:t>
            </w:r>
          </w:p>
          <w:tbl>
            <w:tblPr>
              <w:tblStyle w:val="16"/>
              <w:tblW w:w="8600" w:type="dxa"/>
              <w:tblInd w:w="0" w:type="dxa"/>
              <w:tblLayout w:type="fixed"/>
              <w:tblCellMar>
                <w:top w:w="0" w:type="dxa"/>
                <w:left w:w="108" w:type="dxa"/>
                <w:bottom w:w="0" w:type="dxa"/>
                <w:right w:w="108" w:type="dxa"/>
              </w:tblCellMar>
            </w:tblPr>
            <w:tblGrid>
              <w:gridCol w:w="1938"/>
              <w:gridCol w:w="1665"/>
              <w:gridCol w:w="1667"/>
              <w:gridCol w:w="1665"/>
              <w:gridCol w:w="1665"/>
            </w:tblGrid>
            <w:tr>
              <w:tblPrEx>
                <w:tblLayout w:type="fixed"/>
                <w:tblCellMar>
                  <w:top w:w="0" w:type="dxa"/>
                  <w:left w:w="108" w:type="dxa"/>
                  <w:bottom w:w="0" w:type="dxa"/>
                  <w:right w:w="108" w:type="dxa"/>
                </w:tblCellMar>
              </w:tblPrEx>
              <w:trPr>
                <w:trHeight w:val="336" w:hRule="atLeast"/>
              </w:trPr>
              <w:tc>
                <w:tcPr>
                  <w:tcW w:w="1938" w:type="dxa"/>
                  <w:tcBorders>
                    <w:top w:val="single" w:color="auto" w:sz="4" w:space="0"/>
                    <w:left w:val="single" w:color="auto" w:sz="8" w:space="0"/>
                    <w:bottom w:val="single" w:color="000000"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污染物</w:t>
                  </w:r>
                </w:p>
              </w:tc>
              <w:tc>
                <w:tcPr>
                  <w:tcW w:w="1665" w:type="dxa"/>
                  <w:tcBorders>
                    <w:top w:val="single" w:color="auto" w:sz="4" w:space="0"/>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pH</w:t>
                  </w:r>
                </w:p>
              </w:tc>
              <w:tc>
                <w:tcPr>
                  <w:tcW w:w="1667" w:type="dxa"/>
                  <w:tcBorders>
                    <w:top w:val="single" w:color="auto" w:sz="4" w:space="0"/>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CODcr</w:t>
                  </w:r>
                </w:p>
              </w:tc>
              <w:tc>
                <w:tcPr>
                  <w:tcW w:w="1665" w:type="dxa"/>
                  <w:tcBorders>
                    <w:top w:val="single" w:color="auto" w:sz="4" w:space="0"/>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SS</w:t>
                  </w:r>
                </w:p>
              </w:tc>
              <w:tc>
                <w:tcPr>
                  <w:tcW w:w="1665" w:type="dxa"/>
                  <w:tcBorders>
                    <w:top w:val="single" w:color="auto" w:sz="4" w:space="0"/>
                    <w:left w:val="nil"/>
                    <w:bottom w:val="single" w:color="auto" w:sz="8" w:space="0"/>
                    <w:right w:val="single" w:color="auto" w:sz="4"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r>
            <w:tr>
              <w:tblPrEx>
                <w:tblLayout w:type="fixed"/>
                <w:tblCellMar>
                  <w:top w:w="0" w:type="dxa"/>
                  <w:left w:w="108" w:type="dxa"/>
                  <w:bottom w:w="0" w:type="dxa"/>
                  <w:right w:w="108" w:type="dxa"/>
                </w:tblCellMar>
              </w:tblPrEx>
              <w:trPr>
                <w:trHeight w:val="300" w:hRule="atLeast"/>
              </w:trPr>
              <w:tc>
                <w:tcPr>
                  <w:tcW w:w="1938" w:type="dxa"/>
                  <w:tcBorders>
                    <w:top w:val="nil"/>
                    <w:left w:val="single" w:color="auto" w:sz="8" w:space="0"/>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生产废水</w:t>
                  </w:r>
                </w:p>
              </w:tc>
              <w:tc>
                <w:tcPr>
                  <w:tcW w:w="1665" w:type="dxa"/>
                  <w:tcBorders>
                    <w:top w:val="nil"/>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color w:val="auto"/>
                      <w:szCs w:val="21"/>
                    </w:rPr>
                    <w:t>6.5-8.5</w:t>
                  </w:r>
                </w:p>
              </w:tc>
              <w:tc>
                <w:tcPr>
                  <w:tcW w:w="1667" w:type="dxa"/>
                  <w:tcBorders>
                    <w:top w:val="nil"/>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50</w:t>
                  </w:r>
                </w:p>
              </w:tc>
              <w:tc>
                <w:tcPr>
                  <w:tcW w:w="1665" w:type="dxa"/>
                  <w:tcBorders>
                    <w:top w:val="nil"/>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2900</w:t>
                  </w:r>
                </w:p>
              </w:tc>
              <w:tc>
                <w:tcPr>
                  <w:tcW w:w="1665" w:type="dxa"/>
                  <w:tcBorders>
                    <w:top w:val="nil"/>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4.5</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项目废水特点，项目生产废水主要为洗砂废水，项目拟设置一套生产废水处理系统对其进行处理，该系统由2个生产废水收集池、2个污水处理塔、2个清水池、2个泥浆回收池和4台污泥压滤机组成；项目生产废水经处理后完全回用，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②生活污水产排核算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根据项目特点，本项目拟设置员工30人。根据《云南省地方标准用水定额》（DB53/T168-2019），用水定额取40L/d·人，则生活用水量1.2m³/d，合计为396m³/a；废水率按90%计，则废水量为1.08m³/d，合计为356.4m³/a。</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根据类比调查，生活污水水质如下表所示。</w:t>
            </w:r>
          </w:p>
          <w:p>
            <w:pPr>
              <w:jc w:val="center"/>
              <w:rPr>
                <w:rFonts w:ascii="Times New Roman" w:hAnsi="Times New Roman" w:cs="Times New Roman"/>
                <w:b/>
                <w:bCs/>
                <w:kern w:val="0"/>
              </w:rPr>
            </w:pPr>
            <w:r>
              <w:rPr>
                <w:rFonts w:ascii="Times New Roman" w:hAnsi="Times New Roman" w:cs="Times New Roman"/>
                <w:b/>
                <w:bCs/>
                <w:kern w:val="0"/>
              </w:rPr>
              <w:t xml:space="preserve">表4.2.2-3 生活污水水质指标一览表 </w:t>
            </w:r>
            <w:r>
              <w:rPr>
                <w:rFonts w:ascii="Times New Roman" w:hAnsi="Times New Roman" w:cs="Times New Roman"/>
              </w:rPr>
              <w:t>mg/L</w:t>
            </w:r>
          </w:p>
          <w:tbl>
            <w:tblPr>
              <w:tblStyle w:val="16"/>
              <w:tblW w:w="8600" w:type="dxa"/>
              <w:jc w:val="center"/>
              <w:tblInd w:w="0" w:type="dxa"/>
              <w:tblLayout w:type="fixed"/>
              <w:tblCellMar>
                <w:top w:w="0" w:type="dxa"/>
                <w:left w:w="108" w:type="dxa"/>
                <w:bottom w:w="0" w:type="dxa"/>
                <w:right w:w="108" w:type="dxa"/>
              </w:tblCellMar>
            </w:tblPr>
            <w:tblGrid>
              <w:gridCol w:w="1158"/>
              <w:gridCol w:w="567"/>
              <w:gridCol w:w="851"/>
              <w:gridCol w:w="850"/>
              <w:gridCol w:w="709"/>
              <w:gridCol w:w="850"/>
              <w:gridCol w:w="709"/>
              <w:gridCol w:w="786"/>
              <w:gridCol w:w="918"/>
              <w:gridCol w:w="1202"/>
            </w:tblGrid>
            <w:tr>
              <w:tblPrEx>
                <w:tblLayout w:type="fixed"/>
                <w:tblCellMar>
                  <w:top w:w="0" w:type="dxa"/>
                  <w:left w:w="108" w:type="dxa"/>
                  <w:bottom w:w="0" w:type="dxa"/>
                  <w:right w:w="108" w:type="dxa"/>
                </w:tblCellMar>
              </w:tblPrEx>
              <w:trPr>
                <w:trHeight w:val="285" w:hRule="atLeast"/>
                <w:jc w:val="center"/>
              </w:trPr>
              <w:tc>
                <w:tcPr>
                  <w:tcW w:w="1158" w:type="dxa"/>
                  <w:tcBorders>
                    <w:top w:val="single" w:color="auto" w:sz="4" w:space="0"/>
                    <w:left w:val="single" w:color="auto" w:sz="8" w:space="0"/>
                    <w:bottom w:val="single" w:color="000000"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污染物</w:t>
                  </w:r>
                </w:p>
              </w:tc>
              <w:tc>
                <w:tcPr>
                  <w:tcW w:w="567" w:type="dxa"/>
                  <w:tcBorders>
                    <w:top w:val="single" w:color="auto" w:sz="4" w:space="0"/>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pH</w:t>
                  </w:r>
                </w:p>
              </w:tc>
              <w:tc>
                <w:tcPr>
                  <w:tcW w:w="851" w:type="dxa"/>
                  <w:tcBorders>
                    <w:top w:val="single" w:color="auto" w:sz="4" w:space="0"/>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CODcr</w:t>
                  </w:r>
                </w:p>
              </w:tc>
              <w:tc>
                <w:tcPr>
                  <w:tcW w:w="850" w:type="dxa"/>
                  <w:tcBorders>
                    <w:top w:val="single" w:color="auto" w:sz="4" w:space="0"/>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709" w:type="dxa"/>
                  <w:tcBorders>
                    <w:top w:val="single" w:color="auto" w:sz="4" w:space="0"/>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SS</w:t>
                  </w:r>
                </w:p>
              </w:tc>
              <w:tc>
                <w:tcPr>
                  <w:tcW w:w="850" w:type="dxa"/>
                  <w:tcBorders>
                    <w:top w:val="single" w:color="auto" w:sz="4" w:space="0"/>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709" w:type="dxa"/>
                  <w:tcBorders>
                    <w:top w:val="single" w:color="auto" w:sz="4" w:space="0"/>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TN</w:t>
                  </w:r>
                </w:p>
              </w:tc>
              <w:tc>
                <w:tcPr>
                  <w:tcW w:w="786" w:type="dxa"/>
                  <w:tcBorders>
                    <w:top w:val="single" w:color="auto" w:sz="4" w:space="0"/>
                    <w:left w:val="nil"/>
                    <w:bottom w:val="single" w:color="auto" w:sz="8" w:space="0"/>
                    <w:righ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TP</w:t>
                  </w:r>
                </w:p>
              </w:tc>
              <w:tc>
                <w:tcPr>
                  <w:tcW w:w="918" w:type="dxa"/>
                  <w:tcBorders>
                    <w:top w:val="single" w:color="auto" w:sz="4" w:space="0"/>
                    <w:left w:val="nil"/>
                    <w:bottom w:val="single" w:color="auto" w:sz="8" w:space="0"/>
                    <w:righ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阴离子表面活性剂</w:t>
                  </w:r>
                </w:p>
              </w:tc>
              <w:tc>
                <w:tcPr>
                  <w:tcW w:w="1202" w:type="dxa"/>
                  <w:tcBorders>
                    <w:top w:val="single" w:color="auto" w:sz="4" w:space="0"/>
                    <w:left w:val="nil"/>
                    <w:bottom w:val="single" w:color="auto" w:sz="8" w:space="0"/>
                    <w:righ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1158" w:type="dxa"/>
                  <w:tcBorders>
                    <w:top w:val="nil"/>
                    <w:left w:val="single" w:color="auto" w:sz="8" w:space="0"/>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生活污水</w:t>
                  </w:r>
                </w:p>
              </w:tc>
              <w:tc>
                <w:tcPr>
                  <w:tcW w:w="567" w:type="dxa"/>
                  <w:tcBorders>
                    <w:top w:val="nil"/>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6-9</w:t>
                  </w:r>
                </w:p>
              </w:tc>
              <w:tc>
                <w:tcPr>
                  <w:tcW w:w="851" w:type="dxa"/>
                  <w:tcBorders>
                    <w:top w:val="nil"/>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350</w:t>
                  </w:r>
                </w:p>
              </w:tc>
              <w:tc>
                <w:tcPr>
                  <w:tcW w:w="850" w:type="dxa"/>
                  <w:tcBorders>
                    <w:top w:val="nil"/>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220</w:t>
                  </w:r>
                </w:p>
              </w:tc>
              <w:tc>
                <w:tcPr>
                  <w:tcW w:w="709" w:type="dxa"/>
                  <w:tcBorders>
                    <w:top w:val="nil"/>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300</w:t>
                  </w:r>
                </w:p>
              </w:tc>
              <w:tc>
                <w:tcPr>
                  <w:tcW w:w="850" w:type="dxa"/>
                  <w:tcBorders>
                    <w:top w:val="nil"/>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38</w:t>
                  </w:r>
                </w:p>
              </w:tc>
              <w:tc>
                <w:tcPr>
                  <w:tcW w:w="709" w:type="dxa"/>
                  <w:tcBorders>
                    <w:top w:val="nil"/>
                    <w:left w:val="nil"/>
                    <w:bottom w:val="single" w:color="auto" w:sz="8" w:space="0"/>
                    <w:right w:val="single" w:color="auto" w:sz="8" w:space="0"/>
                  </w:tcBorders>
                  <w:vAlign w:val="center"/>
                </w:tcPr>
                <w:p>
                  <w:pPr>
                    <w:pStyle w:val="26"/>
                    <w:spacing w:line="360" w:lineRule="exact"/>
                    <w:rPr>
                      <w:rFonts w:eastAsiaTheme="minorEastAsia"/>
                      <w:color w:val="auto"/>
                      <w:szCs w:val="21"/>
                    </w:rPr>
                  </w:pPr>
                  <w:r>
                    <w:rPr>
                      <w:rFonts w:eastAsiaTheme="minorEastAsia"/>
                      <w:color w:val="auto"/>
                      <w:szCs w:val="21"/>
                    </w:rPr>
                    <w:t>45</w:t>
                  </w:r>
                </w:p>
              </w:tc>
              <w:tc>
                <w:tcPr>
                  <w:tcW w:w="786" w:type="dxa"/>
                  <w:tcBorders>
                    <w:top w:val="nil"/>
                    <w:left w:val="nil"/>
                    <w:bottom w:val="single" w:color="auto" w:sz="8" w:space="0"/>
                    <w:right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8</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16000</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根据设计，项目拟设置一个有效容积为2m³的化粪池、处理规模为2m³/d的一体化污水处理设施和一个有效容积为8m³的再生水收集池；项目生活污水经化粪池和一体化污水处理设施处理后，回用于绿化不外排。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③初期雨水产排核算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本项目生产区及产品库均处于厂房内，不会有淋滤水产生，但项目非生产区域在雨天会产生初期雨水，项目区初期雨水产生量按下述公式进行计算：</w:t>
            </w:r>
          </w:p>
          <w:p>
            <w:pPr>
              <w:spacing w:line="360" w:lineRule="auto"/>
              <w:jc w:val="center"/>
              <w:rPr>
                <w:rFonts w:ascii="Times New Roman" w:hAnsi="Times New Roman" w:cs="Times New Roman"/>
                <w:sz w:val="24"/>
              </w:rPr>
            </w:pPr>
            <w:r>
              <w:rPr>
                <w:rFonts w:ascii="Times New Roman" w:hAnsi="Times New Roman" w:cs="Times New Roman"/>
                <w:sz w:val="24"/>
              </w:rPr>
              <w:t>Qm=F·Hm·Ψ÷1000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式中：Qm：最大径流量（m³）；</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F：汇水面积（m²）；</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Hm：降雨量（mm）；</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Ψ：径流系数，取0.6；</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汇水面积取雨水直接落到地面上的占地面积，经现场踏勘统计，项目区汇水面积约2500m²，考虑到项目区场地的硬化程度，径流系数取0.6。该区30年一遇最大日降雨量153.3mm，经计算项目区最大日雨水量为229.95m³，初期雨水主要产生于暴雨前2h，经计算，项目初期雨水产生量约为19.16m³/次；初期雨水的特征污染物主要为SS，项目为了防止雨天地表径流进入产品库及生产区，使项目区域砂石料流失，造成环境污染，项目拟在厂房外围及厂区周围设置900m的截排水沟对雨天厂区产生的初期雨水及地表径流进行疏导，初期雨水通过截排水沟收集后进入有效容积不低于20m³的初期雨水收集池沉淀后回用于生产，不外排；同时在截排水沟至废水收集管道末端设置闸门，初期雨水收集后，关闭闸门，后期雨水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rPr>
              <w:t>废水</w:t>
            </w:r>
            <w:r>
              <w:rPr>
                <w:rFonts w:ascii="Times New Roman" w:hAnsi="Times New Roman" w:cs="Times New Roman"/>
                <w:b/>
                <w:sz w:val="24"/>
                <w:szCs w:val="24"/>
              </w:rPr>
              <w:t>污染物排放源及达标性分析</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①</w:t>
            </w:r>
            <w:r>
              <w:rPr>
                <w:rFonts w:ascii="Times New Roman" w:hAnsi="Times New Roman" w:cs="Times New Roman"/>
                <w:b/>
                <w:sz w:val="24"/>
              </w:rPr>
              <w:t>废水污染物治理措施及排放方式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项目废水污染物排放源的治理措施及排放方式如下表所示。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 xml:space="preserve">4.2.2-2 </w:t>
            </w:r>
            <w:r>
              <w:rPr>
                <w:rFonts w:ascii="Times New Roman" w:hAnsi="Times New Roman" w:cs="Times New Roman"/>
                <w:b/>
              </w:rPr>
              <w:t>废水</w:t>
            </w:r>
            <w:r>
              <w:rPr>
                <w:rFonts w:ascii="Times New Roman" w:hAnsi="Times New Roman" w:cs="Times New Roman"/>
                <w:b/>
                <w:szCs w:val="24"/>
              </w:rPr>
              <w:t>污染物治理措施及排放方式一览表</w:t>
            </w:r>
          </w:p>
          <w:tbl>
            <w:tblPr>
              <w:tblStyle w:val="17"/>
              <w:tblW w:w="88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712"/>
              <w:gridCol w:w="1414"/>
              <w:gridCol w:w="3969"/>
              <w:gridCol w:w="992"/>
              <w:gridCol w:w="10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Align w:val="center"/>
                </w:tcPr>
                <w:p>
                  <w:pPr>
                    <w:pStyle w:val="26"/>
                    <w:spacing w:line="360" w:lineRule="exact"/>
                    <w:rPr>
                      <w:rFonts w:eastAsiaTheme="minorEastAsia"/>
                      <w:color w:val="auto"/>
                      <w:szCs w:val="21"/>
                    </w:rPr>
                  </w:pPr>
                  <w:r>
                    <w:rPr>
                      <w:rFonts w:eastAsiaTheme="minorEastAsia"/>
                      <w:color w:val="auto"/>
                      <w:szCs w:val="21"/>
                    </w:rPr>
                    <w:t>产排污环节</w:t>
                  </w:r>
                </w:p>
              </w:tc>
              <w:tc>
                <w:tcPr>
                  <w:tcW w:w="712" w:type="dxa"/>
                  <w:vAlign w:val="center"/>
                </w:tcPr>
                <w:p>
                  <w:pPr>
                    <w:pStyle w:val="26"/>
                    <w:spacing w:line="360" w:lineRule="exact"/>
                    <w:rPr>
                      <w:rFonts w:eastAsiaTheme="minorEastAsia"/>
                      <w:color w:val="auto"/>
                      <w:szCs w:val="21"/>
                    </w:rPr>
                  </w:pPr>
                  <w:r>
                    <w:rPr>
                      <w:rFonts w:eastAsiaTheme="minorEastAsia"/>
                      <w:color w:val="auto"/>
                      <w:szCs w:val="21"/>
                    </w:rPr>
                    <w:t>类别</w:t>
                  </w: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污染物种类</w:t>
                  </w:r>
                </w:p>
              </w:tc>
              <w:tc>
                <w:tcPr>
                  <w:tcW w:w="3969" w:type="dxa"/>
                  <w:vAlign w:val="center"/>
                </w:tcPr>
                <w:p>
                  <w:pPr>
                    <w:pStyle w:val="26"/>
                    <w:spacing w:line="360" w:lineRule="exact"/>
                    <w:rPr>
                      <w:rFonts w:eastAsiaTheme="minorEastAsia"/>
                      <w:color w:val="auto"/>
                      <w:szCs w:val="21"/>
                    </w:rPr>
                  </w:pPr>
                  <w:r>
                    <w:rPr>
                      <w:rFonts w:eastAsiaTheme="minorEastAsia"/>
                      <w:color w:val="auto"/>
                      <w:szCs w:val="21"/>
                    </w:rPr>
                    <w:t>治理设施、效率及去向</w:t>
                  </w:r>
                </w:p>
              </w:tc>
              <w:tc>
                <w:tcPr>
                  <w:tcW w:w="992"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101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restart"/>
                  <w:vAlign w:val="center"/>
                </w:tcPr>
                <w:p>
                  <w:pPr>
                    <w:pStyle w:val="26"/>
                    <w:spacing w:line="360" w:lineRule="exact"/>
                    <w:rPr>
                      <w:rFonts w:eastAsiaTheme="minorEastAsia"/>
                      <w:color w:val="auto"/>
                      <w:szCs w:val="21"/>
                    </w:rPr>
                  </w:pPr>
                  <w:r>
                    <w:rPr>
                      <w:rFonts w:eastAsiaTheme="minorEastAsia"/>
                      <w:color w:val="auto"/>
                      <w:szCs w:val="21"/>
                    </w:rPr>
                    <w:t>生产车间</w:t>
                  </w:r>
                </w:p>
              </w:tc>
              <w:tc>
                <w:tcPr>
                  <w:tcW w:w="712" w:type="dxa"/>
                  <w:vMerge w:val="restart"/>
                  <w:vAlign w:val="center"/>
                </w:tcPr>
                <w:p>
                  <w:pPr>
                    <w:pStyle w:val="26"/>
                    <w:spacing w:line="360" w:lineRule="exact"/>
                    <w:rPr>
                      <w:rFonts w:eastAsiaTheme="minorEastAsia"/>
                      <w:color w:val="auto"/>
                      <w:szCs w:val="21"/>
                    </w:rPr>
                  </w:pPr>
                  <w:r>
                    <w:rPr>
                      <w:rFonts w:eastAsiaTheme="minorEastAsia"/>
                      <w:color w:val="auto"/>
                      <w:szCs w:val="21"/>
                    </w:rPr>
                    <w:t>生产废水</w:t>
                  </w: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pH</w:t>
                  </w:r>
                </w:p>
              </w:tc>
              <w:tc>
                <w:tcPr>
                  <w:tcW w:w="3969"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项目生产废水主要为洗砂废水，项目拟设置一套生产废水处理系统对其进行处理，该系统由</w:t>
                  </w:r>
                  <w:r>
                    <w:rPr>
                      <w:color w:val="auto"/>
                      <w:szCs w:val="21"/>
                    </w:rPr>
                    <w:t>2个生产废水收集池、2个</w:t>
                  </w:r>
                  <w:r>
                    <w:rPr>
                      <w:color w:val="auto"/>
                      <w:szCs w:val="21"/>
                      <w:lang w:val="en-US"/>
                    </w:rPr>
                    <w:t>污水处理塔</w:t>
                  </w:r>
                  <w:r>
                    <w:rPr>
                      <w:color w:val="auto"/>
                      <w:szCs w:val="21"/>
                    </w:rPr>
                    <w:t>、</w:t>
                  </w:r>
                  <w:r>
                    <w:rPr>
                      <w:color w:val="auto"/>
                      <w:szCs w:val="21"/>
                      <w:lang w:val="en-US"/>
                    </w:rPr>
                    <w:t>2</w:t>
                  </w:r>
                  <w:r>
                    <w:rPr>
                      <w:color w:val="auto"/>
                      <w:szCs w:val="21"/>
                    </w:rPr>
                    <w:t>个清水池、</w:t>
                  </w:r>
                  <w:r>
                    <w:rPr>
                      <w:color w:val="auto"/>
                      <w:szCs w:val="21"/>
                      <w:lang w:val="en-US"/>
                    </w:rPr>
                    <w:t>2个泥浆回收池</w:t>
                  </w:r>
                  <w:r>
                    <w:rPr>
                      <w:color w:val="auto"/>
                      <w:szCs w:val="21"/>
                    </w:rPr>
                    <w:t>和</w:t>
                  </w:r>
                  <w:r>
                    <w:rPr>
                      <w:color w:val="auto"/>
                      <w:szCs w:val="21"/>
                      <w:lang w:val="en-US"/>
                    </w:rPr>
                    <w:t>4台污泥压滤机</w:t>
                  </w:r>
                  <w:r>
                    <w:rPr>
                      <w:color w:val="auto"/>
                      <w:szCs w:val="21"/>
                    </w:rPr>
                    <w:t>组成</w:t>
                  </w:r>
                  <w:r>
                    <w:rPr>
                      <w:rFonts w:eastAsiaTheme="minorEastAsia"/>
                      <w:color w:val="auto"/>
                      <w:szCs w:val="21"/>
                    </w:rPr>
                    <w:t>；项目生产废水经处理后完全回用，不外排。</w:t>
                  </w:r>
                </w:p>
              </w:tc>
              <w:tc>
                <w:tcPr>
                  <w:tcW w:w="992"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1019"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CODcr</w:t>
                  </w:r>
                </w:p>
              </w:tc>
              <w:tc>
                <w:tcPr>
                  <w:tcW w:w="3969" w:type="dxa"/>
                  <w:vMerge w:val="continue"/>
                  <w:vAlign w:val="center"/>
                </w:tcPr>
                <w:p>
                  <w:pPr>
                    <w:pStyle w:val="26"/>
                    <w:spacing w:line="360" w:lineRule="exact"/>
                    <w:ind w:firstLine="210" w:firstLineChars="100"/>
                    <w:jc w:val="both"/>
                    <w:rPr>
                      <w:rFonts w:eastAsiaTheme="minorEastAsia"/>
                      <w:color w:val="auto"/>
                      <w:szCs w:val="21"/>
                    </w:rPr>
                  </w:pPr>
                </w:p>
              </w:tc>
              <w:tc>
                <w:tcPr>
                  <w:tcW w:w="992" w:type="dxa"/>
                  <w:vMerge w:val="continue"/>
                  <w:vAlign w:val="center"/>
                </w:tcPr>
                <w:p>
                  <w:pPr>
                    <w:spacing w:line="360" w:lineRule="exact"/>
                    <w:jc w:val="center"/>
                    <w:rPr>
                      <w:rFonts w:ascii="Times New Roman" w:hAnsi="Times New Roman" w:cs="Times New Roman"/>
                      <w:bCs/>
                      <w:snapToGrid w:val="0"/>
                      <w:kern w:val="32"/>
                      <w:lang w:val="zh-CN"/>
                    </w:rPr>
                  </w:pPr>
                </w:p>
              </w:tc>
              <w:tc>
                <w:tcPr>
                  <w:tcW w:w="1019"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3969" w:type="dxa"/>
                  <w:vMerge w:val="continue"/>
                  <w:vAlign w:val="center"/>
                </w:tcPr>
                <w:p>
                  <w:pPr>
                    <w:pStyle w:val="26"/>
                    <w:spacing w:line="360" w:lineRule="exact"/>
                    <w:ind w:firstLine="210" w:firstLineChars="100"/>
                    <w:jc w:val="both"/>
                    <w:rPr>
                      <w:rFonts w:eastAsiaTheme="minorEastAsia"/>
                      <w:color w:val="auto"/>
                      <w:szCs w:val="21"/>
                    </w:rPr>
                  </w:pPr>
                </w:p>
              </w:tc>
              <w:tc>
                <w:tcPr>
                  <w:tcW w:w="992" w:type="dxa"/>
                  <w:vMerge w:val="continue"/>
                  <w:vAlign w:val="center"/>
                </w:tcPr>
                <w:p>
                  <w:pPr>
                    <w:spacing w:line="360" w:lineRule="exact"/>
                    <w:jc w:val="center"/>
                    <w:rPr>
                      <w:rFonts w:ascii="Times New Roman" w:hAnsi="Times New Roman" w:cs="Times New Roman"/>
                      <w:bCs/>
                      <w:snapToGrid w:val="0"/>
                      <w:kern w:val="32"/>
                      <w:lang w:val="zh-CN"/>
                    </w:rPr>
                  </w:pPr>
                </w:p>
              </w:tc>
              <w:tc>
                <w:tcPr>
                  <w:tcW w:w="1019"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969" w:type="dxa"/>
                  <w:vMerge w:val="continue"/>
                  <w:vAlign w:val="center"/>
                </w:tcPr>
                <w:p>
                  <w:pPr>
                    <w:pStyle w:val="26"/>
                    <w:spacing w:line="360" w:lineRule="exact"/>
                    <w:ind w:firstLine="210" w:firstLineChars="100"/>
                    <w:jc w:val="both"/>
                    <w:rPr>
                      <w:rFonts w:eastAsiaTheme="minorEastAsia"/>
                      <w:color w:val="auto"/>
                      <w:szCs w:val="21"/>
                    </w:rPr>
                  </w:pPr>
                </w:p>
              </w:tc>
              <w:tc>
                <w:tcPr>
                  <w:tcW w:w="992" w:type="dxa"/>
                  <w:vMerge w:val="continue"/>
                  <w:vAlign w:val="center"/>
                </w:tcPr>
                <w:p>
                  <w:pPr>
                    <w:spacing w:line="360" w:lineRule="exact"/>
                    <w:jc w:val="center"/>
                    <w:rPr>
                      <w:rFonts w:ascii="Times New Roman" w:hAnsi="Times New Roman" w:cs="Times New Roman"/>
                      <w:bCs/>
                      <w:snapToGrid w:val="0"/>
                      <w:kern w:val="32"/>
                      <w:lang w:val="zh-CN"/>
                    </w:rPr>
                  </w:pPr>
                </w:p>
              </w:tc>
              <w:tc>
                <w:tcPr>
                  <w:tcW w:w="1019"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restart"/>
                  <w:vAlign w:val="center"/>
                </w:tcPr>
                <w:p>
                  <w:pPr>
                    <w:pStyle w:val="26"/>
                    <w:spacing w:line="360" w:lineRule="exact"/>
                    <w:rPr>
                      <w:rFonts w:eastAsiaTheme="minorEastAsia"/>
                      <w:color w:val="auto"/>
                      <w:szCs w:val="21"/>
                    </w:rPr>
                  </w:pPr>
                  <w:r>
                    <w:rPr>
                      <w:rFonts w:eastAsiaTheme="minorEastAsia"/>
                      <w:color w:val="auto"/>
                      <w:szCs w:val="21"/>
                    </w:rPr>
                    <w:t>员工生活</w:t>
                  </w:r>
                </w:p>
              </w:tc>
              <w:tc>
                <w:tcPr>
                  <w:tcW w:w="712" w:type="dxa"/>
                  <w:vMerge w:val="restart"/>
                  <w:vAlign w:val="center"/>
                </w:tcPr>
                <w:p>
                  <w:pPr>
                    <w:pStyle w:val="26"/>
                    <w:spacing w:line="360" w:lineRule="exact"/>
                    <w:rPr>
                      <w:rFonts w:eastAsiaTheme="minorEastAsia"/>
                      <w:color w:val="auto"/>
                      <w:szCs w:val="21"/>
                    </w:rPr>
                  </w:pPr>
                  <w:r>
                    <w:rPr>
                      <w:rFonts w:eastAsiaTheme="minorEastAsia"/>
                      <w:color w:val="auto"/>
                      <w:szCs w:val="21"/>
                    </w:rPr>
                    <w:t>生活污水</w:t>
                  </w: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pH</w:t>
                  </w:r>
                </w:p>
              </w:tc>
              <w:tc>
                <w:tcPr>
                  <w:tcW w:w="3969"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项目拟设置一个有效容积为2m³的化粪池、处理规模为2m³/d的一体化污水处理设施和一个有效容积为8m³的再生水收集池；项目生活污水经化粪池和一体化污水处理设施处理后，回用于绿化不外排。</w:t>
                  </w:r>
                </w:p>
              </w:tc>
              <w:tc>
                <w:tcPr>
                  <w:tcW w:w="992"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1019"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CODcr</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总磷</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总氮</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bCs w:val="0"/>
                      <w:snapToGrid/>
                      <w:color w:val="auto"/>
                      <w:kern w:val="0"/>
                      <w:szCs w:val="21"/>
                      <w:lang w:val="en-US"/>
                    </w:rPr>
                    <w:t>阴离子表面活性剂</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6"/>
                    <w:spacing w:line="360" w:lineRule="exact"/>
                    <w:rPr>
                      <w:rFonts w:eastAsiaTheme="minorEastAsia"/>
                      <w:color w:val="auto"/>
                      <w:szCs w:val="21"/>
                    </w:rPr>
                  </w:pPr>
                </w:p>
              </w:tc>
              <w:tc>
                <w:tcPr>
                  <w:tcW w:w="712" w:type="dxa"/>
                  <w:vMerge w:val="continue"/>
                  <w:vAlign w:val="center"/>
                </w:tcPr>
                <w:p>
                  <w:pPr>
                    <w:pStyle w:val="26"/>
                    <w:spacing w:line="360" w:lineRule="exact"/>
                    <w:rPr>
                      <w:rFonts w:eastAsiaTheme="minorEastAsia"/>
                      <w:color w:val="auto"/>
                      <w:szCs w:val="21"/>
                    </w:rPr>
                  </w:pP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3969" w:type="dxa"/>
                  <w:vMerge w:val="continue"/>
                  <w:vAlign w:val="center"/>
                </w:tcPr>
                <w:p>
                  <w:pPr>
                    <w:pStyle w:val="26"/>
                    <w:spacing w:line="360" w:lineRule="exact"/>
                    <w:ind w:firstLine="210" w:firstLineChars="100"/>
                    <w:jc w:val="left"/>
                    <w:rPr>
                      <w:rFonts w:eastAsiaTheme="minorEastAsia"/>
                      <w:color w:val="auto"/>
                      <w:szCs w:val="21"/>
                    </w:rPr>
                  </w:pPr>
                </w:p>
              </w:tc>
              <w:tc>
                <w:tcPr>
                  <w:tcW w:w="992" w:type="dxa"/>
                  <w:vMerge w:val="continue"/>
                  <w:vAlign w:val="center"/>
                </w:tcPr>
                <w:p>
                  <w:pPr>
                    <w:pStyle w:val="26"/>
                    <w:spacing w:line="360" w:lineRule="exact"/>
                    <w:rPr>
                      <w:rFonts w:eastAsiaTheme="minorEastAsia"/>
                      <w:color w:val="auto"/>
                      <w:szCs w:val="21"/>
                    </w:rPr>
                  </w:pPr>
                </w:p>
              </w:tc>
              <w:tc>
                <w:tcPr>
                  <w:tcW w:w="1019"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Align w:val="center"/>
                </w:tcPr>
                <w:p>
                  <w:pPr>
                    <w:pStyle w:val="26"/>
                    <w:spacing w:line="360" w:lineRule="exact"/>
                    <w:rPr>
                      <w:rFonts w:eastAsiaTheme="minorEastAsia"/>
                      <w:color w:val="auto"/>
                      <w:szCs w:val="21"/>
                    </w:rPr>
                  </w:pPr>
                  <w:r>
                    <w:rPr>
                      <w:rFonts w:eastAsiaTheme="minorEastAsia"/>
                      <w:color w:val="auto"/>
                      <w:szCs w:val="21"/>
                    </w:rPr>
                    <w:t>厂区范围</w:t>
                  </w:r>
                </w:p>
              </w:tc>
              <w:tc>
                <w:tcPr>
                  <w:tcW w:w="712" w:type="dxa"/>
                  <w:vAlign w:val="center"/>
                </w:tcPr>
                <w:p>
                  <w:pPr>
                    <w:pStyle w:val="26"/>
                    <w:spacing w:line="360" w:lineRule="exact"/>
                    <w:rPr>
                      <w:rFonts w:eastAsiaTheme="minorEastAsia"/>
                      <w:color w:val="auto"/>
                      <w:szCs w:val="21"/>
                    </w:rPr>
                  </w:pPr>
                  <w:r>
                    <w:rPr>
                      <w:rFonts w:eastAsiaTheme="minorEastAsia"/>
                      <w:color w:val="auto"/>
                      <w:szCs w:val="21"/>
                    </w:rPr>
                    <w:t>初期雨水</w:t>
                  </w:r>
                </w:p>
              </w:tc>
              <w:tc>
                <w:tcPr>
                  <w:tcW w:w="1414"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3969"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项目拟在厂房外围及厂区周围设置900m的截排水沟对雨天厂区产生的初期雨水及地表径流进行疏导，初期雨水通过截排水沟收集后进入有效容积不低于20m³的初期雨水收集池沉淀后回用于生产，不外排。</w:t>
                  </w:r>
                </w:p>
              </w:tc>
              <w:tc>
                <w:tcPr>
                  <w:tcW w:w="992"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101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bl>
          <w:p>
            <w:pPr>
              <w:spacing w:before="156"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废水污染物排放源产排量及达标情况</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生产废水污染源产排量及达标情况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根据项目产污环节和废水污染物治理措施可知，项目生产废水主要为洗砂废水，项目拟设置一套生产废水处理系统对其进行处理，该系统由</w:t>
            </w:r>
            <w:r>
              <w:rPr>
                <w:rFonts w:ascii="Times New Roman" w:hAnsi="Times New Roman" w:eastAsia="宋体" w:cs="Times New Roman"/>
                <w:sz w:val="24"/>
                <w:szCs w:val="24"/>
              </w:rPr>
              <w:t>2个生产废水收集池、2个污水处理塔、2个清水池、2个泥浆回收池和4台污泥压滤机组成</w:t>
            </w:r>
            <w:r>
              <w:rPr>
                <w:rFonts w:ascii="Times New Roman" w:hAnsi="Times New Roman" w:cs="Times New Roman"/>
                <w:sz w:val="24"/>
              </w:rPr>
              <w:t>；项目生产废水经处理后完全回用，不外排。生产废水经处理后其污染产排及达标情况如下表所示。</w:t>
            </w:r>
          </w:p>
          <w:p>
            <w:pPr>
              <w:jc w:val="center"/>
              <w:rPr>
                <w:rFonts w:ascii="Times New Roman" w:hAnsi="Times New Roman" w:cs="Times New Roman"/>
                <w:b/>
                <w:szCs w:val="24"/>
              </w:rPr>
            </w:pPr>
            <w:r>
              <w:rPr>
                <w:rFonts w:ascii="Times New Roman" w:hAnsi="Times New Roman" w:cs="Times New Roman"/>
                <w:b/>
                <w:szCs w:val="24"/>
              </w:rPr>
              <w:t>表4.2.2-3  生产</w:t>
            </w:r>
            <w:r>
              <w:rPr>
                <w:rFonts w:ascii="Times New Roman" w:hAnsi="Times New Roman" w:cs="Times New Roman"/>
                <w:b/>
              </w:rPr>
              <w:t>废水</w:t>
            </w:r>
            <w:r>
              <w:rPr>
                <w:rFonts w:ascii="Times New Roman" w:hAnsi="Times New Roman" w:cs="Times New Roman"/>
                <w:b/>
                <w:szCs w:val="24"/>
              </w:rPr>
              <w:t>污染物排放源产排量及达标情况一览表</w:t>
            </w:r>
          </w:p>
          <w:tbl>
            <w:tblPr>
              <w:tblStyle w:val="16"/>
              <w:tblW w:w="8595" w:type="dxa"/>
              <w:jc w:val="center"/>
              <w:tblInd w:w="0" w:type="dxa"/>
              <w:tblLayout w:type="fixed"/>
              <w:tblCellMar>
                <w:top w:w="0" w:type="dxa"/>
                <w:left w:w="108" w:type="dxa"/>
                <w:bottom w:w="0" w:type="dxa"/>
                <w:right w:w="108" w:type="dxa"/>
              </w:tblCellMar>
            </w:tblPr>
            <w:tblGrid>
              <w:gridCol w:w="735"/>
              <w:gridCol w:w="735"/>
              <w:gridCol w:w="1103"/>
              <w:gridCol w:w="1134"/>
              <w:gridCol w:w="992"/>
              <w:gridCol w:w="1134"/>
              <w:gridCol w:w="1138"/>
              <w:gridCol w:w="888"/>
              <w:gridCol w:w="736"/>
            </w:tblGrid>
            <w:tr>
              <w:tblPrEx>
                <w:tblLayout w:type="fixed"/>
                <w:tblCellMar>
                  <w:top w:w="0" w:type="dxa"/>
                  <w:left w:w="108" w:type="dxa"/>
                  <w:bottom w:w="0" w:type="dxa"/>
                  <w:right w:w="108" w:type="dxa"/>
                </w:tblCellMar>
              </w:tblPrEx>
              <w:trPr>
                <w:jc w:val="center"/>
              </w:trPr>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产排污环节</w:t>
                  </w:r>
                </w:p>
              </w:tc>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类别</w:t>
                  </w:r>
                </w:p>
              </w:tc>
              <w:tc>
                <w:tcPr>
                  <w:tcW w:w="110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污染物种类</w:t>
                  </w:r>
                </w:p>
              </w:tc>
              <w:tc>
                <w:tcPr>
                  <w:tcW w:w="2126"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污染物产生情况</w:t>
                  </w:r>
                </w:p>
              </w:tc>
              <w:tc>
                <w:tcPr>
                  <w:tcW w:w="2272"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污染物回用量和浓度</w:t>
                  </w:r>
                </w:p>
              </w:tc>
              <w:tc>
                <w:tcPr>
                  <w:tcW w:w="888" w:type="dxa"/>
                  <w:vMerge w:val="restart"/>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回用标准</w:t>
                  </w:r>
                </w:p>
              </w:tc>
              <w:tc>
                <w:tcPr>
                  <w:tcW w:w="7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rPr>
                <w:jc w:val="center"/>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03"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产生浓度mg/m³</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产生量m³/a</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回用浓度mg/m³</w:t>
                  </w:r>
                </w:p>
              </w:tc>
              <w:tc>
                <w:tcPr>
                  <w:tcW w:w="1138" w:type="dxa"/>
                  <w:tcBorders>
                    <w:top w:val="single" w:color="000000" w:sz="8" w:space="0"/>
                    <w:left w:val="nil"/>
                    <w:bottom w:val="single" w:color="auto"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回用量m³/a</w:t>
                  </w:r>
                </w:p>
              </w:tc>
              <w:tc>
                <w:tcPr>
                  <w:tcW w:w="888" w:type="dxa"/>
                  <w:vMerge w:val="continue"/>
                  <w:tcBorders>
                    <w:top w:val="single" w:color="000000" w:sz="8" w:space="0"/>
                    <w:left w:val="nil"/>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r>
            <w:tr>
              <w:tblPrEx>
                <w:tblLayout w:type="fixed"/>
                <w:tblCellMar>
                  <w:top w:w="0" w:type="dxa"/>
                  <w:left w:w="108" w:type="dxa"/>
                  <w:bottom w:w="0" w:type="dxa"/>
                  <w:right w:w="108" w:type="dxa"/>
                </w:tblCellMar>
              </w:tblPrEx>
              <w:trPr>
                <w:jc w:val="center"/>
              </w:trPr>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生产车间</w:t>
                  </w:r>
                </w:p>
              </w:tc>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生产废水</w:t>
                  </w:r>
                </w:p>
              </w:tc>
              <w:tc>
                <w:tcPr>
                  <w:tcW w:w="1103"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废水量</w:t>
                  </w:r>
                </w:p>
              </w:tc>
              <w:tc>
                <w:tcPr>
                  <w:tcW w:w="2126"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363452.1m³/a</w:t>
                  </w:r>
                </w:p>
              </w:tc>
              <w:tc>
                <w:tcPr>
                  <w:tcW w:w="227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363452.1m³/a</w:t>
                  </w:r>
                </w:p>
              </w:tc>
              <w:tc>
                <w:tcPr>
                  <w:tcW w:w="88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36"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03"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6.5-8.5</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6.5-8.5</w:t>
                  </w:r>
                </w:p>
              </w:tc>
              <w:tc>
                <w:tcPr>
                  <w:tcW w:w="1138" w:type="dxa"/>
                  <w:tcBorders>
                    <w:top w:val="nil"/>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88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6.5-8.5</w:t>
                  </w:r>
                </w:p>
              </w:tc>
              <w:tc>
                <w:tcPr>
                  <w:tcW w:w="736"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03"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50</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lang w:val="en-US"/>
                    </w:rPr>
                  </w:pPr>
                  <w:r>
                    <w:rPr>
                      <w:rFonts w:eastAsiaTheme="minorEastAsia"/>
                      <w:color w:val="auto"/>
                      <w:szCs w:val="21"/>
                      <w:lang w:val="en-US"/>
                    </w:rPr>
                    <w:t>18.17</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45</w:t>
                  </w:r>
                </w:p>
              </w:tc>
              <w:tc>
                <w:tcPr>
                  <w:tcW w:w="113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lang w:val="en-US"/>
                    </w:rPr>
                  </w:pPr>
                  <w:r>
                    <w:rPr>
                      <w:rFonts w:eastAsiaTheme="minorEastAsia"/>
                      <w:color w:val="auto"/>
                      <w:szCs w:val="21"/>
                      <w:lang w:val="en-US"/>
                    </w:rPr>
                    <w:t>16.35</w:t>
                  </w:r>
                </w:p>
              </w:tc>
              <w:tc>
                <w:tcPr>
                  <w:tcW w:w="88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60</w:t>
                  </w:r>
                </w:p>
              </w:tc>
              <w:tc>
                <w:tcPr>
                  <w:tcW w:w="736"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03"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2900</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lang w:val="en-US"/>
                    </w:rPr>
                  </w:pPr>
                  <w:r>
                    <w:rPr>
                      <w:rFonts w:eastAsiaTheme="minorEastAsia"/>
                      <w:color w:val="auto"/>
                      <w:szCs w:val="21"/>
                      <w:lang w:val="en-US"/>
                    </w:rPr>
                    <w:t>1054.01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80</w:t>
                  </w:r>
                </w:p>
              </w:tc>
              <w:tc>
                <w:tcPr>
                  <w:tcW w:w="113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lang w:val="en-US"/>
                    </w:rPr>
                  </w:pPr>
                  <w:r>
                    <w:rPr>
                      <w:rFonts w:eastAsiaTheme="minorEastAsia"/>
                      <w:color w:val="auto"/>
                      <w:szCs w:val="21"/>
                      <w:lang w:val="en-US"/>
                    </w:rPr>
                    <w:t>29.07</w:t>
                  </w:r>
                </w:p>
              </w:tc>
              <w:tc>
                <w:tcPr>
                  <w:tcW w:w="88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36"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03"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4.5</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lang w:val="en-US"/>
                    </w:rPr>
                  </w:pPr>
                  <w:r>
                    <w:rPr>
                      <w:rFonts w:eastAsiaTheme="minorEastAsia"/>
                      <w:color w:val="auto"/>
                      <w:szCs w:val="21"/>
                      <w:lang w:val="en-US"/>
                    </w:rPr>
                    <w:t>1.63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4.5</w:t>
                  </w:r>
                </w:p>
              </w:tc>
              <w:tc>
                <w:tcPr>
                  <w:tcW w:w="113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lang w:val="en-US"/>
                    </w:rPr>
                  </w:pPr>
                  <w:r>
                    <w:rPr>
                      <w:rFonts w:eastAsiaTheme="minorEastAsia"/>
                      <w:color w:val="auto"/>
                      <w:szCs w:val="21"/>
                      <w:lang w:val="en-US"/>
                    </w:rPr>
                    <w:t>1.63</w:t>
                  </w:r>
                </w:p>
              </w:tc>
              <w:tc>
                <w:tcPr>
                  <w:tcW w:w="88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10</w:t>
                  </w:r>
                </w:p>
              </w:tc>
              <w:tc>
                <w:tcPr>
                  <w:tcW w:w="736"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bl>
          <w:p>
            <w:pPr>
              <w:pStyle w:val="34"/>
              <w:spacing w:before="156" w:beforeLines="50"/>
              <w:ind w:firstLine="480"/>
              <w:rPr>
                <w:rFonts w:eastAsiaTheme="minorEastAsia"/>
              </w:rPr>
            </w:pPr>
            <w:r>
              <w:rPr>
                <w:rFonts w:eastAsiaTheme="minorEastAsia"/>
              </w:rPr>
              <w:t>由上表可知，生产废水经废水经</w:t>
            </w:r>
            <w:r>
              <w:rPr>
                <w:szCs w:val="21"/>
              </w:rPr>
              <w:t>一套生产废水处理系统对其进行处理</w:t>
            </w:r>
            <w:r>
              <w:rPr>
                <w:rFonts w:eastAsiaTheme="minorEastAsia"/>
              </w:rPr>
              <w:t>后，可达到《城市污水再生利用  工业用水水质》（GB/T 19923-2005）标准，全部回用于生产，不外排。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生活污水产排量及达标情况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根据项目产污环节和废水污染物治理措施可知，项目拟设置一个有效容积为2m³的化粪池、处理规模为2m³/d的一体化污水处理设施和一个有效容积为8m³的再生水收集池对生活污水处理后，回用于绿化不外排。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生活污水经处理后其污染产排及达标情况如下表所示。</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rPr>
                <w:rFonts w:ascii="Times New Roman" w:hAnsi="Times New Roman" w:cs="Times New Roman"/>
                <w:sz w:val="24"/>
                <w:szCs w:val="24"/>
              </w:rPr>
            </w:pPr>
          </w:p>
          <w:p>
            <w:pPr>
              <w:jc w:val="center"/>
              <w:rPr>
                <w:rFonts w:ascii="Times New Roman" w:hAnsi="Times New Roman" w:cs="Times New Roman"/>
                <w:b/>
                <w:szCs w:val="24"/>
              </w:rPr>
            </w:pPr>
            <w:r>
              <w:rPr>
                <w:rFonts w:ascii="Times New Roman" w:hAnsi="Times New Roman" w:cs="Times New Roman"/>
                <w:b/>
                <w:szCs w:val="24"/>
              </w:rPr>
              <w:t xml:space="preserve">表4.2.2-4  </w:t>
            </w:r>
            <w:r>
              <w:rPr>
                <w:rFonts w:ascii="Times New Roman" w:hAnsi="Times New Roman" w:cs="Times New Roman"/>
                <w:b/>
              </w:rPr>
              <w:t>生活污水</w:t>
            </w:r>
            <w:r>
              <w:rPr>
                <w:rFonts w:ascii="Times New Roman" w:hAnsi="Times New Roman" w:cs="Times New Roman"/>
                <w:b/>
                <w:szCs w:val="24"/>
              </w:rPr>
              <w:t>污染物排放源产排量及达标情况一览表</w:t>
            </w:r>
          </w:p>
          <w:tbl>
            <w:tblPr>
              <w:tblStyle w:val="16"/>
              <w:tblW w:w="8595" w:type="dxa"/>
              <w:jc w:val="center"/>
              <w:tblInd w:w="0" w:type="dxa"/>
              <w:tblLayout w:type="fixed"/>
              <w:tblCellMar>
                <w:top w:w="0" w:type="dxa"/>
                <w:left w:w="108" w:type="dxa"/>
                <w:bottom w:w="0" w:type="dxa"/>
                <w:right w:w="108" w:type="dxa"/>
              </w:tblCellMar>
            </w:tblPr>
            <w:tblGrid>
              <w:gridCol w:w="735"/>
              <w:gridCol w:w="735"/>
              <w:gridCol w:w="1244"/>
              <w:gridCol w:w="1134"/>
              <w:gridCol w:w="851"/>
              <w:gridCol w:w="1134"/>
              <w:gridCol w:w="1134"/>
              <w:gridCol w:w="850"/>
              <w:gridCol w:w="778"/>
            </w:tblGrid>
            <w:tr>
              <w:tblPrEx>
                <w:tblLayout w:type="fixed"/>
                <w:tblCellMar>
                  <w:top w:w="0" w:type="dxa"/>
                  <w:left w:w="108" w:type="dxa"/>
                  <w:bottom w:w="0" w:type="dxa"/>
                  <w:right w:w="108" w:type="dxa"/>
                </w:tblCellMar>
              </w:tblPrEx>
              <w:trPr>
                <w:jc w:val="center"/>
              </w:trPr>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产排污环节</w:t>
                  </w:r>
                </w:p>
              </w:tc>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类别</w:t>
                  </w:r>
                </w:p>
              </w:tc>
              <w:tc>
                <w:tcPr>
                  <w:tcW w:w="12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污染物种类</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污染物产生情况</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污染物排放量和浓度</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标准值</w:t>
                  </w:r>
                </w:p>
                <w:p>
                  <w:pPr>
                    <w:pStyle w:val="26"/>
                    <w:spacing w:line="360" w:lineRule="exact"/>
                    <w:rPr>
                      <w:rFonts w:eastAsiaTheme="minorEastAsia"/>
                      <w:color w:val="auto"/>
                      <w:szCs w:val="21"/>
                    </w:rPr>
                  </w:pPr>
                  <w:r>
                    <w:rPr>
                      <w:rFonts w:eastAsiaTheme="minorEastAsia"/>
                      <w:color w:val="auto"/>
                      <w:szCs w:val="21"/>
                    </w:rPr>
                    <w:t>（mg/L）</w:t>
                  </w:r>
                </w:p>
              </w:tc>
              <w:tc>
                <w:tcPr>
                  <w:tcW w:w="7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rPr>
                <w:jc w:val="center"/>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产生浓度mg/m³</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产生量m³/a</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出水浓度</w:t>
                  </w:r>
                </w:p>
                <w:p>
                  <w:pPr>
                    <w:pStyle w:val="26"/>
                    <w:spacing w:line="360" w:lineRule="exact"/>
                    <w:rPr>
                      <w:rFonts w:eastAsiaTheme="minorEastAsia"/>
                      <w:color w:val="auto"/>
                      <w:szCs w:val="21"/>
                    </w:rPr>
                  </w:pPr>
                  <w:r>
                    <w:rPr>
                      <w:rFonts w:eastAsiaTheme="minorEastAsia"/>
                      <w:color w:val="auto"/>
                      <w:szCs w:val="21"/>
                    </w:rPr>
                    <w:t>（mg/L）</w:t>
                  </w:r>
                </w:p>
              </w:tc>
              <w:tc>
                <w:tcPr>
                  <w:tcW w:w="1134" w:type="dxa"/>
                  <w:tcBorders>
                    <w:top w:val="single" w:color="000000" w:sz="8" w:space="0"/>
                    <w:left w:val="nil"/>
                    <w:bottom w:val="single" w:color="auto"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再生水回用量（t/a）</w:t>
                  </w:r>
                </w:p>
              </w:tc>
              <w:tc>
                <w:tcPr>
                  <w:tcW w:w="850" w:type="dxa"/>
                  <w:vMerge w:val="continue"/>
                  <w:tcBorders>
                    <w:top w:val="single" w:color="000000" w:sz="8" w:space="0"/>
                    <w:left w:val="nil"/>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r>
            <w:tr>
              <w:tblPrEx>
                <w:tblLayout w:type="fixed"/>
                <w:tblCellMar>
                  <w:top w:w="0" w:type="dxa"/>
                  <w:left w:w="108" w:type="dxa"/>
                  <w:bottom w:w="0" w:type="dxa"/>
                  <w:right w:w="108" w:type="dxa"/>
                </w:tblCellMar>
              </w:tblPrEx>
              <w:trPr>
                <w:jc w:val="center"/>
              </w:trPr>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员工生活</w:t>
                  </w:r>
                </w:p>
              </w:tc>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生活污水</w:t>
                  </w: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废水量</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356.4m³/a</w:t>
                  </w:r>
                </w:p>
              </w:tc>
              <w:tc>
                <w:tcPr>
                  <w:tcW w:w="2268"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356.4m³/a</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6-9</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6-9</w:t>
                  </w:r>
                </w:p>
              </w:tc>
              <w:tc>
                <w:tcPr>
                  <w:tcW w:w="1134" w:type="dxa"/>
                  <w:tcBorders>
                    <w:top w:val="nil"/>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6.0-9.0</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350</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0.12</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280</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0.10</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220</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0.08</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190</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0.07</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≤10</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38</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35</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0.01</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≤8</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300</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0.11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160</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0.06</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总磷</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8</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7</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0.002</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总氮</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45</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0.02</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40</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0.01</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阴离子表面活性剂</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16</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11</w:t>
                  </w: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0.004</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≤0.5</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16000</w:t>
                  </w:r>
                </w:p>
              </w:tc>
              <w:tc>
                <w:tcPr>
                  <w:tcW w:w="851"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8000</w:t>
                  </w:r>
                </w:p>
              </w:tc>
              <w:tc>
                <w:tcPr>
                  <w:tcW w:w="1134" w:type="dxa"/>
                  <w:tcBorders>
                    <w:top w:val="nil"/>
                    <w:left w:val="nil"/>
                    <w:bottom w:val="single" w:color="000000"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bl>
          <w:p>
            <w:pPr>
              <w:pStyle w:val="34"/>
              <w:spacing w:before="156" w:beforeLines="50"/>
              <w:ind w:firstLine="480"/>
              <w:rPr>
                <w:rFonts w:eastAsiaTheme="minorEastAsia"/>
              </w:rPr>
            </w:pPr>
            <w:r>
              <w:rPr>
                <w:rFonts w:eastAsiaTheme="minorEastAsia"/>
              </w:rPr>
              <w:t>由上表可知，项目生活污水经化粪池和一体化污水处理设施处理后，可达到《城市污水再生利用 城市杂用水水质》（GB/T18920-2020）中城市绿化标准。</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初期雨水产排量及达标情况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初期雨水的主要污染物为SS，SS产生浓度约400mg/L；项目拟在厂房外围及厂区周围设置900m的截排水沟对雨天厂区产生的初期雨水及地表径流进行疏导，初期雨水通过截排水沟收集后进入有效容积不低于20m³的初期雨水收集池收集处理后，可达到《城市污水再生利用  工业用水水质》（GB/T 19923-2005）标准，全部回用于生产车间，不外排。</w:t>
            </w:r>
          </w:p>
          <w:p>
            <w:pPr>
              <w:pStyle w:val="34"/>
              <w:ind w:firstLine="482"/>
              <w:rPr>
                <w:rFonts w:eastAsiaTheme="minorEastAsia"/>
                <w:b/>
                <w:szCs w:val="24"/>
              </w:rPr>
            </w:pPr>
            <w:r>
              <w:rPr>
                <w:b/>
                <w:szCs w:val="24"/>
              </w:rPr>
              <w:t>③</w:t>
            </w:r>
            <w:r>
              <w:rPr>
                <w:rFonts w:eastAsiaTheme="minorEastAsia"/>
                <w:b/>
                <w:szCs w:val="24"/>
              </w:rPr>
              <w:t>水平衡</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szCs w:val="30"/>
              </w:rPr>
              <w:t>本项目水平衡如下图所示。</w:t>
            </w:r>
          </w:p>
          <w:p>
            <w:pPr>
              <w:spacing w:line="360" w:lineRule="auto"/>
              <w:ind w:firstLine="480" w:firstLineChars="200"/>
              <w:rPr>
                <w:rFonts w:ascii="Times New Roman" w:hAnsi="Times New Roman" w:cs="Times New Roman"/>
                <w:sz w:val="24"/>
                <w:szCs w:val="30"/>
              </w:rPr>
            </w:pPr>
          </w:p>
          <w:p>
            <w:pPr>
              <w:spacing w:line="360" w:lineRule="auto"/>
              <w:ind w:firstLine="480" w:firstLineChars="200"/>
              <w:rPr>
                <w:rFonts w:ascii="Times New Roman" w:hAnsi="Times New Roman" w:cs="Times New Roman"/>
                <w:sz w:val="24"/>
                <w:szCs w:val="30"/>
              </w:rPr>
            </w:pPr>
          </w:p>
          <w:p>
            <w:pPr>
              <w:spacing w:line="360" w:lineRule="auto"/>
              <w:ind w:firstLine="480" w:firstLineChars="200"/>
              <w:rPr>
                <w:rFonts w:ascii="Times New Roman" w:hAnsi="Times New Roman" w:cs="Times New Roman"/>
                <w:sz w:val="24"/>
                <w:szCs w:val="30"/>
              </w:rPr>
            </w:pPr>
          </w:p>
          <w:p>
            <w:pPr>
              <w:spacing w:line="360" w:lineRule="auto"/>
              <w:ind w:firstLine="480" w:firstLineChars="200"/>
              <w:rPr>
                <w:rFonts w:ascii="Times New Roman" w:hAnsi="Times New Roman" w:cs="Times New Roman"/>
                <w:sz w:val="24"/>
                <w:szCs w:val="30"/>
              </w:rPr>
            </w:pPr>
          </w:p>
          <w:p>
            <w:pPr>
              <w:spacing w:line="360" w:lineRule="auto"/>
              <w:rPr>
                <w:rFonts w:ascii="Times New Roman" w:hAnsi="Times New Roman" w:cs="Times New Roman"/>
                <w:sz w:val="24"/>
                <w:szCs w:val="30"/>
              </w:rPr>
            </w:pPr>
          </w:p>
          <w:p>
            <w:pPr>
              <w:pStyle w:val="34"/>
              <w:spacing w:line="240" w:lineRule="auto"/>
              <w:ind w:firstLine="0" w:firstLineChars="0"/>
              <w:jc w:val="center"/>
            </w:pPr>
            <w:r>
              <w:object>
                <v:shape id="_x0000_i1025" o:spt="75" type="#_x0000_t75" style="height:645.6pt;width:430.8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center"/>
              <w:rPr>
                <w:rFonts w:ascii="Times New Roman" w:hAnsi="Times New Roman" w:cs="Times New Roman"/>
                <w:b/>
                <w:szCs w:val="24"/>
              </w:rPr>
            </w:pPr>
            <w:r>
              <w:rPr>
                <w:rFonts w:ascii="Times New Roman" w:hAnsi="Times New Roman" w:cs="Times New Roman"/>
                <w:b/>
                <w:szCs w:val="24"/>
              </w:rPr>
              <w:t>图4.2.2-1 项目水平衡图 m³/d</w:t>
            </w:r>
          </w:p>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rPr>
              <w:t>废水</w:t>
            </w:r>
            <w:r>
              <w:rPr>
                <w:rFonts w:ascii="Times New Roman" w:hAnsi="Times New Roman" w:cs="Times New Roman"/>
                <w:b/>
                <w:sz w:val="24"/>
                <w:szCs w:val="24"/>
              </w:rPr>
              <w:t>污染治理设施可行性分析</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①生产废水处理系统环境影响减缓措施有效性分析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设计，项目拟设置一套生产废水处理系统对生产废水进行处理，该系统由2个生产废水收集池、2个污水处理塔、2个清水池、2个泥浆回收池和4台污泥压滤机组成。生产废水首先进入两个污水处理塔进行处理，为提高处理效率，项目拟在处理塔中添加一定量的絮凝剂，处理后，上层的清水进入清水池回用于生产，而处理下层的含泥废水进入污泥压滤机进行压滤，压滤产生的泥浆进入2个泥浆回收池，压滤产生的废水进入2个生产废水收集池收集后再进入污水处理塔进行处理，从而进行循环处理，处理后全部回用于生产，不外排。</w:t>
            </w:r>
          </w:p>
          <w:p>
            <w:pPr>
              <w:pStyle w:val="34"/>
              <w:ind w:firstLine="480"/>
              <w:rPr>
                <w:szCs w:val="24"/>
              </w:rPr>
            </w:pPr>
            <w:r>
              <w:rPr>
                <w:szCs w:val="24"/>
              </w:rPr>
              <w:t>该系统废水废水停留时间为20min，清水池的有效容积为300m³，按停留20min计，则项目生产废水处理系统的处理能力为14400m³/d；而本项目产生的生产废水量为1101.37m³/d，则处理规模可达到要求，又项目产生的生产废水主要污染物为SS，因此采用絮凝沉淀处理方式进行处理，效果较好，其处理工艺可行，综上项目生产废水处理系统可行性。</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②生活污水处理系统环境影响减缓措施有效性分析</w:t>
            </w:r>
          </w:p>
          <w:p>
            <w:pPr>
              <w:pStyle w:val="34"/>
              <w:ind w:firstLine="480"/>
              <w:rPr>
                <w:szCs w:val="21"/>
              </w:rPr>
            </w:pPr>
            <w:r>
              <w:rPr>
                <w:szCs w:val="21"/>
              </w:rPr>
              <w:t>根据设计，项目拟设置一套生活污水处理系统对生活污水进行处理，该系统由化粪池、一体化污水处理设施和再生水收集池组成，具体可行性分析如下：</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fldChar w:fldCharType="begin"/>
            </w:r>
            <w:r>
              <w:rPr>
                <w:rFonts w:ascii="Times New Roman" w:hAnsi="Times New Roman" w:eastAsia="宋体" w:cs="Times New Roman"/>
                <w:b/>
                <w:sz w:val="24"/>
              </w:rPr>
              <w:instrText xml:space="preserve"> = 1 \* GB4 </w:instrText>
            </w:r>
            <w:r>
              <w:rPr>
                <w:rFonts w:ascii="Times New Roman" w:hAnsi="Times New Roman" w:eastAsia="宋体" w:cs="Times New Roman"/>
                <w:b/>
                <w:sz w:val="24"/>
              </w:rPr>
              <w:fldChar w:fldCharType="separate"/>
            </w:r>
            <w:r>
              <w:rPr>
                <w:rFonts w:ascii="Times New Roman" w:hAnsi="Times New Roman" w:eastAsia="宋体" w:cs="Times New Roman"/>
                <w:b/>
                <w:sz w:val="24"/>
              </w:rPr>
              <w:t>㈠</w:t>
            </w:r>
            <w:r>
              <w:rPr>
                <w:rFonts w:ascii="Times New Roman" w:hAnsi="Times New Roman" w:eastAsia="宋体" w:cs="Times New Roman"/>
                <w:b/>
                <w:sz w:val="24"/>
              </w:rPr>
              <w:fldChar w:fldCharType="end"/>
            </w:r>
            <w:r>
              <w:rPr>
                <w:rFonts w:ascii="Times New Roman" w:hAnsi="Times New Roman" w:eastAsia="宋体" w:cs="Times New Roman"/>
                <w:b/>
                <w:sz w:val="24"/>
              </w:rPr>
              <w:t>化粪池环境影响减缓措施有效性分析</w:t>
            </w:r>
          </w:p>
          <w:p>
            <w:pPr>
              <w:pStyle w:val="34"/>
              <w:ind w:firstLine="480"/>
              <w:rPr>
                <w:szCs w:val="21"/>
              </w:rPr>
            </w:pPr>
            <w:r>
              <w:rPr>
                <w:szCs w:val="21"/>
              </w:rPr>
              <w:t>根据工程分析可知，项目生活污水产生量约为1.08m³/d，变化系数按照1.2计，则最大生活污水量约为1.30m³/d。根据《建筑给排水设计规范》（（GB50015-2019），化粪池总容积应满足废水停留时间12-24h的要求，并做好防渗处理，化粪池宜建在便于机动车清掏的位置；项目生活区旁已设置了1个有效容积为2m³的化粪池对项目区生活污水进行处理，可满足24h停留时间要求，又该化粪池所在位置清掏车辆可进入进行清掏，且化粪池将严格按照规范要求进行防渗处置，因此化粪池设置合理。</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GB4 </w:instrText>
            </w:r>
            <w:r>
              <w:rPr>
                <w:rFonts w:eastAsiaTheme="minorEastAsia"/>
                <w:b/>
                <w:szCs w:val="24"/>
              </w:rPr>
              <w:fldChar w:fldCharType="separate"/>
            </w:r>
            <w:r>
              <w:rPr>
                <w:rFonts w:eastAsiaTheme="minorEastAsia"/>
                <w:b/>
                <w:szCs w:val="24"/>
              </w:rPr>
              <w:t>㈡</w:t>
            </w:r>
            <w:r>
              <w:rPr>
                <w:rFonts w:eastAsiaTheme="minorEastAsia"/>
                <w:b/>
                <w:szCs w:val="24"/>
              </w:rPr>
              <w:fldChar w:fldCharType="end"/>
            </w:r>
            <w:r>
              <w:rPr>
                <w:rFonts w:eastAsiaTheme="minorEastAsia"/>
                <w:b/>
                <w:szCs w:val="24"/>
              </w:rPr>
              <w:t>一体化污水处理设施环境影响减缓措施有效性分析</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1 \* GB1 </w:instrText>
            </w:r>
            <w:r>
              <w:rPr>
                <w:rFonts w:eastAsiaTheme="minorEastAsia"/>
                <w:b/>
                <w:szCs w:val="24"/>
              </w:rPr>
              <w:fldChar w:fldCharType="separate"/>
            </w:r>
            <w:r>
              <w:rPr>
                <w:b/>
                <w:szCs w:val="24"/>
              </w:rPr>
              <w:t>⒈</w:t>
            </w:r>
            <w:r>
              <w:rPr>
                <w:rFonts w:eastAsiaTheme="minorEastAsia"/>
                <w:b/>
                <w:szCs w:val="24"/>
              </w:rPr>
              <w:fldChar w:fldCharType="end"/>
            </w:r>
            <w:r>
              <w:rPr>
                <w:rFonts w:eastAsiaTheme="minorEastAsia"/>
                <w:b/>
                <w:szCs w:val="24"/>
              </w:rPr>
              <w:t>一体化污水处理设施规模设置合理性分析</w:t>
            </w:r>
          </w:p>
          <w:p>
            <w:pPr>
              <w:pStyle w:val="34"/>
              <w:ind w:firstLine="480"/>
              <w:rPr>
                <w:szCs w:val="21"/>
              </w:rPr>
            </w:pPr>
            <w:r>
              <w:rPr>
                <w:szCs w:val="21"/>
              </w:rPr>
              <w:t>根据工程分析可知，本项目生活污水产生量为1.08m³/d，变化系数按照1.2计，则最大生活污水量约为1.30m³/d，而项目拟设置1套处理能力为2m³/d的一体化污水处理设施其规模可满足要求。</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GB1 </w:instrText>
            </w:r>
            <w:r>
              <w:rPr>
                <w:rFonts w:eastAsiaTheme="minorEastAsia"/>
                <w:b/>
                <w:szCs w:val="24"/>
              </w:rPr>
              <w:fldChar w:fldCharType="separate"/>
            </w:r>
            <w:r>
              <w:rPr>
                <w:b/>
                <w:szCs w:val="24"/>
              </w:rPr>
              <w:t>⒉</w:t>
            </w:r>
            <w:r>
              <w:rPr>
                <w:rFonts w:eastAsiaTheme="minorEastAsia"/>
                <w:b/>
                <w:szCs w:val="24"/>
              </w:rPr>
              <w:fldChar w:fldCharType="end"/>
            </w:r>
            <w:r>
              <w:rPr>
                <w:rFonts w:eastAsiaTheme="minorEastAsia"/>
                <w:b/>
                <w:szCs w:val="24"/>
              </w:rPr>
              <w:t>一体化污水处理设施工艺设置合理性分析</w:t>
            </w:r>
          </w:p>
          <w:p>
            <w:pPr>
              <w:pStyle w:val="34"/>
              <w:ind w:firstLine="480"/>
              <w:rPr>
                <w:rFonts w:eastAsiaTheme="minorEastAsia"/>
                <w:szCs w:val="24"/>
              </w:rPr>
            </w:pPr>
            <w:r>
              <w:rPr>
                <w:rFonts w:eastAsiaTheme="minorEastAsia"/>
                <w:szCs w:val="24"/>
              </w:rPr>
              <w:t>本项目设置的一体化污水处理设施购买成品进行安装，根据该一体化设施的设计资料，该设施拟采用生化处理工艺对综合污水进行处理，设计工艺如下图所示。</w:t>
            </w:r>
          </w:p>
          <w:p>
            <w:pPr>
              <w:jc w:val="center"/>
              <w:rPr>
                <w:rFonts w:ascii="Times New Roman" w:hAnsi="Times New Roman" w:cs="Times New Roman"/>
                <w:b/>
                <w:szCs w:val="24"/>
              </w:rPr>
            </w:pPr>
            <w:r>
              <w:rPr>
                <w:rFonts w:ascii="Times New Roman" w:hAnsi="Times New Roman" w:cs="Times New Roman"/>
                <w:b/>
                <w:szCs w:val="24"/>
              </w:rPr>
              <w:object>
                <v:shape id="_x0000_i1026" o:spt="75" type="#_x0000_t75" style="height:139.8pt;width:372.6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r>
              <w:rPr>
                <w:rFonts w:ascii="Times New Roman" w:hAnsi="Times New Roman" w:cs="Times New Roman"/>
                <w:b/>
                <w:szCs w:val="24"/>
              </w:rPr>
              <w:t xml:space="preserve"> </w:t>
            </w:r>
          </w:p>
          <w:p>
            <w:pPr>
              <w:jc w:val="center"/>
              <w:rPr>
                <w:rFonts w:ascii="Times New Roman" w:hAnsi="Times New Roman" w:cs="Times New Roman"/>
                <w:b/>
                <w:szCs w:val="24"/>
              </w:rPr>
            </w:pPr>
            <w:r>
              <w:rPr>
                <w:rFonts w:ascii="Times New Roman" w:hAnsi="Times New Roman" w:cs="Times New Roman"/>
                <w:b/>
                <w:szCs w:val="24"/>
              </w:rPr>
              <w:t>图4.2.2-2 污水处理站处理工艺</w:t>
            </w:r>
          </w:p>
          <w:p>
            <w:pPr>
              <w:pStyle w:val="34"/>
              <w:spacing w:before="156" w:beforeLines="50"/>
              <w:ind w:firstLine="480"/>
              <w:rPr>
                <w:rFonts w:eastAsiaTheme="minorEastAsia"/>
                <w:szCs w:val="24"/>
              </w:rPr>
            </w:pPr>
            <w:r>
              <w:rPr>
                <w:rFonts w:eastAsiaTheme="minorEastAsia"/>
                <w:szCs w:val="24"/>
              </w:rPr>
              <w:t>污水处理工艺流程简述：</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1 \* GB2 </w:instrText>
            </w:r>
            <w:r>
              <w:rPr>
                <w:rFonts w:eastAsiaTheme="minorEastAsia"/>
                <w:b/>
                <w:szCs w:val="24"/>
              </w:rPr>
              <w:fldChar w:fldCharType="separate"/>
            </w:r>
            <w:r>
              <w:rPr>
                <w:rFonts w:eastAsiaTheme="minorEastAsia"/>
                <w:b/>
                <w:szCs w:val="24"/>
              </w:rPr>
              <w:t>⑴</w:t>
            </w:r>
            <w:r>
              <w:rPr>
                <w:rFonts w:eastAsiaTheme="minorEastAsia"/>
                <w:b/>
                <w:szCs w:val="24"/>
              </w:rPr>
              <w:fldChar w:fldCharType="end"/>
            </w:r>
            <w:r>
              <w:rPr>
                <w:rFonts w:eastAsiaTheme="minorEastAsia"/>
                <w:b/>
                <w:szCs w:val="24"/>
              </w:rPr>
              <w:t>调节池</w:t>
            </w:r>
          </w:p>
          <w:p>
            <w:pPr>
              <w:pStyle w:val="34"/>
              <w:ind w:firstLine="480"/>
              <w:rPr>
                <w:rFonts w:eastAsiaTheme="minorEastAsia"/>
                <w:szCs w:val="24"/>
              </w:rPr>
            </w:pPr>
            <w:r>
              <w:rPr>
                <w:rFonts w:eastAsiaTheme="minorEastAsia"/>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GB2 </w:instrText>
            </w:r>
            <w:r>
              <w:rPr>
                <w:rFonts w:eastAsiaTheme="minorEastAsia"/>
                <w:b/>
                <w:szCs w:val="24"/>
              </w:rPr>
              <w:fldChar w:fldCharType="separate"/>
            </w:r>
            <w:r>
              <w:rPr>
                <w:rFonts w:eastAsiaTheme="minorEastAsia"/>
                <w:b/>
                <w:szCs w:val="24"/>
              </w:rPr>
              <w:t>⑵</w:t>
            </w:r>
            <w:r>
              <w:rPr>
                <w:rFonts w:eastAsiaTheme="minorEastAsia"/>
                <w:b/>
                <w:szCs w:val="24"/>
              </w:rPr>
              <w:fldChar w:fldCharType="end"/>
            </w:r>
            <w:r>
              <w:rPr>
                <w:rFonts w:eastAsiaTheme="minorEastAsia"/>
                <w:b/>
                <w:szCs w:val="24"/>
              </w:rPr>
              <w:t>接触氧化池</w:t>
            </w:r>
          </w:p>
          <w:p>
            <w:pPr>
              <w:pStyle w:val="34"/>
              <w:ind w:firstLine="480"/>
              <w:rPr>
                <w:rFonts w:eastAsiaTheme="minorEastAsia"/>
                <w:szCs w:val="24"/>
              </w:rPr>
            </w:pPr>
            <w:r>
              <w:rPr>
                <w:rFonts w:eastAsiaTheme="minorEastAsia"/>
                <w:szCs w:val="24"/>
              </w:rPr>
              <w:t>好氧接触氧化池主要利用好氧菌去除CODcr、BOD</w:t>
            </w:r>
            <w:r>
              <w:rPr>
                <w:rFonts w:eastAsiaTheme="minorEastAsia"/>
                <w:szCs w:val="24"/>
                <w:vertAlign w:val="subscript"/>
              </w:rPr>
              <w:t>5</w:t>
            </w:r>
            <w:r>
              <w:rPr>
                <w:rFonts w:eastAsiaTheme="minorEastAsia"/>
                <w:szCs w:val="24"/>
              </w:rPr>
              <w:t>、SS、NH</w:t>
            </w:r>
            <w:r>
              <w:rPr>
                <w:rFonts w:eastAsiaTheme="minorEastAsia"/>
                <w:szCs w:val="24"/>
                <w:vertAlign w:val="subscript"/>
              </w:rPr>
              <w:t>3</w:t>
            </w:r>
            <w:r>
              <w:rPr>
                <w:rFonts w:eastAsiaTheme="minorEastAsia"/>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3 \* GB2 </w:instrText>
            </w:r>
            <w:r>
              <w:rPr>
                <w:rFonts w:eastAsiaTheme="minorEastAsia"/>
                <w:b/>
                <w:szCs w:val="24"/>
              </w:rPr>
              <w:fldChar w:fldCharType="separate"/>
            </w:r>
            <w:r>
              <w:rPr>
                <w:rFonts w:eastAsiaTheme="minorEastAsia"/>
                <w:b/>
                <w:szCs w:val="24"/>
              </w:rPr>
              <w:t>⑶</w:t>
            </w:r>
            <w:r>
              <w:rPr>
                <w:rFonts w:eastAsiaTheme="minorEastAsia"/>
                <w:b/>
                <w:szCs w:val="24"/>
              </w:rPr>
              <w:fldChar w:fldCharType="end"/>
            </w:r>
            <w:r>
              <w:rPr>
                <w:rFonts w:eastAsiaTheme="minorEastAsia"/>
                <w:b/>
                <w:szCs w:val="24"/>
              </w:rPr>
              <w:t>二沉池</w:t>
            </w:r>
          </w:p>
          <w:p>
            <w:pPr>
              <w:pStyle w:val="34"/>
              <w:ind w:firstLine="480"/>
              <w:rPr>
                <w:rFonts w:eastAsiaTheme="minorEastAsia"/>
                <w:szCs w:val="24"/>
              </w:rPr>
            </w:pPr>
            <w:r>
              <w:rPr>
                <w:rFonts w:eastAsiaTheme="minorEastAsia"/>
                <w:szCs w:val="24"/>
              </w:rPr>
              <w:t>接触氧化池出水进入二沉池，二沉池前设PAC（絮凝剂）投加系统，投加PAC（絮凝剂），去除SS和部分胶体颗粒，二沉池出水经过石英砂过滤后，进一步降低水中SS和胶体颗粒含量。</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4 \* GB2 </w:instrText>
            </w:r>
            <w:r>
              <w:rPr>
                <w:rFonts w:eastAsiaTheme="minorEastAsia"/>
                <w:b/>
                <w:szCs w:val="24"/>
              </w:rPr>
              <w:fldChar w:fldCharType="separate"/>
            </w:r>
            <w:r>
              <w:rPr>
                <w:rFonts w:eastAsiaTheme="minorEastAsia"/>
                <w:b/>
                <w:szCs w:val="24"/>
              </w:rPr>
              <w:t>⑷</w:t>
            </w:r>
            <w:r>
              <w:rPr>
                <w:rFonts w:eastAsiaTheme="minorEastAsia"/>
                <w:b/>
                <w:szCs w:val="24"/>
              </w:rPr>
              <w:fldChar w:fldCharType="end"/>
            </w:r>
            <w:r>
              <w:rPr>
                <w:rFonts w:eastAsiaTheme="minorEastAsia"/>
                <w:b/>
                <w:szCs w:val="24"/>
              </w:rPr>
              <w:t>过滤</w:t>
            </w:r>
          </w:p>
          <w:p>
            <w:pPr>
              <w:pStyle w:val="34"/>
              <w:ind w:firstLine="480"/>
              <w:rPr>
                <w:rFonts w:eastAsiaTheme="minorEastAsia"/>
                <w:szCs w:val="24"/>
              </w:rPr>
            </w:pPr>
            <w:r>
              <w:rPr>
                <w:rFonts w:eastAsiaTheme="minorEastAsia"/>
                <w:szCs w:val="24"/>
              </w:rPr>
              <w:t>二沉池出水仍含有一定的悬浮物杂质，因此本方案设置深度处理（过滤）处理单元。二沉池出水进入过滤池进行过滤，去除水中残存的有机物、胶体、细菌残留物、微生物等。</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5 \* GB2 </w:instrText>
            </w:r>
            <w:r>
              <w:rPr>
                <w:rFonts w:eastAsiaTheme="minorEastAsia"/>
                <w:b/>
                <w:szCs w:val="24"/>
              </w:rPr>
              <w:fldChar w:fldCharType="separate"/>
            </w:r>
            <w:r>
              <w:rPr>
                <w:rFonts w:eastAsiaTheme="minorEastAsia"/>
                <w:b/>
                <w:szCs w:val="24"/>
              </w:rPr>
              <w:t>⑸</w:t>
            </w:r>
            <w:r>
              <w:rPr>
                <w:rFonts w:eastAsiaTheme="minorEastAsia"/>
                <w:b/>
                <w:szCs w:val="24"/>
              </w:rPr>
              <w:fldChar w:fldCharType="end"/>
            </w:r>
            <w:r>
              <w:rPr>
                <w:rFonts w:eastAsiaTheme="minorEastAsia"/>
                <w:b/>
                <w:szCs w:val="24"/>
              </w:rPr>
              <w:t>消毒</w:t>
            </w:r>
          </w:p>
          <w:p>
            <w:pPr>
              <w:pStyle w:val="34"/>
              <w:ind w:firstLine="480"/>
              <w:rPr>
                <w:rFonts w:eastAsiaTheme="minorEastAsia"/>
                <w:szCs w:val="24"/>
              </w:rPr>
            </w:pPr>
            <w:r>
              <w:rPr>
                <w:rFonts w:eastAsiaTheme="minorEastAsia"/>
                <w:szCs w:val="24"/>
              </w:rPr>
              <w:t>过滤后的污水经过消毒，即可满足排放要求，消毒采用自动投加方式，定量把次氯酸钠药液投加到消毒池中，可以较彻底的消除细菌、臭味、色度等可能对人群造成的危害。</w:t>
            </w:r>
          </w:p>
          <w:p>
            <w:pPr>
              <w:pStyle w:val="34"/>
              <w:ind w:firstLine="480"/>
              <w:rPr>
                <w:rFonts w:eastAsiaTheme="minorEastAsia"/>
                <w:szCs w:val="24"/>
              </w:rPr>
            </w:pPr>
            <w:r>
              <w:rPr>
                <w:rFonts w:eastAsiaTheme="minorEastAsia"/>
                <w:szCs w:val="24"/>
              </w:rPr>
              <w:t>根据工程分析可知，经化粪池处理后的生活污水BOD/COD约为0.68≥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34"/>
              <w:ind w:firstLine="480"/>
              <w:rPr>
                <w:rFonts w:eastAsiaTheme="minorEastAsia"/>
                <w:szCs w:val="24"/>
              </w:rPr>
            </w:pPr>
            <w:r>
              <w:rPr>
                <w:rFonts w:eastAsiaTheme="minorEastAsia"/>
                <w:szCs w:val="24"/>
              </w:rPr>
              <w:t>综上，项目设置1套处理能力为2m³/d的一体化污水处理设施对项目区废水进行处理，处理后回用于回用于项目区绿化，该措施可行。</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3 \* GB2 </w:instrText>
            </w:r>
            <w:r>
              <w:rPr>
                <w:rFonts w:eastAsiaTheme="minorEastAsia"/>
                <w:b/>
                <w:szCs w:val="24"/>
              </w:rPr>
              <w:fldChar w:fldCharType="separate"/>
            </w:r>
            <w:r>
              <w:rPr>
                <w:rFonts w:eastAsiaTheme="minorEastAsia"/>
                <w:b/>
                <w:szCs w:val="24"/>
              </w:rPr>
              <w:t>⑶</w:t>
            </w:r>
            <w:r>
              <w:rPr>
                <w:rFonts w:eastAsiaTheme="minorEastAsia"/>
                <w:b/>
                <w:szCs w:val="24"/>
              </w:rPr>
              <w:fldChar w:fldCharType="end"/>
            </w:r>
            <w:r>
              <w:rPr>
                <w:rFonts w:eastAsiaTheme="minorEastAsia"/>
                <w:b/>
                <w:szCs w:val="24"/>
              </w:rPr>
              <w:t>再生水收集池环境影响减缓措施有效性分析</w:t>
            </w:r>
          </w:p>
          <w:p>
            <w:pPr>
              <w:pStyle w:val="34"/>
              <w:ind w:firstLine="480"/>
              <w:rPr>
                <w:rFonts w:eastAsiaTheme="minorEastAsia"/>
                <w:szCs w:val="24"/>
              </w:rPr>
            </w:pPr>
            <w:r>
              <w:rPr>
                <w:rFonts w:eastAsiaTheme="minorEastAsia"/>
                <w:szCs w:val="24"/>
              </w:rPr>
              <w:t>为了满足雨天等特殊情况，处理后生活污水的暂存要求，项目拟配套设置1个有效容积为8m³的清水池对处理后的生活污水进行暂存；项目生活污水产生量为1.08m³/d，清水池和化粪池、一体化处理设施的总容积可满足生活污水超过7d的储存量，可满足雨天暂存后用于非雨天绿化的暂存要求，因此其设置可行。</w:t>
            </w:r>
          </w:p>
          <w:p>
            <w:pPr>
              <w:pStyle w:val="34"/>
              <w:ind w:firstLine="482"/>
              <w:rPr>
                <w:b/>
                <w:szCs w:val="21"/>
              </w:rPr>
            </w:pPr>
            <w:r>
              <w:rPr>
                <w:b/>
                <w:szCs w:val="21"/>
              </w:rPr>
              <w:t>③初期雨水收集系统环境影响减缓措施有效性分析</w:t>
            </w:r>
          </w:p>
          <w:p>
            <w:pPr>
              <w:pStyle w:val="34"/>
              <w:ind w:firstLine="480"/>
              <w:rPr>
                <w:rFonts w:eastAsiaTheme="minorEastAsia"/>
                <w:szCs w:val="24"/>
              </w:rPr>
            </w:pPr>
            <w:r>
              <w:rPr>
                <w:rFonts w:eastAsiaTheme="minorEastAsia"/>
                <w:szCs w:val="24"/>
              </w:rPr>
              <w:t>项目初期雨水产生量约为19.1m³/次，项目为了防止雨天地表径流进入产品库及生产区，使项目区域砂石料流失，造成环境污染，项目拟在厂房外围及厂区周围设置900m的截排水沟对雨天厂区产生的初期雨水及地表径流进行疏导。拟设置1个有效容积不低于20m³的初期雨水，初期雨水通过截排水沟收集后进入有效容积不低于20m³的初期雨水收集池沉淀后回用于生产，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总则》（HJ819-2017）的要求，项目废水自行监测要求如下表所示。</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表4.2.2-5  项目运营期</w:t>
            </w:r>
            <w:r>
              <w:rPr>
                <w:rFonts w:ascii="Times New Roman" w:hAnsi="Times New Roman" w:cs="Times New Roman"/>
                <w:b/>
              </w:rPr>
              <w:t>废水</w:t>
            </w:r>
            <w:r>
              <w:rPr>
                <w:rFonts w:ascii="Times New Roman" w:hAnsi="Times New Roman" w:cs="Times New Roman"/>
                <w:b/>
                <w:szCs w:val="24"/>
              </w:rPr>
              <w:t>自行监测计划一览表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2552"/>
              <w:gridCol w:w="9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rFonts w:eastAsiaTheme="minorEastAsia"/>
                      <w:color w:val="auto"/>
                      <w:szCs w:val="21"/>
                    </w:rPr>
                  </w:pPr>
                  <w:r>
                    <w:rPr>
                      <w:rFonts w:eastAsiaTheme="minorEastAsia"/>
                      <w:color w:val="auto"/>
                      <w:szCs w:val="21"/>
                    </w:rPr>
                    <w:t>对象</w:t>
                  </w:r>
                </w:p>
              </w:tc>
              <w:tc>
                <w:tcPr>
                  <w:tcW w:w="1275" w:type="dxa"/>
                  <w:vAlign w:val="center"/>
                </w:tcPr>
                <w:p>
                  <w:pPr>
                    <w:pStyle w:val="26"/>
                    <w:spacing w:line="360" w:lineRule="exact"/>
                    <w:rPr>
                      <w:rFonts w:eastAsiaTheme="minorEastAsia"/>
                      <w:color w:val="auto"/>
                      <w:szCs w:val="21"/>
                    </w:rPr>
                  </w:pPr>
                  <w:r>
                    <w:rPr>
                      <w:rFonts w:eastAsiaTheme="minorEastAsia"/>
                      <w:color w:val="auto"/>
                      <w:szCs w:val="21"/>
                    </w:rPr>
                    <w:t>监测点位</w:t>
                  </w:r>
                </w:p>
              </w:tc>
              <w:tc>
                <w:tcPr>
                  <w:tcW w:w="2552" w:type="dxa"/>
                  <w:vAlign w:val="center"/>
                </w:tcPr>
                <w:p>
                  <w:pPr>
                    <w:pStyle w:val="26"/>
                    <w:spacing w:line="360" w:lineRule="exact"/>
                    <w:rPr>
                      <w:rFonts w:eastAsiaTheme="minorEastAsia"/>
                      <w:color w:val="auto"/>
                      <w:szCs w:val="21"/>
                    </w:rPr>
                  </w:pPr>
                  <w:r>
                    <w:rPr>
                      <w:rFonts w:eastAsiaTheme="minorEastAsia"/>
                      <w:color w:val="auto"/>
                      <w:szCs w:val="21"/>
                    </w:rPr>
                    <w:t>监测因子</w:t>
                  </w:r>
                </w:p>
              </w:tc>
              <w:tc>
                <w:tcPr>
                  <w:tcW w:w="992" w:type="dxa"/>
                  <w:vAlign w:val="center"/>
                </w:tcPr>
                <w:p>
                  <w:pPr>
                    <w:pStyle w:val="26"/>
                    <w:spacing w:line="360" w:lineRule="exact"/>
                    <w:rPr>
                      <w:rFonts w:eastAsiaTheme="minorEastAsia"/>
                      <w:color w:val="auto"/>
                      <w:szCs w:val="21"/>
                    </w:rPr>
                  </w:pPr>
                  <w:r>
                    <w:rPr>
                      <w:rFonts w:eastAsiaTheme="minorEastAsia"/>
                      <w:color w:val="auto"/>
                      <w:szCs w:val="21"/>
                    </w:rPr>
                    <w:t>最低监测频率</w:t>
                  </w:r>
                </w:p>
              </w:tc>
              <w:tc>
                <w:tcPr>
                  <w:tcW w:w="2909" w:type="dxa"/>
                  <w:vAlign w:val="center"/>
                </w:tcPr>
                <w:p>
                  <w:pPr>
                    <w:pStyle w:val="26"/>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7" w:type="dxa"/>
                  <w:vMerge w:val="restart"/>
                  <w:vAlign w:val="center"/>
                </w:tcPr>
                <w:p>
                  <w:pPr>
                    <w:pStyle w:val="26"/>
                    <w:spacing w:line="360" w:lineRule="exact"/>
                    <w:rPr>
                      <w:rFonts w:eastAsiaTheme="minorEastAsia"/>
                      <w:color w:val="auto"/>
                      <w:szCs w:val="21"/>
                    </w:rPr>
                  </w:pPr>
                  <w:r>
                    <w:rPr>
                      <w:rFonts w:eastAsiaTheme="minorEastAsia"/>
                      <w:color w:val="auto"/>
                      <w:szCs w:val="21"/>
                    </w:rPr>
                    <w:t>废水</w:t>
                  </w:r>
                </w:p>
              </w:tc>
              <w:tc>
                <w:tcPr>
                  <w:tcW w:w="1275" w:type="dxa"/>
                  <w:vAlign w:val="center"/>
                </w:tcPr>
                <w:p>
                  <w:pPr>
                    <w:pStyle w:val="26"/>
                    <w:spacing w:line="360" w:lineRule="exact"/>
                    <w:rPr>
                      <w:rFonts w:eastAsiaTheme="minorEastAsia"/>
                      <w:color w:val="auto"/>
                      <w:szCs w:val="21"/>
                    </w:rPr>
                  </w:pPr>
                  <w:r>
                    <w:rPr>
                      <w:rFonts w:eastAsiaTheme="minorEastAsia"/>
                      <w:color w:val="auto"/>
                      <w:szCs w:val="21"/>
                    </w:rPr>
                    <w:t>清水池</w:t>
                  </w:r>
                </w:p>
              </w:tc>
              <w:tc>
                <w:tcPr>
                  <w:tcW w:w="2552" w:type="dxa"/>
                  <w:vAlign w:val="center"/>
                </w:tcPr>
                <w:p>
                  <w:pPr>
                    <w:pStyle w:val="26"/>
                    <w:spacing w:line="360" w:lineRule="exact"/>
                    <w:ind w:firstLine="210" w:firstLineChars="100"/>
                    <w:jc w:val="left"/>
                    <w:rPr>
                      <w:color w:val="auto"/>
                    </w:rPr>
                  </w:pPr>
                  <w:r>
                    <w:rPr>
                      <w:color w:val="auto"/>
                    </w:rPr>
                    <w:t>pH、CODcr、NH</w:t>
                  </w:r>
                  <w:r>
                    <w:rPr>
                      <w:color w:val="auto"/>
                      <w:vertAlign w:val="subscript"/>
                    </w:rPr>
                    <w:t>3</w:t>
                  </w:r>
                  <w:r>
                    <w:rPr>
                      <w:color w:val="auto"/>
                    </w:rPr>
                    <w:t>-N、SS。</w:t>
                  </w:r>
                </w:p>
              </w:tc>
              <w:tc>
                <w:tcPr>
                  <w:tcW w:w="992" w:type="dxa"/>
                  <w:vAlign w:val="center"/>
                </w:tcPr>
                <w:p>
                  <w:pPr>
                    <w:pStyle w:val="26"/>
                    <w:spacing w:line="360" w:lineRule="exact"/>
                    <w:rPr>
                      <w:rFonts w:eastAsiaTheme="minorEastAsia"/>
                      <w:color w:val="auto"/>
                      <w:szCs w:val="21"/>
                    </w:rPr>
                  </w:pPr>
                  <w:r>
                    <w:rPr>
                      <w:rFonts w:eastAsiaTheme="minorEastAsia"/>
                      <w:color w:val="auto"/>
                      <w:szCs w:val="21"/>
                    </w:rPr>
                    <w:t>1次/年</w:t>
                  </w:r>
                </w:p>
              </w:tc>
              <w:tc>
                <w:tcPr>
                  <w:tcW w:w="2909" w:type="dxa"/>
                  <w:vAlign w:val="center"/>
                </w:tcPr>
                <w:p>
                  <w:pPr>
                    <w:pStyle w:val="26"/>
                    <w:spacing w:line="360" w:lineRule="exact"/>
                    <w:ind w:firstLine="210" w:firstLineChars="100"/>
                    <w:jc w:val="both"/>
                    <w:rPr>
                      <w:color w:val="auto"/>
                    </w:rPr>
                  </w:pPr>
                  <w:r>
                    <w:rPr>
                      <w:color w:val="auto"/>
                    </w:rPr>
                    <w:t>《城市污水再生利用  工业用水水质》（GB/T 19923-2005）标准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7" w:type="dxa"/>
                  <w:vMerge w:val="continue"/>
                  <w:vAlign w:val="center"/>
                </w:tcPr>
                <w:p>
                  <w:pPr>
                    <w:pStyle w:val="26"/>
                    <w:spacing w:line="360" w:lineRule="exact"/>
                    <w:rPr>
                      <w:rFonts w:eastAsiaTheme="minorEastAsia"/>
                      <w:color w:val="auto"/>
                      <w:szCs w:val="21"/>
                    </w:rPr>
                  </w:pPr>
                </w:p>
              </w:tc>
              <w:tc>
                <w:tcPr>
                  <w:tcW w:w="1275" w:type="dxa"/>
                  <w:vAlign w:val="center"/>
                </w:tcPr>
                <w:p>
                  <w:pPr>
                    <w:pStyle w:val="26"/>
                    <w:spacing w:line="360" w:lineRule="exact"/>
                    <w:rPr>
                      <w:rFonts w:eastAsiaTheme="minorEastAsia"/>
                      <w:color w:val="auto"/>
                      <w:szCs w:val="21"/>
                    </w:rPr>
                  </w:pPr>
                  <w:r>
                    <w:rPr>
                      <w:rFonts w:eastAsiaTheme="minorEastAsia"/>
                      <w:color w:val="auto"/>
                      <w:szCs w:val="21"/>
                    </w:rPr>
                    <w:t>一体化污水处理设施进、出口</w:t>
                  </w:r>
                </w:p>
              </w:tc>
              <w:tc>
                <w:tcPr>
                  <w:tcW w:w="2552" w:type="dxa"/>
                  <w:vAlign w:val="center"/>
                </w:tcPr>
                <w:p>
                  <w:pPr>
                    <w:pStyle w:val="26"/>
                    <w:spacing w:line="360" w:lineRule="exact"/>
                    <w:ind w:firstLine="210" w:firstLineChars="100"/>
                    <w:jc w:val="left"/>
                    <w:rPr>
                      <w:rFonts w:eastAsiaTheme="minorEastAsia"/>
                      <w:color w:val="auto"/>
                    </w:rPr>
                  </w:pPr>
                  <w:r>
                    <w:rPr>
                      <w:color w:val="auto"/>
                    </w:rPr>
                    <w:t>pH、CODcr、BOD</w:t>
                  </w:r>
                  <w:r>
                    <w:rPr>
                      <w:color w:val="auto"/>
                      <w:vertAlign w:val="subscript"/>
                    </w:rPr>
                    <w:t>5</w:t>
                  </w:r>
                  <w:r>
                    <w:rPr>
                      <w:color w:val="auto"/>
                    </w:rPr>
                    <w:t>、NH</w:t>
                  </w:r>
                  <w:r>
                    <w:rPr>
                      <w:color w:val="auto"/>
                      <w:vertAlign w:val="subscript"/>
                    </w:rPr>
                    <w:t>3</w:t>
                  </w:r>
                  <w:r>
                    <w:rPr>
                      <w:color w:val="auto"/>
                    </w:rPr>
                    <w:t>-N、SS、总磷、总氮、</w:t>
                  </w:r>
                  <w:r>
                    <w:rPr>
                      <w:bCs w:val="0"/>
                      <w:snapToGrid/>
                      <w:color w:val="auto"/>
                      <w:kern w:val="0"/>
                      <w:szCs w:val="21"/>
                      <w:lang w:val="en-US"/>
                    </w:rPr>
                    <w:t>阴离子表面活性剂、</w:t>
                  </w:r>
                  <w:r>
                    <w:rPr>
                      <w:color w:val="auto"/>
                    </w:rPr>
                    <w:t>粪大肠菌群数</w:t>
                  </w:r>
                </w:p>
              </w:tc>
              <w:tc>
                <w:tcPr>
                  <w:tcW w:w="992" w:type="dxa"/>
                  <w:vAlign w:val="center"/>
                </w:tcPr>
                <w:p>
                  <w:pPr>
                    <w:pStyle w:val="26"/>
                    <w:spacing w:line="360" w:lineRule="exact"/>
                    <w:rPr>
                      <w:rFonts w:eastAsiaTheme="minorEastAsia"/>
                      <w:color w:val="auto"/>
                      <w:szCs w:val="21"/>
                    </w:rPr>
                  </w:pPr>
                  <w:r>
                    <w:rPr>
                      <w:rFonts w:eastAsiaTheme="minorEastAsia"/>
                      <w:color w:val="auto"/>
                      <w:szCs w:val="21"/>
                    </w:rPr>
                    <w:t>1次/年</w:t>
                  </w:r>
                </w:p>
              </w:tc>
              <w:tc>
                <w:tcPr>
                  <w:tcW w:w="2909" w:type="dxa"/>
                  <w:vAlign w:val="center"/>
                </w:tcPr>
                <w:p>
                  <w:pPr>
                    <w:pStyle w:val="26"/>
                    <w:spacing w:line="360" w:lineRule="exact"/>
                    <w:ind w:firstLine="210" w:firstLineChars="100"/>
                    <w:jc w:val="both"/>
                    <w:rPr>
                      <w:color w:val="auto"/>
                    </w:rPr>
                  </w:pPr>
                  <w:r>
                    <w:rPr>
                      <w:color w:val="auto"/>
                    </w:rPr>
                    <w:t>《城市污水再生利用 城市杂用水水质》（GB/T18920 -2020）城市绿化标准</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rPr>
              <w:t>废水</w:t>
            </w:r>
            <w:r>
              <w:rPr>
                <w:rFonts w:ascii="Times New Roman" w:hAnsi="Times New Roman" w:cs="Times New Roman"/>
                <w:b/>
                <w:sz w:val="24"/>
                <w:szCs w:val="24"/>
              </w:rPr>
              <w:t>环境影响分析结论</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rPr>
              <w:t>①生产废水环境影响分析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rPr>
              <w:t>根据工程分析可知，</w:t>
            </w:r>
            <w:r>
              <w:rPr>
                <w:rFonts w:ascii="Times New Roman" w:hAnsi="Times New Roman" w:cs="Times New Roman"/>
                <w:sz w:val="24"/>
                <w:szCs w:val="30"/>
              </w:rPr>
              <w:t>项目生产废水主要为洗砂废水，项目拟设置一套生产废水处理系统对其进行处理，该系统由2个生产废水收集池、2个污水处理塔、2个清水池、2个泥浆回收池和4台污泥压滤机组成；项目生产废水经处理后可达到《城市污水再生利用  工业用水水质》（GB/T 19923-2005）标准，全部回用于生产，不外排；对环境影响较小。</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②生活污水环境影响分析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szCs w:val="30"/>
              </w:rPr>
              <w:t>根据工程分析可知，项目生活污水产生量为1.08m³/d，合计为356.4m³/a；项目拟设置一个有效容积为2m³的化粪池、处理规模为2m³/d的一体化污水处理设施和一个有效容积为8m³的再生水收集池对生活污水处理后，可达到《城市污水再生利用 城市杂用水水质》（GB/T18920-2020）中城市绿化标准，回用于绿化不外排；对环境影响较小。</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③初期雨水环境影响分析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szCs w:val="30"/>
              </w:rPr>
              <w:t>根据工程分析可知，本项目厂区初期雨水产生量约为19.1m³/次，初期雨水的主要污染物为SS，SS产生浓度约400mg/L；项目拟在厂房外围及厂区周围设置900m的截排水沟对雨天厂区产生的初期雨水及地表径流进行疏导，初期雨水通过截排水沟收集后进入有效容积不低于20m³的初期雨水收集池收集处理后，可达到《城市污水再生利用  工业用水水质》（GB/T 19923-2005）标准，全部回用于生产车间，不外排。</w:t>
            </w:r>
          </w:p>
          <w:p>
            <w:pPr>
              <w:pStyle w:val="34"/>
              <w:ind w:firstLine="480"/>
              <w:rPr>
                <w:rFonts w:eastAsiaTheme="minorEastAsia"/>
                <w:szCs w:val="24"/>
              </w:rPr>
            </w:pP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 xml:space="preserve"> 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pStyle w:val="34"/>
              <w:ind w:firstLine="480"/>
              <w:rPr>
                <w:szCs w:val="24"/>
              </w:rPr>
            </w:pPr>
            <w:r>
              <w:rPr>
                <w:szCs w:val="24"/>
              </w:rPr>
              <w:t>项目噪声污染源主要为设备噪声，其源强如下表所示。</w:t>
            </w:r>
          </w:p>
          <w:p>
            <w:pPr>
              <w:jc w:val="center"/>
              <w:rPr>
                <w:rFonts w:ascii="Times New Roman" w:hAnsi="Times New Roman" w:cs="Times New Roman"/>
                <w:b/>
                <w:szCs w:val="24"/>
              </w:rPr>
            </w:pPr>
            <w:r>
              <w:rPr>
                <w:rFonts w:ascii="Times New Roman" w:hAnsi="Times New Roman" w:cs="Times New Roman"/>
                <w:b/>
                <w:szCs w:val="24"/>
              </w:rPr>
              <w:t>表4.2.</w:t>
            </w:r>
            <w:r>
              <w:rPr>
                <w:rFonts w:ascii="Times New Roman" w:hAnsi="Times New Roman" w:cs="Times New Roman"/>
                <w:b/>
              </w:rPr>
              <w:t>3</w:t>
            </w:r>
            <w:r>
              <w:rPr>
                <w:rFonts w:ascii="Times New Roman" w:hAnsi="Times New Roman" w:cs="Times New Roman"/>
                <w:b/>
                <w:szCs w:val="24"/>
              </w:rPr>
              <w:t>-1 项目主要生产设备噪声源强一览表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850"/>
              <w:gridCol w:w="1560"/>
              <w:gridCol w:w="850"/>
              <w:gridCol w:w="1134"/>
              <w:gridCol w:w="1232"/>
              <w:gridCol w:w="910"/>
              <w:gridCol w:w="13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Align w:val="center"/>
                </w:tcPr>
                <w:p>
                  <w:pPr>
                    <w:pStyle w:val="26"/>
                    <w:spacing w:line="360" w:lineRule="exact"/>
                    <w:rPr>
                      <w:color w:val="auto"/>
                      <w:szCs w:val="21"/>
                      <w:lang w:val="en-US"/>
                    </w:rPr>
                  </w:pPr>
                  <w:r>
                    <w:rPr>
                      <w:color w:val="auto"/>
                      <w:szCs w:val="21"/>
                      <w:lang w:val="en-US"/>
                    </w:rPr>
                    <w:t>主要生产单元</w:t>
                  </w:r>
                </w:p>
              </w:tc>
              <w:tc>
                <w:tcPr>
                  <w:tcW w:w="850" w:type="dxa"/>
                  <w:vAlign w:val="center"/>
                </w:tcPr>
                <w:p>
                  <w:pPr>
                    <w:pStyle w:val="26"/>
                    <w:spacing w:line="360" w:lineRule="exact"/>
                    <w:rPr>
                      <w:color w:val="auto"/>
                      <w:szCs w:val="21"/>
                      <w:lang w:val="en-US"/>
                    </w:rPr>
                  </w:pPr>
                  <w:r>
                    <w:rPr>
                      <w:color w:val="auto"/>
                      <w:szCs w:val="21"/>
                      <w:lang w:val="en-US"/>
                    </w:rPr>
                    <w:t>主要工艺</w:t>
                  </w: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生产设施</w:t>
                  </w:r>
                </w:p>
              </w:tc>
              <w:tc>
                <w:tcPr>
                  <w:tcW w:w="850" w:type="dxa"/>
                  <w:vAlign w:val="center"/>
                </w:tcPr>
                <w:p>
                  <w:pPr>
                    <w:pStyle w:val="26"/>
                    <w:spacing w:line="360" w:lineRule="exact"/>
                    <w:rPr>
                      <w:color w:val="auto"/>
                      <w:szCs w:val="21"/>
                      <w:lang w:val="en-US"/>
                    </w:rPr>
                  </w:pPr>
                  <w:r>
                    <w:rPr>
                      <w:color w:val="auto"/>
                      <w:szCs w:val="21"/>
                      <w:lang w:val="en-US"/>
                    </w:rPr>
                    <w:t>数量</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rPr>
                    <w:t>产生强度〔dB（A）〕</w:t>
                  </w:r>
                </w:p>
              </w:tc>
              <w:tc>
                <w:tcPr>
                  <w:tcW w:w="1232" w:type="dxa"/>
                  <w:tcBorders>
                    <w:left w:val="single" w:color="auto" w:sz="4" w:space="0"/>
                    <w:right w:val="single" w:color="auto" w:sz="4" w:space="0"/>
                  </w:tcBorders>
                  <w:vAlign w:val="center"/>
                </w:tcPr>
                <w:p>
                  <w:pPr>
                    <w:pStyle w:val="26"/>
                    <w:spacing w:line="360" w:lineRule="exact"/>
                    <w:rPr>
                      <w:color w:val="auto"/>
                      <w:szCs w:val="21"/>
                      <w:lang w:val="en-US"/>
                    </w:rPr>
                  </w:pPr>
                  <w:r>
                    <w:rPr>
                      <w:rFonts w:eastAsiaTheme="minorEastAsia"/>
                      <w:color w:val="auto"/>
                      <w:szCs w:val="21"/>
                    </w:rPr>
                    <w:t>降噪措施</w:t>
                  </w:r>
                </w:p>
              </w:tc>
              <w:tc>
                <w:tcPr>
                  <w:tcW w:w="910" w:type="dxa"/>
                  <w:tcBorders>
                    <w:left w:val="single" w:color="auto" w:sz="4" w:space="0"/>
                  </w:tcBorders>
                  <w:vAlign w:val="center"/>
                </w:tcPr>
                <w:p>
                  <w:pPr>
                    <w:pStyle w:val="26"/>
                    <w:spacing w:line="360" w:lineRule="exact"/>
                    <w:rPr>
                      <w:color w:val="auto"/>
                      <w:szCs w:val="21"/>
                      <w:lang w:val="en-US"/>
                    </w:rPr>
                  </w:pPr>
                  <w:r>
                    <w:rPr>
                      <w:rFonts w:eastAsiaTheme="minorEastAsia"/>
                      <w:color w:val="auto"/>
                      <w:szCs w:val="21"/>
                    </w:rPr>
                    <w:t>排放强度〔dB（A）〕</w:t>
                  </w:r>
                </w:p>
              </w:tc>
              <w:tc>
                <w:tcPr>
                  <w:tcW w:w="1334" w:type="dxa"/>
                  <w:vAlign w:val="center"/>
                </w:tcPr>
                <w:p>
                  <w:pPr>
                    <w:pStyle w:val="26"/>
                    <w:spacing w:line="360" w:lineRule="exact"/>
                    <w:rPr>
                      <w:color w:val="auto"/>
                      <w:szCs w:val="21"/>
                      <w:lang w:val="en-US"/>
                    </w:rPr>
                  </w:pPr>
                  <w:r>
                    <w:rPr>
                      <w:rFonts w:eastAsiaTheme="minorEastAsia"/>
                      <w:color w:val="auto"/>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restart"/>
                  <w:vAlign w:val="center"/>
                </w:tcPr>
                <w:p>
                  <w:pPr>
                    <w:pStyle w:val="26"/>
                    <w:spacing w:line="360" w:lineRule="exact"/>
                    <w:rPr>
                      <w:color w:val="auto"/>
                      <w:szCs w:val="21"/>
                      <w:lang w:val="en-US"/>
                    </w:rPr>
                  </w:pPr>
                  <w:r>
                    <w:rPr>
                      <w:color w:val="auto"/>
                      <w:szCs w:val="21"/>
                      <w:lang w:val="en-US"/>
                    </w:rPr>
                    <w:t>主体工程</w:t>
                  </w:r>
                </w:p>
              </w:tc>
              <w:tc>
                <w:tcPr>
                  <w:tcW w:w="850" w:type="dxa"/>
                  <w:vMerge w:val="restart"/>
                  <w:vAlign w:val="center"/>
                </w:tcPr>
                <w:p>
                  <w:pPr>
                    <w:pStyle w:val="26"/>
                    <w:spacing w:line="360" w:lineRule="exact"/>
                    <w:rPr>
                      <w:color w:val="auto"/>
                      <w:szCs w:val="21"/>
                      <w:lang w:val="en-US"/>
                    </w:rPr>
                  </w:pPr>
                  <w:r>
                    <w:rPr>
                      <w:color w:val="auto"/>
                      <w:szCs w:val="21"/>
                      <w:lang w:val="en-US"/>
                    </w:rPr>
                    <w:t>破碎车间</w:t>
                  </w: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颚式破碎机</w:t>
                  </w:r>
                </w:p>
              </w:tc>
              <w:tc>
                <w:tcPr>
                  <w:tcW w:w="850" w:type="dxa"/>
                  <w:vAlign w:val="center"/>
                </w:tcPr>
                <w:p>
                  <w:pPr>
                    <w:pStyle w:val="26"/>
                    <w:spacing w:line="360" w:lineRule="exact"/>
                    <w:rPr>
                      <w:color w:val="auto"/>
                      <w:szCs w:val="21"/>
                      <w:lang w:val="en-US"/>
                    </w:rPr>
                  </w:pPr>
                  <w:r>
                    <w:rPr>
                      <w:color w:val="auto"/>
                      <w:szCs w:val="21"/>
                      <w:lang w:val="en-US"/>
                    </w:rPr>
                    <w:t>1台</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85</w:t>
                  </w:r>
                </w:p>
              </w:tc>
              <w:tc>
                <w:tcPr>
                  <w:tcW w:w="1232" w:type="dxa"/>
                  <w:vMerge w:val="restart"/>
                  <w:tcBorders>
                    <w:left w:val="single" w:color="auto" w:sz="4" w:space="0"/>
                    <w:right w:val="single" w:color="auto" w:sz="4" w:space="0"/>
                  </w:tcBorders>
                  <w:vAlign w:val="center"/>
                </w:tcPr>
                <w:p>
                  <w:pPr>
                    <w:pStyle w:val="26"/>
                    <w:spacing w:line="360" w:lineRule="exact"/>
                    <w:rPr>
                      <w:color w:val="auto"/>
                      <w:szCs w:val="21"/>
                      <w:lang w:val="en-US"/>
                    </w:rPr>
                  </w:pPr>
                  <w:r>
                    <w:rPr>
                      <w:color w:val="auto"/>
                      <w:szCs w:val="21"/>
                    </w:rPr>
                    <w:t>减震垫、消声器、墙体阻隔等</w:t>
                  </w:r>
                </w:p>
              </w:tc>
              <w:tc>
                <w:tcPr>
                  <w:tcW w:w="910" w:type="dxa"/>
                  <w:tcBorders>
                    <w:left w:val="single" w:color="auto" w:sz="4" w:space="0"/>
                  </w:tcBorders>
                  <w:vAlign w:val="center"/>
                </w:tcPr>
                <w:p>
                  <w:pPr>
                    <w:pStyle w:val="26"/>
                    <w:spacing w:line="360" w:lineRule="exact"/>
                    <w:rPr>
                      <w:color w:val="auto"/>
                      <w:szCs w:val="21"/>
                      <w:lang w:val="en-US"/>
                    </w:rPr>
                  </w:pPr>
                  <w:r>
                    <w:rPr>
                      <w:color w:val="auto"/>
                      <w:szCs w:val="21"/>
                      <w:lang w:val="en-US"/>
                    </w:rPr>
                    <w:t>75</w:t>
                  </w:r>
                </w:p>
              </w:tc>
              <w:tc>
                <w:tcPr>
                  <w:tcW w:w="1334" w:type="dxa"/>
                  <w:vAlign w:val="center"/>
                </w:tcPr>
                <w:p>
                  <w:pPr>
                    <w:pStyle w:val="26"/>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lang w:val="en-US"/>
                    </w:rPr>
                  </w:pPr>
                </w:p>
              </w:tc>
              <w:tc>
                <w:tcPr>
                  <w:tcW w:w="850" w:type="dxa"/>
                  <w:vMerge w:val="continue"/>
                  <w:vAlign w:val="center"/>
                </w:tcPr>
                <w:p>
                  <w:pPr>
                    <w:pStyle w:val="26"/>
                    <w:spacing w:line="360" w:lineRule="exact"/>
                    <w:rPr>
                      <w:color w:val="auto"/>
                      <w:szCs w:val="21"/>
                      <w:lang w:val="en-US"/>
                    </w:rPr>
                  </w:pP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冲击式破碎机</w:t>
                  </w:r>
                </w:p>
              </w:tc>
              <w:tc>
                <w:tcPr>
                  <w:tcW w:w="850" w:type="dxa"/>
                  <w:vAlign w:val="center"/>
                </w:tcPr>
                <w:p>
                  <w:pPr>
                    <w:pStyle w:val="26"/>
                    <w:spacing w:line="360" w:lineRule="exact"/>
                    <w:rPr>
                      <w:color w:val="auto"/>
                      <w:szCs w:val="21"/>
                      <w:lang w:val="en-US"/>
                    </w:rPr>
                  </w:pPr>
                  <w:r>
                    <w:rPr>
                      <w:color w:val="auto"/>
                      <w:szCs w:val="21"/>
                      <w:lang w:val="en-US"/>
                    </w:rPr>
                    <w:t>1台</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85</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rPr>
                  </w:pPr>
                </w:p>
              </w:tc>
              <w:tc>
                <w:tcPr>
                  <w:tcW w:w="910"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75</w:t>
                  </w:r>
                </w:p>
              </w:tc>
              <w:tc>
                <w:tcPr>
                  <w:tcW w:w="1334" w:type="dxa"/>
                  <w:vAlign w:val="center"/>
                </w:tcPr>
                <w:p>
                  <w:pPr>
                    <w:spacing w:line="360" w:lineRule="exact"/>
                    <w:jc w:val="center"/>
                    <w:rPr>
                      <w:rFonts w:ascii="Times New Roman" w:hAnsi="Times New Roman" w:cs="Times New Roman"/>
                    </w:rPr>
                  </w:pPr>
                  <w:r>
                    <w:rPr>
                      <w:rFonts w:ascii="Times New Roman" w:hAnsi="Times New Roman" w:cs="Times New Roma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lang w:val="en-US"/>
                    </w:rPr>
                  </w:pPr>
                </w:p>
              </w:tc>
              <w:tc>
                <w:tcPr>
                  <w:tcW w:w="850" w:type="dxa"/>
                  <w:vMerge w:val="continue"/>
                  <w:vAlign w:val="center"/>
                </w:tcPr>
                <w:p>
                  <w:pPr>
                    <w:pStyle w:val="26"/>
                    <w:spacing w:line="360" w:lineRule="exact"/>
                    <w:rPr>
                      <w:color w:val="auto"/>
                      <w:szCs w:val="21"/>
                      <w:lang w:val="en-US"/>
                    </w:rPr>
                  </w:pP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圆锥破碎机</w:t>
                  </w:r>
                </w:p>
              </w:tc>
              <w:tc>
                <w:tcPr>
                  <w:tcW w:w="850" w:type="dxa"/>
                  <w:vAlign w:val="center"/>
                </w:tcPr>
                <w:p>
                  <w:pPr>
                    <w:pStyle w:val="26"/>
                    <w:spacing w:line="360" w:lineRule="exact"/>
                    <w:rPr>
                      <w:color w:val="auto"/>
                      <w:szCs w:val="21"/>
                      <w:lang w:val="en-US"/>
                    </w:rPr>
                  </w:pPr>
                  <w:r>
                    <w:rPr>
                      <w:color w:val="auto"/>
                      <w:szCs w:val="21"/>
                      <w:lang w:val="en-US"/>
                    </w:rPr>
                    <w:t>1台</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85</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rPr>
                  </w:pPr>
                </w:p>
              </w:tc>
              <w:tc>
                <w:tcPr>
                  <w:tcW w:w="910"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75</w:t>
                  </w:r>
                </w:p>
              </w:tc>
              <w:tc>
                <w:tcPr>
                  <w:tcW w:w="1334" w:type="dxa"/>
                  <w:vAlign w:val="center"/>
                </w:tcPr>
                <w:p>
                  <w:pPr>
                    <w:spacing w:line="360" w:lineRule="exact"/>
                    <w:jc w:val="center"/>
                    <w:rPr>
                      <w:rFonts w:ascii="Times New Roman" w:hAnsi="Times New Roman" w:cs="Times New Roman"/>
                    </w:rPr>
                  </w:pPr>
                  <w:r>
                    <w:rPr>
                      <w:rFonts w:ascii="Times New Roman" w:hAnsi="Times New Roman" w:cs="Times New Roma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6" w:hRule="atLeast"/>
                <w:jc w:val="center"/>
              </w:trPr>
              <w:tc>
                <w:tcPr>
                  <w:tcW w:w="735" w:type="dxa"/>
                  <w:vMerge w:val="continue"/>
                  <w:vAlign w:val="center"/>
                </w:tcPr>
                <w:p>
                  <w:pPr>
                    <w:pStyle w:val="26"/>
                    <w:spacing w:line="360" w:lineRule="exact"/>
                    <w:rPr>
                      <w:color w:val="auto"/>
                      <w:szCs w:val="21"/>
                      <w:lang w:val="en-US"/>
                    </w:rPr>
                  </w:pPr>
                </w:p>
              </w:tc>
              <w:tc>
                <w:tcPr>
                  <w:tcW w:w="850" w:type="dxa"/>
                  <w:vMerge w:val="restart"/>
                  <w:vAlign w:val="center"/>
                </w:tcPr>
                <w:p>
                  <w:pPr>
                    <w:pStyle w:val="26"/>
                    <w:spacing w:line="360" w:lineRule="exact"/>
                    <w:rPr>
                      <w:color w:val="auto"/>
                      <w:szCs w:val="21"/>
                      <w:lang w:val="en-US"/>
                    </w:rPr>
                  </w:pPr>
                  <w:r>
                    <w:rPr>
                      <w:color w:val="auto"/>
                      <w:szCs w:val="21"/>
                      <w:lang w:val="en-US"/>
                    </w:rPr>
                    <w:t>筛分水洗车间</w:t>
                  </w: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振动筛</w:t>
                  </w:r>
                </w:p>
              </w:tc>
              <w:tc>
                <w:tcPr>
                  <w:tcW w:w="850" w:type="dxa"/>
                  <w:vAlign w:val="center"/>
                </w:tcPr>
                <w:p>
                  <w:pPr>
                    <w:pStyle w:val="26"/>
                    <w:spacing w:line="360" w:lineRule="exact"/>
                    <w:rPr>
                      <w:color w:val="auto"/>
                      <w:szCs w:val="21"/>
                      <w:lang w:val="en-US"/>
                    </w:rPr>
                  </w:pPr>
                  <w:r>
                    <w:rPr>
                      <w:color w:val="auto"/>
                      <w:szCs w:val="21"/>
                      <w:lang w:val="en-US"/>
                    </w:rPr>
                    <w:t>3套</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70</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lang w:val="en-US"/>
                    </w:rPr>
                  </w:pPr>
                </w:p>
              </w:tc>
              <w:tc>
                <w:tcPr>
                  <w:tcW w:w="910"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75</w:t>
                  </w:r>
                </w:p>
              </w:tc>
              <w:tc>
                <w:tcPr>
                  <w:tcW w:w="1334" w:type="dxa"/>
                  <w:vAlign w:val="center"/>
                </w:tcPr>
                <w:p>
                  <w:pPr>
                    <w:pStyle w:val="26"/>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lang w:val="en-US"/>
                    </w:rPr>
                  </w:pPr>
                </w:p>
              </w:tc>
              <w:tc>
                <w:tcPr>
                  <w:tcW w:w="850" w:type="dxa"/>
                  <w:vMerge w:val="continue"/>
                  <w:vAlign w:val="center"/>
                </w:tcPr>
                <w:p>
                  <w:pPr>
                    <w:pStyle w:val="26"/>
                    <w:spacing w:line="360" w:lineRule="exact"/>
                    <w:rPr>
                      <w:color w:val="auto"/>
                      <w:szCs w:val="21"/>
                      <w:lang w:val="en-US"/>
                    </w:rPr>
                  </w:pP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螺旋洗砂机</w:t>
                  </w:r>
                </w:p>
              </w:tc>
              <w:tc>
                <w:tcPr>
                  <w:tcW w:w="850" w:type="dxa"/>
                  <w:vAlign w:val="center"/>
                </w:tcPr>
                <w:p>
                  <w:pPr>
                    <w:pStyle w:val="26"/>
                    <w:spacing w:line="360" w:lineRule="exact"/>
                    <w:rPr>
                      <w:color w:val="auto"/>
                      <w:szCs w:val="21"/>
                      <w:lang w:val="en-US"/>
                    </w:rPr>
                  </w:pPr>
                  <w:r>
                    <w:rPr>
                      <w:color w:val="auto"/>
                      <w:szCs w:val="21"/>
                      <w:lang w:val="en-US"/>
                    </w:rPr>
                    <w:t>2套</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75</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lang w:val="en-US"/>
                    </w:rPr>
                  </w:pPr>
                </w:p>
              </w:tc>
              <w:tc>
                <w:tcPr>
                  <w:tcW w:w="910" w:type="dxa"/>
                  <w:tcBorders>
                    <w:left w:val="single" w:color="auto" w:sz="4" w:space="0"/>
                  </w:tcBorders>
                  <w:vAlign w:val="center"/>
                </w:tcPr>
                <w:p>
                  <w:pPr>
                    <w:pStyle w:val="26"/>
                    <w:spacing w:line="360" w:lineRule="exact"/>
                    <w:rPr>
                      <w:color w:val="auto"/>
                      <w:szCs w:val="21"/>
                      <w:lang w:val="en-US"/>
                    </w:rPr>
                  </w:pPr>
                  <w:r>
                    <w:rPr>
                      <w:color w:val="auto"/>
                      <w:szCs w:val="21"/>
                      <w:lang w:val="en-US"/>
                    </w:rPr>
                    <w:t>65</w:t>
                  </w:r>
                </w:p>
              </w:tc>
              <w:tc>
                <w:tcPr>
                  <w:tcW w:w="1334" w:type="dxa"/>
                  <w:vAlign w:val="center"/>
                </w:tcPr>
                <w:p>
                  <w:pPr>
                    <w:pStyle w:val="26"/>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lang w:val="en-US"/>
                    </w:rPr>
                  </w:pPr>
                </w:p>
              </w:tc>
              <w:tc>
                <w:tcPr>
                  <w:tcW w:w="850" w:type="dxa"/>
                  <w:vMerge w:val="continue"/>
                  <w:vAlign w:val="center"/>
                </w:tcPr>
                <w:p>
                  <w:pPr>
                    <w:pStyle w:val="26"/>
                    <w:spacing w:line="360" w:lineRule="exact"/>
                    <w:rPr>
                      <w:color w:val="auto"/>
                      <w:szCs w:val="21"/>
                      <w:lang w:val="en-US"/>
                    </w:rPr>
                  </w:pP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脱水筛</w:t>
                  </w:r>
                </w:p>
              </w:tc>
              <w:tc>
                <w:tcPr>
                  <w:tcW w:w="850" w:type="dxa"/>
                  <w:vAlign w:val="center"/>
                </w:tcPr>
                <w:p>
                  <w:pPr>
                    <w:pStyle w:val="26"/>
                    <w:spacing w:line="360" w:lineRule="exact"/>
                    <w:rPr>
                      <w:color w:val="auto"/>
                      <w:szCs w:val="21"/>
                      <w:lang w:val="en-US"/>
                    </w:rPr>
                  </w:pPr>
                  <w:r>
                    <w:rPr>
                      <w:color w:val="auto"/>
                      <w:szCs w:val="21"/>
                      <w:lang w:val="en-US"/>
                    </w:rPr>
                    <w:t>2套</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70</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lang w:val="en-US"/>
                    </w:rPr>
                  </w:pPr>
                </w:p>
              </w:tc>
              <w:tc>
                <w:tcPr>
                  <w:tcW w:w="910" w:type="dxa"/>
                  <w:tcBorders>
                    <w:left w:val="single" w:color="auto" w:sz="4" w:space="0"/>
                  </w:tcBorders>
                  <w:vAlign w:val="center"/>
                </w:tcPr>
                <w:p>
                  <w:pPr>
                    <w:pStyle w:val="26"/>
                    <w:spacing w:line="360" w:lineRule="exact"/>
                    <w:rPr>
                      <w:color w:val="auto"/>
                      <w:szCs w:val="21"/>
                      <w:lang w:val="en-US"/>
                    </w:rPr>
                  </w:pPr>
                  <w:r>
                    <w:rPr>
                      <w:color w:val="auto"/>
                      <w:szCs w:val="21"/>
                      <w:lang w:val="en-US"/>
                    </w:rPr>
                    <w:t>60</w:t>
                  </w:r>
                </w:p>
              </w:tc>
              <w:tc>
                <w:tcPr>
                  <w:tcW w:w="1334" w:type="dxa"/>
                  <w:vAlign w:val="center"/>
                </w:tcPr>
                <w:p>
                  <w:pPr>
                    <w:pStyle w:val="26"/>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restart"/>
                  <w:vAlign w:val="center"/>
                </w:tcPr>
                <w:p>
                  <w:pPr>
                    <w:pStyle w:val="26"/>
                    <w:spacing w:line="360" w:lineRule="exact"/>
                    <w:rPr>
                      <w:color w:val="auto"/>
                      <w:szCs w:val="21"/>
                      <w:lang w:val="en-US"/>
                    </w:rPr>
                  </w:pPr>
                  <w:r>
                    <w:rPr>
                      <w:color w:val="auto"/>
                      <w:szCs w:val="21"/>
                      <w:lang w:val="en-US"/>
                    </w:rPr>
                    <w:t>储运工程</w:t>
                  </w:r>
                </w:p>
              </w:tc>
              <w:tc>
                <w:tcPr>
                  <w:tcW w:w="850" w:type="dxa"/>
                  <w:vMerge w:val="restart"/>
                  <w:vAlign w:val="center"/>
                </w:tcPr>
                <w:p>
                  <w:pPr>
                    <w:pStyle w:val="26"/>
                    <w:spacing w:line="360" w:lineRule="exact"/>
                    <w:rPr>
                      <w:color w:val="auto"/>
                      <w:szCs w:val="21"/>
                      <w:lang w:val="en-US"/>
                    </w:rPr>
                  </w:pPr>
                  <w:r>
                    <w:rPr>
                      <w:color w:val="auto"/>
                      <w:szCs w:val="21"/>
                      <w:lang w:val="en-US"/>
                    </w:rPr>
                    <w:t>产品库</w:t>
                  </w: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装载机</w:t>
                  </w:r>
                </w:p>
              </w:tc>
              <w:tc>
                <w:tcPr>
                  <w:tcW w:w="850" w:type="dxa"/>
                  <w:vAlign w:val="center"/>
                </w:tcPr>
                <w:p>
                  <w:pPr>
                    <w:pStyle w:val="26"/>
                    <w:spacing w:line="360" w:lineRule="exact"/>
                    <w:rPr>
                      <w:color w:val="auto"/>
                      <w:szCs w:val="21"/>
                      <w:lang w:val="en-US"/>
                    </w:rPr>
                  </w:pPr>
                  <w:r>
                    <w:rPr>
                      <w:color w:val="auto"/>
                      <w:szCs w:val="21"/>
                      <w:lang w:val="en-US"/>
                    </w:rPr>
                    <w:t>2台</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80</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lang w:val="en-US"/>
                    </w:rPr>
                  </w:pPr>
                </w:p>
              </w:tc>
              <w:tc>
                <w:tcPr>
                  <w:tcW w:w="910" w:type="dxa"/>
                  <w:tcBorders>
                    <w:left w:val="single" w:color="auto" w:sz="4" w:space="0"/>
                  </w:tcBorders>
                  <w:vAlign w:val="center"/>
                </w:tcPr>
                <w:p>
                  <w:pPr>
                    <w:pStyle w:val="26"/>
                    <w:spacing w:line="360" w:lineRule="exact"/>
                    <w:rPr>
                      <w:color w:val="auto"/>
                      <w:szCs w:val="21"/>
                      <w:lang w:val="en-US"/>
                    </w:rPr>
                  </w:pPr>
                  <w:r>
                    <w:rPr>
                      <w:color w:val="auto"/>
                      <w:szCs w:val="21"/>
                      <w:lang w:val="en-US"/>
                    </w:rPr>
                    <w:t>70</w:t>
                  </w:r>
                </w:p>
              </w:tc>
              <w:tc>
                <w:tcPr>
                  <w:tcW w:w="1334" w:type="dxa"/>
                  <w:vAlign w:val="center"/>
                </w:tcPr>
                <w:p>
                  <w:pPr>
                    <w:pStyle w:val="26"/>
                    <w:spacing w:line="360" w:lineRule="exact"/>
                    <w:rPr>
                      <w:color w:val="auto"/>
                      <w:szCs w:val="21"/>
                      <w:lang w:val="en-US"/>
                    </w:rPr>
                  </w:pPr>
                  <w:r>
                    <w:rPr>
                      <w:color w:val="auto"/>
                      <w:szCs w:val="21"/>
                    </w:rPr>
                    <w:t>间歇性产生，8h/d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lang w:val="en-US"/>
                    </w:rPr>
                  </w:pPr>
                </w:p>
              </w:tc>
              <w:tc>
                <w:tcPr>
                  <w:tcW w:w="850" w:type="dxa"/>
                  <w:vMerge w:val="continue"/>
                  <w:vAlign w:val="center"/>
                </w:tcPr>
                <w:p>
                  <w:pPr>
                    <w:pStyle w:val="26"/>
                    <w:spacing w:line="360" w:lineRule="exact"/>
                    <w:rPr>
                      <w:color w:val="auto"/>
                      <w:szCs w:val="21"/>
                      <w:lang w:val="en-US"/>
                    </w:rPr>
                  </w:pP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lang w:val="en-US"/>
                    </w:rPr>
                    <w:t>叉车</w:t>
                  </w:r>
                </w:p>
              </w:tc>
              <w:tc>
                <w:tcPr>
                  <w:tcW w:w="850" w:type="dxa"/>
                  <w:vAlign w:val="center"/>
                </w:tcPr>
                <w:p>
                  <w:pPr>
                    <w:pStyle w:val="26"/>
                    <w:spacing w:line="360" w:lineRule="exact"/>
                    <w:rPr>
                      <w:color w:val="auto"/>
                      <w:szCs w:val="21"/>
                      <w:lang w:val="en-US"/>
                    </w:rPr>
                  </w:pPr>
                  <w:r>
                    <w:rPr>
                      <w:color w:val="auto"/>
                      <w:szCs w:val="21"/>
                      <w:lang w:val="en-US"/>
                    </w:rPr>
                    <w:t>2台</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80</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lang w:val="en-US"/>
                    </w:rPr>
                  </w:pPr>
                </w:p>
              </w:tc>
              <w:tc>
                <w:tcPr>
                  <w:tcW w:w="910" w:type="dxa"/>
                  <w:tcBorders>
                    <w:left w:val="single" w:color="auto" w:sz="4" w:space="0"/>
                  </w:tcBorders>
                  <w:vAlign w:val="center"/>
                </w:tcPr>
                <w:p>
                  <w:pPr>
                    <w:pStyle w:val="26"/>
                    <w:spacing w:line="360" w:lineRule="exact"/>
                    <w:rPr>
                      <w:color w:val="auto"/>
                      <w:szCs w:val="21"/>
                      <w:lang w:val="en-US"/>
                    </w:rPr>
                  </w:pPr>
                  <w:r>
                    <w:rPr>
                      <w:color w:val="auto"/>
                      <w:szCs w:val="21"/>
                      <w:lang w:val="en-US"/>
                    </w:rPr>
                    <w:t>70</w:t>
                  </w:r>
                </w:p>
              </w:tc>
              <w:tc>
                <w:tcPr>
                  <w:tcW w:w="1334" w:type="dxa"/>
                  <w:vAlign w:val="center"/>
                </w:tcPr>
                <w:p>
                  <w:pPr>
                    <w:pStyle w:val="26"/>
                    <w:spacing w:line="360" w:lineRule="exact"/>
                    <w:rPr>
                      <w:color w:val="auto"/>
                      <w:szCs w:val="21"/>
                      <w:lang w:val="en-US"/>
                    </w:rPr>
                  </w:pPr>
                  <w:r>
                    <w:rPr>
                      <w:color w:val="auto"/>
                      <w:szCs w:val="21"/>
                    </w:rPr>
                    <w:t>间歇性产生，8h/d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Align w:val="center"/>
                </w:tcPr>
                <w:p>
                  <w:pPr>
                    <w:pStyle w:val="26"/>
                    <w:spacing w:line="360" w:lineRule="exact"/>
                    <w:rPr>
                      <w:color w:val="auto"/>
                      <w:szCs w:val="21"/>
                      <w:lang w:val="en-US"/>
                    </w:rPr>
                  </w:pPr>
                  <w:r>
                    <w:rPr>
                      <w:color w:val="auto"/>
                      <w:szCs w:val="21"/>
                      <w:lang w:val="en-US"/>
                    </w:rPr>
                    <w:t>环保设施</w:t>
                  </w:r>
                </w:p>
              </w:tc>
              <w:tc>
                <w:tcPr>
                  <w:tcW w:w="850" w:type="dxa"/>
                  <w:vAlign w:val="center"/>
                </w:tcPr>
                <w:p>
                  <w:pPr>
                    <w:pStyle w:val="26"/>
                    <w:spacing w:line="360" w:lineRule="exact"/>
                    <w:rPr>
                      <w:color w:val="auto"/>
                      <w:szCs w:val="21"/>
                      <w:lang w:val="en-US"/>
                    </w:rPr>
                  </w:pPr>
                  <w:r>
                    <w:rPr>
                      <w:color w:val="auto"/>
                      <w:szCs w:val="21"/>
                    </w:rPr>
                    <w:t>生产废水处理系统</w:t>
                  </w:r>
                </w:p>
              </w:tc>
              <w:tc>
                <w:tcPr>
                  <w:tcW w:w="1560" w:type="dxa"/>
                  <w:tcBorders>
                    <w:right w:val="single" w:color="auto" w:sz="4" w:space="0"/>
                  </w:tcBorders>
                  <w:vAlign w:val="center"/>
                </w:tcPr>
                <w:p>
                  <w:pPr>
                    <w:pStyle w:val="26"/>
                    <w:spacing w:line="360" w:lineRule="exact"/>
                    <w:rPr>
                      <w:color w:val="auto"/>
                      <w:szCs w:val="21"/>
                      <w:lang w:val="en-US"/>
                    </w:rPr>
                  </w:pPr>
                  <w:r>
                    <w:rPr>
                      <w:color w:val="auto"/>
                      <w:szCs w:val="21"/>
                    </w:rPr>
                    <w:t>污泥压滤机</w:t>
                  </w:r>
                </w:p>
              </w:tc>
              <w:tc>
                <w:tcPr>
                  <w:tcW w:w="850" w:type="dxa"/>
                  <w:vAlign w:val="center"/>
                </w:tcPr>
                <w:p>
                  <w:pPr>
                    <w:pStyle w:val="26"/>
                    <w:spacing w:line="360" w:lineRule="exact"/>
                    <w:rPr>
                      <w:color w:val="auto"/>
                      <w:szCs w:val="21"/>
                      <w:lang w:val="en-US"/>
                    </w:rPr>
                  </w:pPr>
                  <w:r>
                    <w:rPr>
                      <w:color w:val="auto"/>
                      <w:szCs w:val="21"/>
                      <w:lang w:val="en-US"/>
                    </w:rPr>
                    <w:t>2台</w:t>
                  </w:r>
                </w:p>
              </w:tc>
              <w:tc>
                <w:tcPr>
                  <w:tcW w:w="1134" w:type="dxa"/>
                  <w:tcBorders>
                    <w:right w:val="single" w:color="auto" w:sz="4" w:space="0"/>
                  </w:tcBorders>
                  <w:vAlign w:val="center"/>
                </w:tcPr>
                <w:p>
                  <w:pPr>
                    <w:pStyle w:val="26"/>
                    <w:spacing w:line="360" w:lineRule="exact"/>
                    <w:rPr>
                      <w:color w:val="auto"/>
                      <w:szCs w:val="21"/>
                      <w:lang w:val="en-US"/>
                    </w:rPr>
                  </w:pPr>
                  <w:r>
                    <w:rPr>
                      <w:color w:val="auto"/>
                      <w:szCs w:val="21"/>
                      <w:lang w:val="en-US"/>
                    </w:rPr>
                    <w:t>80</w:t>
                  </w:r>
                </w:p>
              </w:tc>
              <w:tc>
                <w:tcPr>
                  <w:tcW w:w="1232" w:type="dxa"/>
                  <w:vMerge w:val="continue"/>
                  <w:tcBorders>
                    <w:left w:val="single" w:color="auto" w:sz="4" w:space="0"/>
                    <w:right w:val="single" w:color="auto" w:sz="4" w:space="0"/>
                  </w:tcBorders>
                  <w:vAlign w:val="center"/>
                </w:tcPr>
                <w:p>
                  <w:pPr>
                    <w:pStyle w:val="26"/>
                    <w:spacing w:line="360" w:lineRule="exact"/>
                    <w:rPr>
                      <w:color w:val="auto"/>
                      <w:szCs w:val="21"/>
                      <w:lang w:val="en-US"/>
                    </w:rPr>
                  </w:pPr>
                </w:p>
              </w:tc>
              <w:tc>
                <w:tcPr>
                  <w:tcW w:w="910" w:type="dxa"/>
                  <w:tcBorders>
                    <w:left w:val="single" w:color="auto" w:sz="4" w:space="0"/>
                  </w:tcBorders>
                  <w:vAlign w:val="center"/>
                </w:tcPr>
                <w:p>
                  <w:pPr>
                    <w:pStyle w:val="26"/>
                    <w:spacing w:line="360" w:lineRule="exact"/>
                    <w:rPr>
                      <w:color w:val="auto"/>
                      <w:szCs w:val="21"/>
                      <w:lang w:val="en-US"/>
                    </w:rPr>
                  </w:pPr>
                  <w:r>
                    <w:rPr>
                      <w:color w:val="auto"/>
                      <w:szCs w:val="21"/>
                      <w:lang w:val="en-US"/>
                    </w:rPr>
                    <w:t>70</w:t>
                  </w:r>
                </w:p>
              </w:tc>
              <w:tc>
                <w:tcPr>
                  <w:tcW w:w="1334" w:type="dxa"/>
                  <w:vAlign w:val="center"/>
                </w:tcPr>
                <w:p>
                  <w:pPr>
                    <w:pStyle w:val="26"/>
                    <w:spacing w:line="360" w:lineRule="exact"/>
                    <w:rPr>
                      <w:color w:val="auto"/>
                      <w:szCs w:val="21"/>
                    </w:rPr>
                  </w:pPr>
                  <w:r>
                    <w:rPr>
                      <w:color w:val="auto"/>
                      <w:szCs w:val="21"/>
                    </w:rPr>
                    <w:t>连续产生</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（2）厂界噪声预测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预测模式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本次评价场界噪声预测采用点源衰减模式，把项目区作为1个整体预测，预测场界外1m处噪声贡献值。预测公式如下：</w:t>
            </w:r>
          </w:p>
          <w:p>
            <w:pPr>
              <w:pStyle w:val="47"/>
              <w:ind w:firstLine="0"/>
              <w:jc w:val="center"/>
            </w:pPr>
            <w:r>
              <w:t>Lr=Lr</w:t>
            </w:r>
            <w:r>
              <w:rPr>
                <w:vertAlign w:val="subscript"/>
              </w:rPr>
              <w:t>0</w:t>
            </w:r>
            <w:r>
              <w:t>-20lg（r/r</w:t>
            </w:r>
            <w:r>
              <w:rPr>
                <w:vertAlign w:val="subscript"/>
              </w:rPr>
              <w:t>0</w:t>
            </w:r>
            <w:r>
              <w:t>）-△L</w:t>
            </w:r>
          </w:p>
          <w:p>
            <w:pPr>
              <w:pStyle w:val="47"/>
            </w:pPr>
            <w:r>
              <w:t>式中：Lr--距声源r处的A声压级，dB（A）；</w:t>
            </w:r>
          </w:p>
          <w:p>
            <w:pPr>
              <w:pStyle w:val="47"/>
              <w:ind w:firstLine="1228" w:firstLineChars="512"/>
            </w:pPr>
            <w:r>
              <w:t>Lr</w:t>
            </w:r>
            <w:r>
              <w:rPr>
                <w:vertAlign w:val="subscript"/>
              </w:rPr>
              <w:t>0</w:t>
            </w:r>
            <w:r>
              <w:t>--距声源r</w:t>
            </w:r>
            <w:r>
              <w:rPr>
                <w:vertAlign w:val="subscript"/>
              </w:rPr>
              <w:t>0</w:t>
            </w:r>
            <w:r>
              <w:t>处的A声压级，dB（A）；</w:t>
            </w:r>
          </w:p>
          <w:p>
            <w:pPr>
              <w:pStyle w:val="47"/>
              <w:ind w:firstLine="1228" w:firstLineChars="512"/>
            </w:pPr>
            <w:r>
              <w:t>r--预测点与声源的距离，m；</w:t>
            </w:r>
          </w:p>
          <w:p>
            <w:pPr>
              <w:pStyle w:val="47"/>
              <w:ind w:firstLine="1228" w:firstLineChars="512"/>
            </w:pPr>
            <w:r>
              <w:t>r</w:t>
            </w:r>
            <w:r>
              <w:rPr>
                <w:vertAlign w:val="subscript"/>
              </w:rPr>
              <w:t>0</w:t>
            </w:r>
            <w:r>
              <w:t>--监测设备噪声时的距离，m；</w:t>
            </w:r>
          </w:p>
          <w:p>
            <w:pPr>
              <w:pStyle w:val="47"/>
              <w:ind w:firstLine="1228" w:firstLineChars="512"/>
            </w:pPr>
            <w:r>
              <w:t>△L--主要为墙体吸收等衰减，本项目取值为10dB（A）；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预测参数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根据项目平面布置图，测算出项目区主要建筑物距离厂界的最近距离分别是：东面22m、南面28m、西面30m、北面110m，本次场界噪声预测点为场界外1m，即噪声衰减计算距离在上述值的基础上增加1m。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预测结果及分析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根据预测公式计算出机械噪声对场界的影响，预测结果见下表。</w:t>
            </w:r>
          </w:p>
          <w:p>
            <w:pPr>
              <w:jc w:val="center"/>
              <w:rPr>
                <w:rFonts w:ascii="Times New Roman" w:hAnsi="Times New Roman" w:cs="Times New Roman"/>
                <w:b/>
                <w:szCs w:val="24"/>
              </w:rPr>
            </w:pPr>
            <w:r>
              <w:rPr>
                <w:rFonts w:ascii="Times New Roman" w:hAnsi="Times New Roman" w:cs="Times New Roman"/>
                <w:b/>
                <w:szCs w:val="24"/>
              </w:rPr>
              <w:t>表4.2.3-2  项目厂界声预测值    单位：dB（A）</w:t>
            </w:r>
          </w:p>
          <w:tbl>
            <w:tblPr>
              <w:tblStyle w:val="16"/>
              <w:tblW w:w="8615" w:type="dxa"/>
              <w:jc w:val="center"/>
              <w:tblInd w:w="0" w:type="dxa"/>
              <w:tblLayout w:type="fixed"/>
              <w:tblCellMar>
                <w:top w:w="0" w:type="dxa"/>
                <w:left w:w="108" w:type="dxa"/>
                <w:bottom w:w="0" w:type="dxa"/>
                <w:right w:w="108" w:type="dxa"/>
              </w:tblCellMar>
            </w:tblPr>
            <w:tblGrid>
              <w:gridCol w:w="877"/>
              <w:gridCol w:w="1100"/>
              <w:gridCol w:w="1066"/>
              <w:gridCol w:w="1082"/>
              <w:gridCol w:w="856"/>
              <w:gridCol w:w="857"/>
              <w:gridCol w:w="996"/>
              <w:gridCol w:w="938"/>
              <w:gridCol w:w="843"/>
            </w:tblGrid>
            <w:tr>
              <w:tblPrEx>
                <w:tblLayout w:type="fixed"/>
                <w:tblCellMar>
                  <w:top w:w="0" w:type="dxa"/>
                  <w:left w:w="108" w:type="dxa"/>
                  <w:bottom w:w="0" w:type="dxa"/>
                  <w:right w:w="108" w:type="dxa"/>
                </w:tblCellMar>
              </w:tblPrEx>
              <w:trPr>
                <w:jc w:val="center"/>
              </w:trPr>
              <w:tc>
                <w:tcPr>
                  <w:tcW w:w="877"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噪声区域</w:t>
                  </w:r>
                </w:p>
              </w:tc>
              <w:tc>
                <w:tcPr>
                  <w:tcW w:w="2166"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机械名称</w:t>
                  </w:r>
                </w:p>
              </w:tc>
              <w:tc>
                <w:tcPr>
                  <w:tcW w:w="1082"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采取措施后声级</w:t>
                  </w:r>
                </w:p>
              </w:tc>
              <w:tc>
                <w:tcPr>
                  <w:tcW w:w="85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东面</w:t>
                  </w:r>
                </w:p>
              </w:tc>
              <w:tc>
                <w:tcPr>
                  <w:tcW w:w="857"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南面</w:t>
                  </w:r>
                </w:p>
              </w:tc>
              <w:tc>
                <w:tcPr>
                  <w:tcW w:w="99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西面</w:t>
                  </w:r>
                </w:p>
              </w:tc>
              <w:tc>
                <w:tcPr>
                  <w:tcW w:w="938"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北面</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pStyle w:val="26"/>
                    <w:widowControl w:val="0"/>
                    <w:spacing w:line="360" w:lineRule="exact"/>
                    <w:rPr>
                      <w:color w:val="auto"/>
                    </w:rPr>
                  </w:pPr>
                  <w:r>
                    <w:rPr>
                      <w:color w:val="auto"/>
                    </w:rPr>
                    <w:t>标准</w:t>
                  </w:r>
                </w:p>
              </w:tc>
            </w:tr>
            <w:tr>
              <w:tblPrEx>
                <w:tblLayout w:type="fixed"/>
                <w:tblCellMar>
                  <w:top w:w="0" w:type="dxa"/>
                  <w:left w:w="108" w:type="dxa"/>
                  <w:bottom w:w="0" w:type="dxa"/>
                  <w:right w:w="108" w:type="dxa"/>
                </w:tblCellMar>
              </w:tblPrEx>
              <w:trPr>
                <w:jc w:val="center"/>
              </w:trPr>
              <w:tc>
                <w:tcPr>
                  <w:tcW w:w="877"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厂界距离</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1m</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22m</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28m</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30m</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110m</w:t>
                  </w:r>
                </w:p>
              </w:tc>
              <w:tc>
                <w:tcPr>
                  <w:tcW w:w="843" w:type="dxa"/>
                  <w:vMerge w:val="restart"/>
                  <w:tcBorders>
                    <w:top w:val="nil"/>
                    <w:left w:val="nil"/>
                    <w:right w:val="single" w:color="000000" w:sz="8" w:space="0"/>
                  </w:tcBorders>
                  <w:shd w:val="clear" w:color="auto" w:fill="auto"/>
                  <w:vAlign w:val="center"/>
                </w:tcPr>
                <w:p>
                  <w:pPr>
                    <w:pStyle w:val="26"/>
                    <w:widowControl w:val="0"/>
                    <w:spacing w:line="360" w:lineRule="exact"/>
                    <w:ind w:firstLine="105" w:firstLineChars="50"/>
                    <w:jc w:val="both"/>
                    <w:rPr>
                      <w:color w:val="auto"/>
                    </w:rPr>
                  </w:pPr>
                  <w:r>
                    <w:rPr>
                      <w:color w:val="auto"/>
                    </w:rPr>
                    <w:t>2类标准：昼间60、夜间50</w:t>
                  </w:r>
                </w:p>
              </w:tc>
            </w:tr>
            <w:tr>
              <w:tblPrEx>
                <w:tblLayout w:type="fixed"/>
                <w:tblCellMar>
                  <w:top w:w="0" w:type="dxa"/>
                  <w:left w:w="108" w:type="dxa"/>
                  <w:bottom w:w="0" w:type="dxa"/>
                  <w:right w:w="108" w:type="dxa"/>
                </w:tblCellMar>
              </w:tblPrEx>
              <w:trPr>
                <w:jc w:val="center"/>
              </w:trPr>
              <w:tc>
                <w:tcPr>
                  <w:tcW w:w="877" w:type="dxa"/>
                  <w:vMerge w:val="restart"/>
                  <w:tcBorders>
                    <w:top w:val="nil"/>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破碎车间</w:t>
                  </w:r>
                </w:p>
              </w:tc>
              <w:tc>
                <w:tcPr>
                  <w:tcW w:w="2166"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颚式破碎机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48.2</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46.6</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34</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color w:val="auto"/>
                    </w:rPr>
                  </w:pPr>
                  <w:r>
                    <w:rPr>
                      <w:color w:val="auto"/>
                      <w:szCs w:val="21"/>
                      <w:lang w:val="en-US"/>
                    </w:rPr>
                    <w:t>冲击式破碎机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46.5</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35</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color w:val="auto"/>
                    </w:rPr>
                  </w:pPr>
                  <w:r>
                    <w:rPr>
                      <w:color w:val="auto"/>
                      <w:szCs w:val="21"/>
                      <w:lang w:val="en-US"/>
                    </w:rPr>
                    <w:t>圆锥破碎机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46.6</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35</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筛分水洗车间</w:t>
                  </w:r>
                </w:p>
              </w:tc>
              <w:tc>
                <w:tcPr>
                  <w:tcW w:w="2166"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bCs w:val="0"/>
                      <w:snapToGrid/>
                      <w:color w:val="auto"/>
                      <w:szCs w:val="21"/>
                      <w:lang w:val="en-US"/>
                    </w:rPr>
                  </w:pPr>
                  <w:r>
                    <w:rPr>
                      <w:bCs w:val="0"/>
                      <w:snapToGrid/>
                      <w:color w:val="auto"/>
                      <w:szCs w:val="21"/>
                      <w:lang w:val="en-US"/>
                    </w:rPr>
                    <w:t>振动筛</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60</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32</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31.1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21</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bCs w:val="0"/>
                      <w:snapToGrid/>
                      <w:color w:val="auto"/>
                      <w:szCs w:val="21"/>
                      <w:lang w:val="en-US"/>
                    </w:rPr>
                  </w:pPr>
                  <w:r>
                    <w:rPr>
                      <w:bCs w:val="0"/>
                      <w:snapToGrid/>
                      <w:color w:val="auto"/>
                      <w:szCs w:val="21"/>
                      <w:lang w:val="en-US"/>
                    </w:rPr>
                    <w:t>螺旋洗砂机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65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38</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33</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31.1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26</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bCs w:val="0"/>
                      <w:snapToGrid/>
                      <w:color w:val="auto"/>
                      <w:szCs w:val="21"/>
                      <w:lang w:val="en-US"/>
                    </w:rPr>
                  </w:pPr>
                  <w:r>
                    <w:rPr>
                      <w:bCs w:val="0"/>
                      <w:snapToGrid/>
                      <w:color w:val="auto"/>
                      <w:szCs w:val="21"/>
                      <w:lang w:val="en-US"/>
                    </w:rPr>
                    <w:t>脱水筛</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60</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32</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31.1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21</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产品库</w:t>
                  </w:r>
                </w:p>
              </w:tc>
              <w:tc>
                <w:tcPr>
                  <w:tcW w:w="2166" w:type="dxa"/>
                  <w:gridSpan w:val="2"/>
                  <w:tcBorders>
                    <w:top w:val="single" w:color="auto" w:sz="4" w:space="0"/>
                    <w:left w:val="nil"/>
                    <w:bottom w:val="single" w:color="auto" w:sz="4" w:space="0"/>
                    <w:right w:val="single" w:color="000000" w:sz="8" w:space="0"/>
                  </w:tcBorders>
                  <w:shd w:val="clear" w:color="auto" w:fill="auto"/>
                  <w:vAlign w:val="center"/>
                </w:tcPr>
                <w:p>
                  <w:pPr>
                    <w:pStyle w:val="26"/>
                    <w:spacing w:line="360" w:lineRule="exact"/>
                    <w:rPr>
                      <w:bCs w:val="0"/>
                      <w:snapToGrid/>
                      <w:color w:val="auto"/>
                      <w:szCs w:val="21"/>
                      <w:lang w:val="en-US"/>
                    </w:rPr>
                  </w:pPr>
                  <w:r>
                    <w:rPr>
                      <w:bCs w:val="0"/>
                      <w:snapToGrid/>
                      <w:color w:val="auto"/>
                      <w:szCs w:val="21"/>
                      <w:lang w:val="en-US"/>
                    </w:rPr>
                    <w:t>装载机</w:t>
                  </w:r>
                </w:p>
              </w:tc>
              <w:tc>
                <w:tcPr>
                  <w:tcW w:w="1082"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70</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45.2</w:t>
                  </w:r>
                </w:p>
              </w:tc>
              <w:tc>
                <w:tcPr>
                  <w:tcW w:w="857"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42</w:t>
                  </w:r>
                </w:p>
              </w:tc>
              <w:tc>
                <w:tcPr>
                  <w:tcW w:w="99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40.1</w:t>
                  </w:r>
                </w:p>
              </w:tc>
              <w:tc>
                <w:tcPr>
                  <w:tcW w:w="938"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33</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single" w:color="auto" w:sz="4" w:space="0"/>
                    <w:left w:val="nil"/>
                    <w:bottom w:val="single" w:color="auto" w:sz="4" w:space="0"/>
                    <w:right w:val="single" w:color="000000" w:sz="8" w:space="0"/>
                  </w:tcBorders>
                  <w:shd w:val="clear" w:color="auto" w:fill="auto"/>
                  <w:vAlign w:val="center"/>
                </w:tcPr>
                <w:p>
                  <w:pPr>
                    <w:pStyle w:val="26"/>
                    <w:spacing w:line="360" w:lineRule="exact"/>
                    <w:rPr>
                      <w:bCs w:val="0"/>
                      <w:snapToGrid/>
                      <w:color w:val="auto"/>
                      <w:szCs w:val="21"/>
                      <w:lang w:val="en-US"/>
                    </w:rPr>
                  </w:pPr>
                  <w:r>
                    <w:rPr>
                      <w:bCs w:val="0"/>
                      <w:snapToGrid/>
                      <w:color w:val="auto"/>
                      <w:szCs w:val="21"/>
                      <w:lang w:val="en-US"/>
                    </w:rPr>
                    <w:t>叉车</w:t>
                  </w:r>
                </w:p>
              </w:tc>
              <w:tc>
                <w:tcPr>
                  <w:tcW w:w="1082"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70</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45.2</w:t>
                  </w:r>
                </w:p>
              </w:tc>
              <w:tc>
                <w:tcPr>
                  <w:tcW w:w="857"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42</w:t>
                  </w:r>
                </w:p>
              </w:tc>
              <w:tc>
                <w:tcPr>
                  <w:tcW w:w="99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40.1</w:t>
                  </w:r>
                </w:p>
              </w:tc>
              <w:tc>
                <w:tcPr>
                  <w:tcW w:w="938"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33</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cs="Times New Roman"/>
                    </w:rPr>
                    <w:t>生产废水处理系统</w:t>
                  </w:r>
                </w:p>
              </w:tc>
              <w:tc>
                <w:tcPr>
                  <w:tcW w:w="2166" w:type="dxa"/>
                  <w:gridSpan w:val="2"/>
                  <w:tcBorders>
                    <w:top w:val="single" w:color="auto" w:sz="4" w:space="0"/>
                    <w:left w:val="nil"/>
                    <w:bottom w:val="single" w:color="auto" w:sz="4" w:space="0"/>
                    <w:right w:val="single" w:color="000000" w:sz="8" w:space="0"/>
                  </w:tcBorders>
                  <w:shd w:val="clear" w:color="auto" w:fill="auto"/>
                  <w:vAlign w:val="center"/>
                </w:tcPr>
                <w:p>
                  <w:pPr>
                    <w:pStyle w:val="26"/>
                    <w:spacing w:line="360" w:lineRule="exact"/>
                    <w:rPr>
                      <w:bCs w:val="0"/>
                      <w:snapToGrid/>
                      <w:color w:val="auto"/>
                      <w:szCs w:val="21"/>
                      <w:lang w:val="en-US"/>
                    </w:rPr>
                  </w:pPr>
                  <w:r>
                    <w:rPr>
                      <w:color w:val="auto"/>
                      <w:szCs w:val="21"/>
                    </w:rPr>
                    <w:t>污泥压滤机</w:t>
                  </w:r>
                </w:p>
              </w:tc>
              <w:tc>
                <w:tcPr>
                  <w:tcW w:w="1082"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70</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45.3</w:t>
                  </w:r>
                </w:p>
              </w:tc>
              <w:tc>
                <w:tcPr>
                  <w:tcW w:w="857"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42</w:t>
                  </w:r>
                </w:p>
              </w:tc>
              <w:tc>
                <w:tcPr>
                  <w:tcW w:w="99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43.1</w:t>
                  </w:r>
                </w:p>
              </w:tc>
              <w:tc>
                <w:tcPr>
                  <w:tcW w:w="938"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34</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1100" w:type="dxa"/>
                  <w:vMerge w:val="restar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贡献值</w:t>
                  </w: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昼间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52.3</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50.2</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51.3</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43.1</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top w:val="nil"/>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100" w:type="dxa"/>
                  <w:vMerge w:val="continue"/>
                  <w:tcBorders>
                    <w:top w:val="nil"/>
                    <w:left w:val="nil"/>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夜间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nil"/>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1100" w:type="dxa"/>
                  <w:vMerge w:val="restar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达标性分析</w:t>
                  </w: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昼间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843" w:type="dxa"/>
                  <w:vMerge w:val="continue"/>
                  <w:tcBorders>
                    <w:left w:val="nil"/>
                    <w:right w:val="single" w:color="000000" w:sz="8" w:space="0"/>
                  </w:tcBorders>
                  <w:vAlign w:val="center"/>
                </w:tcPr>
                <w:p>
                  <w:pPr>
                    <w:pStyle w:val="26"/>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top w:val="nil"/>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100" w:type="dxa"/>
                  <w:vMerge w:val="continue"/>
                  <w:tcBorders>
                    <w:top w:val="nil"/>
                    <w:left w:val="nil"/>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夜间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43" w:type="dxa"/>
                  <w:vMerge w:val="continue"/>
                  <w:tcBorders>
                    <w:left w:val="nil"/>
                    <w:bottom w:val="single" w:color="000000" w:sz="8" w:space="0"/>
                    <w:right w:val="single" w:color="000000" w:sz="8" w:space="0"/>
                  </w:tcBorders>
                  <w:vAlign w:val="center"/>
                </w:tcPr>
                <w:p>
                  <w:pPr>
                    <w:pStyle w:val="26"/>
                    <w:widowControl w:val="0"/>
                    <w:spacing w:line="360" w:lineRule="exact"/>
                    <w:rPr>
                      <w:color w:val="auto"/>
                    </w:rPr>
                  </w:pPr>
                </w:p>
              </w:tc>
            </w:tr>
          </w:tbl>
          <w:p>
            <w:pPr>
              <w:pStyle w:val="34"/>
              <w:spacing w:before="156" w:beforeLines="50"/>
              <w:ind w:firstLine="480"/>
              <w:rPr>
                <w:szCs w:val="24"/>
              </w:rPr>
            </w:pPr>
            <w:r>
              <w:rPr>
                <w:szCs w:val="24"/>
              </w:rPr>
              <w:t>由上述预测结果可以看出，项目在仅采取</w:t>
            </w:r>
            <w:r>
              <w:t>减震垫、消声器、墙体阻隔等</w:t>
            </w:r>
            <w:r>
              <w:rPr>
                <w:szCs w:val="24"/>
              </w:rPr>
              <w:t>措施，全部设备同时工作时，噪声昼间在东、南、西、北分别为52.3dB（A）、50.2dB（A）、51.3dB（A）、43.1dB；根据预测结果可知，昼间噪声达标排放。项目夜间不生产，</w:t>
            </w:r>
            <w:r>
              <w:rPr>
                <w:rFonts w:eastAsiaTheme="minorEastAsia"/>
                <w:szCs w:val="24"/>
              </w:rPr>
              <w:t>对环境影响较小。</w:t>
            </w:r>
          </w:p>
          <w:p>
            <w:pPr>
              <w:pStyle w:val="34"/>
              <w:ind w:firstLine="480"/>
              <w:rPr>
                <w:szCs w:val="24"/>
              </w:rPr>
            </w:pPr>
            <w:r>
              <w:rPr>
                <w:szCs w:val="24"/>
              </w:rPr>
              <w:t>为了使项目噪声厂界达标排放，环评要求，项目必须采取噪声污染防治措施，具体如下：</w:t>
            </w:r>
          </w:p>
          <w:p>
            <w:pPr>
              <w:pStyle w:val="34"/>
              <w:ind w:firstLine="480"/>
              <w:rPr>
                <w:szCs w:val="24"/>
              </w:rPr>
            </w:pPr>
            <w:r>
              <w:rPr>
                <w:szCs w:val="24"/>
              </w:rPr>
              <w:fldChar w:fldCharType="begin"/>
            </w:r>
            <w:r>
              <w:rPr>
                <w:szCs w:val="24"/>
              </w:rPr>
              <w:instrText xml:space="preserve"> = 1 \* GB2 </w:instrText>
            </w:r>
            <w:r>
              <w:rPr>
                <w:szCs w:val="24"/>
              </w:rPr>
              <w:fldChar w:fldCharType="separate"/>
            </w:r>
            <w:r>
              <w:rPr>
                <w:szCs w:val="24"/>
              </w:rPr>
              <w:t>⑴</w:t>
            </w:r>
            <w:r>
              <w:rPr>
                <w:szCs w:val="24"/>
              </w:rPr>
              <w:fldChar w:fldCharType="end"/>
            </w:r>
            <w:r>
              <w:rPr>
                <w:szCs w:val="24"/>
              </w:rPr>
              <w:t>采用绿化阻隔噪声传播。</w:t>
            </w:r>
          </w:p>
          <w:p>
            <w:pPr>
              <w:pStyle w:val="34"/>
              <w:ind w:firstLine="480"/>
              <w:rPr>
                <w:szCs w:val="24"/>
              </w:rPr>
            </w:pPr>
            <w:r>
              <w:rPr>
                <w:szCs w:val="24"/>
              </w:rPr>
              <w:fldChar w:fldCharType="begin"/>
            </w:r>
            <w:r>
              <w:rPr>
                <w:szCs w:val="24"/>
              </w:rPr>
              <w:instrText xml:space="preserve"> = 2 \* GB2 </w:instrText>
            </w:r>
            <w:r>
              <w:rPr>
                <w:szCs w:val="24"/>
              </w:rPr>
              <w:fldChar w:fldCharType="separate"/>
            </w:r>
            <w:r>
              <w:rPr>
                <w:szCs w:val="24"/>
              </w:rPr>
              <w:t>⑵</w:t>
            </w:r>
            <w:r>
              <w:rPr>
                <w:szCs w:val="24"/>
              </w:rPr>
              <w:fldChar w:fldCharType="end"/>
            </w:r>
            <w:r>
              <w:rPr>
                <w:szCs w:val="24"/>
              </w:rPr>
              <w:t>尽可能选用噪声低、振动小、能耗小的机械设备。</w:t>
            </w:r>
          </w:p>
          <w:p>
            <w:pPr>
              <w:pStyle w:val="34"/>
              <w:ind w:firstLine="480"/>
              <w:rPr>
                <w:szCs w:val="24"/>
              </w:rPr>
            </w:pPr>
            <w:r>
              <w:rPr>
                <w:szCs w:val="24"/>
              </w:rPr>
              <w:fldChar w:fldCharType="begin"/>
            </w:r>
            <w:r>
              <w:rPr>
                <w:szCs w:val="24"/>
              </w:rPr>
              <w:instrText xml:space="preserve"> = 3 \* GB2 </w:instrText>
            </w:r>
            <w:r>
              <w:rPr>
                <w:szCs w:val="24"/>
              </w:rPr>
              <w:fldChar w:fldCharType="separate"/>
            </w:r>
            <w:r>
              <w:rPr>
                <w:szCs w:val="24"/>
              </w:rPr>
              <w:t>⑶</w:t>
            </w:r>
            <w:r>
              <w:rPr>
                <w:szCs w:val="24"/>
              </w:rPr>
              <w:fldChar w:fldCharType="end"/>
            </w:r>
            <w:r>
              <w:rPr>
                <w:szCs w:val="24"/>
              </w:rPr>
              <w:t>加强生产设备的日常维护，并对老化和性能降低的旧设备进行及时更换，以此降低磨擦，减少噪声强度。</w:t>
            </w:r>
          </w:p>
          <w:p>
            <w:pPr>
              <w:pStyle w:val="34"/>
              <w:ind w:firstLine="480"/>
              <w:rPr>
                <w:szCs w:val="24"/>
              </w:rPr>
            </w:pPr>
            <w:r>
              <w:rPr>
                <w:szCs w:val="24"/>
              </w:rPr>
              <w:fldChar w:fldCharType="begin"/>
            </w:r>
            <w:r>
              <w:rPr>
                <w:szCs w:val="24"/>
              </w:rPr>
              <w:instrText xml:space="preserve"> = 4 \* GB2 </w:instrText>
            </w:r>
            <w:r>
              <w:rPr>
                <w:szCs w:val="24"/>
              </w:rPr>
              <w:fldChar w:fldCharType="separate"/>
            </w:r>
            <w:r>
              <w:rPr>
                <w:szCs w:val="24"/>
              </w:rPr>
              <w:t>⑷</w:t>
            </w:r>
            <w:r>
              <w:rPr>
                <w:szCs w:val="24"/>
              </w:rPr>
              <w:fldChar w:fldCharType="end"/>
            </w:r>
            <w:r>
              <w:rPr>
                <w:szCs w:val="24"/>
              </w:rPr>
              <w:t>应加强运输车辆管理，教育运输人员运输时低速、匀速行驶，禁止鸣笛。</w:t>
            </w:r>
          </w:p>
          <w:p>
            <w:pPr>
              <w:pStyle w:val="34"/>
              <w:ind w:firstLine="480"/>
              <w:rPr>
                <w:szCs w:val="24"/>
              </w:rPr>
            </w:pPr>
            <w:r>
              <w:rPr>
                <w:szCs w:val="24"/>
              </w:rPr>
              <w:t>（5）严格遵守工作制度（两班制），禁止夜间进行生产活动（晚上10点到次日凌晨6点）。</w:t>
            </w:r>
          </w:p>
          <w:p>
            <w:pPr>
              <w:pStyle w:val="34"/>
              <w:ind w:firstLine="480"/>
              <w:rPr>
                <w:szCs w:val="24"/>
              </w:rPr>
            </w:pPr>
            <w:r>
              <w:rPr>
                <w:szCs w:val="24"/>
              </w:rPr>
              <w:t>采取以上措施后，项目厂界噪声可达到《工业企业厂界环境噪声排放标准》（GB12348-2008）2类标准。</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（3）对环境保护目标影响预测</w:t>
            </w:r>
          </w:p>
          <w:p>
            <w:pPr>
              <w:pStyle w:val="34"/>
              <w:ind w:firstLine="480"/>
              <w:rPr>
                <w:rFonts w:eastAsiaTheme="minorEastAsia"/>
                <w:szCs w:val="24"/>
              </w:rPr>
            </w:pPr>
            <w:r>
              <w:rPr>
                <w:rFonts w:eastAsiaTheme="minorEastAsia"/>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（4）自行监测要求</w:t>
            </w:r>
          </w:p>
          <w:p>
            <w:pPr>
              <w:pStyle w:val="34"/>
              <w:ind w:firstLine="480"/>
              <w:rPr>
                <w:rFonts w:eastAsiaTheme="minorEastAsia"/>
                <w:szCs w:val="24"/>
              </w:rPr>
            </w:pPr>
            <w:r>
              <w:rPr>
                <w:rFonts w:eastAsiaTheme="minorEastAsia"/>
                <w:szCs w:val="24"/>
              </w:rPr>
              <w:t>根据《排污单位自行监测技术指南 总则》（HJ819-2017）的要求，项目噪声自行监测要求如下表所示。</w:t>
            </w:r>
          </w:p>
          <w:p>
            <w:pPr>
              <w:pStyle w:val="28"/>
              <w:spacing w:beforeLines="0"/>
              <w:rPr>
                <w:rFonts w:hAnsi="Times New Roman" w:eastAsiaTheme="minorEastAsia"/>
                <w:sz w:val="21"/>
                <w:szCs w:val="21"/>
              </w:rPr>
            </w:pPr>
            <w:r>
              <w:rPr>
                <w:rFonts w:hAnsi="Times New Roman" w:eastAsiaTheme="minorEastAsia"/>
                <w:sz w:val="21"/>
                <w:szCs w:val="21"/>
              </w:rPr>
              <w:t>表4.2.3-3  厂界噪声自行监测计划一览表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pStyle w:val="26"/>
                    <w:widowControl w:val="0"/>
                    <w:spacing w:line="360" w:lineRule="exact"/>
                    <w:rPr>
                      <w:rFonts w:eastAsiaTheme="minorEastAsia"/>
                      <w:color w:val="auto"/>
                    </w:rPr>
                  </w:pPr>
                  <w:r>
                    <w:rPr>
                      <w:rFonts w:eastAsiaTheme="minorEastAsia"/>
                      <w:color w:val="auto"/>
                    </w:rPr>
                    <w:t>对象</w:t>
                  </w:r>
                </w:p>
              </w:tc>
              <w:tc>
                <w:tcPr>
                  <w:tcW w:w="1276" w:type="dxa"/>
                  <w:vAlign w:val="center"/>
                </w:tcPr>
                <w:p>
                  <w:pPr>
                    <w:pStyle w:val="26"/>
                    <w:widowControl w:val="0"/>
                    <w:spacing w:line="360" w:lineRule="exact"/>
                    <w:rPr>
                      <w:rFonts w:eastAsiaTheme="minorEastAsia"/>
                      <w:color w:val="auto"/>
                    </w:rPr>
                  </w:pPr>
                  <w:r>
                    <w:rPr>
                      <w:rFonts w:eastAsiaTheme="minorEastAsia"/>
                      <w:color w:val="auto"/>
                    </w:rPr>
                    <w:t>监测点位</w:t>
                  </w:r>
                </w:p>
              </w:tc>
              <w:tc>
                <w:tcPr>
                  <w:tcW w:w="1417" w:type="dxa"/>
                  <w:vAlign w:val="center"/>
                </w:tcPr>
                <w:p>
                  <w:pPr>
                    <w:pStyle w:val="26"/>
                    <w:widowControl w:val="0"/>
                    <w:spacing w:line="360" w:lineRule="exact"/>
                    <w:rPr>
                      <w:rFonts w:eastAsiaTheme="minorEastAsia"/>
                      <w:color w:val="auto"/>
                    </w:rPr>
                  </w:pPr>
                  <w:r>
                    <w:rPr>
                      <w:rFonts w:eastAsiaTheme="minorEastAsia"/>
                      <w:color w:val="auto"/>
                    </w:rPr>
                    <w:t>监测因子</w:t>
                  </w:r>
                </w:p>
              </w:tc>
              <w:tc>
                <w:tcPr>
                  <w:tcW w:w="1701" w:type="dxa"/>
                  <w:vAlign w:val="center"/>
                </w:tcPr>
                <w:p>
                  <w:pPr>
                    <w:pStyle w:val="26"/>
                    <w:widowControl w:val="0"/>
                    <w:spacing w:line="360" w:lineRule="exact"/>
                    <w:rPr>
                      <w:rFonts w:eastAsiaTheme="minorEastAsia"/>
                      <w:color w:val="auto"/>
                    </w:rPr>
                  </w:pPr>
                  <w:r>
                    <w:rPr>
                      <w:rFonts w:eastAsiaTheme="minorEastAsia"/>
                      <w:color w:val="auto"/>
                    </w:rPr>
                    <w:t>最低监测频率</w:t>
                  </w:r>
                </w:p>
              </w:tc>
              <w:tc>
                <w:tcPr>
                  <w:tcW w:w="3476" w:type="dxa"/>
                  <w:vAlign w:val="center"/>
                </w:tcPr>
                <w:p>
                  <w:pPr>
                    <w:pStyle w:val="26"/>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5" w:type="dxa"/>
                  <w:vAlign w:val="center"/>
                </w:tcPr>
                <w:p>
                  <w:pPr>
                    <w:pStyle w:val="26"/>
                    <w:widowControl w:val="0"/>
                    <w:spacing w:line="360" w:lineRule="exact"/>
                    <w:rPr>
                      <w:rFonts w:eastAsiaTheme="minorEastAsia"/>
                      <w:color w:val="auto"/>
                    </w:rPr>
                  </w:pPr>
                  <w:r>
                    <w:rPr>
                      <w:rFonts w:eastAsiaTheme="minorEastAsia"/>
                      <w:color w:val="auto"/>
                    </w:rPr>
                    <w:t>噪声</w:t>
                  </w:r>
                </w:p>
              </w:tc>
              <w:tc>
                <w:tcPr>
                  <w:tcW w:w="1276" w:type="dxa"/>
                  <w:vAlign w:val="center"/>
                </w:tcPr>
                <w:p>
                  <w:pPr>
                    <w:pStyle w:val="26"/>
                    <w:widowControl w:val="0"/>
                    <w:spacing w:line="360" w:lineRule="exact"/>
                    <w:rPr>
                      <w:rFonts w:eastAsiaTheme="minorEastAsia"/>
                      <w:color w:val="auto"/>
                    </w:rPr>
                  </w:pPr>
                  <w:r>
                    <w:rPr>
                      <w:rFonts w:eastAsiaTheme="minorEastAsia"/>
                      <w:color w:val="auto"/>
                    </w:rPr>
                    <w:t>厂界四周</w:t>
                  </w:r>
                </w:p>
              </w:tc>
              <w:tc>
                <w:tcPr>
                  <w:tcW w:w="1417" w:type="dxa"/>
                  <w:vAlign w:val="center"/>
                </w:tcPr>
                <w:p>
                  <w:pPr>
                    <w:pStyle w:val="26"/>
                    <w:widowControl w:val="0"/>
                    <w:spacing w:line="360" w:lineRule="exact"/>
                    <w:rPr>
                      <w:rFonts w:eastAsiaTheme="minorEastAsia"/>
                      <w:color w:val="auto"/>
                    </w:rPr>
                  </w:pPr>
                  <w:r>
                    <w:rPr>
                      <w:rFonts w:eastAsiaTheme="minorEastAsia"/>
                      <w:color w:val="auto"/>
                    </w:rPr>
                    <w:t>等效连续A声级</w:t>
                  </w:r>
                </w:p>
              </w:tc>
              <w:tc>
                <w:tcPr>
                  <w:tcW w:w="1701" w:type="dxa"/>
                  <w:vAlign w:val="center"/>
                </w:tcPr>
                <w:p>
                  <w:pPr>
                    <w:pStyle w:val="26"/>
                    <w:widowControl w:val="0"/>
                    <w:spacing w:line="360" w:lineRule="exact"/>
                    <w:rPr>
                      <w:rFonts w:eastAsiaTheme="minorEastAsia"/>
                      <w:color w:val="auto"/>
                    </w:rPr>
                  </w:pPr>
                  <w:r>
                    <w:rPr>
                      <w:rFonts w:eastAsiaTheme="minorEastAsia"/>
                      <w:color w:val="auto"/>
                    </w:rPr>
                    <w:t>次/季</w:t>
                  </w:r>
                </w:p>
              </w:tc>
              <w:tc>
                <w:tcPr>
                  <w:tcW w:w="3476" w:type="dxa"/>
                  <w:vAlign w:val="center"/>
                </w:tcPr>
                <w:p>
                  <w:pPr>
                    <w:pStyle w:val="26"/>
                    <w:widowControl w:val="0"/>
                    <w:spacing w:line="360" w:lineRule="exact"/>
                    <w:ind w:firstLine="210" w:firstLineChars="100"/>
                    <w:jc w:val="both"/>
                    <w:rPr>
                      <w:rFonts w:eastAsiaTheme="minorEastAsia"/>
                      <w:color w:val="auto"/>
                    </w:rPr>
                  </w:pPr>
                  <w:r>
                    <w:rPr>
                      <w:color w:val="auto"/>
                      <w:szCs w:val="21"/>
                    </w:rPr>
                    <w:t>《工业企业厂界环境噪声排放标准》（GB12348-2008）中2类标准</w:t>
                  </w:r>
                </w:p>
              </w:tc>
            </w:tr>
          </w:tbl>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pStyle w:val="34"/>
              <w:ind w:firstLine="480"/>
              <w:rPr>
                <w:rFonts w:eastAsiaTheme="minorEastAsia"/>
                <w:szCs w:val="24"/>
              </w:rPr>
            </w:pPr>
            <w:r>
              <w:rPr>
                <w:rFonts w:eastAsiaTheme="minorEastAsia"/>
                <w:szCs w:val="24"/>
              </w:rPr>
              <w:t>根据项目工程内容及生产工艺，本项目产生的固体废物包括：生产废水处理系统产生的污泥、设备维修产生的废机油及废弃沾油抹布、生活污水处理系统产生的污泥、生活垃圾。具体如下：</w:t>
            </w:r>
          </w:p>
          <w:p>
            <w:pPr>
              <w:pStyle w:val="34"/>
              <w:ind w:firstLine="482"/>
              <w:rPr>
                <w:b/>
                <w:szCs w:val="24"/>
              </w:rPr>
            </w:pPr>
            <w:r>
              <w:rPr>
                <w:b/>
                <w:szCs w:val="24"/>
              </w:rPr>
              <w:t>①生产废水污泥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拟设置一套生产废水处理系统对生产废水进行处理，该系统由2个生产废水收集池、2个污水处理塔、2个清水池、2个泥浆回收池和4台污泥压滤机组成。包括初期雨水收集池等各系统均会有污泥产生，该污泥均需要进入污泥压滤机压滤至含水率为10%，根据废水去除效率可知，生产废水污泥产生量1024.93t/a，生产废水污泥的主要成分为小江河流中的泥土；因此项目拟设置的100m²污泥暂存库对其进行暂存，该污泥的主要成分为小江河流中的泥土，一部分用于厂区周围绿化覆土和道路建设，剩余部分将其用于小李庄村肥田。处置率100%。</w:t>
            </w:r>
          </w:p>
          <w:p>
            <w:pPr>
              <w:pStyle w:val="34"/>
              <w:ind w:firstLine="482"/>
              <w:rPr>
                <w:rFonts w:eastAsiaTheme="minorEastAsia"/>
                <w:szCs w:val="24"/>
              </w:rPr>
            </w:pPr>
            <w:r>
              <w:rPr>
                <w:b/>
                <w:szCs w:val="24"/>
              </w:rPr>
              <w:t>②废机油及废弃沾油抹布</w:t>
            </w:r>
          </w:p>
          <w:p>
            <w:pPr>
              <w:pStyle w:val="34"/>
              <w:ind w:firstLine="480"/>
              <w:rPr>
                <w:rFonts w:eastAsiaTheme="minorEastAsia"/>
                <w:szCs w:val="24"/>
              </w:rPr>
            </w:pPr>
            <w:r>
              <w:rPr>
                <w:rFonts w:eastAsiaTheme="minorEastAsia"/>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表4.2.4-1  国家危险废物名录（2021年）（摘抄）</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1"/>
              <w:gridCol w:w="862"/>
              <w:gridCol w:w="1052"/>
              <w:gridCol w:w="30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6"/>
                    <w:spacing w:line="360" w:lineRule="exact"/>
                    <w:rPr>
                      <w:color w:val="auto"/>
                      <w:szCs w:val="21"/>
                    </w:rPr>
                  </w:pPr>
                  <w:r>
                    <w:rPr>
                      <w:color w:val="auto"/>
                      <w:szCs w:val="21"/>
                    </w:rPr>
                    <w:t>项目危废</w:t>
                  </w:r>
                </w:p>
              </w:tc>
              <w:tc>
                <w:tcPr>
                  <w:tcW w:w="1301" w:type="dxa"/>
                  <w:vAlign w:val="center"/>
                </w:tcPr>
                <w:p>
                  <w:pPr>
                    <w:pStyle w:val="26"/>
                    <w:spacing w:line="360" w:lineRule="exact"/>
                    <w:rPr>
                      <w:color w:val="auto"/>
                      <w:szCs w:val="21"/>
                    </w:rPr>
                  </w:pPr>
                  <w:r>
                    <w:rPr>
                      <w:color w:val="auto"/>
                      <w:szCs w:val="21"/>
                    </w:rPr>
                    <w:t>废物类别</w:t>
                  </w:r>
                </w:p>
              </w:tc>
              <w:tc>
                <w:tcPr>
                  <w:tcW w:w="862" w:type="dxa"/>
                  <w:vAlign w:val="center"/>
                </w:tcPr>
                <w:p>
                  <w:pPr>
                    <w:pStyle w:val="26"/>
                    <w:spacing w:line="360" w:lineRule="exact"/>
                    <w:rPr>
                      <w:color w:val="auto"/>
                      <w:szCs w:val="21"/>
                    </w:rPr>
                  </w:pPr>
                  <w:r>
                    <w:rPr>
                      <w:color w:val="auto"/>
                      <w:szCs w:val="21"/>
                    </w:rPr>
                    <w:t>行业来源</w:t>
                  </w:r>
                </w:p>
              </w:tc>
              <w:tc>
                <w:tcPr>
                  <w:tcW w:w="1052" w:type="dxa"/>
                  <w:vAlign w:val="center"/>
                </w:tcPr>
                <w:p>
                  <w:pPr>
                    <w:pStyle w:val="26"/>
                    <w:spacing w:line="360" w:lineRule="exact"/>
                    <w:rPr>
                      <w:color w:val="auto"/>
                      <w:szCs w:val="21"/>
                    </w:rPr>
                  </w:pPr>
                  <w:r>
                    <w:rPr>
                      <w:color w:val="auto"/>
                      <w:szCs w:val="21"/>
                    </w:rPr>
                    <w:t>废物代码</w:t>
                  </w:r>
                </w:p>
              </w:tc>
              <w:tc>
                <w:tcPr>
                  <w:tcW w:w="3010" w:type="dxa"/>
                  <w:vAlign w:val="center"/>
                </w:tcPr>
                <w:p>
                  <w:pPr>
                    <w:pStyle w:val="26"/>
                    <w:spacing w:line="360" w:lineRule="exact"/>
                    <w:rPr>
                      <w:color w:val="auto"/>
                      <w:szCs w:val="21"/>
                    </w:rPr>
                  </w:pPr>
                  <w:r>
                    <w:rPr>
                      <w:color w:val="auto"/>
                      <w:szCs w:val="21"/>
                    </w:rPr>
                    <w:t>危险废物</w:t>
                  </w:r>
                </w:p>
              </w:tc>
              <w:tc>
                <w:tcPr>
                  <w:tcW w:w="1033" w:type="dxa"/>
                  <w:vAlign w:val="center"/>
                </w:tcPr>
                <w:p>
                  <w:pPr>
                    <w:pStyle w:val="26"/>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6"/>
                    <w:spacing w:line="360" w:lineRule="exact"/>
                    <w:rPr>
                      <w:color w:val="auto"/>
                      <w:szCs w:val="21"/>
                    </w:rPr>
                  </w:pPr>
                  <w:r>
                    <w:rPr>
                      <w:color w:val="auto"/>
                      <w:szCs w:val="21"/>
                    </w:rPr>
                    <w:t>废机油</w:t>
                  </w:r>
                </w:p>
              </w:tc>
              <w:tc>
                <w:tcPr>
                  <w:tcW w:w="1301" w:type="dxa"/>
                  <w:vAlign w:val="center"/>
                </w:tcPr>
                <w:p>
                  <w:pPr>
                    <w:pStyle w:val="26"/>
                    <w:spacing w:line="360" w:lineRule="exact"/>
                    <w:rPr>
                      <w:color w:val="auto"/>
                      <w:szCs w:val="21"/>
                    </w:rPr>
                  </w:pPr>
                  <w:r>
                    <w:rPr>
                      <w:color w:val="auto"/>
                      <w:szCs w:val="21"/>
                    </w:rPr>
                    <w:t>HW08废矿物油与含矿物油废物</w:t>
                  </w:r>
                </w:p>
              </w:tc>
              <w:tc>
                <w:tcPr>
                  <w:tcW w:w="862" w:type="dxa"/>
                  <w:vAlign w:val="center"/>
                </w:tcPr>
                <w:p>
                  <w:pPr>
                    <w:pStyle w:val="26"/>
                    <w:spacing w:line="360" w:lineRule="exact"/>
                    <w:rPr>
                      <w:color w:val="auto"/>
                      <w:szCs w:val="21"/>
                    </w:rPr>
                  </w:pPr>
                  <w:r>
                    <w:rPr>
                      <w:color w:val="auto"/>
                      <w:szCs w:val="21"/>
                    </w:rPr>
                    <w:t>非特定行业</w:t>
                  </w:r>
                </w:p>
              </w:tc>
              <w:tc>
                <w:tcPr>
                  <w:tcW w:w="1052" w:type="dxa"/>
                  <w:vAlign w:val="center"/>
                </w:tcPr>
                <w:p>
                  <w:pPr>
                    <w:pStyle w:val="26"/>
                    <w:spacing w:line="360" w:lineRule="exact"/>
                    <w:rPr>
                      <w:color w:val="auto"/>
                      <w:szCs w:val="21"/>
                    </w:rPr>
                  </w:pPr>
                  <w:r>
                    <w:rPr>
                      <w:color w:val="auto"/>
                      <w:szCs w:val="21"/>
                    </w:rPr>
                    <w:t>900-214-08</w:t>
                  </w:r>
                </w:p>
              </w:tc>
              <w:tc>
                <w:tcPr>
                  <w:tcW w:w="3010" w:type="dxa"/>
                  <w:vAlign w:val="center"/>
                </w:tcPr>
                <w:p>
                  <w:pPr>
                    <w:pStyle w:val="26"/>
                    <w:spacing w:line="360" w:lineRule="exact"/>
                    <w:ind w:firstLine="210" w:firstLineChars="100"/>
                    <w:jc w:val="left"/>
                    <w:rPr>
                      <w:color w:val="auto"/>
                      <w:szCs w:val="21"/>
                    </w:rPr>
                  </w:pPr>
                  <w:r>
                    <w:rPr>
                      <w:color w:val="auto"/>
                      <w:szCs w:val="21"/>
                    </w:rPr>
                    <w:t>车辆、轮船及其它机械维修过程中产生的废发动机油、制动器油、自动变速器油、齿轮油等废润滑油</w:t>
                  </w:r>
                </w:p>
              </w:tc>
              <w:tc>
                <w:tcPr>
                  <w:tcW w:w="1033" w:type="dxa"/>
                  <w:vAlign w:val="center"/>
                </w:tcPr>
                <w:p>
                  <w:pPr>
                    <w:pStyle w:val="26"/>
                    <w:spacing w:line="360" w:lineRule="exact"/>
                    <w:rPr>
                      <w:color w:val="auto"/>
                      <w:szCs w:val="21"/>
                    </w:rPr>
                  </w:pPr>
                  <w:r>
                    <w:rPr>
                      <w:color w:val="auto"/>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6"/>
                    <w:spacing w:line="360" w:lineRule="exact"/>
                    <w:rPr>
                      <w:color w:val="auto"/>
                      <w:szCs w:val="21"/>
                    </w:rPr>
                  </w:pPr>
                  <w:r>
                    <w:rPr>
                      <w:color w:val="auto"/>
                      <w:szCs w:val="21"/>
                    </w:rPr>
                    <w:t>沾油的抹布</w:t>
                  </w:r>
                </w:p>
              </w:tc>
              <w:tc>
                <w:tcPr>
                  <w:tcW w:w="1301" w:type="dxa"/>
                  <w:vAlign w:val="center"/>
                </w:tcPr>
                <w:p>
                  <w:pPr>
                    <w:pStyle w:val="26"/>
                    <w:spacing w:line="360" w:lineRule="exact"/>
                    <w:rPr>
                      <w:color w:val="auto"/>
                      <w:szCs w:val="21"/>
                    </w:rPr>
                  </w:pPr>
                  <w:r>
                    <w:rPr>
                      <w:color w:val="auto"/>
                      <w:szCs w:val="21"/>
                    </w:rPr>
                    <w:t>HW49其他废物</w:t>
                  </w:r>
                </w:p>
              </w:tc>
              <w:tc>
                <w:tcPr>
                  <w:tcW w:w="862" w:type="dxa"/>
                  <w:vAlign w:val="center"/>
                </w:tcPr>
                <w:p>
                  <w:pPr>
                    <w:pStyle w:val="26"/>
                    <w:spacing w:line="360" w:lineRule="exact"/>
                    <w:rPr>
                      <w:color w:val="auto"/>
                      <w:szCs w:val="21"/>
                    </w:rPr>
                  </w:pPr>
                  <w:r>
                    <w:rPr>
                      <w:color w:val="auto"/>
                      <w:szCs w:val="21"/>
                    </w:rPr>
                    <w:t>非特定行业</w:t>
                  </w:r>
                </w:p>
              </w:tc>
              <w:tc>
                <w:tcPr>
                  <w:tcW w:w="1052" w:type="dxa"/>
                  <w:vAlign w:val="center"/>
                </w:tcPr>
                <w:p>
                  <w:pPr>
                    <w:pStyle w:val="26"/>
                    <w:spacing w:line="360" w:lineRule="exact"/>
                    <w:rPr>
                      <w:color w:val="auto"/>
                      <w:szCs w:val="21"/>
                    </w:rPr>
                  </w:pPr>
                  <w:r>
                    <w:rPr>
                      <w:color w:val="auto"/>
                      <w:szCs w:val="21"/>
                    </w:rPr>
                    <w:t>900-041-49</w:t>
                  </w:r>
                </w:p>
              </w:tc>
              <w:tc>
                <w:tcPr>
                  <w:tcW w:w="3010" w:type="dxa"/>
                  <w:vAlign w:val="center"/>
                </w:tcPr>
                <w:p>
                  <w:pPr>
                    <w:pStyle w:val="26"/>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1033" w:type="dxa"/>
                  <w:vAlign w:val="center"/>
                </w:tcPr>
                <w:p>
                  <w:pPr>
                    <w:pStyle w:val="26"/>
                    <w:spacing w:line="360" w:lineRule="exact"/>
                    <w:rPr>
                      <w:color w:val="auto"/>
                      <w:szCs w:val="21"/>
                    </w:rPr>
                  </w:pPr>
                  <w:r>
                    <w:rPr>
                      <w:color w:val="auto"/>
                      <w:szCs w:val="21"/>
                    </w:rPr>
                    <w:t>T/In</w:t>
                  </w:r>
                </w:p>
              </w:tc>
            </w:tr>
          </w:tbl>
          <w:p>
            <w:pPr>
              <w:pStyle w:val="34"/>
              <w:spacing w:before="156" w:beforeLines="50"/>
              <w:ind w:firstLine="480"/>
              <w:rPr>
                <w:szCs w:val="24"/>
              </w:rPr>
            </w:pPr>
            <w:r>
              <w:rPr>
                <w:szCs w:val="24"/>
              </w:rPr>
              <w:t>根据设计，项目区每年废机油产生量约为50kg，废弃沾油抹布产生量为10kg。根据《国家危险废物名录》（2021版）“危险废物豁免管理清单”的要求，本项目豁免危险废物清单如下：</w:t>
            </w:r>
          </w:p>
          <w:p>
            <w:pPr>
              <w:jc w:val="center"/>
              <w:rPr>
                <w:rFonts w:ascii="Times New Roman" w:hAnsi="Times New Roman" w:cs="Times New Roman"/>
                <w:b/>
                <w:szCs w:val="24"/>
              </w:rPr>
            </w:pPr>
            <w:r>
              <w:rPr>
                <w:rFonts w:ascii="Times New Roman" w:hAnsi="Times New Roman" w:cs="Times New Roman"/>
                <w:b/>
                <w:szCs w:val="24"/>
              </w:rPr>
              <w:t>表4.2.4-2 本项目豁免危险废物清单一览表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0"/>
              <w:gridCol w:w="1251"/>
              <w:gridCol w:w="165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26"/>
                    <w:spacing w:line="360" w:lineRule="exact"/>
                    <w:rPr>
                      <w:color w:val="auto"/>
                      <w:szCs w:val="21"/>
                    </w:rPr>
                  </w:pPr>
                  <w:r>
                    <w:rPr>
                      <w:color w:val="auto"/>
                      <w:szCs w:val="21"/>
                    </w:rPr>
                    <w:t>废物类别</w:t>
                  </w:r>
                </w:p>
              </w:tc>
              <w:tc>
                <w:tcPr>
                  <w:tcW w:w="1480" w:type="dxa"/>
                  <w:vAlign w:val="center"/>
                </w:tcPr>
                <w:p>
                  <w:pPr>
                    <w:pStyle w:val="26"/>
                    <w:spacing w:line="360" w:lineRule="exact"/>
                    <w:rPr>
                      <w:color w:val="auto"/>
                      <w:szCs w:val="21"/>
                    </w:rPr>
                  </w:pPr>
                  <w:r>
                    <w:rPr>
                      <w:color w:val="auto"/>
                      <w:szCs w:val="21"/>
                    </w:rPr>
                    <w:t>危险废物</w:t>
                  </w:r>
                </w:p>
              </w:tc>
              <w:tc>
                <w:tcPr>
                  <w:tcW w:w="1251" w:type="dxa"/>
                  <w:vAlign w:val="center"/>
                </w:tcPr>
                <w:p>
                  <w:pPr>
                    <w:pStyle w:val="26"/>
                    <w:spacing w:line="360" w:lineRule="exact"/>
                    <w:rPr>
                      <w:color w:val="auto"/>
                      <w:szCs w:val="21"/>
                    </w:rPr>
                  </w:pPr>
                  <w:r>
                    <w:rPr>
                      <w:color w:val="auto"/>
                      <w:szCs w:val="21"/>
                    </w:rPr>
                    <w:t>豁免环节</w:t>
                  </w:r>
                </w:p>
              </w:tc>
              <w:tc>
                <w:tcPr>
                  <w:tcW w:w="1656" w:type="dxa"/>
                  <w:vAlign w:val="center"/>
                </w:tcPr>
                <w:p>
                  <w:pPr>
                    <w:pStyle w:val="26"/>
                    <w:spacing w:line="360" w:lineRule="exact"/>
                    <w:rPr>
                      <w:color w:val="auto"/>
                      <w:szCs w:val="21"/>
                    </w:rPr>
                  </w:pPr>
                  <w:r>
                    <w:rPr>
                      <w:color w:val="auto"/>
                      <w:szCs w:val="21"/>
                    </w:rPr>
                    <w:t>豁免条件</w:t>
                  </w:r>
                </w:p>
              </w:tc>
              <w:tc>
                <w:tcPr>
                  <w:tcW w:w="2688" w:type="dxa"/>
                  <w:vAlign w:val="center"/>
                </w:tcPr>
                <w:p>
                  <w:pPr>
                    <w:pStyle w:val="26"/>
                    <w:spacing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26"/>
                    <w:spacing w:line="360" w:lineRule="exact"/>
                    <w:rPr>
                      <w:color w:val="auto"/>
                      <w:szCs w:val="21"/>
                    </w:rPr>
                  </w:pPr>
                  <w:r>
                    <w:rPr>
                      <w:color w:val="auto"/>
                      <w:szCs w:val="21"/>
                    </w:rPr>
                    <w:t>900-041-49</w:t>
                  </w:r>
                </w:p>
              </w:tc>
              <w:tc>
                <w:tcPr>
                  <w:tcW w:w="1480" w:type="dxa"/>
                  <w:vAlign w:val="center"/>
                </w:tcPr>
                <w:p>
                  <w:pPr>
                    <w:autoSpaceDE w:val="0"/>
                    <w:autoSpaceDN w:val="0"/>
                    <w:adjustRightInd w:val="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废弃的含油抹布、劳保用品</w:t>
                  </w:r>
                </w:p>
              </w:tc>
              <w:tc>
                <w:tcPr>
                  <w:tcW w:w="1251" w:type="dxa"/>
                  <w:vAlign w:val="center"/>
                </w:tcPr>
                <w:p>
                  <w:pPr>
                    <w:pStyle w:val="26"/>
                    <w:spacing w:line="360" w:lineRule="exact"/>
                    <w:rPr>
                      <w:color w:val="auto"/>
                      <w:szCs w:val="21"/>
                    </w:rPr>
                  </w:pPr>
                  <w:r>
                    <w:rPr>
                      <w:color w:val="auto"/>
                      <w:szCs w:val="21"/>
                    </w:rPr>
                    <w:t>全部环节</w:t>
                  </w:r>
                </w:p>
              </w:tc>
              <w:tc>
                <w:tcPr>
                  <w:tcW w:w="1656" w:type="dxa"/>
                  <w:vAlign w:val="center"/>
                </w:tcPr>
                <w:p>
                  <w:pPr>
                    <w:pStyle w:val="26"/>
                    <w:spacing w:line="360" w:lineRule="exact"/>
                    <w:rPr>
                      <w:color w:val="auto"/>
                      <w:szCs w:val="21"/>
                    </w:rPr>
                  </w:pPr>
                  <w:r>
                    <w:rPr>
                      <w:color w:val="auto"/>
                      <w:szCs w:val="21"/>
                    </w:rPr>
                    <w:t>未分类收集</w:t>
                  </w:r>
                </w:p>
              </w:tc>
              <w:tc>
                <w:tcPr>
                  <w:tcW w:w="2688" w:type="dxa"/>
                  <w:vAlign w:val="center"/>
                </w:tcPr>
                <w:p>
                  <w:pPr>
                    <w:pStyle w:val="26"/>
                    <w:spacing w:line="360" w:lineRule="exact"/>
                    <w:rPr>
                      <w:color w:val="auto"/>
                      <w:szCs w:val="21"/>
                    </w:rPr>
                  </w:pPr>
                  <w:r>
                    <w:rPr>
                      <w:color w:val="auto"/>
                      <w:szCs w:val="21"/>
                    </w:rPr>
                    <w:t>全过程不按危险废物管理</w:t>
                  </w:r>
                </w:p>
              </w:tc>
            </w:tr>
          </w:tbl>
          <w:p>
            <w:pPr>
              <w:pStyle w:val="34"/>
              <w:spacing w:before="156" w:beforeLines="50"/>
              <w:ind w:firstLine="480"/>
              <w:rPr>
                <w:szCs w:val="24"/>
              </w:rPr>
            </w:pPr>
            <w:r>
              <w:rPr>
                <w:szCs w:val="24"/>
              </w:rPr>
              <w:t>由上表可知，项目产生的废弃沾油抹布全部环节已被豁免，按一般固体废物管理要求管理；针对项目产生的废机油，厂区拟建设1个5m²的危险废物贮存间对项目区废机油等危险废物进行暂存；废机油部分用于生产设备润滑使用，无法使用部分委托有资质的单位处置。</w:t>
            </w:r>
          </w:p>
          <w:p>
            <w:pPr>
              <w:pStyle w:val="34"/>
              <w:ind w:firstLine="482"/>
              <w:rPr>
                <w:rFonts w:eastAsiaTheme="minorEastAsia"/>
                <w:b/>
                <w:szCs w:val="24"/>
              </w:rPr>
            </w:pPr>
            <w:r>
              <w:rPr>
                <w:rFonts w:eastAsiaTheme="minorEastAsia"/>
                <w:b/>
                <w:szCs w:val="24"/>
              </w:rPr>
              <w:t>③生活污水污泥</w:t>
            </w:r>
          </w:p>
          <w:p>
            <w:pPr>
              <w:pStyle w:val="34"/>
              <w:ind w:firstLine="480"/>
              <w:rPr>
                <w:rFonts w:eastAsiaTheme="minorEastAsia"/>
                <w:szCs w:val="24"/>
              </w:rPr>
            </w:pPr>
            <w:r>
              <w:t>本项目生活污水处理系统在处理生活污水过程中，将产生一定的污泥，污泥主要来源于SS和BOD</w:t>
            </w:r>
            <w:r>
              <w:rPr>
                <w:vertAlign w:val="subscript"/>
              </w:rPr>
              <w:t>5</w:t>
            </w:r>
            <w:r>
              <w:t>的去除，SS消减量为0.05t/a，BOD</w:t>
            </w:r>
            <w:r>
              <w:rPr>
                <w:vertAlign w:val="subscript"/>
              </w:rPr>
              <w:t>5</w:t>
            </w:r>
            <w:r>
              <w:t>消减量为0.01t/a，以每去除1kgBOD</w:t>
            </w:r>
            <w:r>
              <w:rPr>
                <w:vertAlign w:val="subscript"/>
              </w:rPr>
              <w:t>5</w:t>
            </w:r>
            <w:r>
              <w:t>产生污泥0.8kg和去除1kgSS产生污泥1kg计，则预计污泥产生量约为0.06t/a。委托环卫部门清运处理，其处置率为100%。</w:t>
            </w:r>
          </w:p>
          <w:p>
            <w:pPr>
              <w:pStyle w:val="34"/>
              <w:ind w:firstLine="482"/>
              <w:rPr>
                <w:rFonts w:eastAsiaTheme="minorEastAsia"/>
                <w:b/>
                <w:szCs w:val="24"/>
              </w:rPr>
            </w:pPr>
            <w:r>
              <w:rPr>
                <w:b/>
                <w:szCs w:val="24"/>
              </w:rPr>
              <w:t>④</w:t>
            </w:r>
            <w:r>
              <w:rPr>
                <w:rFonts w:eastAsiaTheme="minorEastAsia"/>
                <w:b/>
                <w:szCs w:val="24"/>
              </w:rPr>
              <w:t>生活垃圾</w:t>
            </w:r>
          </w:p>
          <w:p>
            <w:pPr>
              <w:pStyle w:val="34"/>
              <w:ind w:firstLine="480"/>
              <w:rPr>
                <w:rFonts w:eastAsiaTheme="minorEastAsia"/>
                <w:szCs w:val="24"/>
              </w:rPr>
            </w:pPr>
            <w:r>
              <w:rPr>
                <w:rFonts w:eastAsiaTheme="minorEastAsia"/>
                <w:szCs w:val="24"/>
              </w:rPr>
              <w:t>根据项目特点可知，本项目拟设员工30人，生活产生量按1kg/（人·d）计，则生活垃圾产生量为30kg/d（9.9t/a）。生活垃圾集中收集后，委托环卫部门定期清运处置，处置率为100%。</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34"/>
              <w:ind w:firstLine="480"/>
              <w:rPr>
                <w:rFonts w:eastAsiaTheme="minorEastAsia"/>
                <w:szCs w:val="24"/>
              </w:rPr>
            </w:pPr>
            <w:r>
              <w:rPr>
                <w:rFonts w:eastAsiaTheme="minorEastAsia"/>
                <w:szCs w:val="24"/>
              </w:rPr>
              <w:t>根据固体废物污染源强分析可知，项目产生的固体废物，其环境影响和保护措施分析具体如下：</w:t>
            </w:r>
          </w:p>
          <w:p>
            <w:pPr>
              <w:pStyle w:val="28"/>
              <w:spacing w:beforeLines="0"/>
              <w:rPr>
                <w:rFonts w:hAnsi="Times New Roman" w:eastAsiaTheme="minorEastAsia"/>
                <w:sz w:val="21"/>
                <w:szCs w:val="21"/>
              </w:rPr>
            </w:pPr>
            <w:r>
              <w:rPr>
                <w:rFonts w:hAnsi="Times New Roman" w:eastAsiaTheme="minorEastAsia"/>
                <w:sz w:val="21"/>
                <w:szCs w:val="21"/>
              </w:rPr>
              <w:t>表4.2.4-3  固体废物环境影响和保护措施分析一览表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993"/>
              <w:gridCol w:w="850"/>
              <w:gridCol w:w="851"/>
              <w:gridCol w:w="850"/>
              <w:gridCol w:w="1843"/>
              <w:gridCol w:w="1824"/>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Align w:val="center"/>
                </w:tcPr>
                <w:p>
                  <w:pPr>
                    <w:pStyle w:val="26"/>
                    <w:spacing w:line="360" w:lineRule="exact"/>
                    <w:rPr>
                      <w:rFonts w:eastAsiaTheme="minorEastAsia"/>
                      <w:color w:val="auto"/>
                      <w:szCs w:val="21"/>
                    </w:rPr>
                  </w:pPr>
                  <w:r>
                    <w:rPr>
                      <w:rFonts w:eastAsiaTheme="minorEastAsia"/>
                      <w:color w:val="auto"/>
                      <w:szCs w:val="21"/>
                    </w:rPr>
                    <w:t>序号</w:t>
                  </w:r>
                </w:p>
              </w:tc>
              <w:tc>
                <w:tcPr>
                  <w:tcW w:w="993" w:type="dxa"/>
                  <w:vAlign w:val="center"/>
                </w:tcPr>
                <w:p>
                  <w:pPr>
                    <w:pStyle w:val="26"/>
                    <w:spacing w:line="360" w:lineRule="exact"/>
                    <w:rPr>
                      <w:rFonts w:eastAsiaTheme="minorEastAsia"/>
                      <w:color w:val="auto"/>
                      <w:szCs w:val="21"/>
                    </w:rPr>
                  </w:pPr>
                  <w:r>
                    <w:rPr>
                      <w:rFonts w:eastAsiaTheme="minorEastAsia"/>
                      <w:color w:val="auto"/>
                      <w:szCs w:val="21"/>
                    </w:rPr>
                    <w:t>产生环节</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名称</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属性</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产生量</w:t>
                  </w:r>
                </w:p>
              </w:tc>
              <w:tc>
                <w:tcPr>
                  <w:tcW w:w="1843" w:type="dxa"/>
                  <w:vAlign w:val="center"/>
                </w:tcPr>
                <w:p>
                  <w:pPr>
                    <w:pStyle w:val="26"/>
                    <w:spacing w:line="360" w:lineRule="exact"/>
                    <w:rPr>
                      <w:rFonts w:eastAsiaTheme="minorEastAsia"/>
                      <w:color w:val="auto"/>
                      <w:szCs w:val="21"/>
                    </w:rPr>
                  </w:pPr>
                  <w:r>
                    <w:rPr>
                      <w:rFonts w:eastAsiaTheme="minorEastAsia"/>
                      <w:color w:val="auto"/>
                      <w:szCs w:val="21"/>
                    </w:rPr>
                    <w:t>贮存方式</w:t>
                  </w:r>
                </w:p>
              </w:tc>
              <w:tc>
                <w:tcPr>
                  <w:tcW w:w="1824" w:type="dxa"/>
                  <w:vAlign w:val="center"/>
                </w:tcPr>
                <w:p>
                  <w:pPr>
                    <w:pStyle w:val="26"/>
                    <w:spacing w:line="360" w:lineRule="exact"/>
                    <w:rPr>
                      <w:rFonts w:eastAsiaTheme="minorEastAsia"/>
                      <w:color w:val="auto"/>
                      <w:szCs w:val="21"/>
                    </w:rPr>
                  </w:pPr>
                  <w:r>
                    <w:rPr>
                      <w:rFonts w:eastAsiaTheme="minorEastAsia"/>
                      <w:color w:val="auto"/>
                      <w:szCs w:val="21"/>
                    </w:rPr>
                    <w:t>利用处置方式和去向</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Align w:val="center"/>
                </w:tcPr>
                <w:p>
                  <w:pPr>
                    <w:pStyle w:val="26"/>
                    <w:spacing w:line="360" w:lineRule="exact"/>
                    <w:rPr>
                      <w:rFonts w:eastAsiaTheme="minorEastAsia"/>
                      <w:color w:val="auto"/>
                      <w:szCs w:val="21"/>
                    </w:rPr>
                  </w:pPr>
                  <w:r>
                    <w:rPr>
                      <w:rFonts w:eastAsiaTheme="minorEastAsia"/>
                      <w:color w:val="auto"/>
                      <w:szCs w:val="21"/>
                    </w:rPr>
                    <w:t>1</w:t>
                  </w:r>
                </w:p>
              </w:tc>
              <w:tc>
                <w:tcPr>
                  <w:tcW w:w="993" w:type="dxa"/>
                  <w:vAlign w:val="center"/>
                </w:tcPr>
                <w:p>
                  <w:pPr>
                    <w:pStyle w:val="26"/>
                    <w:spacing w:line="360" w:lineRule="exact"/>
                    <w:rPr>
                      <w:rFonts w:eastAsiaTheme="minorEastAsia"/>
                      <w:color w:val="auto"/>
                      <w:szCs w:val="21"/>
                    </w:rPr>
                  </w:pPr>
                  <w:r>
                    <w:rPr>
                      <w:rFonts w:eastAsiaTheme="minorEastAsia"/>
                      <w:color w:val="auto"/>
                      <w:szCs w:val="21"/>
                    </w:rPr>
                    <w:t>生产废水处理系统</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生产废水污泥</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一般工业固废</w:t>
                  </w:r>
                </w:p>
              </w:tc>
              <w:tc>
                <w:tcPr>
                  <w:tcW w:w="850" w:type="dxa"/>
                  <w:vAlign w:val="center"/>
                </w:tcPr>
                <w:p>
                  <w:pPr>
                    <w:pStyle w:val="26"/>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项目拟设置1个100m²污泥暂存库对其进行暂存。</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该污泥的主要成分为小江河流中的泥土，一部分用于厂区周围绿化覆土和道路建设，剩余部分将其用于小李庄村肥田。</w:t>
                  </w:r>
                </w:p>
              </w:tc>
              <w:tc>
                <w:tcPr>
                  <w:tcW w:w="943" w:type="dxa"/>
                  <w:vAlign w:val="center"/>
                </w:tcPr>
                <w:p>
                  <w:pPr>
                    <w:pStyle w:val="26"/>
                    <w:spacing w:line="360" w:lineRule="exact"/>
                    <w:rPr>
                      <w:rFonts w:eastAsiaTheme="minorEastAsia"/>
                      <w:color w:val="auto"/>
                      <w:szCs w:val="21"/>
                    </w:rPr>
                  </w:pPr>
                  <w:r>
                    <w:rPr>
                      <w:color w:val="auto"/>
                      <w:szCs w:val="21"/>
                      <w:lang w:val="en-US"/>
                    </w:rPr>
                    <w:t>1024.93</w:t>
                  </w:r>
                  <w:r>
                    <w:rPr>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restart"/>
                  <w:vAlign w:val="center"/>
                </w:tcPr>
                <w:p>
                  <w:pPr>
                    <w:pStyle w:val="26"/>
                    <w:spacing w:line="360" w:lineRule="exact"/>
                    <w:rPr>
                      <w:rFonts w:eastAsiaTheme="minorEastAsia"/>
                      <w:color w:val="auto"/>
                      <w:szCs w:val="21"/>
                    </w:rPr>
                  </w:pPr>
                  <w:r>
                    <w:rPr>
                      <w:rFonts w:eastAsiaTheme="minorEastAsia"/>
                      <w:color w:val="auto"/>
                      <w:szCs w:val="21"/>
                    </w:rPr>
                    <w:t>2</w:t>
                  </w:r>
                </w:p>
              </w:tc>
              <w:tc>
                <w:tcPr>
                  <w:tcW w:w="993" w:type="dxa"/>
                  <w:vMerge w:val="restart"/>
                  <w:vAlign w:val="center"/>
                </w:tcPr>
                <w:p>
                  <w:pPr>
                    <w:pStyle w:val="26"/>
                    <w:spacing w:line="360" w:lineRule="exact"/>
                    <w:rPr>
                      <w:rFonts w:eastAsiaTheme="minorEastAsia"/>
                      <w:color w:val="auto"/>
                      <w:szCs w:val="21"/>
                    </w:rPr>
                  </w:pPr>
                  <w:r>
                    <w:rPr>
                      <w:rFonts w:eastAsiaTheme="minorEastAsia"/>
                      <w:color w:val="auto"/>
                      <w:szCs w:val="21"/>
                    </w:rPr>
                    <w:t>设备维护</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废机油</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危险废物</w:t>
                  </w:r>
                </w:p>
              </w:tc>
              <w:tc>
                <w:tcPr>
                  <w:tcW w:w="850" w:type="dxa"/>
                  <w:vAlign w:val="center"/>
                </w:tcPr>
                <w:p>
                  <w:pPr>
                    <w:pStyle w:val="26"/>
                    <w:spacing w:line="360" w:lineRule="exact"/>
                    <w:rPr>
                      <w:rFonts w:eastAsiaTheme="minorEastAsia"/>
                      <w:color w:val="auto"/>
                      <w:szCs w:val="21"/>
                    </w:rPr>
                  </w:pPr>
                  <w:r>
                    <w:rPr>
                      <w:rFonts w:eastAsiaTheme="minorEastAsia"/>
                      <w:color w:val="auto"/>
                      <w:szCs w:val="21"/>
                      <w:lang w:val="en-US"/>
                    </w:rPr>
                    <w:t>50</w:t>
                  </w:r>
                  <w:r>
                    <w:rPr>
                      <w:rFonts w:eastAsiaTheme="minorEastAsia"/>
                      <w:color w:val="auto"/>
                      <w:szCs w:val="21"/>
                    </w:rPr>
                    <w:t>kg/a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厂区拟建设1个5m²的危险废物贮存间对项目区废机油等危险废物进行暂存。</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部分用于生产设备润滑使用，无法使用部分委托有资质的单位处置。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lang w:val="en-US"/>
                    </w:rPr>
                    <w:t>50</w:t>
                  </w:r>
                  <w:r>
                    <w:rPr>
                      <w:rFonts w:eastAsiaTheme="minorEastAsia"/>
                      <w:color w:val="auto"/>
                      <w:szCs w:val="21"/>
                    </w:rPr>
                    <w:t>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废弃沾油抹布</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豁免的危险废物</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10kg/a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使用垃圾桶集中收集</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Align w:val="center"/>
                </w:tcPr>
                <w:p>
                  <w:pPr>
                    <w:pStyle w:val="26"/>
                    <w:spacing w:line="360" w:lineRule="exact"/>
                    <w:rPr>
                      <w:rFonts w:eastAsiaTheme="minorEastAsia"/>
                      <w:color w:val="auto"/>
                      <w:szCs w:val="21"/>
                    </w:rPr>
                  </w:pPr>
                  <w:r>
                    <w:rPr>
                      <w:rFonts w:eastAsiaTheme="minorEastAsia"/>
                      <w:color w:val="auto"/>
                      <w:szCs w:val="21"/>
                    </w:rPr>
                    <w:t>3</w:t>
                  </w:r>
                </w:p>
              </w:tc>
              <w:tc>
                <w:tcPr>
                  <w:tcW w:w="993" w:type="dxa"/>
                  <w:vAlign w:val="center"/>
                </w:tcPr>
                <w:p>
                  <w:pPr>
                    <w:pStyle w:val="26"/>
                    <w:spacing w:line="360" w:lineRule="exact"/>
                    <w:rPr>
                      <w:rFonts w:eastAsiaTheme="minorEastAsia"/>
                      <w:color w:val="auto"/>
                      <w:szCs w:val="21"/>
                    </w:rPr>
                  </w:pPr>
                  <w:r>
                    <w:rPr>
                      <w:rFonts w:eastAsiaTheme="minorEastAsia"/>
                      <w:color w:val="auto"/>
                      <w:szCs w:val="21"/>
                    </w:rPr>
                    <w:t>生活污水处理系统</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生活污水污泥</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生活固废</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0.06t/a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定期清掏。</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943" w:type="dxa"/>
                  <w:vAlign w:val="center"/>
                </w:tcPr>
                <w:p>
                  <w:pPr>
                    <w:pStyle w:val="26"/>
                    <w:spacing w:line="360" w:lineRule="exact"/>
                    <w:rPr>
                      <w:rFonts w:eastAsiaTheme="minorEastAsia"/>
                      <w:color w:val="auto"/>
                      <w:szCs w:val="21"/>
                    </w:rPr>
                  </w:pPr>
                  <w:r>
                    <w:rPr>
                      <w:color w:val="auto"/>
                    </w:rPr>
                    <w:t>0.06t/a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Align w:val="center"/>
                </w:tcPr>
                <w:p>
                  <w:pPr>
                    <w:pStyle w:val="26"/>
                    <w:spacing w:line="360" w:lineRule="exact"/>
                    <w:rPr>
                      <w:rFonts w:eastAsiaTheme="minorEastAsia"/>
                      <w:color w:val="auto"/>
                      <w:szCs w:val="21"/>
                    </w:rPr>
                  </w:pPr>
                  <w:r>
                    <w:rPr>
                      <w:rFonts w:eastAsiaTheme="minorEastAsia"/>
                      <w:color w:val="auto"/>
                      <w:szCs w:val="21"/>
                    </w:rPr>
                    <w:t>4</w:t>
                  </w:r>
                </w:p>
              </w:tc>
              <w:tc>
                <w:tcPr>
                  <w:tcW w:w="993" w:type="dxa"/>
                  <w:vAlign w:val="center"/>
                </w:tcPr>
                <w:p>
                  <w:pPr>
                    <w:pStyle w:val="26"/>
                    <w:spacing w:line="360" w:lineRule="exact"/>
                    <w:rPr>
                      <w:rFonts w:eastAsiaTheme="minorEastAsia"/>
                      <w:color w:val="auto"/>
                      <w:szCs w:val="21"/>
                    </w:rPr>
                  </w:pPr>
                  <w:r>
                    <w:rPr>
                      <w:rFonts w:eastAsiaTheme="minorEastAsia"/>
                      <w:color w:val="auto"/>
                      <w:szCs w:val="21"/>
                    </w:rPr>
                    <w:t>员工生活</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生活垃圾</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生活固废</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9.9t/a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使用垃圾桶集中收集，日产日清。</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9.9t/a</w:t>
                  </w:r>
                </w:p>
              </w:tc>
            </w:tr>
          </w:tbl>
          <w:p>
            <w:pPr>
              <w:pStyle w:val="34"/>
              <w:spacing w:before="156" w:beforeLines="50"/>
              <w:ind w:firstLine="480"/>
              <w:rPr>
                <w:rFonts w:eastAsiaTheme="minorEastAsia"/>
                <w:szCs w:val="21"/>
              </w:rPr>
            </w:pPr>
            <w:r>
              <w:rPr>
                <w:rFonts w:eastAsiaTheme="minorEastAsia"/>
                <w:szCs w:val="21"/>
              </w:rPr>
              <w:t>根据项目特点，项目针对固废废物采取的保护措施具体实施如下：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生产废水处理系统产生的生产废水污泥，其主要成分为小江河流中的泥土，项目拟设置1个100m²污泥暂存库对其进行暂存后，一部分用于厂区周围绿化覆土和道路建设，剩余部分将其用于小李庄村肥田。污泥暂存库建设过程中设置三面围挡和顶棚，则生产废水污泥暂存及处置措施合理可行。</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②针对项目产生的废机油，厂区拟建设1个5m²的危险废物贮存间对项目区废机油等危险废物进行暂存。部分用于生产设备润滑使用，无法使用部分委托有资质的单位处置。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③生活污水处理系统产生的生活污水污泥以及生活垃圾属于生活固废，委托环卫部门定期清运处置。措施可行。</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（2）环境管理要求</w:t>
            </w:r>
          </w:p>
          <w:p>
            <w:pPr>
              <w:pStyle w:val="34"/>
              <w:ind w:firstLine="482"/>
              <w:rPr>
                <w:rFonts w:eastAsiaTheme="minorEastAsia"/>
                <w:b/>
                <w:szCs w:val="24"/>
              </w:rPr>
            </w:pPr>
            <w:r>
              <w:rPr>
                <w:b/>
                <w:szCs w:val="24"/>
              </w:rPr>
              <w:t>①</w:t>
            </w:r>
            <w:r>
              <w:rPr>
                <w:rFonts w:eastAsiaTheme="minorEastAsia"/>
                <w:b/>
                <w:szCs w:val="24"/>
              </w:rPr>
              <w:t>危险废物管理要求</w:t>
            </w:r>
          </w:p>
          <w:p>
            <w:pPr>
              <w:pStyle w:val="34"/>
              <w:ind w:firstLine="480"/>
              <w:rPr>
                <w:szCs w:val="24"/>
              </w:rPr>
            </w:pPr>
            <w:r>
              <w:rPr>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28"/>
              <w:spacing w:beforeLines="0"/>
              <w:rPr>
                <w:rFonts w:hAnsi="Times New Roman" w:eastAsiaTheme="minorEastAsia"/>
                <w:sz w:val="21"/>
                <w:szCs w:val="21"/>
              </w:rPr>
            </w:pPr>
            <w:r>
              <w:rPr>
                <w:rFonts w:hAnsi="Times New Roman" w:eastAsiaTheme="minorEastAsia"/>
                <w:sz w:val="21"/>
                <w:szCs w:val="21"/>
              </w:rPr>
              <w:t>表4.2.4-3 项目危险废物管理要求一览表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序号</w:t>
                  </w:r>
                </w:p>
              </w:tc>
              <w:tc>
                <w:tcPr>
                  <w:tcW w:w="816" w:type="dxa"/>
                  <w:vAlign w:val="center"/>
                </w:tcPr>
                <w:p>
                  <w:pPr>
                    <w:pStyle w:val="26"/>
                    <w:spacing w:before="78"/>
                    <w:ind w:left="11"/>
                    <w:rPr>
                      <w:rFonts w:eastAsiaTheme="minorEastAsia"/>
                      <w:color w:val="auto"/>
                    </w:rPr>
                  </w:pPr>
                  <w:r>
                    <w:rPr>
                      <w:rFonts w:eastAsiaTheme="minorEastAsia"/>
                      <w:color w:val="auto"/>
                    </w:rPr>
                    <w:t>环节</w:t>
                  </w:r>
                </w:p>
              </w:tc>
              <w:tc>
                <w:tcPr>
                  <w:tcW w:w="7272" w:type="dxa"/>
                  <w:vAlign w:val="center"/>
                </w:tcPr>
                <w:p>
                  <w:pPr>
                    <w:pStyle w:val="26"/>
                    <w:spacing w:before="78"/>
                    <w:ind w:left="11"/>
                    <w:rPr>
                      <w:rFonts w:eastAsiaTheme="minorEastAsia"/>
                      <w:color w:val="auto"/>
                    </w:rPr>
                  </w:pPr>
                  <w:r>
                    <w:rPr>
                      <w:rFonts w:eastAsiaTheme="minorEastAsia"/>
                      <w:color w:val="auto"/>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1</w:t>
                  </w:r>
                </w:p>
              </w:tc>
              <w:tc>
                <w:tcPr>
                  <w:tcW w:w="816" w:type="dxa"/>
                  <w:vAlign w:val="center"/>
                </w:tcPr>
                <w:p>
                  <w:pPr>
                    <w:pStyle w:val="26"/>
                    <w:spacing w:before="78"/>
                    <w:ind w:left="11"/>
                    <w:rPr>
                      <w:rFonts w:eastAsiaTheme="minorEastAsia"/>
                      <w:color w:val="auto"/>
                    </w:rPr>
                  </w:pPr>
                  <w:r>
                    <w:rPr>
                      <w:rFonts w:eastAsiaTheme="minorEastAsia"/>
                      <w:color w:val="auto"/>
                    </w:rPr>
                    <w:t>收集过程</w:t>
                  </w:r>
                </w:p>
              </w:tc>
              <w:tc>
                <w:tcPr>
                  <w:tcW w:w="7272" w:type="dxa"/>
                  <w:vAlign w:val="center"/>
                </w:tcPr>
                <w:p>
                  <w:pPr>
                    <w:pStyle w:val="26"/>
                    <w:spacing w:before="78"/>
                    <w:ind w:left="11" w:firstLine="210" w:firstLineChars="100"/>
                    <w:jc w:val="left"/>
                    <w:rPr>
                      <w:rFonts w:eastAsiaTheme="minorEastAsia"/>
                      <w:color w:val="auto"/>
                    </w:rPr>
                  </w:pPr>
                  <w:r>
                    <w:rPr>
                      <w:rFonts w:eastAsiaTheme="minorEastAsia"/>
                      <w:color w:val="auto"/>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2</w:t>
                  </w:r>
                </w:p>
              </w:tc>
              <w:tc>
                <w:tcPr>
                  <w:tcW w:w="816" w:type="dxa"/>
                  <w:vAlign w:val="center"/>
                </w:tcPr>
                <w:p>
                  <w:pPr>
                    <w:pStyle w:val="26"/>
                    <w:spacing w:before="78"/>
                    <w:ind w:left="11"/>
                    <w:rPr>
                      <w:rFonts w:eastAsiaTheme="minorEastAsia"/>
                      <w:color w:val="auto"/>
                    </w:rPr>
                  </w:pPr>
                  <w:r>
                    <w:rPr>
                      <w:rFonts w:eastAsiaTheme="minorEastAsia"/>
                      <w:color w:val="auto"/>
                    </w:rPr>
                    <w:t>贮存过程</w:t>
                  </w:r>
                </w:p>
              </w:tc>
              <w:tc>
                <w:tcPr>
                  <w:tcW w:w="7272" w:type="dxa"/>
                  <w:vAlign w:val="center"/>
                </w:tcPr>
                <w:p>
                  <w:pPr>
                    <w:pStyle w:val="26"/>
                    <w:ind w:left="11" w:firstLine="210" w:firstLineChars="100"/>
                    <w:jc w:val="left"/>
                    <w:rPr>
                      <w:rFonts w:eastAsiaTheme="minorEastAsia"/>
                      <w:color w:val="auto"/>
                    </w:rPr>
                  </w:pPr>
                  <w:r>
                    <w:rPr>
                      <w:color w:val="auto"/>
                    </w:rPr>
                    <w:t>①</w:t>
                  </w:r>
                  <w:r>
                    <w:rPr>
                      <w:rFonts w:eastAsiaTheme="minorEastAsia"/>
                      <w:color w:val="auto"/>
                    </w:rPr>
                    <w:t>要做好危险废物贮存间的防渗、防泄漏工作。</w:t>
                  </w:r>
                </w:p>
                <w:p>
                  <w:pPr>
                    <w:pStyle w:val="26"/>
                    <w:ind w:left="11" w:firstLine="210" w:firstLineChars="100"/>
                    <w:jc w:val="left"/>
                    <w:rPr>
                      <w:rFonts w:eastAsiaTheme="minorEastAsia"/>
                      <w:color w:val="auto"/>
                    </w:rPr>
                  </w:pPr>
                  <w:r>
                    <w:rPr>
                      <w:color w:val="auto"/>
                    </w:rPr>
                    <w:t>②</w:t>
                  </w:r>
                  <w:r>
                    <w:rPr>
                      <w:rFonts w:eastAsiaTheme="minorEastAsia"/>
                      <w:color w:val="auto"/>
                    </w:rPr>
                    <w:t>危险废物堆场必须封顶，并做好防雨工作，场内须做好防渗措施。</w:t>
                  </w:r>
                </w:p>
                <w:p>
                  <w:pPr>
                    <w:pStyle w:val="26"/>
                    <w:ind w:left="11" w:firstLine="210" w:firstLineChars="100"/>
                    <w:jc w:val="left"/>
                    <w:rPr>
                      <w:rFonts w:eastAsiaTheme="minorEastAsia"/>
                      <w:color w:val="auto"/>
                    </w:rPr>
                  </w:pPr>
                  <w:r>
                    <w:rPr>
                      <w:color w:val="auto"/>
                    </w:rPr>
                    <w:t>③</w:t>
                  </w:r>
                  <w:r>
                    <w:rPr>
                      <w:rFonts w:eastAsiaTheme="minorEastAsia"/>
                      <w:color w:val="auto"/>
                    </w:rPr>
                    <w:t>危险废物需用符合标准的容器盛装，容器上需粘贴符合《危险废物贮存污染控制标准》（GB18597-2001）附录A所示的标签。</w:t>
                  </w:r>
                </w:p>
                <w:p>
                  <w:pPr>
                    <w:pStyle w:val="26"/>
                    <w:ind w:left="11" w:firstLine="210" w:firstLineChars="100"/>
                    <w:jc w:val="left"/>
                    <w:rPr>
                      <w:rFonts w:eastAsiaTheme="minorEastAsia"/>
                      <w:color w:val="auto"/>
                    </w:rPr>
                  </w:pPr>
                  <w:r>
                    <w:rPr>
                      <w:color w:val="auto"/>
                    </w:rPr>
                    <w:t>④</w:t>
                  </w:r>
                  <w:r>
                    <w:rPr>
                      <w:rFonts w:eastAsiaTheme="minorEastAsia"/>
                      <w:color w:val="auto"/>
                    </w:rPr>
                    <w:t>危险废物贮存间必须按GB15562.2《环境保护图形标志—固体废物贮存（处置）场》的规定设置警示标志。</w:t>
                  </w:r>
                </w:p>
                <w:p>
                  <w:pPr>
                    <w:pStyle w:val="26"/>
                    <w:ind w:left="11" w:firstLine="210" w:firstLineChars="100"/>
                    <w:jc w:val="left"/>
                    <w:rPr>
                      <w:rFonts w:eastAsiaTheme="minorEastAsia"/>
                      <w:color w:val="auto"/>
                    </w:rPr>
                  </w:pPr>
                  <w:r>
                    <w:rPr>
                      <w:color w:val="auto"/>
                    </w:rPr>
                    <w:t>⑤</w:t>
                  </w:r>
                  <w:r>
                    <w:rPr>
                      <w:rFonts w:eastAsiaTheme="minorEastAsia"/>
                      <w:color w:val="auto"/>
                    </w:rPr>
                    <w:t>装载危险废物的容器要满足相应的强度要求，必须完好无损。</w:t>
                  </w:r>
                </w:p>
                <w:p>
                  <w:pPr>
                    <w:pStyle w:val="26"/>
                    <w:ind w:left="11" w:firstLine="210" w:firstLineChars="100"/>
                    <w:jc w:val="left"/>
                    <w:rPr>
                      <w:rFonts w:eastAsiaTheme="minorEastAsia"/>
                      <w:color w:val="auto"/>
                    </w:rPr>
                  </w:pPr>
                  <w:r>
                    <w:rPr>
                      <w:color w:val="auto"/>
                    </w:rPr>
                    <w:t>⑥</w:t>
                  </w:r>
                  <w:r>
                    <w:rPr>
                      <w:rFonts w:eastAsiaTheme="minorEastAsia"/>
                      <w:color w:val="auto"/>
                    </w:rPr>
                    <w:t>盛装危险废物的容器材质和衬里要与危险废物性质相容（不相互反应）。</w:t>
                  </w:r>
                </w:p>
                <w:p>
                  <w:pPr>
                    <w:pStyle w:val="26"/>
                    <w:ind w:left="11" w:firstLine="210" w:firstLineChars="100"/>
                    <w:jc w:val="left"/>
                    <w:rPr>
                      <w:rFonts w:eastAsiaTheme="minorEastAsia"/>
                      <w:color w:val="auto"/>
                    </w:rPr>
                  </w:pPr>
                  <w:r>
                    <w:rPr>
                      <w:color w:val="auto"/>
                    </w:rPr>
                    <w:t>⑦</w:t>
                  </w:r>
                  <w:r>
                    <w:rPr>
                      <w:rFonts w:eastAsiaTheme="minorEastAsia"/>
                      <w:color w:val="auto"/>
                    </w:rPr>
                    <w:t>盛装危险废物容器都应有防漏裙脚或储漏盘，防漏裙脚或储漏盘的材料要与危险废物相容。</w:t>
                  </w:r>
                </w:p>
                <w:p>
                  <w:pPr>
                    <w:pStyle w:val="26"/>
                    <w:ind w:left="11" w:firstLine="210" w:firstLineChars="100"/>
                    <w:jc w:val="left"/>
                    <w:rPr>
                      <w:rFonts w:eastAsiaTheme="minorEastAsia"/>
                      <w:color w:val="auto"/>
                    </w:rPr>
                  </w:pPr>
                  <w:r>
                    <w:rPr>
                      <w:color w:val="auto"/>
                    </w:rPr>
                    <w:t>⑧</w:t>
                  </w:r>
                  <w:r>
                    <w:rPr>
                      <w:rFonts w:eastAsiaTheme="minorEastAsia"/>
                      <w:color w:val="auto"/>
                    </w:rPr>
                    <w:t>作好危险废物贮存情况的记录，记录上须注明危险废物的名称、来源、数量、特性和包装容器的类别、入库日期、存放库位、废物出库日期及接收单位名称。记录和货单在危险废物处置后继续保留三年。</w:t>
                  </w:r>
                </w:p>
                <w:p>
                  <w:pPr>
                    <w:pStyle w:val="26"/>
                    <w:ind w:left="11" w:firstLine="210" w:firstLineChars="100"/>
                    <w:jc w:val="left"/>
                    <w:rPr>
                      <w:rFonts w:eastAsiaTheme="minorEastAsia"/>
                      <w:color w:val="auto"/>
                    </w:rPr>
                  </w:pPr>
                  <w:r>
                    <w:rPr>
                      <w:color w:val="auto"/>
                    </w:rPr>
                    <w:t>⑨</w:t>
                  </w:r>
                  <w:r>
                    <w:rPr>
                      <w:rFonts w:eastAsiaTheme="minorEastAsia"/>
                      <w:color w:val="auto"/>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3</w:t>
                  </w:r>
                </w:p>
              </w:tc>
              <w:tc>
                <w:tcPr>
                  <w:tcW w:w="816" w:type="dxa"/>
                  <w:vAlign w:val="center"/>
                </w:tcPr>
                <w:p>
                  <w:pPr>
                    <w:pStyle w:val="26"/>
                    <w:spacing w:before="78"/>
                    <w:ind w:left="11"/>
                    <w:rPr>
                      <w:rFonts w:eastAsiaTheme="minorEastAsia"/>
                      <w:color w:val="auto"/>
                    </w:rPr>
                  </w:pPr>
                  <w:r>
                    <w:rPr>
                      <w:rFonts w:eastAsiaTheme="minorEastAsia"/>
                      <w:color w:val="auto"/>
                    </w:rPr>
                    <w:t>委托转移</w:t>
                  </w:r>
                </w:p>
              </w:tc>
              <w:tc>
                <w:tcPr>
                  <w:tcW w:w="7272" w:type="dxa"/>
                  <w:vAlign w:val="center"/>
                </w:tcPr>
                <w:p>
                  <w:pPr>
                    <w:pStyle w:val="26"/>
                    <w:spacing w:before="78"/>
                    <w:ind w:left="11" w:firstLine="210" w:firstLineChars="100"/>
                    <w:jc w:val="left"/>
                    <w:rPr>
                      <w:rFonts w:eastAsiaTheme="minorEastAsia"/>
                      <w:color w:val="auto"/>
                    </w:rPr>
                  </w:pPr>
                  <w:r>
                    <w:rPr>
                      <w:rFonts w:eastAsiaTheme="minorEastAsia"/>
                      <w:color w:val="auto"/>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4</w:t>
                  </w:r>
                </w:p>
              </w:tc>
              <w:tc>
                <w:tcPr>
                  <w:tcW w:w="816" w:type="dxa"/>
                  <w:vAlign w:val="center"/>
                </w:tcPr>
                <w:p>
                  <w:pPr>
                    <w:pStyle w:val="26"/>
                    <w:spacing w:before="78"/>
                    <w:ind w:left="11"/>
                    <w:rPr>
                      <w:rFonts w:eastAsiaTheme="minorEastAsia"/>
                      <w:color w:val="auto"/>
                    </w:rPr>
                  </w:pPr>
                  <w:r>
                    <w:rPr>
                      <w:rFonts w:eastAsiaTheme="minorEastAsia"/>
                      <w:color w:val="auto"/>
                    </w:rPr>
                    <w:t>危险废物贮存间的建设及管理</w:t>
                  </w:r>
                </w:p>
              </w:tc>
              <w:tc>
                <w:tcPr>
                  <w:tcW w:w="7272" w:type="dxa"/>
                  <w:vAlign w:val="center"/>
                </w:tcPr>
                <w:p>
                  <w:pPr>
                    <w:pStyle w:val="26"/>
                    <w:ind w:left="11" w:firstLine="210" w:firstLineChars="100"/>
                    <w:jc w:val="left"/>
                    <w:rPr>
                      <w:rFonts w:eastAsiaTheme="minorEastAsia"/>
                      <w:color w:val="auto"/>
                    </w:rPr>
                  </w:pPr>
                  <w:r>
                    <w:rPr>
                      <w:color w:val="auto"/>
                    </w:rPr>
                    <w:t>①</w:t>
                  </w:r>
                  <w:r>
                    <w:rPr>
                      <w:rFonts w:eastAsiaTheme="minorEastAsia"/>
                      <w:color w:val="auto"/>
                    </w:rPr>
                    <w:t>危险废物贮存间必须要密闭建设，门口内侧设立围堰，地面应做好硬化及“三防”措施；</w:t>
                  </w:r>
                </w:p>
                <w:p>
                  <w:pPr>
                    <w:pStyle w:val="26"/>
                    <w:ind w:left="11" w:firstLine="210" w:firstLineChars="100"/>
                    <w:jc w:val="left"/>
                    <w:rPr>
                      <w:rFonts w:eastAsiaTheme="minorEastAsia"/>
                      <w:color w:val="auto"/>
                    </w:rPr>
                  </w:pPr>
                  <w:r>
                    <w:rPr>
                      <w:color w:val="auto"/>
                    </w:rPr>
                    <w:t>②</w:t>
                  </w:r>
                  <w:r>
                    <w:rPr>
                      <w:rFonts w:eastAsiaTheme="minorEastAsia"/>
                      <w:color w:val="auto"/>
                    </w:rPr>
                    <w:t>危险废物贮存间门口需张贴标准规范的危险废物标识和危险信息版，屋内张贴企业《危险废物管理制度》；</w:t>
                  </w:r>
                </w:p>
                <w:p>
                  <w:pPr>
                    <w:pStyle w:val="26"/>
                    <w:ind w:left="11" w:firstLine="210" w:firstLineChars="100"/>
                    <w:jc w:val="left"/>
                    <w:rPr>
                      <w:rFonts w:eastAsiaTheme="minorEastAsia"/>
                      <w:color w:val="auto"/>
                    </w:rPr>
                  </w:pPr>
                  <w:r>
                    <w:rPr>
                      <w:color w:val="auto"/>
                    </w:rPr>
                    <w:t>③</w:t>
                  </w:r>
                  <w:r>
                    <w:rPr>
                      <w:rFonts w:eastAsiaTheme="minorEastAsia"/>
                      <w:color w:val="auto"/>
                    </w:rPr>
                    <w:t>危险废物贮存间需按照“双人双锁”制度管理；</w:t>
                  </w:r>
                </w:p>
                <w:p>
                  <w:pPr>
                    <w:pStyle w:val="26"/>
                    <w:ind w:left="11" w:firstLine="210" w:firstLineChars="100"/>
                    <w:jc w:val="left"/>
                    <w:rPr>
                      <w:rFonts w:eastAsiaTheme="minorEastAsia"/>
                      <w:color w:val="auto"/>
                    </w:rPr>
                  </w:pPr>
                  <w:r>
                    <w:rPr>
                      <w:color w:val="auto"/>
                    </w:rPr>
                    <w:t>④</w:t>
                  </w:r>
                  <w:r>
                    <w:rPr>
                      <w:rFonts w:eastAsiaTheme="minorEastAsia"/>
                      <w:color w:val="auto"/>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6"/>
                    <w:ind w:left="11" w:firstLine="210" w:firstLineChars="100"/>
                    <w:jc w:val="left"/>
                    <w:rPr>
                      <w:rFonts w:eastAsiaTheme="minorEastAsia"/>
                      <w:color w:val="auto"/>
                    </w:rPr>
                  </w:pPr>
                  <w:r>
                    <w:rPr>
                      <w:color w:val="auto"/>
                    </w:rPr>
                    <w:t>⑤</w:t>
                  </w:r>
                  <w:r>
                    <w:rPr>
                      <w:rFonts w:eastAsiaTheme="minorEastAsia"/>
                      <w:color w:val="auto"/>
                    </w:rPr>
                    <w:t>建立台账并悬挂于危险废物贮存间内；</w:t>
                  </w:r>
                </w:p>
                <w:p>
                  <w:pPr>
                    <w:pStyle w:val="26"/>
                    <w:ind w:left="11" w:firstLine="210" w:firstLineChars="100"/>
                    <w:jc w:val="left"/>
                    <w:rPr>
                      <w:rFonts w:eastAsiaTheme="minorEastAsia"/>
                      <w:color w:val="auto"/>
                    </w:rPr>
                  </w:pPr>
                  <w:r>
                    <w:rPr>
                      <w:color w:val="auto"/>
                    </w:rPr>
                    <w:t>⑥</w:t>
                  </w:r>
                  <w:r>
                    <w:rPr>
                      <w:rFonts w:eastAsiaTheme="minorEastAsia"/>
                      <w:color w:val="auto"/>
                    </w:rPr>
                    <w:t>危险废物贮存间内禁止存放除危险废物及应急工具及其他物品；</w:t>
                  </w:r>
                </w:p>
                <w:p>
                  <w:pPr>
                    <w:pStyle w:val="26"/>
                    <w:ind w:left="11" w:firstLine="210" w:firstLineChars="100"/>
                    <w:jc w:val="left"/>
                    <w:rPr>
                      <w:rFonts w:eastAsiaTheme="minorEastAsia"/>
                      <w:color w:val="auto"/>
                    </w:rPr>
                  </w:pPr>
                  <w:r>
                    <w:rPr>
                      <w:rFonts w:eastAsiaTheme="minorEastAsia"/>
                      <w:color w:val="auto"/>
                    </w:rPr>
                    <w:t>⑦要求危险废物贮存间地面及裙墙应进行防腐防渗，内部设置导流渠和收集池。</w:t>
                  </w:r>
                </w:p>
              </w:tc>
            </w:tr>
          </w:tbl>
          <w:p>
            <w:pPr>
              <w:pStyle w:val="34"/>
              <w:spacing w:before="156" w:beforeLines="50"/>
              <w:ind w:firstLine="482"/>
              <w:rPr>
                <w:rFonts w:eastAsiaTheme="minorEastAsia"/>
                <w:b/>
                <w:szCs w:val="24"/>
              </w:rPr>
            </w:pPr>
            <w:bookmarkStart w:id="8" w:name="_Toc484976361"/>
            <w:r>
              <w:rPr>
                <w:b/>
                <w:szCs w:val="24"/>
              </w:rPr>
              <w:t>②</w:t>
            </w:r>
            <w:r>
              <w:rPr>
                <w:rFonts w:eastAsiaTheme="minorEastAsia"/>
                <w:b/>
                <w:szCs w:val="24"/>
              </w:rPr>
              <w:t>生活垃圾管理要求</w:t>
            </w:r>
          </w:p>
          <w:p>
            <w:pPr>
              <w:pStyle w:val="34"/>
              <w:ind w:firstLine="480"/>
              <w:rPr>
                <w:szCs w:val="24"/>
              </w:rPr>
            </w:pPr>
            <w:r>
              <w:rPr>
                <w:szCs w:val="24"/>
              </w:rPr>
              <w:t>项目产生的生活垃圾应做到日产日清。</w:t>
            </w:r>
          </w:p>
          <w:bookmarkEnd w:id="8"/>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34"/>
              <w:ind w:firstLine="361" w:firstLineChars="150"/>
              <w:rPr>
                <w:rFonts w:eastAsiaTheme="minorEastAsia"/>
                <w:b/>
                <w:szCs w:val="24"/>
              </w:rPr>
            </w:pPr>
            <w:r>
              <w:rPr>
                <w:rFonts w:eastAsiaTheme="minorEastAsia"/>
                <w:b/>
                <w:szCs w:val="24"/>
              </w:rPr>
              <w:t>（1）污染源及污染物类型</w:t>
            </w:r>
          </w:p>
          <w:p>
            <w:pPr>
              <w:pStyle w:val="34"/>
              <w:ind w:firstLine="480"/>
              <w:rPr>
                <w:szCs w:val="24"/>
              </w:rPr>
            </w:pPr>
            <w:r>
              <w:rPr>
                <w:szCs w:val="24"/>
              </w:rPr>
              <w:t>污染物从污染源进入地下水所经过的路径称为地下水污染途径，地下水污染途径是多种多样的。根据项目的特点，本项目可能对地下水造成污染的途径主要有：废机油等在地面防渗层发生破损的情况下会发生渗漏，对地下水造成污染，其污染物类型包括石油类。</w:t>
            </w:r>
          </w:p>
          <w:p>
            <w:pPr>
              <w:pStyle w:val="34"/>
              <w:ind w:firstLine="361" w:firstLineChars="150"/>
              <w:rPr>
                <w:rFonts w:eastAsiaTheme="minorEastAsia"/>
                <w:b/>
                <w:szCs w:val="24"/>
              </w:rPr>
            </w:pPr>
            <w:r>
              <w:rPr>
                <w:rFonts w:eastAsiaTheme="minorEastAsia"/>
                <w:b/>
                <w:szCs w:val="24"/>
              </w:rPr>
              <w:t>（2）污染源及污染途径</w:t>
            </w:r>
          </w:p>
          <w:p>
            <w:pPr>
              <w:pStyle w:val="34"/>
              <w:ind w:firstLine="480"/>
              <w:rPr>
                <w:szCs w:val="24"/>
              </w:rPr>
            </w:pPr>
            <w:r>
              <w:rPr>
                <w:szCs w:val="24"/>
              </w:rPr>
              <w:t>污染物从污染源进入地下水所经过的路径称为地下水污染途径，地下水污染途径是多种多样的。根据项目的特点，本项目可能对地下水造成污染的途径主要有：危险废物，在地面防渗层发生破损的情况下会发生渗漏，对地下水造成污染。</w:t>
            </w:r>
          </w:p>
          <w:p>
            <w:pPr>
              <w:pStyle w:val="34"/>
              <w:ind w:firstLine="361" w:firstLineChars="150"/>
              <w:rPr>
                <w:rFonts w:eastAsiaTheme="minorEastAsia"/>
                <w:b/>
                <w:szCs w:val="24"/>
              </w:rPr>
            </w:pPr>
            <w:r>
              <w:rPr>
                <w:rFonts w:eastAsiaTheme="minorEastAsia"/>
                <w:b/>
                <w:szCs w:val="24"/>
              </w:rPr>
              <w:t>（2）防控措施</w:t>
            </w:r>
          </w:p>
          <w:p>
            <w:pPr>
              <w:pStyle w:val="34"/>
              <w:ind w:firstLine="480"/>
              <w:rPr>
                <w:szCs w:val="24"/>
              </w:rPr>
            </w:pPr>
            <w:r>
              <w:rPr>
                <w:szCs w:val="24"/>
              </w:rPr>
              <w:t>本项目地下水、土壤污染防治措施按照“源头控制、分区防治、应急响应”相结合的原则，从污染物的产生、入渗、扩散、应急响应进行控制。</w:t>
            </w:r>
          </w:p>
          <w:p>
            <w:pPr>
              <w:pStyle w:val="34"/>
              <w:ind w:firstLine="482"/>
              <w:rPr>
                <w:b/>
                <w:szCs w:val="24"/>
              </w:rPr>
            </w:pPr>
            <w:r>
              <w:rPr>
                <w:b/>
                <w:szCs w:val="24"/>
              </w:rPr>
              <w:t>①源头控制措施</w:t>
            </w:r>
          </w:p>
          <w:p>
            <w:pPr>
              <w:pStyle w:val="34"/>
              <w:ind w:firstLine="480"/>
              <w:rPr>
                <w:szCs w:val="24"/>
              </w:rPr>
            </w:pPr>
            <w:r>
              <w:rPr>
                <w:szCs w:val="24"/>
              </w:rPr>
              <w:t>严格按照公司制定的规范管理要求进行危险废物的管理。</w:t>
            </w:r>
          </w:p>
          <w:p>
            <w:pPr>
              <w:pStyle w:val="34"/>
              <w:ind w:firstLine="482"/>
              <w:rPr>
                <w:b/>
                <w:szCs w:val="24"/>
              </w:rPr>
            </w:pPr>
            <w:r>
              <w:rPr>
                <w:b/>
                <w:szCs w:val="24"/>
              </w:rPr>
              <w:t>②分区控制措施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ascii="Times New Roman" w:hAnsi="Times New Roman" w:cs="Times New Roman"/>
                <w:sz w:val="24"/>
              </w:rPr>
              <w:t>。</w:t>
            </w:r>
          </w:p>
          <w:p>
            <w:pPr>
              <w:jc w:val="center"/>
              <w:rPr>
                <w:rFonts w:ascii="Times New Roman" w:hAnsi="Times New Roman" w:cs="Times New Roman"/>
                <w:b/>
              </w:rPr>
            </w:pPr>
            <w:r>
              <w:rPr>
                <w:rFonts w:ascii="Times New Roman" w:hAnsi="Times New Roman" w:cs="Times New Roman"/>
                <w:b/>
              </w:rPr>
              <w:t>表4.2.5-1  污染控制难易程度分级参照表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0" w:type="dxa"/>
                  <w:vAlign w:val="center"/>
                </w:tcPr>
                <w:p>
                  <w:pPr>
                    <w:pStyle w:val="26"/>
                    <w:spacing w:line="360" w:lineRule="exact"/>
                    <w:rPr>
                      <w:rFonts w:eastAsiaTheme="minorEastAsia"/>
                      <w:color w:val="auto"/>
                      <w:szCs w:val="21"/>
                    </w:rPr>
                  </w:pPr>
                  <w:r>
                    <w:rPr>
                      <w:rFonts w:eastAsiaTheme="minorEastAsia"/>
                      <w:color w:val="auto"/>
                      <w:szCs w:val="21"/>
                    </w:rPr>
                    <w:t>污染物控制难易程度</w:t>
                  </w:r>
                </w:p>
              </w:tc>
              <w:tc>
                <w:tcPr>
                  <w:tcW w:w="6875" w:type="dxa"/>
                  <w:vAlign w:val="center"/>
                </w:tcPr>
                <w:p>
                  <w:pPr>
                    <w:pStyle w:val="26"/>
                    <w:spacing w:line="360" w:lineRule="exact"/>
                    <w:rPr>
                      <w:rFonts w:eastAsiaTheme="minorEastAsia"/>
                      <w:color w:val="auto"/>
                      <w:szCs w:val="21"/>
                    </w:rPr>
                  </w:pPr>
                  <w:r>
                    <w:rPr>
                      <w:rFonts w:eastAsiaTheme="minorEastAsia"/>
                      <w:color w:val="auto"/>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0" w:type="dxa"/>
                  <w:vAlign w:val="center"/>
                </w:tcPr>
                <w:p>
                  <w:pPr>
                    <w:pStyle w:val="26"/>
                    <w:spacing w:line="360" w:lineRule="exact"/>
                    <w:rPr>
                      <w:rFonts w:eastAsiaTheme="minorEastAsia"/>
                      <w:color w:val="auto"/>
                      <w:szCs w:val="21"/>
                    </w:rPr>
                  </w:pPr>
                  <w:r>
                    <w:rPr>
                      <w:rFonts w:eastAsiaTheme="minorEastAsia"/>
                      <w:color w:val="auto"/>
                      <w:szCs w:val="21"/>
                    </w:rPr>
                    <w:t>难</w:t>
                  </w:r>
                </w:p>
              </w:tc>
              <w:tc>
                <w:tcPr>
                  <w:tcW w:w="6875"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0" w:type="dxa"/>
                  <w:vAlign w:val="center"/>
                </w:tcPr>
                <w:p>
                  <w:pPr>
                    <w:pStyle w:val="26"/>
                    <w:spacing w:line="360" w:lineRule="exact"/>
                    <w:rPr>
                      <w:rFonts w:eastAsiaTheme="minorEastAsia"/>
                      <w:color w:val="auto"/>
                      <w:szCs w:val="21"/>
                    </w:rPr>
                  </w:pPr>
                  <w:r>
                    <w:rPr>
                      <w:rFonts w:eastAsiaTheme="minorEastAsia"/>
                      <w:color w:val="auto"/>
                      <w:szCs w:val="21"/>
                    </w:rPr>
                    <w:t>易</w:t>
                  </w:r>
                </w:p>
              </w:tc>
              <w:tc>
                <w:tcPr>
                  <w:tcW w:w="6875"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对地下水环境有污染的物料或污染物泄漏后，可及时发现和处理。</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天然包气带防污性能分级如下表所示。</w:t>
            </w:r>
          </w:p>
          <w:p>
            <w:pPr>
              <w:jc w:val="center"/>
              <w:rPr>
                <w:rFonts w:ascii="Times New Roman" w:hAnsi="Times New Roman" w:cs="Times New Roman"/>
                <w:b/>
              </w:rPr>
            </w:pPr>
            <w:r>
              <w:rPr>
                <w:rFonts w:ascii="Times New Roman" w:hAnsi="Times New Roman" w:cs="Times New Roman"/>
                <w:b/>
              </w:rPr>
              <w:t>表4.2.5-2  天然包气带防污性能分级</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26"/>
                    <w:spacing w:line="360" w:lineRule="exact"/>
                    <w:rPr>
                      <w:rFonts w:eastAsiaTheme="minorEastAsia"/>
                      <w:color w:val="auto"/>
                      <w:szCs w:val="21"/>
                    </w:rPr>
                  </w:pPr>
                  <w:r>
                    <w:rPr>
                      <w:rFonts w:eastAsiaTheme="minorEastAsia"/>
                      <w:color w:val="auto"/>
                      <w:szCs w:val="21"/>
                    </w:rPr>
                    <w:t>分级</w:t>
                  </w:r>
                </w:p>
              </w:tc>
              <w:tc>
                <w:tcPr>
                  <w:tcW w:w="7867" w:type="dxa"/>
                  <w:vAlign w:val="center"/>
                </w:tcPr>
                <w:p>
                  <w:pPr>
                    <w:pStyle w:val="26"/>
                    <w:spacing w:line="360" w:lineRule="exact"/>
                    <w:rPr>
                      <w:rFonts w:eastAsiaTheme="minorEastAsia"/>
                      <w:color w:val="auto"/>
                      <w:szCs w:val="21"/>
                    </w:rPr>
                  </w:pPr>
                  <w:r>
                    <w:rPr>
                      <w:rFonts w:eastAsiaTheme="minorEastAsia"/>
                      <w:color w:val="auto"/>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26"/>
                    <w:spacing w:line="360" w:lineRule="exact"/>
                    <w:rPr>
                      <w:rFonts w:eastAsiaTheme="minorEastAsia"/>
                      <w:color w:val="auto"/>
                      <w:szCs w:val="21"/>
                    </w:rPr>
                  </w:pPr>
                  <w:r>
                    <w:rPr>
                      <w:rFonts w:eastAsiaTheme="minorEastAsia"/>
                      <w:color w:val="auto"/>
                      <w:szCs w:val="21"/>
                    </w:rPr>
                    <w:t>强</w:t>
                  </w:r>
                </w:p>
              </w:tc>
              <w:tc>
                <w:tcPr>
                  <w:tcW w:w="7867"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岩（土）单层厚度Mb≥1.0m，渗透系数K≤10</w:t>
                  </w:r>
                  <w:r>
                    <w:rPr>
                      <w:rFonts w:eastAsiaTheme="minorEastAsia"/>
                      <w:color w:val="auto"/>
                      <w:szCs w:val="21"/>
                      <w:vertAlign w:val="superscript"/>
                    </w:rPr>
                    <w:t>-6</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26"/>
                    <w:spacing w:line="360" w:lineRule="exact"/>
                    <w:rPr>
                      <w:rFonts w:eastAsiaTheme="minorEastAsia"/>
                      <w:color w:val="auto"/>
                      <w:szCs w:val="21"/>
                    </w:rPr>
                  </w:pPr>
                  <w:r>
                    <w:rPr>
                      <w:rFonts w:eastAsiaTheme="minorEastAsia"/>
                      <w:color w:val="auto"/>
                      <w:szCs w:val="21"/>
                    </w:rPr>
                    <w:t>中</w:t>
                  </w:r>
                </w:p>
              </w:tc>
              <w:tc>
                <w:tcPr>
                  <w:tcW w:w="7867"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岩（土）单层厚度0.5m≤Mb＜1.0m，渗透系数K≤10</w:t>
                  </w:r>
                  <w:r>
                    <w:rPr>
                      <w:rFonts w:eastAsiaTheme="minorEastAsia"/>
                      <w:color w:val="auto"/>
                      <w:szCs w:val="21"/>
                      <w:vertAlign w:val="superscript"/>
                    </w:rPr>
                    <w:t>-6</w:t>
                  </w:r>
                  <w:r>
                    <w:rPr>
                      <w:rFonts w:eastAsiaTheme="minorEastAsia"/>
                      <w:color w:val="auto"/>
                      <w:szCs w:val="21"/>
                    </w:rPr>
                    <w:t>cm/s，且分布连续、稳定；</w:t>
                  </w:r>
                </w:p>
                <w:p>
                  <w:pPr>
                    <w:pStyle w:val="26"/>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岩（土）单层厚度Mb≥1.0m，渗透系数10</w:t>
                  </w:r>
                  <w:r>
                    <w:rPr>
                      <w:rFonts w:eastAsiaTheme="minorEastAsia"/>
                      <w:color w:val="auto"/>
                      <w:szCs w:val="21"/>
                      <w:vertAlign w:val="superscript"/>
                    </w:rPr>
                    <w:t>-6</w:t>
                  </w:r>
                  <w:r>
                    <w:rPr>
                      <w:rFonts w:eastAsiaTheme="minorEastAsia"/>
                      <w:color w:val="auto"/>
                      <w:szCs w:val="21"/>
                    </w:rPr>
                    <w:t>cm/s＜K≤10</w:t>
                  </w:r>
                  <w:r>
                    <w:rPr>
                      <w:rFonts w:eastAsiaTheme="minorEastAsia"/>
                      <w:color w:val="auto"/>
                      <w:szCs w:val="21"/>
                      <w:vertAlign w:val="superscript"/>
                    </w:rPr>
                    <w:t>-4</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26"/>
                    <w:spacing w:line="360" w:lineRule="exact"/>
                    <w:rPr>
                      <w:rFonts w:eastAsiaTheme="minorEastAsia"/>
                      <w:color w:val="auto"/>
                      <w:szCs w:val="21"/>
                    </w:rPr>
                  </w:pPr>
                  <w:r>
                    <w:rPr>
                      <w:rFonts w:eastAsiaTheme="minorEastAsia"/>
                      <w:color w:val="auto"/>
                      <w:szCs w:val="21"/>
                    </w:rPr>
                    <w:t>弱</w:t>
                  </w:r>
                </w:p>
              </w:tc>
              <w:tc>
                <w:tcPr>
                  <w:tcW w:w="7867"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26"/>
                    <w:spacing w:line="360" w:lineRule="exact"/>
                    <w:rPr>
                      <w:rFonts w:eastAsiaTheme="minorEastAsia"/>
                      <w:color w:val="auto"/>
                      <w:szCs w:val="21"/>
                    </w:rPr>
                  </w:pPr>
                  <w:r>
                    <w:rPr>
                      <w:rFonts w:eastAsiaTheme="minorEastAsia"/>
                      <w:color w:val="auto"/>
                      <w:szCs w:val="21"/>
                    </w:rPr>
                    <w:t>备注</w:t>
                  </w:r>
                </w:p>
              </w:tc>
              <w:tc>
                <w:tcPr>
                  <w:tcW w:w="7867"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项目区地下水类型主要为岩溶水，含水层岩性主要为古生界石炭系大塘阶组（C1d）浅海相泥质灰岩或白云岩，综上确定包气带防污性能为“弱”。</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地下水污染防渗分区按下表要求执行。</w:t>
            </w:r>
          </w:p>
          <w:p>
            <w:pPr>
              <w:jc w:val="center"/>
              <w:rPr>
                <w:rFonts w:ascii="Times New Roman" w:hAnsi="Times New Roman" w:cs="Times New Roman"/>
                <w:b/>
              </w:rPr>
            </w:pPr>
            <w:r>
              <w:rPr>
                <w:rFonts w:ascii="Times New Roman" w:hAnsi="Times New Roman" w:cs="Times New Roman"/>
                <w:b/>
              </w:rPr>
              <w:t>表4.2.5-3  地下水污染防渗分区</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18"/>
              <w:gridCol w:w="1418"/>
              <w:gridCol w:w="170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Align w:val="center"/>
                </w:tcPr>
                <w:p>
                  <w:pPr>
                    <w:pStyle w:val="26"/>
                    <w:spacing w:line="360" w:lineRule="exact"/>
                    <w:rPr>
                      <w:rFonts w:eastAsiaTheme="minorEastAsia"/>
                      <w:color w:val="auto"/>
                      <w:szCs w:val="21"/>
                    </w:rPr>
                  </w:pPr>
                  <w:r>
                    <w:rPr>
                      <w:rFonts w:eastAsiaTheme="minorEastAsia"/>
                      <w:color w:val="auto"/>
                      <w:szCs w:val="21"/>
                    </w:rPr>
                    <w:t>防渗分区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天然包气带防污性能</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污染控制难易程度</w:t>
                  </w:r>
                </w:p>
              </w:tc>
              <w:tc>
                <w:tcPr>
                  <w:tcW w:w="1700" w:type="dxa"/>
                  <w:vAlign w:val="center"/>
                </w:tcPr>
                <w:p>
                  <w:pPr>
                    <w:pStyle w:val="26"/>
                    <w:spacing w:line="360" w:lineRule="exact"/>
                    <w:rPr>
                      <w:rFonts w:eastAsiaTheme="minorEastAsia"/>
                      <w:color w:val="auto"/>
                      <w:szCs w:val="21"/>
                    </w:rPr>
                  </w:pPr>
                  <w:r>
                    <w:rPr>
                      <w:rFonts w:eastAsiaTheme="minorEastAsia"/>
                      <w:color w:val="auto"/>
                      <w:szCs w:val="21"/>
                    </w:rPr>
                    <w:t>污染物类型</w:t>
                  </w:r>
                </w:p>
              </w:tc>
              <w:tc>
                <w:tcPr>
                  <w:tcW w:w="3048" w:type="dxa"/>
                  <w:vAlign w:val="center"/>
                </w:tcPr>
                <w:p>
                  <w:pPr>
                    <w:pStyle w:val="26"/>
                    <w:spacing w:line="360" w:lineRule="exact"/>
                    <w:rPr>
                      <w:rFonts w:eastAsiaTheme="minorEastAsia"/>
                      <w:color w:val="auto"/>
                      <w:szCs w:val="21"/>
                    </w:rPr>
                  </w:pPr>
                  <w:r>
                    <w:rPr>
                      <w:rFonts w:eastAsiaTheme="minorEastAsia"/>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Merge w:val="restart"/>
                  <w:vAlign w:val="center"/>
                </w:tcPr>
                <w:p>
                  <w:pPr>
                    <w:pStyle w:val="26"/>
                    <w:spacing w:line="360" w:lineRule="exact"/>
                    <w:rPr>
                      <w:rFonts w:eastAsiaTheme="minorEastAsia"/>
                      <w:color w:val="auto"/>
                      <w:szCs w:val="21"/>
                    </w:rPr>
                  </w:pPr>
                  <w:r>
                    <w:rPr>
                      <w:rFonts w:eastAsiaTheme="minorEastAsia"/>
                      <w:color w:val="auto"/>
                      <w:szCs w:val="21"/>
                    </w:rPr>
                    <w:t>重点防渗区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弱</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难</w:t>
                  </w:r>
                </w:p>
              </w:tc>
              <w:tc>
                <w:tcPr>
                  <w:tcW w:w="1700" w:type="dxa"/>
                  <w:vMerge w:val="restart"/>
                  <w:vAlign w:val="center"/>
                </w:tcPr>
                <w:p>
                  <w:pPr>
                    <w:pStyle w:val="26"/>
                    <w:spacing w:line="360" w:lineRule="exact"/>
                    <w:rPr>
                      <w:rFonts w:eastAsiaTheme="minorEastAsia"/>
                      <w:color w:val="auto"/>
                      <w:szCs w:val="21"/>
                    </w:rPr>
                  </w:pPr>
                  <w:r>
                    <w:rPr>
                      <w:rFonts w:eastAsiaTheme="minorEastAsia"/>
                      <w:color w:val="auto"/>
                      <w:szCs w:val="21"/>
                    </w:rPr>
                    <w:t>重金属、持久性有机污染物</w:t>
                  </w:r>
                </w:p>
              </w:tc>
              <w:tc>
                <w:tcPr>
                  <w:tcW w:w="3048"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等效黏土防渗层Mb≥6.0m，K≤1×10</w:t>
                  </w:r>
                  <w:r>
                    <w:rPr>
                      <w:rFonts w:eastAsiaTheme="minorEastAsia"/>
                      <w:color w:val="auto"/>
                      <w:szCs w:val="21"/>
                      <w:vertAlign w:val="superscript"/>
                    </w:rPr>
                    <w:t>-7</w:t>
                  </w:r>
                  <w:r>
                    <w:rPr>
                      <w:rFonts w:eastAsiaTheme="minorEastAsia"/>
                      <w:color w:val="auto"/>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中-强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难</w:t>
                  </w:r>
                </w:p>
              </w:tc>
              <w:tc>
                <w:tcPr>
                  <w:tcW w:w="1700" w:type="dxa"/>
                  <w:vMerge w:val="continue"/>
                  <w:vAlign w:val="center"/>
                </w:tcPr>
                <w:p>
                  <w:pPr>
                    <w:pStyle w:val="26"/>
                    <w:spacing w:line="360" w:lineRule="exact"/>
                    <w:rPr>
                      <w:rFonts w:eastAsiaTheme="minorEastAsia"/>
                      <w:color w:val="auto"/>
                      <w:szCs w:val="21"/>
                    </w:rPr>
                  </w:pPr>
                </w:p>
              </w:tc>
              <w:tc>
                <w:tcPr>
                  <w:tcW w:w="3048"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弱</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易</w:t>
                  </w:r>
                </w:p>
              </w:tc>
              <w:tc>
                <w:tcPr>
                  <w:tcW w:w="1700" w:type="dxa"/>
                  <w:vMerge w:val="continue"/>
                  <w:vAlign w:val="center"/>
                </w:tcPr>
                <w:p>
                  <w:pPr>
                    <w:pStyle w:val="26"/>
                    <w:spacing w:line="360" w:lineRule="exact"/>
                    <w:rPr>
                      <w:rFonts w:eastAsiaTheme="minorEastAsia"/>
                      <w:color w:val="auto"/>
                      <w:szCs w:val="21"/>
                    </w:rPr>
                  </w:pPr>
                </w:p>
              </w:tc>
              <w:tc>
                <w:tcPr>
                  <w:tcW w:w="3048"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Merge w:val="restart"/>
                  <w:vAlign w:val="center"/>
                </w:tcPr>
                <w:p>
                  <w:pPr>
                    <w:pStyle w:val="26"/>
                    <w:spacing w:line="360" w:lineRule="exact"/>
                    <w:rPr>
                      <w:rFonts w:eastAsiaTheme="minorEastAsia"/>
                      <w:color w:val="auto"/>
                      <w:szCs w:val="21"/>
                    </w:rPr>
                  </w:pPr>
                  <w:r>
                    <w:rPr>
                      <w:rFonts w:eastAsiaTheme="minorEastAsia"/>
                      <w:color w:val="auto"/>
                      <w:szCs w:val="21"/>
                    </w:rPr>
                    <w:t>一般防渗区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弱</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易-难</w:t>
                  </w:r>
                </w:p>
              </w:tc>
              <w:tc>
                <w:tcPr>
                  <w:tcW w:w="1700" w:type="dxa"/>
                  <w:vMerge w:val="restart"/>
                  <w:vAlign w:val="center"/>
                </w:tcPr>
                <w:p>
                  <w:pPr>
                    <w:pStyle w:val="26"/>
                    <w:spacing w:line="360" w:lineRule="exact"/>
                    <w:rPr>
                      <w:rFonts w:eastAsiaTheme="minorEastAsia"/>
                      <w:color w:val="auto"/>
                      <w:szCs w:val="21"/>
                    </w:rPr>
                  </w:pPr>
                  <w:r>
                    <w:rPr>
                      <w:rFonts w:eastAsiaTheme="minorEastAsia"/>
                      <w:color w:val="auto"/>
                      <w:szCs w:val="21"/>
                    </w:rPr>
                    <w:t>其他类型</w:t>
                  </w:r>
                </w:p>
              </w:tc>
              <w:tc>
                <w:tcPr>
                  <w:tcW w:w="3048"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等效黏土防渗层Mb≥1.5m，K≤1×10</w:t>
                  </w:r>
                  <w:r>
                    <w:rPr>
                      <w:rFonts w:eastAsiaTheme="minorEastAsia"/>
                      <w:color w:val="auto"/>
                      <w:szCs w:val="21"/>
                      <w:vertAlign w:val="superscript"/>
                    </w:rPr>
                    <w:t>-7</w:t>
                  </w:r>
                  <w:r>
                    <w:rPr>
                      <w:rFonts w:eastAsiaTheme="minorEastAsia"/>
                      <w:color w:val="auto"/>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中-强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难</w:t>
                  </w:r>
                </w:p>
              </w:tc>
              <w:tc>
                <w:tcPr>
                  <w:tcW w:w="1700" w:type="dxa"/>
                  <w:vMerge w:val="continue"/>
                  <w:vAlign w:val="center"/>
                </w:tcPr>
                <w:p>
                  <w:pPr>
                    <w:pStyle w:val="26"/>
                    <w:spacing w:line="360" w:lineRule="exact"/>
                    <w:rPr>
                      <w:rFonts w:eastAsiaTheme="minorEastAsia"/>
                      <w:color w:val="auto"/>
                      <w:szCs w:val="21"/>
                    </w:rPr>
                  </w:pPr>
                </w:p>
              </w:tc>
              <w:tc>
                <w:tcPr>
                  <w:tcW w:w="3048"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中</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易</w:t>
                  </w:r>
                </w:p>
              </w:tc>
              <w:tc>
                <w:tcPr>
                  <w:tcW w:w="1700" w:type="dxa"/>
                  <w:vMerge w:val="restart"/>
                  <w:vAlign w:val="center"/>
                </w:tcPr>
                <w:p>
                  <w:pPr>
                    <w:pStyle w:val="26"/>
                    <w:spacing w:line="360" w:lineRule="exact"/>
                    <w:rPr>
                      <w:rFonts w:eastAsiaTheme="minorEastAsia"/>
                      <w:color w:val="auto"/>
                      <w:szCs w:val="21"/>
                    </w:rPr>
                  </w:pPr>
                  <w:r>
                    <w:rPr>
                      <w:rFonts w:eastAsiaTheme="minorEastAsia"/>
                      <w:color w:val="auto"/>
                      <w:szCs w:val="21"/>
                    </w:rPr>
                    <w:t>重金属、持久性有机污染物</w:t>
                  </w:r>
                </w:p>
              </w:tc>
              <w:tc>
                <w:tcPr>
                  <w:tcW w:w="3048"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易</w:t>
                  </w:r>
                </w:p>
              </w:tc>
              <w:tc>
                <w:tcPr>
                  <w:tcW w:w="1700" w:type="dxa"/>
                  <w:vMerge w:val="continue"/>
                  <w:vAlign w:val="center"/>
                </w:tcPr>
                <w:p>
                  <w:pPr>
                    <w:pStyle w:val="26"/>
                    <w:spacing w:line="360" w:lineRule="exact"/>
                    <w:rPr>
                      <w:rFonts w:eastAsiaTheme="minorEastAsia"/>
                      <w:color w:val="auto"/>
                      <w:szCs w:val="21"/>
                    </w:rPr>
                  </w:pPr>
                </w:p>
              </w:tc>
              <w:tc>
                <w:tcPr>
                  <w:tcW w:w="3048"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1" w:type="dxa"/>
                  <w:vAlign w:val="center"/>
                </w:tcPr>
                <w:p>
                  <w:pPr>
                    <w:pStyle w:val="26"/>
                    <w:spacing w:line="360" w:lineRule="exact"/>
                    <w:rPr>
                      <w:rFonts w:eastAsiaTheme="minorEastAsia"/>
                      <w:color w:val="auto"/>
                      <w:szCs w:val="21"/>
                    </w:rPr>
                  </w:pPr>
                  <w:r>
                    <w:rPr>
                      <w:rFonts w:eastAsiaTheme="minorEastAsia"/>
                      <w:color w:val="auto"/>
                      <w:szCs w:val="21"/>
                    </w:rPr>
                    <w:t>简单防渗区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中-强</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易</w:t>
                  </w:r>
                </w:p>
              </w:tc>
              <w:tc>
                <w:tcPr>
                  <w:tcW w:w="1700" w:type="dxa"/>
                  <w:vAlign w:val="center"/>
                </w:tcPr>
                <w:p>
                  <w:pPr>
                    <w:pStyle w:val="26"/>
                    <w:spacing w:line="360" w:lineRule="exact"/>
                    <w:rPr>
                      <w:rFonts w:eastAsiaTheme="minorEastAsia"/>
                      <w:color w:val="auto"/>
                      <w:szCs w:val="21"/>
                    </w:rPr>
                  </w:pPr>
                  <w:r>
                    <w:rPr>
                      <w:rFonts w:eastAsiaTheme="minorEastAsia"/>
                      <w:color w:val="auto"/>
                      <w:szCs w:val="21"/>
                    </w:rPr>
                    <w:t>其他类型</w:t>
                  </w:r>
                </w:p>
              </w:tc>
              <w:tc>
                <w:tcPr>
                  <w:tcW w:w="3048"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一般地面硬化</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根据以上分区原则可知，项目分区防渗具体如下：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重点防渗区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项目重点防渗区为危险废物贮存间：危险废物贮存间地面及裙墙应采用不低于2mm后的HDPE膜或其他人工防渗材料进行防渗，使其渗透系数≤10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一般防渗区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分区防渗规范要求，项目生产车间、产品库、生产废水处理系统、生活污水处理系统和初期雨水收集系统区域均划定为一般防渗区，各一般防渗区域拟应采用粘土铺底，并在上层铺30cm的混凝土进行硬化。确保防渗性能，使其渗透系数≤1.0×10</w:t>
            </w:r>
            <w:r>
              <w:rPr>
                <w:rFonts w:ascii="Times New Roman" w:hAnsi="Times New Roman" w:cs="Times New Roman"/>
                <w:sz w:val="24"/>
                <w:szCs w:val="24"/>
                <w:vertAlign w:val="superscript"/>
              </w:rPr>
              <w:t>-7</w:t>
            </w:r>
            <w:r>
              <w:rPr>
                <w:rFonts w:ascii="Times New Roman" w:hAnsi="Times New Roman"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简单防渗区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根据项目特点，对于基本上不产生污染物的简单防渗区，不采取专门针对地下水污染的防治措施。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本项目位于昆明市东川区铜都镇小李庄村，本项目占地29.97亩，建筑面积6222.06</w:t>
            </w:r>
            <w:r>
              <w:rPr>
                <w:rFonts w:ascii="Times New Roman" w:hAnsi="Times New Roman" w:cs="Times New Roman"/>
                <w:spacing w:val="-8"/>
                <w:sz w:val="24"/>
                <w:szCs w:val="24"/>
              </w:rPr>
              <w:t xml:space="preserve"> m</w:t>
            </w:r>
            <w:r>
              <w:rPr>
                <w:rFonts w:ascii="Times New Roman" w:hAnsi="Times New Roman" w:cs="Times New Roman"/>
                <w:spacing w:val="-8"/>
                <w:sz w:val="24"/>
                <w:szCs w:val="24"/>
                <w:vertAlign w:val="superscript"/>
              </w:rPr>
              <w:t>2</w:t>
            </w:r>
            <w:r>
              <w:rPr>
                <w:rFonts w:ascii="Times New Roman" w:hAnsi="Times New Roman" w:cs="Times New Roman"/>
                <w:sz w:val="24"/>
                <w:szCs w:val="24"/>
              </w:rPr>
              <w:t>，其余面积为建设单位向政府承诺的建设的绿化和道路等占地面积。项目占地全部为滩涂地，不涉及农用地、林地等。根据调查，项目所在区域受人类活动的影响，已基本无原生植被及大型野生哺乳动物分布，常见动物有老鼠，麻雀等，生物多样性较简单。项目及周边200m范围内无国家和省级珍稀、濒危生物物种、无珍稀植物资源和需保护的古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本项目的建设对生态的主要影响为改变土地的利用类型，但项目实际占地较小，其生态环境影响较小，同时，项目建设过程中将对靠河一侧建设绿化带，则进一步降低项目对生态环境的影响。</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pStyle w:val="34"/>
              <w:ind w:firstLine="361" w:firstLineChars="150"/>
              <w:rPr>
                <w:rFonts w:eastAsiaTheme="minorEastAsia"/>
                <w:b/>
                <w:szCs w:val="24"/>
              </w:rPr>
            </w:pPr>
            <w:r>
              <w:rPr>
                <w:rFonts w:eastAsiaTheme="minorEastAsia"/>
                <w:b/>
                <w:szCs w:val="24"/>
              </w:rPr>
              <w:t>（1）风险物质的分布情况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28"/>
              <w:spacing w:beforeLines="0"/>
              <w:rPr>
                <w:rFonts w:hAnsi="Times New Roman" w:eastAsiaTheme="minorEastAsia"/>
                <w:sz w:val="21"/>
                <w:szCs w:val="21"/>
              </w:rPr>
            </w:pPr>
            <w:r>
              <w:rPr>
                <w:rFonts w:hAnsi="Times New Roman" w:eastAsiaTheme="minorEastAsia"/>
                <w:sz w:val="21"/>
                <w:szCs w:val="21"/>
              </w:rPr>
              <w:t>表4.2.7-1  项目涉及的危险物质基本情况一览表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6"/>
              <w:gridCol w:w="1481"/>
              <w:gridCol w:w="1481"/>
              <w:gridCol w:w="1215"/>
              <w:gridCol w:w="31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06" w:type="dxa"/>
                  <w:vAlign w:val="center"/>
                </w:tcPr>
                <w:p>
                  <w:pPr>
                    <w:pStyle w:val="26"/>
                    <w:spacing w:line="360" w:lineRule="exact"/>
                    <w:rPr>
                      <w:color w:val="auto"/>
                      <w:szCs w:val="21"/>
                    </w:rPr>
                  </w:pPr>
                  <w:r>
                    <w:rPr>
                      <w:color w:val="auto"/>
                      <w:szCs w:val="21"/>
                    </w:rPr>
                    <w:t>产生环节</w:t>
                  </w:r>
                </w:p>
              </w:tc>
              <w:tc>
                <w:tcPr>
                  <w:tcW w:w="1481" w:type="dxa"/>
                  <w:vAlign w:val="center"/>
                </w:tcPr>
                <w:p>
                  <w:pPr>
                    <w:pStyle w:val="26"/>
                    <w:spacing w:line="360" w:lineRule="exact"/>
                    <w:rPr>
                      <w:color w:val="auto"/>
                      <w:szCs w:val="21"/>
                    </w:rPr>
                  </w:pPr>
                  <w:r>
                    <w:rPr>
                      <w:color w:val="auto"/>
                      <w:szCs w:val="21"/>
                    </w:rPr>
                    <w:t>危险物质</w:t>
                  </w:r>
                </w:p>
              </w:tc>
              <w:tc>
                <w:tcPr>
                  <w:tcW w:w="1481" w:type="dxa"/>
                  <w:vAlign w:val="center"/>
                </w:tcPr>
                <w:p>
                  <w:pPr>
                    <w:pStyle w:val="26"/>
                    <w:spacing w:line="360" w:lineRule="exact"/>
                    <w:rPr>
                      <w:color w:val="auto"/>
                      <w:szCs w:val="21"/>
                    </w:rPr>
                  </w:pPr>
                  <w:r>
                    <w:rPr>
                      <w:color w:val="auto"/>
                      <w:szCs w:val="21"/>
                    </w:rPr>
                    <w:t>年使用/产生量</w:t>
                  </w:r>
                </w:p>
              </w:tc>
              <w:tc>
                <w:tcPr>
                  <w:tcW w:w="1215" w:type="dxa"/>
                  <w:vAlign w:val="center"/>
                </w:tcPr>
                <w:p>
                  <w:pPr>
                    <w:pStyle w:val="26"/>
                    <w:spacing w:line="360" w:lineRule="exact"/>
                    <w:rPr>
                      <w:color w:val="auto"/>
                      <w:szCs w:val="21"/>
                    </w:rPr>
                  </w:pPr>
                  <w:r>
                    <w:rPr>
                      <w:color w:val="auto"/>
                      <w:szCs w:val="21"/>
                    </w:rPr>
                    <w:t>最大储存量</w:t>
                  </w:r>
                </w:p>
              </w:tc>
              <w:tc>
                <w:tcPr>
                  <w:tcW w:w="3122" w:type="dxa"/>
                  <w:vAlign w:val="center"/>
                </w:tcPr>
                <w:p>
                  <w:pPr>
                    <w:pStyle w:val="26"/>
                    <w:spacing w:line="360" w:lineRule="exact"/>
                    <w:rPr>
                      <w:color w:val="auto"/>
                      <w:szCs w:val="21"/>
                    </w:rPr>
                  </w:pPr>
                  <w:r>
                    <w:rPr>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06" w:type="dxa"/>
                  <w:vAlign w:val="center"/>
                </w:tcPr>
                <w:p>
                  <w:pPr>
                    <w:pStyle w:val="26"/>
                    <w:spacing w:line="360" w:lineRule="exact"/>
                    <w:rPr>
                      <w:color w:val="auto"/>
                      <w:szCs w:val="21"/>
                    </w:rPr>
                  </w:pPr>
                  <w:r>
                    <w:rPr>
                      <w:color w:val="auto"/>
                      <w:szCs w:val="21"/>
                    </w:rPr>
                    <w:t>产生污染物</w:t>
                  </w:r>
                </w:p>
              </w:tc>
              <w:tc>
                <w:tcPr>
                  <w:tcW w:w="1481" w:type="dxa"/>
                  <w:vAlign w:val="center"/>
                </w:tcPr>
                <w:p>
                  <w:pPr>
                    <w:pStyle w:val="26"/>
                    <w:spacing w:line="360" w:lineRule="exact"/>
                    <w:rPr>
                      <w:rFonts w:eastAsiaTheme="minorEastAsia"/>
                      <w:color w:val="auto"/>
                      <w:szCs w:val="21"/>
                    </w:rPr>
                  </w:pPr>
                  <w:r>
                    <w:rPr>
                      <w:rFonts w:eastAsiaTheme="minorEastAsia"/>
                      <w:color w:val="auto"/>
                      <w:szCs w:val="21"/>
                    </w:rPr>
                    <w:t>废机油</w:t>
                  </w:r>
                </w:p>
              </w:tc>
              <w:tc>
                <w:tcPr>
                  <w:tcW w:w="1481" w:type="dxa"/>
                  <w:vAlign w:val="center"/>
                </w:tcPr>
                <w:p>
                  <w:pPr>
                    <w:pStyle w:val="26"/>
                    <w:spacing w:line="360" w:lineRule="exact"/>
                    <w:rPr>
                      <w:rFonts w:eastAsiaTheme="minorEastAsia"/>
                      <w:color w:val="auto"/>
                      <w:szCs w:val="21"/>
                    </w:rPr>
                  </w:pPr>
                  <w:r>
                    <w:rPr>
                      <w:rFonts w:eastAsiaTheme="minorEastAsia"/>
                      <w:color w:val="auto"/>
                      <w:szCs w:val="21"/>
                      <w:lang w:val="en-US"/>
                    </w:rPr>
                    <w:t>50</w:t>
                  </w:r>
                  <w:r>
                    <w:rPr>
                      <w:rFonts w:eastAsiaTheme="minorEastAsia"/>
                      <w:color w:val="auto"/>
                      <w:szCs w:val="21"/>
                    </w:rPr>
                    <w:t>kg/a</w:t>
                  </w:r>
                </w:p>
              </w:tc>
              <w:tc>
                <w:tcPr>
                  <w:tcW w:w="1215" w:type="dxa"/>
                  <w:vAlign w:val="center"/>
                </w:tcPr>
                <w:p>
                  <w:pPr>
                    <w:pStyle w:val="26"/>
                    <w:spacing w:line="360" w:lineRule="exact"/>
                    <w:rPr>
                      <w:color w:val="auto"/>
                      <w:szCs w:val="21"/>
                    </w:rPr>
                  </w:pPr>
                  <w:r>
                    <w:rPr>
                      <w:color w:val="auto"/>
                      <w:szCs w:val="21"/>
                    </w:rPr>
                    <w:t>0.0</w:t>
                  </w:r>
                  <w:r>
                    <w:rPr>
                      <w:color w:val="auto"/>
                      <w:szCs w:val="21"/>
                      <w:lang w:val="en-US"/>
                    </w:rPr>
                    <w:t>5</w:t>
                  </w:r>
                  <w:r>
                    <w:rPr>
                      <w:color w:val="auto"/>
                      <w:szCs w:val="21"/>
                    </w:rPr>
                    <w:t>t/a</w:t>
                  </w:r>
                </w:p>
              </w:tc>
              <w:tc>
                <w:tcPr>
                  <w:tcW w:w="3122" w:type="dxa"/>
                  <w:vAlign w:val="center"/>
                </w:tcPr>
                <w:p>
                  <w:pPr>
                    <w:pStyle w:val="26"/>
                    <w:spacing w:line="360" w:lineRule="exact"/>
                    <w:ind w:left="11" w:firstLine="210" w:firstLineChars="100"/>
                    <w:jc w:val="both"/>
                    <w:rPr>
                      <w:color w:val="auto"/>
                      <w:szCs w:val="21"/>
                    </w:rPr>
                  </w:pPr>
                  <w:r>
                    <w:rPr>
                      <w:color w:val="auto"/>
                    </w:rPr>
                    <w:t>厂区拟建设1个5m²的危险废物贮存间对项目区废机油等危险废物进行暂存。</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项目涉及危险物质的理化性质如下表所示。</w:t>
            </w:r>
          </w:p>
          <w:p>
            <w:pPr>
              <w:pStyle w:val="28"/>
              <w:spacing w:beforeLines="0"/>
              <w:rPr>
                <w:rFonts w:hAnsi="Times New Roman" w:eastAsiaTheme="minorEastAsia"/>
                <w:sz w:val="21"/>
                <w:szCs w:val="21"/>
              </w:rPr>
            </w:pPr>
          </w:p>
          <w:p>
            <w:pPr>
              <w:pStyle w:val="28"/>
              <w:spacing w:beforeLines="0"/>
              <w:rPr>
                <w:rFonts w:hAnsi="Times New Roman" w:eastAsiaTheme="minorEastAsia"/>
                <w:sz w:val="21"/>
                <w:szCs w:val="21"/>
              </w:rPr>
            </w:pPr>
            <w:r>
              <w:rPr>
                <w:rFonts w:hAnsi="Times New Roman" w:eastAsiaTheme="minorEastAsia"/>
                <w:sz w:val="21"/>
                <w:szCs w:val="21"/>
              </w:rPr>
              <w:t>表4.2.7-2 危险物质主要成分基本性质一览表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0"/>
              <w:gridCol w:w="1701"/>
              <w:gridCol w:w="5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160" w:type="dxa"/>
                  <w:vMerge w:val="restart"/>
                  <w:vAlign w:val="center"/>
                </w:tcPr>
                <w:p>
                  <w:pPr>
                    <w:pStyle w:val="26"/>
                    <w:spacing w:line="360" w:lineRule="exact"/>
                    <w:rPr>
                      <w:color w:val="auto"/>
                      <w:szCs w:val="21"/>
                    </w:rPr>
                  </w:pPr>
                  <w:r>
                    <w:rPr>
                      <w:color w:val="auto"/>
                      <w:szCs w:val="21"/>
                    </w:rPr>
                    <w:t>废机油</w:t>
                  </w:r>
                </w:p>
              </w:tc>
              <w:tc>
                <w:tcPr>
                  <w:tcW w:w="1701" w:type="dxa"/>
                </w:tcPr>
                <w:p>
                  <w:pPr>
                    <w:pStyle w:val="26"/>
                    <w:spacing w:line="360" w:lineRule="exact"/>
                    <w:rPr>
                      <w:color w:val="auto"/>
                      <w:szCs w:val="21"/>
                    </w:rPr>
                  </w:pPr>
                  <w:r>
                    <w:rPr>
                      <w:color w:val="auto"/>
                      <w:szCs w:val="21"/>
                    </w:rPr>
                    <w:t>废物类别</w:t>
                  </w:r>
                </w:p>
              </w:tc>
              <w:tc>
                <w:tcPr>
                  <w:tcW w:w="5744" w:type="dxa"/>
                  <w:vAlign w:val="center"/>
                </w:tcPr>
                <w:p>
                  <w:pPr>
                    <w:pStyle w:val="26"/>
                    <w:spacing w:line="360" w:lineRule="exact"/>
                    <w:ind w:left="11" w:firstLine="210" w:firstLineChars="100"/>
                    <w:jc w:val="left"/>
                    <w:rPr>
                      <w:color w:val="auto"/>
                      <w:szCs w:val="21"/>
                    </w:rPr>
                  </w:pPr>
                  <w:r>
                    <w:rPr>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0" w:type="dxa"/>
                  <w:vMerge w:val="continue"/>
                  <w:vAlign w:val="center"/>
                </w:tcPr>
                <w:p>
                  <w:pPr>
                    <w:pStyle w:val="26"/>
                    <w:spacing w:line="360" w:lineRule="exact"/>
                    <w:rPr>
                      <w:color w:val="auto"/>
                      <w:szCs w:val="21"/>
                    </w:rPr>
                  </w:pPr>
                </w:p>
              </w:tc>
              <w:tc>
                <w:tcPr>
                  <w:tcW w:w="1701" w:type="dxa"/>
                  <w:vAlign w:val="center"/>
                </w:tcPr>
                <w:p>
                  <w:pPr>
                    <w:pStyle w:val="26"/>
                    <w:spacing w:line="360" w:lineRule="exact"/>
                    <w:rPr>
                      <w:color w:val="auto"/>
                      <w:szCs w:val="21"/>
                    </w:rPr>
                  </w:pPr>
                  <w:r>
                    <w:rPr>
                      <w:color w:val="auto"/>
                      <w:szCs w:val="21"/>
                    </w:rPr>
                    <w:t>废物代码</w:t>
                  </w:r>
                </w:p>
              </w:tc>
              <w:tc>
                <w:tcPr>
                  <w:tcW w:w="5744" w:type="dxa"/>
                  <w:vAlign w:val="center"/>
                </w:tcPr>
                <w:p>
                  <w:pPr>
                    <w:pStyle w:val="26"/>
                    <w:spacing w:line="360" w:lineRule="exact"/>
                    <w:ind w:left="11" w:firstLine="210" w:firstLineChars="100"/>
                    <w:jc w:val="left"/>
                    <w:rPr>
                      <w:color w:val="auto"/>
                      <w:szCs w:val="21"/>
                    </w:rPr>
                  </w:pPr>
                  <w:r>
                    <w:rPr>
                      <w:color w:val="auto"/>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0" w:type="dxa"/>
                  <w:vMerge w:val="continue"/>
                  <w:vAlign w:val="center"/>
                </w:tcPr>
                <w:p>
                  <w:pPr>
                    <w:pStyle w:val="26"/>
                    <w:spacing w:line="360" w:lineRule="exact"/>
                    <w:rPr>
                      <w:color w:val="auto"/>
                      <w:szCs w:val="21"/>
                    </w:rPr>
                  </w:pPr>
                </w:p>
              </w:tc>
              <w:tc>
                <w:tcPr>
                  <w:tcW w:w="1701" w:type="dxa"/>
                  <w:vAlign w:val="center"/>
                </w:tcPr>
                <w:p>
                  <w:pPr>
                    <w:pStyle w:val="26"/>
                    <w:spacing w:line="360" w:lineRule="exact"/>
                    <w:rPr>
                      <w:color w:val="auto"/>
                      <w:szCs w:val="21"/>
                    </w:rPr>
                  </w:pPr>
                  <w:r>
                    <w:rPr>
                      <w:color w:val="auto"/>
                      <w:szCs w:val="21"/>
                    </w:rPr>
                    <w:t>危险特征</w:t>
                  </w:r>
                </w:p>
              </w:tc>
              <w:tc>
                <w:tcPr>
                  <w:tcW w:w="5744" w:type="dxa"/>
                  <w:vAlign w:val="center"/>
                </w:tcPr>
                <w:p>
                  <w:pPr>
                    <w:pStyle w:val="26"/>
                    <w:spacing w:line="360" w:lineRule="exact"/>
                    <w:ind w:left="11" w:firstLine="210" w:firstLineChars="100"/>
                    <w:jc w:val="left"/>
                    <w:rPr>
                      <w:color w:val="auto"/>
                      <w:szCs w:val="21"/>
                    </w:rPr>
                  </w:pPr>
                  <w:r>
                    <w:rPr>
                      <w:color w:val="auto"/>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0" w:type="dxa"/>
                  <w:vMerge w:val="continue"/>
                  <w:vAlign w:val="center"/>
                </w:tcPr>
                <w:p>
                  <w:pPr>
                    <w:pStyle w:val="26"/>
                    <w:spacing w:line="360" w:lineRule="exact"/>
                    <w:rPr>
                      <w:color w:val="auto"/>
                      <w:szCs w:val="21"/>
                    </w:rPr>
                  </w:pPr>
                </w:p>
              </w:tc>
              <w:tc>
                <w:tcPr>
                  <w:tcW w:w="1701" w:type="dxa"/>
                  <w:vAlign w:val="center"/>
                </w:tcPr>
                <w:p>
                  <w:pPr>
                    <w:pStyle w:val="26"/>
                    <w:spacing w:line="360" w:lineRule="exact"/>
                    <w:rPr>
                      <w:color w:val="auto"/>
                      <w:szCs w:val="21"/>
                    </w:rPr>
                  </w:pPr>
                  <w:r>
                    <w:rPr>
                      <w:color w:val="auto"/>
                      <w:szCs w:val="21"/>
                    </w:rPr>
                    <w:t>危险特性</w:t>
                  </w:r>
                </w:p>
              </w:tc>
              <w:tc>
                <w:tcPr>
                  <w:tcW w:w="5744" w:type="dxa"/>
                  <w:vAlign w:val="center"/>
                </w:tcPr>
                <w:p>
                  <w:pPr>
                    <w:pStyle w:val="26"/>
                    <w:spacing w:line="360" w:lineRule="exact"/>
                    <w:ind w:left="11" w:firstLine="210" w:firstLineChars="100"/>
                    <w:jc w:val="left"/>
                    <w:rPr>
                      <w:color w:val="auto"/>
                      <w:szCs w:val="21"/>
                    </w:rPr>
                  </w:pPr>
                  <w:r>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4"/>
              <w:spacing w:before="156" w:beforeLines="50"/>
              <w:ind w:firstLine="361" w:firstLineChars="150"/>
              <w:rPr>
                <w:rFonts w:eastAsiaTheme="minorEastAsia"/>
                <w:b/>
                <w:szCs w:val="24"/>
              </w:rPr>
            </w:pPr>
            <w:r>
              <w:rPr>
                <w:rFonts w:eastAsiaTheme="minorEastAsia"/>
                <w:b/>
                <w:szCs w:val="24"/>
              </w:rPr>
              <w:t>（2）可能影响途径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本项目危险物质在存储及运输过程中泄露对地下水和土壤造成影响。影响途经为：本项目废机油在存储及运输过程中火灾、爆炸、泄露的环境风险。</w:t>
            </w:r>
          </w:p>
          <w:p>
            <w:pPr>
              <w:pStyle w:val="34"/>
              <w:ind w:firstLine="361" w:firstLineChars="150"/>
              <w:rPr>
                <w:rFonts w:eastAsiaTheme="minorEastAsia"/>
                <w:b/>
                <w:szCs w:val="24"/>
              </w:rPr>
            </w:pPr>
            <w:r>
              <w:rPr>
                <w:rFonts w:eastAsiaTheme="minorEastAsia"/>
                <w:b/>
                <w:szCs w:val="24"/>
              </w:rPr>
              <w:t>（3）环境风险防范措施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GB4 </w:instrText>
            </w:r>
            <w:r>
              <w:rPr>
                <w:rFonts w:ascii="Times New Roman" w:hAnsi="Times New Roman" w:cs="Times New Roman"/>
                <w:b/>
                <w:sz w:val="24"/>
                <w:szCs w:val="24"/>
              </w:rPr>
              <w:fldChar w:fldCharType="separate"/>
            </w:r>
            <w:r>
              <w:rPr>
                <w:rFonts w:ascii="Times New Roman" w:hAnsi="Times New Roman" w:cs="Times New Roman"/>
                <w:b/>
                <w:sz w:val="24"/>
                <w:szCs w:val="24"/>
              </w:rPr>
              <w:t>㈠</w:t>
            </w:r>
            <w:r>
              <w:rPr>
                <w:rFonts w:ascii="Times New Roman" w:hAnsi="Times New Roman" w:cs="Times New Roman"/>
                <w:b/>
                <w:sz w:val="24"/>
                <w:szCs w:val="24"/>
              </w:rPr>
              <w:fldChar w:fldCharType="end"/>
            </w:r>
            <w:r>
              <w:rPr>
                <w:rFonts w:ascii="Times New Roman" w:hAnsi="Times New Roman" w:cs="Times New Roman"/>
                <w:b/>
                <w:sz w:val="24"/>
                <w:szCs w:val="24"/>
              </w:rPr>
              <w:t>事故应急池的设置分析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突发环境事件应急管理办法》（环境保护令第34号）第九条的规定，企业事业单位的突发环境事件风险防控措施包括有效防止泄漏物质、消防水、污染雨水等扩散至外环境的收集、导流、拦截、降污等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风险评价技术导则》（HJ69-2018）的要求，项目存在的的风险物质为废机油，在危险废物贮存间内已分别配套设置了导流渠、收集池等设施，因此该风险物质不会泄漏到危险废物贮存间外；而本项目对小江清淤固废（河沙）进行破碎筛分，出现火灾、爆炸的可能性极小，因此基本不存在消防水；由针对污染雨水，项目已配套设置有初期雨水收集池对其进行收集；综上，本项目可不单独在厂区设置事故应急池。</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GB4 </w:instrText>
            </w:r>
            <w:r>
              <w:rPr>
                <w:rFonts w:ascii="Times New Roman" w:hAnsi="Times New Roman" w:cs="Times New Roman"/>
                <w:b/>
                <w:sz w:val="24"/>
                <w:szCs w:val="24"/>
              </w:rPr>
              <w:fldChar w:fldCharType="separate"/>
            </w:r>
            <w:r>
              <w:rPr>
                <w:rFonts w:ascii="Times New Roman" w:hAnsi="Times New Roman" w:cs="Times New Roman"/>
                <w:b/>
                <w:sz w:val="24"/>
                <w:szCs w:val="24"/>
              </w:rPr>
              <w:t>㈡</w:t>
            </w:r>
            <w:r>
              <w:rPr>
                <w:rFonts w:ascii="Times New Roman" w:hAnsi="Times New Roman" w:cs="Times New Roman"/>
                <w:b/>
                <w:sz w:val="24"/>
                <w:szCs w:val="24"/>
              </w:rPr>
              <w:fldChar w:fldCharType="end"/>
            </w:r>
            <w:r>
              <w:rPr>
                <w:rFonts w:ascii="Times New Roman" w:hAnsi="Times New Roman" w:cs="Times New Roman"/>
                <w:b/>
                <w:sz w:val="24"/>
                <w:szCs w:val="24"/>
              </w:rPr>
              <w:t>环境风险防范措施要求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根据本项目环境影响途经，提出以下风险防范措施：</w:t>
            </w:r>
          </w:p>
          <w:p>
            <w:pPr>
              <w:spacing w:line="360" w:lineRule="auto"/>
              <w:ind w:firstLine="480" w:firstLineChars="200"/>
              <w:rPr>
                <w:rFonts w:ascii="Times New Roman" w:hAnsi="Times New Roman" w:cs="Times New Roman"/>
                <w:sz w:val="24"/>
                <w:szCs w:val="24"/>
              </w:rPr>
            </w:pPr>
            <w:bookmarkStart w:id="9" w:name="_Toc67822189"/>
            <w:bookmarkStart w:id="10" w:name="_Toc76139457"/>
            <w:bookmarkStart w:id="11" w:name="_Toc116622310"/>
            <w:bookmarkStart w:id="12" w:name="_Toc115259923"/>
            <w:bookmarkStart w:id="13" w:name="_Toc114997846"/>
            <w:bookmarkStart w:id="14" w:name="_Toc57516383"/>
            <w:bookmarkStart w:id="15" w:name="_Toc88466811"/>
            <w:bookmarkStart w:id="16" w:name="_Toc82857308"/>
            <w:bookmarkStart w:id="17" w:name="_Toc56427845"/>
            <w:bookmarkStart w:id="18" w:name="_Toc57516232"/>
            <w:r>
              <w:rPr>
                <w:rFonts w:ascii="Times New Roman" w:hAnsi="Times New Roman" w:eastAsia="宋体" w:cs="Times New Roman"/>
                <w:sz w:val="24"/>
                <w:szCs w:val="24"/>
              </w:rPr>
              <w:t>①</w:t>
            </w:r>
            <w:r>
              <w:rPr>
                <w:rFonts w:ascii="Times New Roman" w:hAnsi="Times New Roman" w:cs="Times New Roman"/>
                <w:sz w:val="24"/>
                <w:szCs w:val="24"/>
              </w:rPr>
              <w:t>危废废物应储存于规范的危险废物贮存间；入库时，严格检验物品质量、数量、包装情况、有无泄漏。</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②</w:t>
            </w:r>
            <w:r>
              <w:rPr>
                <w:rFonts w:ascii="Times New Roman" w:hAnsi="Times New Roman" w:cs="Times New Roman"/>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③</w:t>
            </w:r>
            <w:r>
              <w:rPr>
                <w:rFonts w:ascii="Times New Roman" w:hAnsi="Times New Roman" w:cs="Times New Roman"/>
                <w:sz w:val="24"/>
                <w:szCs w:val="24"/>
              </w:rPr>
              <w:t>项目区配备相应品种的消防器材。</w:t>
            </w:r>
          </w:p>
          <w:bookmarkEnd w:id="9"/>
          <w:bookmarkEnd w:id="10"/>
          <w:bookmarkEnd w:id="11"/>
          <w:bookmarkEnd w:id="12"/>
          <w:bookmarkEnd w:id="13"/>
          <w:bookmarkEnd w:id="14"/>
          <w:bookmarkEnd w:id="15"/>
          <w:bookmarkEnd w:id="16"/>
          <w:bookmarkEnd w:id="17"/>
          <w:bookmarkEnd w:id="18"/>
          <w:p>
            <w:pPr>
              <w:pStyle w:val="34"/>
              <w:ind w:firstLine="361" w:firstLineChars="150"/>
              <w:rPr>
                <w:rFonts w:eastAsiaTheme="minorEastAsia"/>
                <w:b/>
                <w:szCs w:val="24"/>
              </w:rPr>
            </w:pPr>
            <w:r>
              <w:rPr>
                <w:rFonts w:eastAsiaTheme="minorEastAsia"/>
                <w:b/>
                <w:szCs w:val="24"/>
              </w:rPr>
              <w:t>（4）环境风险结论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本项目涉及到的危险物质主要有废机油等，在采取严格的防护措施后，事故发生概率较小，环境风险可接受。</w:t>
            </w:r>
          </w:p>
          <w:p>
            <w:pPr>
              <w:spacing w:line="360" w:lineRule="auto"/>
              <w:ind w:firstLine="482" w:firstLineChars="200"/>
              <w:rPr>
                <w:rFonts w:ascii="Times New Roman" w:hAnsi="Times New Roman" w:cs="Times New Roman"/>
                <w:b/>
                <w:sz w:val="24"/>
                <w:szCs w:val="24"/>
              </w:rPr>
            </w:pPr>
            <w:bookmarkStart w:id="19" w:name="_Toc72228649"/>
            <w:r>
              <w:rPr>
                <w:rFonts w:ascii="Times New Roman" w:hAnsi="Times New Roman" w:cs="Times New Roman"/>
                <w:b/>
                <w:sz w:val="24"/>
                <w:szCs w:val="24"/>
              </w:rPr>
              <w:t>4.3 环保投资估算</w:t>
            </w:r>
            <w:bookmarkEnd w:id="19"/>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项目总投资4683.17万元，其中基建环保投资为203.5万元，占总投资的4.345%。年环保投资运行费用约为25万元，项目拟采取措施的具体内容、责任主体、实施时段及环境保护投入资金如下表所示。</w:t>
            </w:r>
          </w:p>
          <w:p>
            <w:pPr>
              <w:pStyle w:val="28"/>
              <w:spacing w:beforeLines="0"/>
              <w:rPr>
                <w:rFonts w:hAnsi="Times New Roman" w:eastAsiaTheme="minorEastAsia"/>
                <w:sz w:val="21"/>
                <w:szCs w:val="21"/>
              </w:rPr>
            </w:pPr>
            <w:r>
              <w:rPr>
                <w:rFonts w:hAnsi="Times New Roman" w:eastAsiaTheme="minorEastAsia"/>
                <w:sz w:val="21"/>
                <w:szCs w:val="21"/>
              </w:rPr>
              <w:t>表4.3-1  项目环保投资一览表 单位：万元</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67"/>
              <w:gridCol w:w="669"/>
              <w:gridCol w:w="1351"/>
              <w:gridCol w:w="2631"/>
              <w:gridCol w:w="700"/>
              <w:gridCol w:w="143"/>
              <w:gridCol w:w="566"/>
              <w:gridCol w:w="78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restart"/>
                  <w:vAlign w:val="center"/>
                </w:tcPr>
                <w:p>
                  <w:pPr>
                    <w:pStyle w:val="26"/>
                    <w:spacing w:line="360" w:lineRule="exact"/>
                    <w:rPr>
                      <w:color w:val="auto"/>
                      <w:szCs w:val="21"/>
                    </w:rPr>
                  </w:pPr>
                  <w:r>
                    <w:rPr>
                      <w:color w:val="auto"/>
                      <w:szCs w:val="21"/>
                    </w:rPr>
                    <w:t>时期</w:t>
                  </w:r>
                </w:p>
              </w:tc>
              <w:tc>
                <w:tcPr>
                  <w:tcW w:w="1236" w:type="dxa"/>
                  <w:gridSpan w:val="2"/>
                  <w:vMerge w:val="restart"/>
                  <w:vAlign w:val="center"/>
                </w:tcPr>
                <w:p>
                  <w:pPr>
                    <w:pStyle w:val="26"/>
                    <w:spacing w:line="360" w:lineRule="exact"/>
                    <w:rPr>
                      <w:color w:val="auto"/>
                      <w:szCs w:val="21"/>
                    </w:rPr>
                  </w:pPr>
                  <w:r>
                    <w:rPr>
                      <w:color w:val="auto"/>
                      <w:szCs w:val="21"/>
                    </w:rPr>
                    <w:t>类型</w:t>
                  </w:r>
                </w:p>
              </w:tc>
              <w:tc>
                <w:tcPr>
                  <w:tcW w:w="3982" w:type="dxa"/>
                  <w:gridSpan w:val="2"/>
                  <w:vAlign w:val="center"/>
                </w:tcPr>
                <w:p>
                  <w:pPr>
                    <w:pStyle w:val="26"/>
                    <w:spacing w:line="360" w:lineRule="exact"/>
                    <w:rPr>
                      <w:color w:val="auto"/>
                      <w:szCs w:val="21"/>
                    </w:rPr>
                  </w:pPr>
                  <w:r>
                    <w:rPr>
                      <w:color w:val="auto"/>
                      <w:szCs w:val="21"/>
                    </w:rPr>
                    <w:t>环保措施</w:t>
                  </w:r>
                </w:p>
              </w:tc>
              <w:tc>
                <w:tcPr>
                  <w:tcW w:w="1409" w:type="dxa"/>
                  <w:gridSpan w:val="3"/>
                  <w:vAlign w:val="center"/>
                </w:tcPr>
                <w:p>
                  <w:pPr>
                    <w:pStyle w:val="26"/>
                    <w:spacing w:line="360" w:lineRule="exact"/>
                    <w:rPr>
                      <w:color w:val="auto"/>
                      <w:szCs w:val="21"/>
                    </w:rPr>
                  </w:pPr>
                  <w:r>
                    <w:rPr>
                      <w:color w:val="auto"/>
                      <w:szCs w:val="21"/>
                    </w:rPr>
                    <w:t>建设期资金投入（万元）</w:t>
                  </w:r>
                </w:p>
              </w:tc>
              <w:tc>
                <w:tcPr>
                  <w:tcW w:w="1487" w:type="dxa"/>
                  <w:gridSpan w:val="2"/>
                  <w:vAlign w:val="center"/>
                </w:tcPr>
                <w:p>
                  <w:pPr>
                    <w:pStyle w:val="26"/>
                    <w:spacing w:line="360" w:lineRule="exact"/>
                    <w:rPr>
                      <w:color w:val="auto"/>
                      <w:szCs w:val="21"/>
                    </w:rPr>
                  </w:pPr>
                  <w:r>
                    <w:rPr>
                      <w:color w:val="auto"/>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1236" w:type="dxa"/>
                  <w:gridSpan w:val="2"/>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环保项目</w:t>
                  </w:r>
                </w:p>
              </w:tc>
              <w:tc>
                <w:tcPr>
                  <w:tcW w:w="2631" w:type="dxa"/>
                  <w:vAlign w:val="center"/>
                </w:tcPr>
                <w:p>
                  <w:pPr>
                    <w:pStyle w:val="26"/>
                    <w:spacing w:line="360" w:lineRule="exact"/>
                    <w:rPr>
                      <w:color w:val="auto"/>
                      <w:szCs w:val="21"/>
                    </w:rPr>
                  </w:pPr>
                  <w:r>
                    <w:rPr>
                      <w:color w:val="auto"/>
                      <w:szCs w:val="21"/>
                    </w:rPr>
                    <w:t>数量</w:t>
                  </w:r>
                </w:p>
              </w:tc>
              <w:tc>
                <w:tcPr>
                  <w:tcW w:w="700" w:type="dxa"/>
                  <w:vAlign w:val="center"/>
                </w:tcPr>
                <w:p>
                  <w:pPr>
                    <w:pStyle w:val="26"/>
                    <w:spacing w:line="360" w:lineRule="exact"/>
                    <w:rPr>
                      <w:color w:val="auto"/>
                      <w:szCs w:val="21"/>
                    </w:rPr>
                  </w:pPr>
                  <w:r>
                    <w:rPr>
                      <w:color w:val="auto"/>
                      <w:szCs w:val="21"/>
                    </w:rPr>
                    <w:t>建设费用</w:t>
                  </w:r>
                </w:p>
              </w:tc>
              <w:tc>
                <w:tcPr>
                  <w:tcW w:w="709" w:type="dxa"/>
                  <w:gridSpan w:val="2"/>
                  <w:vAlign w:val="center"/>
                </w:tcPr>
                <w:p>
                  <w:pPr>
                    <w:pStyle w:val="26"/>
                    <w:spacing w:line="360" w:lineRule="exact"/>
                    <w:rPr>
                      <w:color w:val="auto"/>
                      <w:szCs w:val="21"/>
                    </w:rPr>
                  </w:pPr>
                  <w:r>
                    <w:rPr>
                      <w:color w:val="auto"/>
                      <w:szCs w:val="21"/>
                    </w:rPr>
                    <w:t>责任主体</w:t>
                  </w:r>
                </w:p>
              </w:tc>
              <w:tc>
                <w:tcPr>
                  <w:tcW w:w="781" w:type="dxa"/>
                  <w:vAlign w:val="center"/>
                </w:tcPr>
                <w:p>
                  <w:pPr>
                    <w:pStyle w:val="26"/>
                    <w:spacing w:line="360" w:lineRule="exact"/>
                    <w:rPr>
                      <w:color w:val="auto"/>
                      <w:szCs w:val="21"/>
                    </w:rPr>
                  </w:pPr>
                  <w:r>
                    <w:rPr>
                      <w:color w:val="auto"/>
                      <w:szCs w:val="21"/>
                    </w:rPr>
                    <w:t>运行维护费用</w:t>
                  </w:r>
                </w:p>
              </w:tc>
              <w:tc>
                <w:tcPr>
                  <w:tcW w:w="706" w:type="dxa"/>
                  <w:vAlign w:val="center"/>
                </w:tcPr>
                <w:p>
                  <w:pPr>
                    <w:pStyle w:val="26"/>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restart"/>
                  <w:vAlign w:val="center"/>
                </w:tcPr>
                <w:p>
                  <w:pPr>
                    <w:pStyle w:val="26"/>
                    <w:spacing w:line="360" w:lineRule="exact"/>
                    <w:rPr>
                      <w:color w:val="auto"/>
                      <w:szCs w:val="21"/>
                    </w:rPr>
                  </w:pPr>
                  <w:r>
                    <w:rPr>
                      <w:color w:val="auto"/>
                      <w:szCs w:val="21"/>
                    </w:rPr>
                    <w:t>运营期污染源</w:t>
                  </w:r>
                </w:p>
              </w:tc>
              <w:tc>
                <w:tcPr>
                  <w:tcW w:w="567" w:type="dxa"/>
                  <w:vAlign w:val="center"/>
                </w:tcPr>
                <w:p>
                  <w:pPr>
                    <w:pStyle w:val="26"/>
                    <w:spacing w:line="360" w:lineRule="exact"/>
                    <w:rPr>
                      <w:color w:val="auto"/>
                      <w:szCs w:val="21"/>
                    </w:rPr>
                  </w:pPr>
                  <w:r>
                    <w:rPr>
                      <w:color w:val="auto"/>
                      <w:szCs w:val="21"/>
                    </w:rPr>
                    <w:t>废气</w:t>
                  </w:r>
                </w:p>
              </w:tc>
              <w:tc>
                <w:tcPr>
                  <w:tcW w:w="669" w:type="dxa"/>
                  <w:vAlign w:val="center"/>
                </w:tcPr>
                <w:p>
                  <w:pPr>
                    <w:pStyle w:val="26"/>
                    <w:spacing w:line="360" w:lineRule="exact"/>
                    <w:rPr>
                      <w:rFonts w:eastAsiaTheme="minorEastAsia"/>
                      <w:color w:val="auto"/>
                      <w:szCs w:val="21"/>
                    </w:rPr>
                  </w:pPr>
                  <w:r>
                    <w:rPr>
                      <w:rFonts w:eastAsiaTheme="minorEastAsia"/>
                      <w:color w:val="auto"/>
                      <w:szCs w:val="21"/>
                    </w:rPr>
                    <w:t>扬尘</w:t>
                  </w:r>
                </w:p>
              </w:tc>
              <w:tc>
                <w:tcPr>
                  <w:tcW w:w="1351" w:type="dxa"/>
                  <w:vAlign w:val="center"/>
                </w:tcPr>
                <w:p>
                  <w:pPr>
                    <w:pStyle w:val="26"/>
                    <w:spacing w:line="360" w:lineRule="exact"/>
                    <w:rPr>
                      <w:rFonts w:eastAsiaTheme="minorEastAsia"/>
                      <w:color w:val="auto"/>
                      <w:szCs w:val="21"/>
                    </w:rPr>
                  </w:pPr>
                  <w:r>
                    <w:rPr>
                      <w:rFonts w:eastAsiaTheme="minorEastAsia"/>
                      <w:color w:val="auto"/>
                      <w:szCs w:val="21"/>
                    </w:rPr>
                    <w:t>产品库全封闭</w:t>
                  </w:r>
                </w:p>
              </w:tc>
              <w:tc>
                <w:tcPr>
                  <w:tcW w:w="2631" w:type="dxa"/>
                  <w:vAlign w:val="center"/>
                </w:tcPr>
                <w:p>
                  <w:pPr>
                    <w:pStyle w:val="26"/>
                    <w:spacing w:line="360" w:lineRule="exact"/>
                    <w:ind w:firstLine="210" w:firstLineChars="100"/>
                    <w:jc w:val="left"/>
                    <w:rPr>
                      <w:color w:val="auto"/>
                      <w:szCs w:val="21"/>
                    </w:rPr>
                  </w:pPr>
                  <w:r>
                    <w:rPr>
                      <w:color w:val="auto"/>
                      <w:szCs w:val="21"/>
                    </w:rPr>
                    <w:t>项目拟将产品库设置为车间式全封闭库房。</w:t>
                  </w:r>
                </w:p>
              </w:tc>
              <w:tc>
                <w:tcPr>
                  <w:tcW w:w="700" w:type="dxa"/>
                  <w:vAlign w:val="center"/>
                </w:tcPr>
                <w:p>
                  <w:pPr>
                    <w:pStyle w:val="26"/>
                    <w:spacing w:line="360" w:lineRule="exact"/>
                    <w:rPr>
                      <w:color w:val="auto"/>
                      <w:szCs w:val="21"/>
                    </w:rPr>
                  </w:pPr>
                  <w:r>
                    <w:rPr>
                      <w:color w:val="auto"/>
                      <w:szCs w:val="21"/>
                    </w:rPr>
                    <w:t>60</w:t>
                  </w:r>
                </w:p>
              </w:tc>
              <w:tc>
                <w:tcPr>
                  <w:tcW w:w="709" w:type="dxa"/>
                  <w:gridSpan w:val="2"/>
                  <w:vMerge w:val="restart"/>
                  <w:vAlign w:val="center"/>
                </w:tcPr>
                <w:p>
                  <w:pPr>
                    <w:pStyle w:val="26"/>
                    <w:spacing w:line="360" w:lineRule="exact"/>
                    <w:rPr>
                      <w:color w:val="auto"/>
                      <w:szCs w:val="21"/>
                    </w:rPr>
                  </w:pPr>
                  <w:r>
                    <w:rPr>
                      <w:color w:val="auto"/>
                      <w:szCs w:val="21"/>
                    </w:rPr>
                    <w:t>施工单位</w:t>
                  </w:r>
                </w:p>
              </w:tc>
              <w:tc>
                <w:tcPr>
                  <w:tcW w:w="781" w:type="dxa"/>
                  <w:vAlign w:val="center"/>
                </w:tcPr>
                <w:p>
                  <w:pPr>
                    <w:pStyle w:val="26"/>
                    <w:spacing w:line="360" w:lineRule="exact"/>
                    <w:rPr>
                      <w:color w:val="auto"/>
                      <w:szCs w:val="21"/>
                    </w:rPr>
                  </w:pPr>
                  <w:r>
                    <w:rPr>
                      <w:color w:val="auto"/>
                      <w:szCs w:val="21"/>
                    </w:rPr>
                    <w:t>2</w:t>
                  </w:r>
                </w:p>
              </w:tc>
              <w:tc>
                <w:tcPr>
                  <w:tcW w:w="706" w:type="dxa"/>
                  <w:vMerge w:val="restart"/>
                  <w:vAlign w:val="center"/>
                </w:tcPr>
                <w:p>
                  <w:pPr>
                    <w:pStyle w:val="26"/>
                    <w:spacing w:line="360" w:lineRule="exact"/>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restart"/>
                  <w:vAlign w:val="center"/>
                </w:tcPr>
                <w:p>
                  <w:pPr>
                    <w:pStyle w:val="26"/>
                    <w:spacing w:line="360" w:lineRule="exact"/>
                    <w:rPr>
                      <w:color w:val="auto"/>
                      <w:szCs w:val="21"/>
                    </w:rPr>
                  </w:pPr>
                  <w:r>
                    <w:rPr>
                      <w:color w:val="auto"/>
                      <w:szCs w:val="21"/>
                    </w:rPr>
                    <w:t>废水</w:t>
                  </w:r>
                </w:p>
              </w:tc>
              <w:tc>
                <w:tcPr>
                  <w:tcW w:w="2020" w:type="dxa"/>
                  <w:gridSpan w:val="2"/>
                  <w:vAlign w:val="center"/>
                </w:tcPr>
                <w:p>
                  <w:pPr>
                    <w:pStyle w:val="26"/>
                    <w:spacing w:line="360" w:lineRule="exact"/>
                    <w:rPr>
                      <w:rFonts w:eastAsiaTheme="minorEastAsia"/>
                      <w:color w:val="auto"/>
                      <w:szCs w:val="21"/>
                    </w:rPr>
                  </w:pPr>
                  <w:r>
                    <w:rPr>
                      <w:rFonts w:eastAsiaTheme="minorEastAsia"/>
                      <w:color w:val="auto"/>
                      <w:szCs w:val="21"/>
                    </w:rPr>
                    <w:t>雨污分流</w:t>
                  </w:r>
                </w:p>
              </w:tc>
              <w:tc>
                <w:tcPr>
                  <w:tcW w:w="2631" w:type="dxa"/>
                  <w:vAlign w:val="center"/>
                </w:tcPr>
                <w:p>
                  <w:pPr>
                    <w:pStyle w:val="26"/>
                    <w:spacing w:line="360" w:lineRule="exact"/>
                    <w:ind w:firstLine="210" w:firstLineChars="100"/>
                    <w:jc w:val="left"/>
                    <w:rPr>
                      <w:color w:val="auto"/>
                      <w:szCs w:val="21"/>
                    </w:rPr>
                  </w:pPr>
                  <w:r>
                    <w:rPr>
                      <w:color w:val="auto"/>
                      <w:szCs w:val="21"/>
                    </w:rPr>
                    <w:t>雨水管网</w:t>
                  </w:r>
                </w:p>
              </w:tc>
              <w:tc>
                <w:tcPr>
                  <w:tcW w:w="700" w:type="dxa"/>
                  <w:vAlign w:val="center"/>
                </w:tcPr>
                <w:p>
                  <w:pPr>
                    <w:pStyle w:val="26"/>
                    <w:spacing w:line="360" w:lineRule="exact"/>
                    <w:rPr>
                      <w:color w:val="auto"/>
                      <w:szCs w:val="21"/>
                    </w:rPr>
                  </w:pPr>
                  <w:r>
                    <w:rPr>
                      <w:color w:val="auto"/>
                      <w:szCs w:val="21"/>
                    </w:rPr>
                    <w:t>--</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restart"/>
                  <w:vAlign w:val="center"/>
                </w:tcPr>
                <w:p>
                  <w:pPr>
                    <w:pStyle w:val="26"/>
                    <w:spacing w:line="360" w:lineRule="exact"/>
                    <w:rPr>
                      <w:color w:val="auto"/>
                      <w:szCs w:val="21"/>
                    </w:rPr>
                  </w:pPr>
                  <w:r>
                    <w:rPr>
                      <w:color w:val="auto"/>
                      <w:szCs w:val="21"/>
                    </w:rPr>
                    <w:t>生产废水</w:t>
                  </w:r>
                </w:p>
              </w:tc>
              <w:tc>
                <w:tcPr>
                  <w:tcW w:w="1351" w:type="dxa"/>
                  <w:vAlign w:val="center"/>
                </w:tcPr>
                <w:p>
                  <w:pPr>
                    <w:pStyle w:val="26"/>
                    <w:spacing w:line="360" w:lineRule="exact"/>
                    <w:rPr>
                      <w:color w:val="auto"/>
                      <w:szCs w:val="21"/>
                    </w:rPr>
                  </w:pPr>
                  <w:r>
                    <w:rPr>
                      <w:color w:val="auto"/>
                      <w:szCs w:val="21"/>
                    </w:rPr>
                    <w:t>生产废水收集池</w:t>
                  </w:r>
                </w:p>
              </w:tc>
              <w:tc>
                <w:tcPr>
                  <w:tcW w:w="2631" w:type="dxa"/>
                  <w:vAlign w:val="center"/>
                </w:tcPr>
                <w:p>
                  <w:pPr>
                    <w:pStyle w:val="26"/>
                    <w:spacing w:line="360" w:lineRule="exact"/>
                    <w:ind w:firstLine="210" w:firstLineChars="100"/>
                    <w:jc w:val="left"/>
                    <w:rPr>
                      <w:color w:val="auto"/>
                      <w:szCs w:val="21"/>
                    </w:rPr>
                  </w:pPr>
                  <w:r>
                    <w:rPr>
                      <w:color w:val="auto"/>
                      <w:szCs w:val="21"/>
                    </w:rPr>
                    <w:t>2个，</w:t>
                  </w:r>
                  <w:r>
                    <w:rPr>
                      <w:color w:val="auto"/>
                      <w:szCs w:val="21"/>
                      <w:lang w:val="en-US"/>
                    </w:rPr>
                    <w:t>200</w:t>
                  </w:r>
                  <w:r>
                    <w:rPr>
                      <w:color w:val="auto"/>
                      <w:szCs w:val="21"/>
                    </w:rPr>
                    <w:t>m³/个</w:t>
                  </w:r>
                </w:p>
              </w:tc>
              <w:tc>
                <w:tcPr>
                  <w:tcW w:w="700" w:type="dxa"/>
                  <w:vAlign w:val="center"/>
                </w:tcPr>
                <w:p>
                  <w:pPr>
                    <w:pStyle w:val="26"/>
                    <w:spacing w:line="360" w:lineRule="exact"/>
                    <w:rPr>
                      <w:color w:val="auto"/>
                      <w:szCs w:val="21"/>
                      <w:lang w:val="en-US"/>
                    </w:rPr>
                  </w:pPr>
                  <w:r>
                    <w:rPr>
                      <w:color w:val="auto"/>
                      <w:szCs w:val="21"/>
                      <w:lang w:val="en-US"/>
                    </w:rPr>
                    <w:t>20</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污水处理塔</w:t>
                  </w:r>
                </w:p>
              </w:tc>
              <w:tc>
                <w:tcPr>
                  <w:tcW w:w="2631" w:type="dxa"/>
                  <w:vAlign w:val="center"/>
                </w:tcPr>
                <w:p>
                  <w:pPr>
                    <w:pStyle w:val="26"/>
                    <w:spacing w:line="360" w:lineRule="exact"/>
                    <w:ind w:firstLine="210" w:firstLineChars="100"/>
                    <w:jc w:val="left"/>
                    <w:rPr>
                      <w:color w:val="auto"/>
                      <w:szCs w:val="21"/>
                    </w:rPr>
                  </w:pPr>
                  <w:r>
                    <w:rPr>
                      <w:color w:val="auto"/>
                      <w:szCs w:val="21"/>
                    </w:rPr>
                    <w:t>2个，100m³/个</w:t>
                  </w:r>
                </w:p>
              </w:tc>
              <w:tc>
                <w:tcPr>
                  <w:tcW w:w="700" w:type="dxa"/>
                  <w:vAlign w:val="center"/>
                </w:tcPr>
                <w:p>
                  <w:pPr>
                    <w:pStyle w:val="26"/>
                    <w:spacing w:line="360" w:lineRule="exact"/>
                    <w:rPr>
                      <w:color w:val="auto"/>
                      <w:szCs w:val="21"/>
                      <w:lang w:val="en-US"/>
                    </w:rPr>
                  </w:pPr>
                  <w:r>
                    <w:rPr>
                      <w:color w:val="auto"/>
                      <w:szCs w:val="21"/>
                      <w:lang w:val="en-US"/>
                    </w:rPr>
                    <w:t>10</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2</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清水池</w:t>
                  </w:r>
                </w:p>
              </w:tc>
              <w:tc>
                <w:tcPr>
                  <w:tcW w:w="2631" w:type="dxa"/>
                  <w:vAlign w:val="center"/>
                </w:tcPr>
                <w:p>
                  <w:pPr>
                    <w:pStyle w:val="26"/>
                    <w:spacing w:line="360" w:lineRule="exact"/>
                    <w:ind w:firstLine="210" w:firstLineChars="100"/>
                    <w:jc w:val="left"/>
                    <w:rPr>
                      <w:color w:val="auto"/>
                      <w:szCs w:val="21"/>
                    </w:rPr>
                  </w:pPr>
                  <w:r>
                    <w:rPr>
                      <w:color w:val="auto"/>
                      <w:szCs w:val="21"/>
                    </w:rPr>
                    <w:t>1个，</w:t>
                  </w:r>
                  <w:r>
                    <w:rPr>
                      <w:color w:val="auto"/>
                      <w:szCs w:val="21"/>
                      <w:lang w:val="en-US"/>
                    </w:rPr>
                    <w:t>300</w:t>
                  </w:r>
                  <w:r>
                    <w:rPr>
                      <w:color w:val="auto"/>
                      <w:szCs w:val="21"/>
                    </w:rPr>
                    <w:t>m³</w:t>
                  </w:r>
                </w:p>
              </w:tc>
              <w:tc>
                <w:tcPr>
                  <w:tcW w:w="700" w:type="dxa"/>
                  <w:vAlign w:val="center"/>
                </w:tcPr>
                <w:p>
                  <w:pPr>
                    <w:pStyle w:val="26"/>
                    <w:spacing w:line="360" w:lineRule="exact"/>
                    <w:rPr>
                      <w:color w:val="auto"/>
                      <w:szCs w:val="21"/>
                      <w:lang w:val="en-US"/>
                    </w:rPr>
                  </w:pPr>
                  <w:r>
                    <w:rPr>
                      <w:color w:val="auto"/>
                      <w:szCs w:val="21"/>
                      <w:lang w:val="en-US"/>
                    </w:rPr>
                    <w:t>12</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lang w:val="en-US"/>
                    </w:rPr>
                  </w:pPr>
                  <w:r>
                    <w:rPr>
                      <w:color w:val="auto"/>
                      <w:szCs w:val="21"/>
                      <w:lang w:val="en-US"/>
                    </w:rPr>
                    <w:t>泥浆回收池</w:t>
                  </w:r>
                </w:p>
              </w:tc>
              <w:tc>
                <w:tcPr>
                  <w:tcW w:w="2631" w:type="dxa"/>
                  <w:vAlign w:val="center"/>
                </w:tcPr>
                <w:p>
                  <w:pPr>
                    <w:pStyle w:val="26"/>
                    <w:spacing w:line="360" w:lineRule="exact"/>
                    <w:ind w:firstLine="210" w:firstLineChars="100"/>
                    <w:jc w:val="left"/>
                    <w:rPr>
                      <w:color w:val="auto"/>
                      <w:szCs w:val="21"/>
                      <w:lang w:val="en-US"/>
                    </w:rPr>
                  </w:pPr>
                  <w:r>
                    <w:rPr>
                      <w:color w:val="auto"/>
                      <w:szCs w:val="21"/>
                      <w:lang w:val="en-US"/>
                    </w:rPr>
                    <w:t>2个，50</w:t>
                  </w:r>
                  <w:r>
                    <w:rPr>
                      <w:color w:val="auto"/>
                      <w:szCs w:val="21"/>
                    </w:rPr>
                    <w:t>m³/个</w:t>
                  </w:r>
                </w:p>
              </w:tc>
              <w:tc>
                <w:tcPr>
                  <w:tcW w:w="700" w:type="dxa"/>
                  <w:vAlign w:val="center"/>
                </w:tcPr>
                <w:p>
                  <w:pPr>
                    <w:pStyle w:val="26"/>
                    <w:spacing w:line="360" w:lineRule="exact"/>
                    <w:rPr>
                      <w:color w:val="auto"/>
                      <w:szCs w:val="21"/>
                      <w:lang w:val="en-US"/>
                    </w:rPr>
                  </w:pPr>
                  <w:r>
                    <w:rPr>
                      <w:color w:val="auto"/>
                      <w:szCs w:val="21"/>
                      <w:lang w:val="en-US"/>
                    </w:rPr>
                    <w:t>5</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lang w:val="en-US"/>
                    </w:rPr>
                  </w:pPr>
                  <w:r>
                    <w:rPr>
                      <w:color w:val="auto"/>
                      <w:szCs w:val="21"/>
                      <w:lang w:val="en-US"/>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污泥压滤机</w:t>
                  </w:r>
                </w:p>
              </w:tc>
              <w:tc>
                <w:tcPr>
                  <w:tcW w:w="2631" w:type="dxa"/>
                  <w:vAlign w:val="center"/>
                </w:tcPr>
                <w:p>
                  <w:pPr>
                    <w:pStyle w:val="26"/>
                    <w:spacing w:line="360" w:lineRule="exact"/>
                    <w:ind w:firstLine="210" w:firstLineChars="100"/>
                    <w:jc w:val="left"/>
                    <w:rPr>
                      <w:color w:val="auto"/>
                      <w:szCs w:val="21"/>
                    </w:rPr>
                  </w:pPr>
                  <w:r>
                    <w:rPr>
                      <w:color w:val="auto"/>
                      <w:szCs w:val="21"/>
                      <w:lang w:val="en-US"/>
                    </w:rPr>
                    <w:t>2</w:t>
                  </w:r>
                  <w:r>
                    <w:rPr>
                      <w:color w:val="auto"/>
                      <w:szCs w:val="21"/>
                    </w:rPr>
                    <w:t>台</w:t>
                  </w:r>
                </w:p>
              </w:tc>
              <w:tc>
                <w:tcPr>
                  <w:tcW w:w="700" w:type="dxa"/>
                  <w:vAlign w:val="center"/>
                </w:tcPr>
                <w:p>
                  <w:pPr>
                    <w:pStyle w:val="26"/>
                    <w:spacing w:line="360" w:lineRule="exact"/>
                    <w:rPr>
                      <w:color w:val="auto"/>
                      <w:szCs w:val="21"/>
                      <w:lang w:val="en-US"/>
                    </w:rPr>
                  </w:pPr>
                  <w:r>
                    <w:rPr>
                      <w:color w:val="auto"/>
                      <w:szCs w:val="21"/>
                      <w:lang w:val="en-US"/>
                    </w:rPr>
                    <w:t>30</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lang w:val="en-US"/>
                    </w:rPr>
                    <w:t>5</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restart"/>
                  <w:vAlign w:val="center"/>
                </w:tcPr>
                <w:p>
                  <w:pPr>
                    <w:pStyle w:val="26"/>
                    <w:spacing w:line="360" w:lineRule="exact"/>
                    <w:rPr>
                      <w:color w:val="auto"/>
                      <w:szCs w:val="21"/>
                    </w:rPr>
                  </w:pPr>
                  <w:r>
                    <w:rPr>
                      <w:color w:val="auto"/>
                      <w:szCs w:val="21"/>
                    </w:rPr>
                    <w:t>生活污水</w:t>
                  </w:r>
                </w:p>
              </w:tc>
              <w:tc>
                <w:tcPr>
                  <w:tcW w:w="1351" w:type="dxa"/>
                  <w:vAlign w:val="center"/>
                </w:tcPr>
                <w:p>
                  <w:pPr>
                    <w:pStyle w:val="26"/>
                    <w:spacing w:line="360" w:lineRule="exact"/>
                    <w:rPr>
                      <w:color w:val="auto"/>
                      <w:szCs w:val="21"/>
                    </w:rPr>
                  </w:pPr>
                  <w:r>
                    <w:rPr>
                      <w:color w:val="auto"/>
                      <w:szCs w:val="21"/>
                    </w:rPr>
                    <w:t>化粪池</w:t>
                  </w:r>
                </w:p>
              </w:tc>
              <w:tc>
                <w:tcPr>
                  <w:tcW w:w="2631" w:type="dxa"/>
                  <w:vAlign w:val="center"/>
                </w:tcPr>
                <w:p>
                  <w:pPr>
                    <w:pStyle w:val="26"/>
                    <w:spacing w:line="360" w:lineRule="exact"/>
                    <w:ind w:firstLine="210" w:firstLineChars="100"/>
                    <w:jc w:val="left"/>
                    <w:rPr>
                      <w:color w:val="auto"/>
                      <w:szCs w:val="21"/>
                    </w:rPr>
                  </w:pPr>
                  <w:r>
                    <w:rPr>
                      <w:color w:val="auto"/>
                      <w:szCs w:val="21"/>
                    </w:rPr>
                    <w:t>1个，有效容积为2m³</w:t>
                  </w:r>
                </w:p>
              </w:tc>
              <w:tc>
                <w:tcPr>
                  <w:tcW w:w="700" w:type="dxa"/>
                  <w:vAlign w:val="center"/>
                </w:tcPr>
                <w:p>
                  <w:pPr>
                    <w:pStyle w:val="26"/>
                    <w:spacing w:line="360" w:lineRule="exact"/>
                    <w:rPr>
                      <w:color w:val="auto"/>
                      <w:szCs w:val="21"/>
                    </w:rPr>
                  </w:pPr>
                  <w:r>
                    <w:rPr>
                      <w:color w:val="auto"/>
                      <w:szCs w:val="21"/>
                    </w:rPr>
                    <w:t>2</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一体化污水处理设施</w:t>
                  </w:r>
                </w:p>
              </w:tc>
              <w:tc>
                <w:tcPr>
                  <w:tcW w:w="2631" w:type="dxa"/>
                  <w:vAlign w:val="center"/>
                </w:tcPr>
                <w:p>
                  <w:pPr>
                    <w:pStyle w:val="26"/>
                    <w:spacing w:line="360" w:lineRule="exact"/>
                    <w:ind w:firstLine="210" w:firstLineChars="100"/>
                    <w:jc w:val="left"/>
                    <w:rPr>
                      <w:color w:val="auto"/>
                      <w:szCs w:val="21"/>
                    </w:rPr>
                  </w:pPr>
                  <w:r>
                    <w:rPr>
                      <w:color w:val="auto"/>
                      <w:szCs w:val="21"/>
                    </w:rPr>
                    <w:t>1套，处理能力为2m³/d</w:t>
                  </w:r>
                </w:p>
              </w:tc>
              <w:tc>
                <w:tcPr>
                  <w:tcW w:w="700" w:type="dxa"/>
                  <w:vAlign w:val="center"/>
                </w:tcPr>
                <w:p>
                  <w:pPr>
                    <w:pStyle w:val="26"/>
                    <w:spacing w:line="360" w:lineRule="exact"/>
                    <w:rPr>
                      <w:color w:val="auto"/>
                      <w:szCs w:val="21"/>
                    </w:rPr>
                  </w:pPr>
                  <w:r>
                    <w:rPr>
                      <w:color w:val="auto"/>
                      <w:szCs w:val="21"/>
                    </w:rPr>
                    <w:t>5</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再生水收集池</w:t>
                  </w:r>
                </w:p>
              </w:tc>
              <w:tc>
                <w:tcPr>
                  <w:tcW w:w="2631" w:type="dxa"/>
                  <w:vAlign w:val="center"/>
                </w:tcPr>
                <w:p>
                  <w:pPr>
                    <w:pStyle w:val="26"/>
                    <w:spacing w:line="360" w:lineRule="exact"/>
                    <w:ind w:firstLine="210" w:firstLineChars="100"/>
                    <w:jc w:val="left"/>
                    <w:rPr>
                      <w:color w:val="auto"/>
                      <w:szCs w:val="21"/>
                    </w:rPr>
                  </w:pPr>
                  <w:r>
                    <w:rPr>
                      <w:color w:val="auto"/>
                      <w:szCs w:val="21"/>
                    </w:rPr>
                    <w:t>1个，有效容积为8m³</w:t>
                  </w:r>
                </w:p>
              </w:tc>
              <w:tc>
                <w:tcPr>
                  <w:tcW w:w="700" w:type="dxa"/>
                  <w:vAlign w:val="center"/>
                </w:tcPr>
                <w:p>
                  <w:pPr>
                    <w:pStyle w:val="26"/>
                    <w:spacing w:line="360" w:lineRule="exact"/>
                    <w:rPr>
                      <w:color w:val="auto"/>
                      <w:szCs w:val="21"/>
                    </w:rPr>
                  </w:pPr>
                  <w:r>
                    <w:rPr>
                      <w:color w:val="auto"/>
                      <w:szCs w:val="21"/>
                    </w:rPr>
                    <w:t>4</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restart"/>
                  <w:vAlign w:val="center"/>
                </w:tcPr>
                <w:p>
                  <w:pPr>
                    <w:pStyle w:val="26"/>
                    <w:spacing w:line="360" w:lineRule="exact"/>
                    <w:rPr>
                      <w:color w:val="auto"/>
                      <w:szCs w:val="21"/>
                    </w:rPr>
                  </w:pPr>
                  <w:r>
                    <w:rPr>
                      <w:color w:val="auto"/>
                      <w:szCs w:val="21"/>
                    </w:rPr>
                    <w:t>初期雨水</w:t>
                  </w:r>
                </w:p>
              </w:tc>
              <w:tc>
                <w:tcPr>
                  <w:tcW w:w="1351" w:type="dxa"/>
                  <w:vAlign w:val="center"/>
                </w:tcPr>
                <w:p>
                  <w:pPr>
                    <w:pStyle w:val="26"/>
                    <w:spacing w:line="360" w:lineRule="exact"/>
                    <w:rPr>
                      <w:color w:val="auto"/>
                      <w:szCs w:val="21"/>
                    </w:rPr>
                  </w:pPr>
                  <w:r>
                    <w:rPr>
                      <w:color w:val="auto"/>
                      <w:szCs w:val="21"/>
                    </w:rPr>
                    <w:t>截排水沟</w:t>
                  </w:r>
                </w:p>
              </w:tc>
              <w:tc>
                <w:tcPr>
                  <w:tcW w:w="2631" w:type="dxa"/>
                  <w:vAlign w:val="center"/>
                </w:tcPr>
                <w:p>
                  <w:pPr>
                    <w:pStyle w:val="26"/>
                    <w:spacing w:line="360" w:lineRule="exact"/>
                    <w:ind w:firstLine="210" w:firstLineChars="100"/>
                    <w:jc w:val="left"/>
                    <w:rPr>
                      <w:color w:val="auto"/>
                      <w:szCs w:val="21"/>
                    </w:rPr>
                  </w:pPr>
                  <w:r>
                    <w:rPr>
                      <w:color w:val="auto"/>
                      <w:szCs w:val="21"/>
                    </w:rPr>
                    <w:t>厂房外围及厂区周围设置900m。</w:t>
                  </w:r>
                </w:p>
              </w:tc>
              <w:tc>
                <w:tcPr>
                  <w:tcW w:w="700" w:type="dxa"/>
                  <w:vAlign w:val="center"/>
                </w:tcPr>
                <w:p>
                  <w:pPr>
                    <w:pStyle w:val="26"/>
                    <w:spacing w:line="360" w:lineRule="exact"/>
                    <w:rPr>
                      <w:color w:val="auto"/>
                      <w:szCs w:val="21"/>
                    </w:rPr>
                  </w:pPr>
                  <w:r>
                    <w:rPr>
                      <w:color w:val="auto"/>
                      <w:szCs w:val="21"/>
                    </w:rPr>
                    <w:t>6</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2</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初期雨水收集池</w:t>
                  </w:r>
                </w:p>
              </w:tc>
              <w:tc>
                <w:tcPr>
                  <w:tcW w:w="2631" w:type="dxa"/>
                  <w:vAlign w:val="center"/>
                </w:tcPr>
                <w:p>
                  <w:pPr>
                    <w:pStyle w:val="26"/>
                    <w:spacing w:line="360" w:lineRule="exact"/>
                    <w:ind w:firstLine="210" w:firstLineChars="100"/>
                    <w:jc w:val="left"/>
                    <w:rPr>
                      <w:color w:val="auto"/>
                      <w:szCs w:val="21"/>
                    </w:rPr>
                  </w:pPr>
                  <w:r>
                    <w:rPr>
                      <w:color w:val="auto"/>
                      <w:szCs w:val="21"/>
                    </w:rPr>
                    <w:t>1个，有效容积不低于20m³</w:t>
                  </w:r>
                </w:p>
              </w:tc>
              <w:tc>
                <w:tcPr>
                  <w:tcW w:w="700" w:type="dxa"/>
                  <w:vAlign w:val="center"/>
                </w:tcPr>
                <w:p>
                  <w:pPr>
                    <w:pStyle w:val="26"/>
                    <w:spacing w:line="360" w:lineRule="exact"/>
                    <w:rPr>
                      <w:color w:val="auto"/>
                      <w:szCs w:val="21"/>
                    </w:rPr>
                  </w:pPr>
                  <w:r>
                    <w:rPr>
                      <w:color w:val="auto"/>
                      <w:szCs w:val="21"/>
                    </w:rPr>
                    <w:t>9</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1236" w:type="dxa"/>
                  <w:gridSpan w:val="2"/>
                  <w:vMerge w:val="restart"/>
                  <w:vAlign w:val="center"/>
                </w:tcPr>
                <w:p>
                  <w:pPr>
                    <w:pStyle w:val="26"/>
                    <w:spacing w:line="360" w:lineRule="exact"/>
                    <w:rPr>
                      <w:color w:val="auto"/>
                      <w:szCs w:val="21"/>
                    </w:rPr>
                  </w:pPr>
                  <w:r>
                    <w:rPr>
                      <w:color w:val="auto"/>
                      <w:szCs w:val="21"/>
                    </w:rPr>
                    <w:t>地下水防渗</w:t>
                  </w:r>
                </w:p>
              </w:tc>
              <w:tc>
                <w:tcPr>
                  <w:tcW w:w="1351" w:type="dxa"/>
                  <w:vAlign w:val="center"/>
                </w:tcPr>
                <w:p>
                  <w:pPr>
                    <w:pStyle w:val="26"/>
                    <w:spacing w:line="360" w:lineRule="exact"/>
                    <w:rPr>
                      <w:color w:val="auto"/>
                      <w:szCs w:val="21"/>
                    </w:rPr>
                  </w:pPr>
                  <w:r>
                    <w:rPr>
                      <w:color w:val="auto"/>
                      <w:szCs w:val="21"/>
                    </w:rPr>
                    <w:t>重点防渗区</w:t>
                  </w:r>
                </w:p>
              </w:tc>
              <w:tc>
                <w:tcPr>
                  <w:tcW w:w="2631" w:type="dxa"/>
                  <w:vAlign w:val="center"/>
                </w:tcPr>
                <w:p>
                  <w:pPr>
                    <w:pStyle w:val="26"/>
                    <w:spacing w:line="360" w:lineRule="exact"/>
                    <w:ind w:firstLine="210" w:firstLineChars="100"/>
                    <w:jc w:val="both"/>
                    <w:rPr>
                      <w:color w:val="auto"/>
                      <w:szCs w:val="21"/>
                      <w:lang w:val="en-US"/>
                    </w:rPr>
                  </w:pPr>
                  <w:r>
                    <w:rPr>
                      <w:color w:val="auto"/>
                      <w:szCs w:val="21"/>
                    </w:rPr>
                    <w:t>危险废物贮存间地面和裙墙应采用不低于2mm后的HDPE膜或其他人工防渗材料进行防渗，使其渗透系数≤10</w:t>
                  </w:r>
                  <w:r>
                    <w:rPr>
                      <w:color w:val="auto"/>
                      <w:szCs w:val="21"/>
                      <w:vertAlign w:val="superscript"/>
                    </w:rPr>
                    <w:t>-10</w:t>
                  </w:r>
                  <w:r>
                    <w:rPr>
                      <w:color w:val="auto"/>
                      <w:szCs w:val="21"/>
                    </w:rPr>
                    <w:t>cm/s</w:t>
                  </w:r>
                </w:p>
              </w:tc>
              <w:tc>
                <w:tcPr>
                  <w:tcW w:w="700" w:type="dxa"/>
                  <w:vAlign w:val="center"/>
                </w:tcPr>
                <w:p>
                  <w:pPr>
                    <w:pStyle w:val="26"/>
                    <w:spacing w:line="360" w:lineRule="exact"/>
                    <w:rPr>
                      <w:color w:val="auto"/>
                      <w:szCs w:val="21"/>
                    </w:rPr>
                  </w:pPr>
                  <w:r>
                    <w:rPr>
                      <w:color w:val="auto"/>
                      <w:szCs w:val="21"/>
                    </w:rPr>
                    <w:t>1</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1236" w:type="dxa"/>
                  <w:gridSpan w:val="2"/>
                  <w:vMerge w:val="continue"/>
                  <w:vAlign w:val="center"/>
                </w:tcPr>
                <w:p>
                  <w:pPr>
                    <w:pStyle w:val="26"/>
                    <w:spacing w:line="360" w:lineRule="exact"/>
                    <w:rPr>
                      <w:color w:val="auto"/>
                      <w:szCs w:val="21"/>
                    </w:rPr>
                  </w:pPr>
                </w:p>
              </w:tc>
              <w:tc>
                <w:tcPr>
                  <w:tcW w:w="1351" w:type="dxa"/>
                  <w:vAlign w:val="center"/>
                </w:tcPr>
                <w:p>
                  <w:pPr>
                    <w:pStyle w:val="26"/>
                    <w:spacing w:line="360" w:lineRule="exact"/>
                    <w:rPr>
                      <w:color w:val="auto"/>
                      <w:szCs w:val="21"/>
                    </w:rPr>
                  </w:pPr>
                  <w:r>
                    <w:rPr>
                      <w:color w:val="auto"/>
                      <w:szCs w:val="21"/>
                    </w:rPr>
                    <w:t>一般防渗区</w:t>
                  </w:r>
                </w:p>
              </w:tc>
              <w:tc>
                <w:tcPr>
                  <w:tcW w:w="2631" w:type="dxa"/>
                  <w:vAlign w:val="center"/>
                </w:tcPr>
                <w:p>
                  <w:pPr>
                    <w:pStyle w:val="26"/>
                    <w:spacing w:line="360" w:lineRule="exact"/>
                    <w:ind w:firstLine="210" w:firstLineChars="100"/>
                    <w:jc w:val="both"/>
                    <w:rPr>
                      <w:color w:val="auto"/>
                      <w:szCs w:val="21"/>
                    </w:rPr>
                  </w:pPr>
                  <w:r>
                    <w:rPr>
                      <w:color w:val="auto"/>
                      <w:szCs w:val="21"/>
                    </w:rPr>
                    <w:t>一般防渗区域拟应采用粘土铺底，并在上层铺30cm的混凝土进行硬化。确保防渗性能，使其渗透系数≤1.0×10</w:t>
                  </w:r>
                  <w:r>
                    <w:rPr>
                      <w:color w:val="auto"/>
                      <w:szCs w:val="21"/>
                      <w:vertAlign w:val="superscript"/>
                    </w:rPr>
                    <w:t>-7</w:t>
                  </w:r>
                  <w:r>
                    <w:rPr>
                      <w:color w:val="auto"/>
                      <w:szCs w:val="21"/>
                    </w:rPr>
                    <w:t>cm/s。</w:t>
                  </w:r>
                </w:p>
              </w:tc>
              <w:tc>
                <w:tcPr>
                  <w:tcW w:w="700" w:type="dxa"/>
                  <w:vAlign w:val="center"/>
                </w:tcPr>
                <w:p>
                  <w:pPr>
                    <w:pStyle w:val="26"/>
                    <w:spacing w:line="360" w:lineRule="exact"/>
                    <w:rPr>
                      <w:color w:val="auto"/>
                      <w:szCs w:val="21"/>
                    </w:rPr>
                  </w:pPr>
                  <w:r>
                    <w:rPr>
                      <w:color w:val="auto"/>
                      <w:szCs w:val="21"/>
                    </w:rPr>
                    <w:t>26</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Align w:val="center"/>
                </w:tcPr>
                <w:p>
                  <w:pPr>
                    <w:pStyle w:val="26"/>
                    <w:spacing w:line="360" w:lineRule="exact"/>
                    <w:rPr>
                      <w:color w:val="auto"/>
                      <w:szCs w:val="21"/>
                    </w:rPr>
                  </w:pPr>
                  <w:r>
                    <w:rPr>
                      <w:color w:val="auto"/>
                      <w:szCs w:val="21"/>
                    </w:rPr>
                    <w:t>噪声</w:t>
                  </w:r>
                </w:p>
              </w:tc>
              <w:tc>
                <w:tcPr>
                  <w:tcW w:w="669" w:type="dxa"/>
                  <w:vAlign w:val="center"/>
                </w:tcPr>
                <w:p>
                  <w:pPr>
                    <w:pStyle w:val="26"/>
                    <w:spacing w:line="360" w:lineRule="exact"/>
                    <w:rPr>
                      <w:color w:val="auto"/>
                      <w:szCs w:val="21"/>
                    </w:rPr>
                  </w:pPr>
                  <w:r>
                    <w:rPr>
                      <w:color w:val="auto"/>
                      <w:szCs w:val="21"/>
                    </w:rPr>
                    <w:t>设备噪声</w:t>
                  </w:r>
                </w:p>
              </w:tc>
              <w:tc>
                <w:tcPr>
                  <w:tcW w:w="1351" w:type="dxa"/>
                  <w:vAlign w:val="center"/>
                </w:tcPr>
                <w:p>
                  <w:pPr>
                    <w:pStyle w:val="26"/>
                    <w:spacing w:line="360" w:lineRule="exact"/>
                    <w:rPr>
                      <w:color w:val="auto"/>
                      <w:szCs w:val="21"/>
                    </w:rPr>
                  </w:pPr>
                  <w:r>
                    <w:rPr>
                      <w:color w:val="auto"/>
                      <w:szCs w:val="21"/>
                    </w:rPr>
                    <w:t>减震垫、消声器等</w:t>
                  </w:r>
                </w:p>
              </w:tc>
              <w:tc>
                <w:tcPr>
                  <w:tcW w:w="2631" w:type="dxa"/>
                  <w:vAlign w:val="center"/>
                </w:tcPr>
                <w:p>
                  <w:pPr>
                    <w:pStyle w:val="26"/>
                    <w:spacing w:line="360" w:lineRule="exact"/>
                    <w:ind w:firstLine="210" w:firstLineChars="100"/>
                    <w:jc w:val="left"/>
                    <w:rPr>
                      <w:color w:val="auto"/>
                      <w:szCs w:val="21"/>
                    </w:rPr>
                  </w:pPr>
                  <w:r>
                    <w:rPr>
                      <w:color w:val="auto"/>
                      <w:szCs w:val="21"/>
                    </w:rPr>
                    <w:t>设备基础加装减震垫、消声器等。</w:t>
                  </w:r>
                </w:p>
              </w:tc>
              <w:tc>
                <w:tcPr>
                  <w:tcW w:w="700" w:type="dxa"/>
                  <w:vAlign w:val="center"/>
                </w:tcPr>
                <w:p>
                  <w:pPr>
                    <w:pStyle w:val="26"/>
                    <w:spacing w:line="360" w:lineRule="exact"/>
                    <w:rPr>
                      <w:color w:val="auto"/>
                      <w:szCs w:val="21"/>
                    </w:rPr>
                  </w:pPr>
                  <w:r>
                    <w:rPr>
                      <w:color w:val="auto"/>
                      <w:szCs w:val="21"/>
                    </w:rPr>
                    <w:t>2</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restart"/>
                  <w:vAlign w:val="center"/>
                </w:tcPr>
                <w:p>
                  <w:pPr>
                    <w:pStyle w:val="26"/>
                    <w:spacing w:line="360" w:lineRule="exact"/>
                    <w:rPr>
                      <w:color w:val="auto"/>
                      <w:szCs w:val="21"/>
                    </w:rPr>
                  </w:pPr>
                  <w:r>
                    <w:rPr>
                      <w:color w:val="auto"/>
                      <w:szCs w:val="21"/>
                    </w:rPr>
                    <w:t>固废</w:t>
                  </w:r>
                </w:p>
              </w:tc>
              <w:tc>
                <w:tcPr>
                  <w:tcW w:w="669" w:type="dxa"/>
                  <w:vAlign w:val="center"/>
                </w:tcPr>
                <w:p>
                  <w:pPr>
                    <w:pStyle w:val="26"/>
                    <w:spacing w:line="360" w:lineRule="exact"/>
                    <w:rPr>
                      <w:color w:val="auto"/>
                      <w:szCs w:val="21"/>
                    </w:rPr>
                  </w:pPr>
                  <w:r>
                    <w:rPr>
                      <w:color w:val="auto"/>
                      <w:szCs w:val="21"/>
                    </w:rPr>
                    <w:t>生产废水污泥</w:t>
                  </w:r>
                </w:p>
              </w:tc>
              <w:tc>
                <w:tcPr>
                  <w:tcW w:w="1351" w:type="dxa"/>
                  <w:vAlign w:val="center"/>
                </w:tcPr>
                <w:p>
                  <w:pPr>
                    <w:pStyle w:val="26"/>
                    <w:spacing w:line="360" w:lineRule="exact"/>
                    <w:rPr>
                      <w:color w:val="auto"/>
                      <w:szCs w:val="21"/>
                    </w:rPr>
                  </w:pPr>
                  <w:r>
                    <w:rPr>
                      <w:color w:val="auto"/>
                      <w:szCs w:val="21"/>
                    </w:rPr>
                    <w:t>污泥暂存库</w:t>
                  </w:r>
                </w:p>
              </w:tc>
              <w:tc>
                <w:tcPr>
                  <w:tcW w:w="2631" w:type="dxa"/>
                  <w:vAlign w:val="center"/>
                </w:tcPr>
                <w:p>
                  <w:pPr>
                    <w:pStyle w:val="26"/>
                    <w:spacing w:line="360" w:lineRule="exact"/>
                    <w:ind w:firstLine="210" w:firstLineChars="100"/>
                    <w:jc w:val="left"/>
                    <w:rPr>
                      <w:color w:val="auto"/>
                      <w:szCs w:val="21"/>
                    </w:rPr>
                  </w:pPr>
                  <w:r>
                    <w:rPr>
                      <w:color w:val="auto"/>
                      <w:szCs w:val="21"/>
                    </w:rPr>
                    <w:t>1个，100m²</w:t>
                  </w:r>
                </w:p>
              </w:tc>
              <w:tc>
                <w:tcPr>
                  <w:tcW w:w="700" w:type="dxa"/>
                  <w:vAlign w:val="center"/>
                </w:tcPr>
                <w:p>
                  <w:pPr>
                    <w:pStyle w:val="26"/>
                    <w:spacing w:line="360" w:lineRule="exact"/>
                    <w:rPr>
                      <w:color w:val="auto"/>
                      <w:szCs w:val="21"/>
                    </w:rPr>
                  </w:pPr>
                  <w:r>
                    <w:rPr>
                      <w:color w:val="auto"/>
                      <w:szCs w:val="21"/>
                    </w:rPr>
                    <w:t>5</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6</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7" w:type="dxa"/>
                  <w:vMerge w:val="continue"/>
                  <w:vAlign w:val="center"/>
                </w:tcPr>
                <w:p>
                  <w:pPr>
                    <w:pStyle w:val="26"/>
                    <w:spacing w:line="360" w:lineRule="exact"/>
                    <w:rPr>
                      <w:color w:val="auto"/>
                      <w:szCs w:val="21"/>
                    </w:rPr>
                  </w:pPr>
                </w:p>
              </w:tc>
              <w:tc>
                <w:tcPr>
                  <w:tcW w:w="669" w:type="dxa"/>
                  <w:vAlign w:val="center"/>
                </w:tcPr>
                <w:p>
                  <w:pPr>
                    <w:pStyle w:val="26"/>
                    <w:spacing w:line="360" w:lineRule="exact"/>
                    <w:rPr>
                      <w:color w:val="auto"/>
                      <w:szCs w:val="21"/>
                    </w:rPr>
                  </w:pPr>
                  <w:r>
                    <w:rPr>
                      <w:color w:val="auto"/>
                      <w:szCs w:val="21"/>
                    </w:rPr>
                    <w:t>危险废物</w:t>
                  </w:r>
                </w:p>
              </w:tc>
              <w:tc>
                <w:tcPr>
                  <w:tcW w:w="1351" w:type="dxa"/>
                  <w:vAlign w:val="center"/>
                </w:tcPr>
                <w:p>
                  <w:pPr>
                    <w:pStyle w:val="26"/>
                    <w:spacing w:line="360" w:lineRule="exact"/>
                    <w:rPr>
                      <w:color w:val="auto"/>
                      <w:szCs w:val="21"/>
                    </w:rPr>
                  </w:pPr>
                  <w:r>
                    <w:rPr>
                      <w:color w:val="auto"/>
                      <w:szCs w:val="21"/>
                    </w:rPr>
                    <w:t>危险废物贮存间</w:t>
                  </w:r>
                </w:p>
              </w:tc>
              <w:tc>
                <w:tcPr>
                  <w:tcW w:w="2631" w:type="dxa"/>
                  <w:vAlign w:val="center"/>
                </w:tcPr>
                <w:p>
                  <w:pPr>
                    <w:pStyle w:val="26"/>
                    <w:spacing w:line="360" w:lineRule="exact"/>
                    <w:ind w:firstLine="210" w:firstLineChars="100"/>
                    <w:jc w:val="left"/>
                    <w:rPr>
                      <w:color w:val="auto"/>
                      <w:szCs w:val="21"/>
                    </w:rPr>
                  </w:pPr>
                  <w:r>
                    <w:rPr>
                      <w:color w:val="auto"/>
                      <w:szCs w:val="21"/>
                    </w:rPr>
                    <w:t>1个，5m²</w:t>
                  </w:r>
                </w:p>
              </w:tc>
              <w:tc>
                <w:tcPr>
                  <w:tcW w:w="700" w:type="dxa"/>
                  <w:vAlign w:val="center"/>
                </w:tcPr>
                <w:p>
                  <w:pPr>
                    <w:pStyle w:val="26"/>
                    <w:spacing w:line="360" w:lineRule="exact"/>
                    <w:rPr>
                      <w:color w:val="auto"/>
                      <w:szCs w:val="21"/>
                    </w:rPr>
                  </w:pPr>
                  <w:r>
                    <w:rPr>
                      <w:color w:val="auto"/>
                      <w:szCs w:val="21"/>
                    </w:rPr>
                    <w:t>6</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2</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1236" w:type="dxa"/>
                  <w:gridSpan w:val="2"/>
                  <w:vAlign w:val="center"/>
                </w:tcPr>
                <w:p>
                  <w:pPr>
                    <w:pStyle w:val="26"/>
                    <w:spacing w:line="360" w:lineRule="exact"/>
                    <w:rPr>
                      <w:color w:val="auto"/>
                      <w:szCs w:val="21"/>
                    </w:rPr>
                  </w:pPr>
                  <w:r>
                    <w:rPr>
                      <w:color w:val="auto"/>
                      <w:szCs w:val="21"/>
                    </w:rPr>
                    <w:t>其他</w:t>
                  </w:r>
                </w:p>
              </w:tc>
              <w:tc>
                <w:tcPr>
                  <w:tcW w:w="1351" w:type="dxa"/>
                  <w:vAlign w:val="center"/>
                </w:tcPr>
                <w:p>
                  <w:pPr>
                    <w:pStyle w:val="26"/>
                    <w:spacing w:line="360" w:lineRule="exact"/>
                    <w:rPr>
                      <w:color w:val="auto"/>
                      <w:szCs w:val="21"/>
                    </w:rPr>
                  </w:pPr>
                  <w:r>
                    <w:rPr>
                      <w:color w:val="auto"/>
                      <w:szCs w:val="21"/>
                    </w:rPr>
                    <w:t>标识牌</w:t>
                  </w:r>
                </w:p>
              </w:tc>
              <w:tc>
                <w:tcPr>
                  <w:tcW w:w="2631" w:type="dxa"/>
                  <w:vAlign w:val="center"/>
                </w:tcPr>
                <w:p>
                  <w:pPr>
                    <w:pStyle w:val="26"/>
                    <w:spacing w:line="360" w:lineRule="exact"/>
                    <w:ind w:firstLine="210" w:firstLineChars="100"/>
                    <w:jc w:val="left"/>
                    <w:rPr>
                      <w:color w:val="auto"/>
                      <w:szCs w:val="21"/>
                    </w:rPr>
                  </w:pPr>
                  <w:r>
                    <w:rPr>
                      <w:color w:val="auto"/>
                      <w:szCs w:val="21"/>
                    </w:rPr>
                    <w:t>--</w:t>
                  </w:r>
                </w:p>
              </w:tc>
              <w:tc>
                <w:tcPr>
                  <w:tcW w:w="700" w:type="dxa"/>
                  <w:vAlign w:val="center"/>
                </w:tcPr>
                <w:p>
                  <w:pPr>
                    <w:pStyle w:val="26"/>
                    <w:spacing w:line="360" w:lineRule="exact"/>
                    <w:rPr>
                      <w:color w:val="auto"/>
                      <w:szCs w:val="21"/>
                    </w:rPr>
                  </w:pPr>
                  <w:r>
                    <w:rPr>
                      <w:color w:val="auto"/>
                      <w:szCs w:val="21"/>
                    </w:rPr>
                    <w:t>0.</w:t>
                  </w:r>
                  <w:r>
                    <w:rPr>
                      <w:color w:val="auto"/>
                      <w:szCs w:val="21"/>
                      <w:lang w:val="en-US"/>
                    </w:rPr>
                    <w:t>5</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9" w:type="dxa"/>
                  <w:gridSpan w:val="5"/>
                  <w:vAlign w:val="center"/>
                </w:tcPr>
                <w:p>
                  <w:pPr>
                    <w:pStyle w:val="26"/>
                    <w:spacing w:line="360" w:lineRule="exact"/>
                    <w:rPr>
                      <w:color w:val="auto"/>
                      <w:szCs w:val="21"/>
                    </w:rPr>
                  </w:pPr>
                  <w:r>
                    <w:rPr>
                      <w:color w:val="auto"/>
                      <w:szCs w:val="21"/>
                    </w:rPr>
                    <w:t>管理相关费用</w:t>
                  </w:r>
                </w:p>
              </w:tc>
              <w:tc>
                <w:tcPr>
                  <w:tcW w:w="2896" w:type="dxa"/>
                  <w:gridSpan w:val="5"/>
                  <w:vAlign w:val="center"/>
                </w:tcPr>
                <w:p>
                  <w:pPr>
                    <w:pStyle w:val="26"/>
                    <w:spacing w:line="360" w:lineRule="exact"/>
                    <w:rPr>
                      <w:color w:val="auto"/>
                      <w:szCs w:val="21"/>
                    </w:rPr>
                  </w:pPr>
                  <w:r>
                    <w:rPr>
                      <w:color w:val="auto"/>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9" w:type="dxa"/>
                  <w:gridSpan w:val="5"/>
                  <w:vAlign w:val="center"/>
                </w:tcPr>
                <w:p>
                  <w:pPr>
                    <w:pStyle w:val="26"/>
                    <w:spacing w:line="360" w:lineRule="exact"/>
                    <w:rPr>
                      <w:color w:val="auto"/>
                      <w:szCs w:val="21"/>
                    </w:rPr>
                  </w:pPr>
                  <w:r>
                    <w:rPr>
                      <w:color w:val="auto"/>
                      <w:szCs w:val="21"/>
                    </w:rPr>
                    <w:t>合计</w:t>
                  </w:r>
                </w:p>
              </w:tc>
              <w:tc>
                <w:tcPr>
                  <w:tcW w:w="843" w:type="dxa"/>
                  <w:gridSpan w:val="2"/>
                  <w:vAlign w:val="center"/>
                </w:tcPr>
                <w:p>
                  <w:pPr>
                    <w:pStyle w:val="26"/>
                    <w:spacing w:line="360" w:lineRule="exact"/>
                    <w:rPr>
                      <w:color w:val="auto"/>
                      <w:szCs w:val="21"/>
                      <w:lang w:val="en-US"/>
                    </w:rPr>
                  </w:pPr>
                  <w:r>
                    <w:rPr>
                      <w:color w:val="auto"/>
                      <w:szCs w:val="21"/>
                      <w:lang w:val="en-US"/>
                    </w:rPr>
                    <w:t>203.5</w:t>
                  </w:r>
                </w:p>
              </w:tc>
              <w:tc>
                <w:tcPr>
                  <w:tcW w:w="566" w:type="dxa"/>
                  <w:vAlign w:val="center"/>
                </w:tcPr>
                <w:p>
                  <w:pPr>
                    <w:pStyle w:val="26"/>
                    <w:spacing w:line="360" w:lineRule="exact"/>
                    <w:rPr>
                      <w:color w:val="auto"/>
                      <w:szCs w:val="21"/>
                    </w:rPr>
                  </w:pPr>
                  <w:r>
                    <w:rPr>
                      <w:color w:val="auto"/>
                      <w:szCs w:val="21"/>
                    </w:rPr>
                    <w:t>--</w:t>
                  </w:r>
                </w:p>
              </w:tc>
              <w:tc>
                <w:tcPr>
                  <w:tcW w:w="781" w:type="dxa"/>
                  <w:vAlign w:val="center"/>
                </w:tcPr>
                <w:p>
                  <w:pPr>
                    <w:pStyle w:val="26"/>
                    <w:spacing w:line="360" w:lineRule="exact"/>
                    <w:rPr>
                      <w:color w:val="auto"/>
                      <w:szCs w:val="21"/>
                      <w:lang w:val="en-US"/>
                    </w:rPr>
                  </w:pPr>
                  <w:r>
                    <w:rPr>
                      <w:color w:val="auto"/>
                      <w:szCs w:val="21"/>
                      <w:lang w:val="en-US"/>
                    </w:rPr>
                    <w:t>25</w:t>
                  </w:r>
                </w:p>
              </w:tc>
              <w:tc>
                <w:tcPr>
                  <w:tcW w:w="706" w:type="dxa"/>
                  <w:vAlign w:val="center"/>
                </w:tcPr>
                <w:p>
                  <w:pPr>
                    <w:pStyle w:val="26"/>
                    <w:spacing w:line="360" w:lineRule="exact"/>
                    <w:rPr>
                      <w:color w:val="auto"/>
                      <w:szCs w:val="21"/>
                    </w:rPr>
                  </w:pPr>
                  <w:r>
                    <w:rPr>
                      <w:color w:val="auto"/>
                      <w:szCs w:val="21"/>
                    </w:rPr>
                    <w:t>--</w:t>
                  </w:r>
                </w:p>
              </w:tc>
            </w:tr>
          </w:tbl>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bCs/>
              </w:rPr>
            </w:pPr>
          </w:p>
          <w:p>
            <w:pPr>
              <w:pStyle w:val="34"/>
              <w:ind w:firstLine="480"/>
              <w:rPr>
                <w:rFonts w:eastAsiaTheme="minorEastAsia"/>
                <w:szCs w:val="24"/>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20" w:name="_Toc351"/>
      <w:r>
        <w:rPr>
          <w:rFonts w:ascii="Times New Roman" w:hAnsi="Times New Roman" w:cs="Times New Roman"/>
          <w:b/>
          <w:color w:val="000000" w:themeColor="text1"/>
          <w:sz w:val="28"/>
          <w:szCs w:val="20"/>
          <w14:textFill>
            <w14:solidFill>
              <w14:schemeClr w14:val="tx1"/>
            </w14:solidFill>
          </w14:textFill>
        </w:rPr>
        <w:t>五、环境保护措施监督检查清单</w:t>
      </w:r>
      <w:bookmarkEnd w:id="20"/>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851"/>
        <w:gridCol w:w="852"/>
        <w:gridCol w:w="859"/>
        <w:gridCol w:w="1135"/>
        <w:gridCol w:w="3104"/>
        <w:gridCol w:w="1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内容</w:t>
            </w:r>
          </w:p>
          <w:p>
            <w:pPr>
              <w:spacing w:line="360" w:lineRule="exact"/>
              <w:jc w:val="left"/>
              <w:rPr>
                <w:rFonts w:ascii="Times New Roman" w:hAnsi="Times New Roman" w:cs="Times New Roman"/>
              </w:rPr>
            </w:pPr>
            <w:r>
              <w:rPr>
                <w:rFonts w:ascii="Times New Roman" w:hAnsi="Times New Roman" w:cs="Times New Roman"/>
              </w:rPr>
              <w:t>要素</w:t>
            </w:r>
          </w:p>
        </w:tc>
        <w:tc>
          <w:tcPr>
            <w:tcW w:w="2562"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135"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3104"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604"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851" w:type="dxa"/>
            <w:vAlign w:val="center"/>
          </w:tcPr>
          <w:p>
            <w:pPr>
              <w:pStyle w:val="26"/>
              <w:spacing w:line="360" w:lineRule="exact"/>
              <w:rPr>
                <w:color w:val="auto"/>
                <w:szCs w:val="21"/>
              </w:rPr>
            </w:pPr>
            <w:r>
              <w:rPr>
                <w:color w:val="auto"/>
                <w:szCs w:val="21"/>
              </w:rPr>
              <w:t>产品库</w:t>
            </w:r>
          </w:p>
        </w:tc>
        <w:tc>
          <w:tcPr>
            <w:tcW w:w="852" w:type="dxa"/>
            <w:vAlign w:val="center"/>
          </w:tcPr>
          <w:p>
            <w:pPr>
              <w:pStyle w:val="26"/>
              <w:spacing w:line="360" w:lineRule="exact"/>
              <w:rPr>
                <w:color w:val="auto"/>
                <w:szCs w:val="21"/>
              </w:rPr>
            </w:pPr>
            <w:r>
              <w:rPr>
                <w:color w:val="auto"/>
                <w:szCs w:val="21"/>
              </w:rPr>
              <w:t>装卸、暂存</w:t>
            </w:r>
          </w:p>
        </w:tc>
        <w:tc>
          <w:tcPr>
            <w:tcW w:w="859"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无组织</w:t>
            </w:r>
          </w:p>
        </w:tc>
        <w:tc>
          <w:tcPr>
            <w:tcW w:w="1135" w:type="dxa"/>
            <w:vAlign w:val="center"/>
          </w:tcPr>
          <w:p>
            <w:pPr>
              <w:pStyle w:val="26"/>
              <w:rPr>
                <w:rFonts w:eastAsiaTheme="minorEastAsia"/>
                <w:color w:val="auto"/>
                <w:szCs w:val="21"/>
              </w:rPr>
            </w:pPr>
            <w:r>
              <w:rPr>
                <w:rFonts w:eastAsiaTheme="minorEastAsia"/>
                <w:color w:val="auto"/>
                <w:szCs w:val="21"/>
              </w:rPr>
              <w:t>颗粒物</w:t>
            </w:r>
          </w:p>
        </w:tc>
        <w:tc>
          <w:tcPr>
            <w:tcW w:w="31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为最大限度降低扬尘对环境造成的影响，项目拟将产品库设置为车间式全封闭库房，则其扬尘抑制率约为90%。</w:t>
            </w:r>
          </w:p>
        </w:tc>
        <w:tc>
          <w:tcPr>
            <w:tcW w:w="1604" w:type="dxa"/>
            <w:vAlign w:val="center"/>
          </w:tcPr>
          <w:p>
            <w:pPr>
              <w:pStyle w:val="26"/>
              <w:spacing w:line="360" w:lineRule="exact"/>
              <w:ind w:firstLine="210" w:firstLineChars="100"/>
              <w:jc w:val="both"/>
              <w:rPr>
                <w:color w:val="auto"/>
                <w:szCs w:val="24"/>
              </w:rPr>
            </w:pPr>
            <w:r>
              <w:rPr>
                <w:color w:val="auto"/>
                <w:szCs w:val="24"/>
              </w:rPr>
              <w:t>《大气污染物综合排放标准》（GB16297-1996）无组织排放标准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851" w:type="dxa"/>
            <w:vAlign w:val="center"/>
          </w:tcPr>
          <w:p>
            <w:pPr>
              <w:pStyle w:val="26"/>
              <w:spacing w:line="360" w:lineRule="exact"/>
              <w:rPr>
                <w:color w:val="auto"/>
                <w:szCs w:val="21"/>
              </w:rPr>
            </w:pPr>
            <w:r>
              <w:rPr>
                <w:color w:val="auto"/>
                <w:szCs w:val="21"/>
              </w:rPr>
              <w:t>生产车间</w:t>
            </w:r>
          </w:p>
        </w:tc>
        <w:tc>
          <w:tcPr>
            <w:tcW w:w="852" w:type="dxa"/>
            <w:vAlign w:val="center"/>
          </w:tcPr>
          <w:p>
            <w:pPr>
              <w:pStyle w:val="26"/>
              <w:spacing w:line="360" w:lineRule="exact"/>
              <w:rPr>
                <w:color w:val="auto"/>
                <w:szCs w:val="21"/>
              </w:rPr>
            </w:pPr>
            <w:r>
              <w:rPr>
                <w:color w:val="auto"/>
                <w:szCs w:val="21"/>
              </w:rPr>
              <w:t>生产系统</w:t>
            </w:r>
          </w:p>
        </w:tc>
        <w:tc>
          <w:tcPr>
            <w:tcW w:w="859"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w:t>
            </w:r>
          </w:p>
        </w:tc>
        <w:tc>
          <w:tcPr>
            <w:tcW w:w="1135"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生产废水（pH、CODcr</w:t>
            </w:r>
            <w:r>
              <w:rPr>
                <w:rFonts w:eastAsiaTheme="minorEastAsia"/>
                <w:color w:val="auto"/>
                <w:szCs w:val="21"/>
              </w:rPr>
              <w:t>、</w:t>
            </w:r>
            <w:r>
              <w:rPr>
                <w:rFonts w:eastAsiaTheme="minorEastAsia"/>
                <w:color w:val="auto"/>
                <w:szCs w:val="21"/>
                <w:lang w:val="en-US"/>
              </w:rPr>
              <w:t>SS</w:t>
            </w:r>
            <w:r>
              <w:rPr>
                <w:rFonts w:eastAsiaTheme="minorEastAsia"/>
                <w:color w:val="auto"/>
                <w:szCs w:val="21"/>
              </w:rPr>
              <w:t>、</w:t>
            </w:r>
            <w:r>
              <w:rPr>
                <w:rFonts w:eastAsiaTheme="minorEastAsia"/>
                <w:color w:val="auto"/>
                <w:szCs w:val="21"/>
                <w:lang w:val="en-US"/>
              </w:rPr>
              <w:t>NH</w:t>
            </w:r>
            <w:r>
              <w:rPr>
                <w:rFonts w:eastAsiaTheme="minorEastAsia"/>
                <w:color w:val="auto"/>
                <w:szCs w:val="21"/>
                <w:vertAlign w:val="subscript"/>
                <w:lang w:val="en-US"/>
              </w:rPr>
              <w:t>3</w:t>
            </w:r>
            <w:r>
              <w:rPr>
                <w:rFonts w:eastAsiaTheme="minorEastAsia"/>
                <w:color w:val="auto"/>
                <w:szCs w:val="21"/>
                <w:lang w:val="en-US"/>
              </w:rPr>
              <w:t>-N）</w:t>
            </w:r>
          </w:p>
        </w:tc>
        <w:tc>
          <w:tcPr>
            <w:tcW w:w="31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项目生产废水主要为洗砂废水，项目拟设置一套生产废水处理系统对其进行处理，该系统由2个生产废水收集池、2个污水处理塔、2个清水池、2个泥浆回收池和4台污泥压滤机组成；项目生产废水经处理后完全回用，不外排。</w:t>
            </w:r>
          </w:p>
        </w:tc>
        <w:tc>
          <w:tcPr>
            <w:tcW w:w="1604" w:type="dxa"/>
            <w:vAlign w:val="center"/>
          </w:tcPr>
          <w:p>
            <w:pPr>
              <w:pStyle w:val="26"/>
              <w:spacing w:line="360" w:lineRule="exact"/>
              <w:ind w:firstLine="210" w:firstLineChars="100"/>
              <w:jc w:val="both"/>
              <w:rPr>
                <w:color w:val="auto"/>
                <w:szCs w:val="24"/>
              </w:rPr>
            </w:pPr>
            <w:r>
              <w:rPr>
                <w:color w:val="auto"/>
                <w:szCs w:val="24"/>
              </w:rPr>
              <w:t>不外排；执行《城市污水再生利用  工业用水水质》（GB/T 19923-2005）标准。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703" w:type="dxa"/>
            <w:gridSpan w:val="2"/>
            <w:tcBorders>
              <w:right w:val="single" w:color="auto" w:sz="4" w:space="0"/>
            </w:tcBorders>
            <w:vAlign w:val="center"/>
          </w:tcPr>
          <w:p>
            <w:pPr>
              <w:pStyle w:val="26"/>
              <w:spacing w:line="360" w:lineRule="exact"/>
              <w:rPr>
                <w:color w:val="auto"/>
                <w:szCs w:val="21"/>
              </w:rPr>
            </w:pPr>
            <w:r>
              <w:rPr>
                <w:color w:val="auto"/>
                <w:szCs w:val="21"/>
              </w:rPr>
              <w:t>员工生活</w:t>
            </w:r>
          </w:p>
        </w:tc>
        <w:tc>
          <w:tcPr>
            <w:tcW w:w="859" w:type="dxa"/>
            <w:tcBorders>
              <w:left w:val="single" w:color="auto" w:sz="4" w:space="0"/>
            </w:tcBorders>
            <w:vAlign w:val="center"/>
          </w:tcPr>
          <w:p>
            <w:pPr>
              <w:pStyle w:val="26"/>
              <w:spacing w:line="360" w:lineRule="exact"/>
              <w:rPr>
                <w:color w:val="auto"/>
                <w:szCs w:val="21"/>
              </w:rPr>
            </w:pPr>
            <w:r>
              <w:rPr>
                <w:color w:val="auto"/>
                <w:szCs w:val="21"/>
              </w:rPr>
              <w:t>一体化污水处理设施</w:t>
            </w:r>
          </w:p>
        </w:tc>
        <w:tc>
          <w:tcPr>
            <w:tcW w:w="1135" w:type="dxa"/>
            <w:vAlign w:val="center"/>
          </w:tcPr>
          <w:p>
            <w:pPr>
              <w:pStyle w:val="26"/>
              <w:rPr>
                <w:rFonts w:eastAsiaTheme="minorEastAsia"/>
                <w:color w:val="auto"/>
                <w:sz w:val="20"/>
                <w:szCs w:val="21"/>
              </w:rPr>
            </w:pPr>
            <w:r>
              <w:rPr>
                <w:rFonts w:eastAsiaTheme="minorEastAsia"/>
                <w:color w:val="auto"/>
                <w:szCs w:val="21"/>
              </w:rPr>
              <w:t>生活污水（pH、CODcr、BOD</w:t>
            </w:r>
            <w:r>
              <w:rPr>
                <w:rFonts w:eastAsiaTheme="minorEastAsia"/>
                <w:color w:val="auto"/>
                <w:szCs w:val="21"/>
                <w:vertAlign w:val="subscript"/>
              </w:rPr>
              <w:t>5</w:t>
            </w: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-N、SS、总磷、总氮、阴离子表面活性剂、粪大肠菌群数）</w:t>
            </w:r>
          </w:p>
        </w:tc>
        <w:tc>
          <w:tcPr>
            <w:tcW w:w="31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项目拟设置一个有效容积为2m³的化粪池、处理规模为2m³/d的一体化污水处理设施和一个有效容积为8m³的再生水收集池；项目生活污水经化粪池和一体化污水处理设施处理后，回用于绿化不外排。</w:t>
            </w:r>
          </w:p>
        </w:tc>
        <w:tc>
          <w:tcPr>
            <w:tcW w:w="1604" w:type="dxa"/>
            <w:tcBorders>
              <w:top w:val="single" w:color="auto" w:sz="4" w:space="0"/>
            </w:tcBorders>
            <w:vAlign w:val="center"/>
          </w:tcPr>
          <w:p>
            <w:pPr>
              <w:pStyle w:val="26"/>
              <w:spacing w:line="360" w:lineRule="exact"/>
              <w:ind w:firstLine="210" w:firstLineChars="100"/>
              <w:jc w:val="both"/>
              <w:rPr>
                <w:color w:val="auto"/>
                <w:szCs w:val="24"/>
              </w:rPr>
            </w:pPr>
            <w:r>
              <w:rPr>
                <w:color w:val="auto"/>
                <w:szCs w:val="24"/>
              </w:rPr>
              <w:t>不外排；执行《城市污水再生利用 城市杂用水水质》（GB/T18920-2020）城市绿化标准。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703" w:type="dxa"/>
            <w:gridSpan w:val="2"/>
            <w:vMerge w:val="restart"/>
            <w:tcBorders>
              <w:right w:val="single" w:color="auto" w:sz="4" w:space="0"/>
            </w:tcBorders>
            <w:vAlign w:val="center"/>
          </w:tcPr>
          <w:p>
            <w:pPr>
              <w:pStyle w:val="26"/>
              <w:spacing w:line="360" w:lineRule="exact"/>
              <w:rPr>
                <w:color w:val="auto"/>
                <w:szCs w:val="21"/>
              </w:rPr>
            </w:pPr>
            <w:r>
              <w:rPr>
                <w:rFonts w:eastAsiaTheme="minorEastAsia"/>
                <w:bCs w:val="0"/>
                <w:snapToGrid/>
                <w:color w:val="auto"/>
                <w:kern w:val="0"/>
                <w:szCs w:val="21"/>
                <w:lang w:val="en-US"/>
              </w:rPr>
              <w:t>厂区</w:t>
            </w:r>
          </w:p>
        </w:tc>
        <w:tc>
          <w:tcPr>
            <w:tcW w:w="859" w:type="dxa"/>
            <w:tcBorders>
              <w:left w:val="single" w:color="auto" w:sz="4" w:space="0"/>
            </w:tcBorders>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w:t>
            </w:r>
          </w:p>
        </w:tc>
        <w:tc>
          <w:tcPr>
            <w:tcW w:w="1135" w:type="dxa"/>
            <w:vAlign w:val="center"/>
          </w:tcPr>
          <w:p>
            <w:pPr>
              <w:pStyle w:val="26"/>
              <w:rPr>
                <w:rFonts w:eastAsiaTheme="minorEastAsia"/>
                <w:color w:val="auto"/>
                <w:szCs w:val="21"/>
              </w:rPr>
            </w:pPr>
            <w:r>
              <w:rPr>
                <w:rFonts w:eastAsiaTheme="minorEastAsia"/>
                <w:color w:val="auto"/>
                <w:szCs w:val="21"/>
              </w:rPr>
              <w:t>初期雨水</w:t>
            </w:r>
          </w:p>
        </w:tc>
        <w:tc>
          <w:tcPr>
            <w:tcW w:w="31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项目拟在厂房外围及厂区周围设置900m的截排水沟对雨天厂区产生的初期雨水及地表径流进行疏导，初期雨水通过截排水沟收集后进入有效容积不低于20m³的初期雨水收集池沉淀后回用于生产，不外排。</w:t>
            </w:r>
          </w:p>
        </w:tc>
        <w:tc>
          <w:tcPr>
            <w:tcW w:w="1604" w:type="dxa"/>
            <w:tcBorders>
              <w:top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bCs w:val="0"/>
                <w:snapToGrid/>
                <w:color w:val="auto"/>
                <w:kern w:val="0"/>
                <w:szCs w:val="21"/>
                <w:lang w:val="en-US"/>
              </w:rPr>
              <w:t>不外排；执行</w:t>
            </w:r>
            <w:r>
              <w:rPr>
                <w:rFonts w:eastAsiaTheme="minorEastAsia"/>
                <w:color w:val="auto"/>
              </w:rPr>
              <w:t>《城市污水再生利用  工业用水水质》（GB/T 19923-2005）标准。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703" w:type="dxa"/>
            <w:gridSpan w:val="2"/>
            <w:vMerge w:val="continue"/>
            <w:tcBorders>
              <w:right w:val="single" w:color="auto" w:sz="4" w:space="0"/>
            </w:tcBorders>
            <w:vAlign w:val="center"/>
          </w:tcPr>
          <w:p>
            <w:pPr>
              <w:pStyle w:val="26"/>
              <w:spacing w:line="360" w:lineRule="exact"/>
              <w:rPr>
                <w:rFonts w:eastAsiaTheme="minorEastAsia"/>
                <w:bCs w:val="0"/>
                <w:snapToGrid/>
                <w:color w:val="auto"/>
                <w:kern w:val="0"/>
                <w:szCs w:val="21"/>
                <w:lang w:val="en-US"/>
              </w:rPr>
            </w:pPr>
          </w:p>
        </w:tc>
        <w:tc>
          <w:tcPr>
            <w:tcW w:w="859" w:type="dxa"/>
            <w:tcBorders>
              <w:left w:val="single" w:color="auto" w:sz="4" w:space="0"/>
            </w:tcBorders>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雨水口</w:t>
            </w:r>
          </w:p>
        </w:tc>
        <w:tc>
          <w:tcPr>
            <w:tcW w:w="1135"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w:t>
            </w:r>
          </w:p>
        </w:tc>
        <w:tc>
          <w:tcPr>
            <w:tcW w:w="31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雨水外排。</w:t>
            </w:r>
          </w:p>
        </w:tc>
        <w:tc>
          <w:tcPr>
            <w:tcW w:w="1604" w:type="dxa"/>
            <w:vAlign w:val="center"/>
          </w:tcPr>
          <w:p>
            <w:pPr>
              <w:spacing w:line="360" w:lineRule="exact"/>
              <w:jc w:val="center"/>
              <w:rPr>
                <w:rFonts w:ascii="Times New Roman" w:hAnsi="Times New Roman" w:cs="Times New Roman"/>
              </w:rPr>
            </w:pP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声环境</w:t>
            </w:r>
          </w:p>
        </w:tc>
        <w:tc>
          <w:tcPr>
            <w:tcW w:w="851"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破碎车间</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颚式破碎机</w:t>
            </w:r>
          </w:p>
        </w:tc>
        <w:tc>
          <w:tcPr>
            <w:tcW w:w="1135"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3104"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1 \* GB2 </w:instrText>
            </w:r>
            <w:r>
              <w:rPr>
                <w:rFonts w:eastAsiaTheme="minorEastAsia"/>
                <w:color w:val="auto"/>
                <w:szCs w:val="21"/>
              </w:rPr>
              <w:fldChar w:fldCharType="separate"/>
            </w:r>
            <w:r>
              <w:rPr>
                <w:rFonts w:eastAsiaTheme="minorEastAsia"/>
                <w:color w:val="auto"/>
                <w:szCs w:val="21"/>
              </w:rPr>
              <w:t>⑴</w:t>
            </w:r>
            <w:r>
              <w:rPr>
                <w:rFonts w:eastAsiaTheme="minorEastAsia"/>
                <w:color w:val="auto"/>
                <w:szCs w:val="21"/>
              </w:rPr>
              <w:fldChar w:fldCharType="end"/>
            </w:r>
            <w:r>
              <w:rPr>
                <w:rFonts w:eastAsiaTheme="minorEastAsia"/>
                <w:color w:val="auto"/>
                <w:szCs w:val="21"/>
              </w:rPr>
              <w:t>设备安装减震垫、消声器、墙体阻隔等。</w:t>
            </w:r>
          </w:p>
          <w:p>
            <w:pPr>
              <w:pStyle w:val="26"/>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2 \* GB2 </w:instrText>
            </w:r>
            <w:r>
              <w:rPr>
                <w:rFonts w:eastAsiaTheme="minorEastAsia"/>
                <w:color w:val="auto"/>
                <w:szCs w:val="21"/>
              </w:rPr>
              <w:fldChar w:fldCharType="separate"/>
            </w:r>
            <w:r>
              <w:rPr>
                <w:rFonts w:eastAsiaTheme="minorEastAsia"/>
                <w:color w:val="auto"/>
                <w:szCs w:val="21"/>
              </w:rPr>
              <w:t>⑵</w:t>
            </w:r>
            <w:r>
              <w:rPr>
                <w:rFonts w:eastAsiaTheme="minorEastAsia"/>
                <w:color w:val="auto"/>
                <w:szCs w:val="21"/>
              </w:rPr>
              <w:fldChar w:fldCharType="end"/>
            </w:r>
            <w:r>
              <w:rPr>
                <w:rFonts w:eastAsiaTheme="minorEastAsia"/>
                <w:color w:val="auto"/>
                <w:szCs w:val="21"/>
              </w:rPr>
              <w:t>采用绿化阻隔噪声传播。</w:t>
            </w:r>
          </w:p>
          <w:p>
            <w:pPr>
              <w:pStyle w:val="26"/>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3 \* GB2 </w:instrText>
            </w:r>
            <w:r>
              <w:rPr>
                <w:rFonts w:eastAsiaTheme="minorEastAsia"/>
                <w:color w:val="auto"/>
                <w:szCs w:val="21"/>
              </w:rPr>
              <w:fldChar w:fldCharType="separate"/>
            </w:r>
            <w:r>
              <w:rPr>
                <w:rFonts w:eastAsiaTheme="minorEastAsia"/>
                <w:color w:val="auto"/>
                <w:szCs w:val="21"/>
              </w:rPr>
              <w:t>⑶</w:t>
            </w:r>
            <w:r>
              <w:rPr>
                <w:rFonts w:eastAsiaTheme="minorEastAsia"/>
                <w:color w:val="auto"/>
                <w:szCs w:val="21"/>
              </w:rPr>
              <w:fldChar w:fldCharType="end"/>
            </w:r>
            <w:r>
              <w:rPr>
                <w:rFonts w:eastAsiaTheme="minorEastAsia"/>
                <w:color w:val="auto"/>
                <w:szCs w:val="21"/>
              </w:rPr>
              <w:t>尽可能选用噪声低、振动小、能耗小的机械设备。</w:t>
            </w:r>
          </w:p>
          <w:p>
            <w:pPr>
              <w:pStyle w:val="26"/>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4 \* GB2 </w:instrText>
            </w:r>
            <w:r>
              <w:rPr>
                <w:rFonts w:eastAsiaTheme="minorEastAsia"/>
                <w:color w:val="auto"/>
                <w:szCs w:val="21"/>
              </w:rPr>
              <w:fldChar w:fldCharType="separate"/>
            </w:r>
            <w:r>
              <w:rPr>
                <w:rFonts w:eastAsiaTheme="minorEastAsia"/>
                <w:color w:val="auto"/>
                <w:szCs w:val="21"/>
              </w:rPr>
              <w:t>⑷</w:t>
            </w:r>
            <w:r>
              <w:rPr>
                <w:rFonts w:eastAsiaTheme="minorEastAsia"/>
                <w:color w:val="auto"/>
                <w:szCs w:val="21"/>
              </w:rPr>
              <w:fldChar w:fldCharType="end"/>
            </w:r>
            <w:r>
              <w:rPr>
                <w:rFonts w:eastAsiaTheme="minorEastAsia"/>
                <w:color w:val="auto"/>
                <w:szCs w:val="21"/>
              </w:rPr>
              <w:t>加强生产设备的日常维护，并对老化和性能降低的旧设备进行及时更换，以此降低磨擦，减少噪声强度。</w:t>
            </w:r>
          </w:p>
          <w:p>
            <w:pPr>
              <w:pStyle w:val="26"/>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5 \* GB2 </w:instrText>
            </w:r>
            <w:r>
              <w:rPr>
                <w:rFonts w:eastAsiaTheme="minorEastAsia"/>
                <w:color w:val="auto"/>
                <w:szCs w:val="21"/>
              </w:rPr>
              <w:fldChar w:fldCharType="separate"/>
            </w:r>
            <w:r>
              <w:rPr>
                <w:rFonts w:eastAsiaTheme="minorEastAsia"/>
                <w:color w:val="auto"/>
                <w:szCs w:val="21"/>
              </w:rPr>
              <w:t>⑸</w:t>
            </w:r>
            <w:r>
              <w:rPr>
                <w:rFonts w:eastAsiaTheme="minorEastAsia"/>
                <w:color w:val="auto"/>
                <w:szCs w:val="21"/>
              </w:rPr>
              <w:fldChar w:fldCharType="end"/>
            </w:r>
            <w:r>
              <w:rPr>
                <w:rFonts w:eastAsiaTheme="minorEastAsia"/>
                <w:color w:val="auto"/>
                <w:szCs w:val="21"/>
              </w:rPr>
              <w:t>应加强运输车辆管理，教育运输人员运输时低速、匀速行驶，禁止鸣笛。</w:t>
            </w:r>
          </w:p>
        </w:tc>
        <w:tc>
          <w:tcPr>
            <w:tcW w:w="1604"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达到《工业企业厂界环境噪声排放标准》（GB12348-2008）2类。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冲击式破碎机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ind w:firstLine="210" w:firstLineChars="100"/>
              <w:jc w:val="both"/>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圆锥破碎机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ind w:firstLine="210" w:firstLineChars="100"/>
              <w:jc w:val="both"/>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restart"/>
            <w:tcBorders>
              <w:top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筛分水洗车间</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振动筛</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螺旋洗砂机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脱水筛</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restart"/>
            <w:tcBorders>
              <w:top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产品库</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装载机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叉车</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tcBorders>
              <w:bottom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rPr>
              <w:t>生产废水处理系统</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rPr>
              <w:t>污泥压滤机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2562" w:type="dxa"/>
            <w:gridSpan w:val="3"/>
            <w:vAlign w:val="center"/>
          </w:tcPr>
          <w:p>
            <w:pPr>
              <w:spacing w:line="360" w:lineRule="exact"/>
              <w:jc w:val="center"/>
              <w:rPr>
                <w:rFonts w:ascii="Times New Roman" w:hAnsi="Times New Roman" w:cs="Times New Roman"/>
                <w:kern w:val="0"/>
              </w:rPr>
            </w:pPr>
            <w:r>
              <w:rPr>
                <w:rFonts w:ascii="Times New Roman" w:hAnsi="Times New Roman" w:cs="Times New Roman"/>
                <w:szCs w:val="24"/>
              </w:rPr>
              <w:t>生产废水处理系统</w:t>
            </w:r>
          </w:p>
        </w:tc>
        <w:tc>
          <w:tcPr>
            <w:tcW w:w="1135" w:type="dxa"/>
            <w:tcBorders>
              <w:bottom w:val="single" w:color="auto" w:sz="4" w:space="0"/>
            </w:tcBorders>
            <w:vAlign w:val="center"/>
          </w:tcPr>
          <w:p>
            <w:pPr>
              <w:pStyle w:val="26"/>
              <w:spacing w:line="360" w:lineRule="exact"/>
              <w:rPr>
                <w:color w:val="auto"/>
                <w:kern w:val="0"/>
              </w:rPr>
            </w:pPr>
            <w:r>
              <w:rPr>
                <w:rFonts w:eastAsiaTheme="minorEastAsia"/>
                <w:color w:val="auto"/>
                <w:szCs w:val="21"/>
              </w:rPr>
              <w:t>生产废水污泥</w:t>
            </w:r>
          </w:p>
        </w:tc>
        <w:tc>
          <w:tcPr>
            <w:tcW w:w="3104" w:type="dxa"/>
            <w:tcBorders>
              <w:bottom w:val="single" w:color="auto" w:sz="4" w:space="0"/>
            </w:tcBorders>
            <w:vAlign w:val="center"/>
          </w:tcPr>
          <w:p>
            <w:pPr>
              <w:pStyle w:val="26"/>
              <w:spacing w:line="360" w:lineRule="exact"/>
              <w:ind w:firstLine="210" w:firstLineChars="100"/>
              <w:jc w:val="both"/>
              <w:rPr>
                <w:rFonts w:eastAsiaTheme="minorEastAsia"/>
                <w:color w:val="auto"/>
                <w:szCs w:val="24"/>
              </w:rPr>
            </w:pPr>
            <w:r>
              <w:rPr>
                <w:color w:val="auto"/>
                <w:szCs w:val="21"/>
              </w:rPr>
              <w:t>项目拟设置的100m²污泥暂存库对其进行暂存，该污泥的主要成分为小江河流中的泥土，一部分用于厂区周围绿化覆土和道路建设，剩余部分将其用于小李庄村肥田。</w:t>
            </w:r>
          </w:p>
        </w:tc>
        <w:tc>
          <w:tcPr>
            <w:tcW w:w="1604" w:type="dxa"/>
            <w:tcBorders>
              <w:bottom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4"/>
              </w:rPr>
              <w:t>处置率100%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Merge w:val="restart"/>
            <w:vAlign w:val="center"/>
          </w:tcPr>
          <w:p>
            <w:pPr>
              <w:spacing w:line="360" w:lineRule="exact"/>
              <w:jc w:val="center"/>
              <w:rPr>
                <w:rFonts w:ascii="Times New Roman" w:hAnsi="Times New Roman" w:cs="Times New Roman"/>
              </w:rPr>
            </w:pPr>
            <w:r>
              <w:rPr>
                <w:rFonts w:ascii="Times New Roman" w:hAnsi="Times New Roman" w:cs="Times New Roman"/>
              </w:rPr>
              <w:t>设备维护</w:t>
            </w:r>
          </w:p>
        </w:tc>
        <w:tc>
          <w:tcPr>
            <w:tcW w:w="1135" w:type="dxa"/>
            <w:vAlign w:val="center"/>
          </w:tcPr>
          <w:p>
            <w:pPr>
              <w:pStyle w:val="26"/>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废机油</w:t>
            </w:r>
          </w:p>
        </w:tc>
        <w:tc>
          <w:tcPr>
            <w:tcW w:w="3104" w:type="dxa"/>
            <w:tcBorders>
              <w:top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4"/>
              </w:rPr>
              <w:t>厂区拟建设1个5m²的危险废物贮存间对项目区废机油等危险废物进行暂存；部分用于生产设备润滑使用，无法使用部分委托有资质的单位处置。</w:t>
            </w:r>
          </w:p>
        </w:tc>
        <w:tc>
          <w:tcPr>
            <w:tcW w:w="16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Merge w:val="continue"/>
            <w:vAlign w:val="center"/>
          </w:tcPr>
          <w:p>
            <w:pPr>
              <w:spacing w:line="360" w:lineRule="exact"/>
              <w:jc w:val="center"/>
              <w:rPr>
                <w:rFonts w:ascii="Times New Roman" w:hAnsi="Times New Roman" w:cs="Times New Roman"/>
              </w:rPr>
            </w:pPr>
          </w:p>
        </w:tc>
        <w:tc>
          <w:tcPr>
            <w:tcW w:w="1135" w:type="dxa"/>
            <w:vAlign w:val="center"/>
          </w:tcPr>
          <w:p>
            <w:pPr>
              <w:pStyle w:val="26"/>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废弃沾油抹布</w:t>
            </w:r>
          </w:p>
        </w:tc>
        <w:tc>
          <w:tcPr>
            <w:tcW w:w="31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使用垃圾桶集中收集，委托环卫部门定期清运处置。</w:t>
            </w:r>
          </w:p>
        </w:tc>
        <w:tc>
          <w:tcPr>
            <w:tcW w:w="16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Align w:val="center"/>
          </w:tcPr>
          <w:p>
            <w:pPr>
              <w:spacing w:line="360" w:lineRule="exact"/>
              <w:jc w:val="center"/>
              <w:rPr>
                <w:rFonts w:ascii="Times New Roman" w:hAnsi="Times New Roman" w:cs="Times New Roman"/>
              </w:rPr>
            </w:pPr>
            <w:r>
              <w:rPr>
                <w:rFonts w:ascii="Times New Roman" w:hAnsi="Times New Roman" w:cs="Times New Roman"/>
              </w:rPr>
              <w:t>生活污水处理系统</w:t>
            </w:r>
          </w:p>
        </w:tc>
        <w:tc>
          <w:tcPr>
            <w:tcW w:w="1135" w:type="dxa"/>
            <w:vAlign w:val="center"/>
          </w:tcPr>
          <w:p>
            <w:pPr>
              <w:pStyle w:val="26"/>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生活污水污泥</w:t>
            </w:r>
          </w:p>
        </w:tc>
        <w:tc>
          <w:tcPr>
            <w:tcW w:w="3104" w:type="dxa"/>
            <w:vAlign w:val="center"/>
          </w:tcPr>
          <w:p>
            <w:pPr>
              <w:pStyle w:val="26"/>
              <w:spacing w:line="360" w:lineRule="exact"/>
              <w:ind w:firstLine="210" w:firstLineChars="100"/>
              <w:jc w:val="both"/>
              <w:rPr>
                <w:rFonts w:eastAsiaTheme="minorEastAsia"/>
                <w:color w:val="auto"/>
                <w:szCs w:val="21"/>
              </w:rPr>
            </w:pPr>
            <w:r>
              <w:rPr>
                <w:color w:val="auto"/>
              </w:rPr>
              <w:t>委托环卫部门清运处理</w:t>
            </w:r>
          </w:p>
        </w:tc>
        <w:tc>
          <w:tcPr>
            <w:tcW w:w="16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Align w:val="center"/>
          </w:tcPr>
          <w:p>
            <w:pPr>
              <w:spacing w:line="360" w:lineRule="exact"/>
              <w:jc w:val="center"/>
              <w:rPr>
                <w:rFonts w:ascii="Times New Roman" w:hAnsi="Times New Roman" w:cs="Times New Roman"/>
              </w:rPr>
            </w:pPr>
            <w:r>
              <w:rPr>
                <w:rFonts w:ascii="Times New Roman" w:hAnsi="Times New Roman" w:cs="Times New Roman"/>
              </w:rPr>
              <w:t>员工生活</w:t>
            </w:r>
          </w:p>
        </w:tc>
        <w:tc>
          <w:tcPr>
            <w:tcW w:w="1135" w:type="dxa"/>
            <w:vAlign w:val="center"/>
          </w:tcPr>
          <w:p>
            <w:pPr>
              <w:spacing w:line="360" w:lineRule="exact"/>
              <w:jc w:val="center"/>
              <w:rPr>
                <w:rFonts w:ascii="Times New Roman" w:hAnsi="Times New Roman" w:cs="Times New Roman"/>
              </w:rPr>
            </w:pPr>
            <w:r>
              <w:rPr>
                <w:rFonts w:ascii="Times New Roman" w:hAnsi="Times New Roman" w:cs="Times New Roman"/>
              </w:rPr>
              <w:t>生活垃圾</w:t>
            </w:r>
          </w:p>
        </w:tc>
        <w:tc>
          <w:tcPr>
            <w:tcW w:w="31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委托环卫部门定期清运处置。</w:t>
            </w:r>
          </w:p>
        </w:tc>
        <w:tc>
          <w:tcPr>
            <w:tcW w:w="1604"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土壤及地下水污染防治措施</w:t>
            </w:r>
          </w:p>
        </w:tc>
        <w:tc>
          <w:tcPr>
            <w:tcW w:w="8405" w:type="dxa"/>
            <w:gridSpan w:val="6"/>
            <w:vAlign w:val="center"/>
          </w:tcPr>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1 \* GB2 </w:instrText>
            </w:r>
            <w:r>
              <w:rPr>
                <w:rFonts w:eastAsiaTheme="minorEastAsia"/>
                <w:color w:val="auto"/>
                <w:sz w:val="24"/>
                <w:szCs w:val="21"/>
              </w:rPr>
              <w:fldChar w:fldCharType="separate"/>
            </w:r>
            <w:r>
              <w:rPr>
                <w:rFonts w:eastAsiaTheme="minorEastAsia"/>
                <w:color w:val="auto"/>
                <w:sz w:val="24"/>
                <w:szCs w:val="21"/>
              </w:rPr>
              <w:t>⑴</w:t>
            </w:r>
            <w:r>
              <w:rPr>
                <w:rFonts w:eastAsiaTheme="minorEastAsia"/>
                <w:color w:val="auto"/>
                <w:sz w:val="24"/>
                <w:szCs w:val="21"/>
              </w:rPr>
              <w:fldChar w:fldCharType="end"/>
            </w:r>
            <w:r>
              <w:rPr>
                <w:rFonts w:eastAsiaTheme="minorEastAsia"/>
                <w:color w:val="auto"/>
                <w:sz w:val="24"/>
                <w:szCs w:val="21"/>
              </w:rPr>
              <w:t>重点防渗区</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项目重点防渗区为危险废物贮存间：危险废物贮存间地面及裙墙应采用不低于2mm后的HDPE膜或其他人工防渗材料进行防渗，使其渗透系数≤10</w:t>
            </w:r>
            <w:r>
              <w:rPr>
                <w:rFonts w:eastAsiaTheme="minorEastAsia"/>
                <w:color w:val="auto"/>
                <w:sz w:val="24"/>
                <w:szCs w:val="21"/>
                <w:vertAlign w:val="superscript"/>
              </w:rPr>
              <w:t>-10</w:t>
            </w:r>
            <w:r>
              <w:rPr>
                <w:rFonts w:eastAsiaTheme="minorEastAsia"/>
                <w:color w:val="auto"/>
                <w:sz w:val="24"/>
                <w:szCs w:val="21"/>
              </w:rPr>
              <w:t>cm/s。</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2 \* GB2 </w:instrText>
            </w:r>
            <w:r>
              <w:rPr>
                <w:rFonts w:eastAsiaTheme="minorEastAsia"/>
                <w:color w:val="auto"/>
                <w:sz w:val="24"/>
                <w:szCs w:val="21"/>
              </w:rPr>
              <w:fldChar w:fldCharType="separate"/>
            </w:r>
            <w:r>
              <w:rPr>
                <w:rFonts w:eastAsiaTheme="minorEastAsia"/>
                <w:color w:val="auto"/>
                <w:sz w:val="24"/>
                <w:szCs w:val="21"/>
              </w:rPr>
              <w:t>⑵</w:t>
            </w:r>
            <w:r>
              <w:rPr>
                <w:rFonts w:eastAsiaTheme="minorEastAsia"/>
                <w:color w:val="auto"/>
                <w:sz w:val="24"/>
                <w:szCs w:val="21"/>
              </w:rPr>
              <w:fldChar w:fldCharType="end"/>
            </w:r>
            <w:r>
              <w:rPr>
                <w:rFonts w:eastAsiaTheme="minorEastAsia"/>
                <w:color w:val="auto"/>
                <w:sz w:val="24"/>
                <w:szCs w:val="21"/>
              </w:rPr>
              <w:t>一般防渗区</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根据分区防渗规范要求，项目生产车间、产品库、生产废水处理系统、生活污水处理系统和初期雨水收集系统区域均划定为一般防渗区，各一般防渗区域拟应采用粘土铺底，并在上层铺30cm的混凝土进行硬化。确保防渗性能，使其渗透系数≤1.0×10</w:t>
            </w:r>
            <w:r>
              <w:rPr>
                <w:rFonts w:eastAsiaTheme="minorEastAsia"/>
                <w:color w:val="auto"/>
                <w:sz w:val="24"/>
                <w:szCs w:val="21"/>
                <w:vertAlign w:val="superscript"/>
              </w:rPr>
              <w:t>-7</w:t>
            </w:r>
            <w:r>
              <w:rPr>
                <w:rFonts w:eastAsiaTheme="minorEastAsia"/>
                <w:color w:val="auto"/>
                <w:sz w:val="24"/>
                <w:szCs w:val="21"/>
              </w:rPr>
              <w:t>cm/s。</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3 \* GB2 </w:instrText>
            </w:r>
            <w:r>
              <w:rPr>
                <w:rFonts w:eastAsiaTheme="minorEastAsia"/>
                <w:color w:val="auto"/>
                <w:sz w:val="24"/>
                <w:szCs w:val="21"/>
              </w:rPr>
              <w:fldChar w:fldCharType="separate"/>
            </w:r>
            <w:r>
              <w:rPr>
                <w:rFonts w:eastAsiaTheme="minorEastAsia"/>
                <w:color w:val="auto"/>
                <w:sz w:val="24"/>
                <w:szCs w:val="21"/>
              </w:rPr>
              <w:t>⑶</w:t>
            </w:r>
            <w:r>
              <w:rPr>
                <w:rFonts w:eastAsiaTheme="minorEastAsia"/>
                <w:color w:val="auto"/>
                <w:sz w:val="24"/>
                <w:szCs w:val="21"/>
              </w:rPr>
              <w:fldChar w:fldCharType="end"/>
            </w:r>
            <w:r>
              <w:rPr>
                <w:rFonts w:eastAsiaTheme="minorEastAsia"/>
                <w:color w:val="auto"/>
                <w:sz w:val="24"/>
                <w:szCs w:val="21"/>
              </w:rPr>
              <w:t>简单防渗区</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根据项目特点，对于基本上不产生污染物的简单防渗区，不采取专门针对地下水污染的防治措施。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生态保护措施</w:t>
            </w:r>
          </w:p>
        </w:tc>
        <w:tc>
          <w:tcPr>
            <w:tcW w:w="8405" w:type="dxa"/>
            <w:gridSpan w:val="6"/>
            <w:vAlign w:val="center"/>
          </w:tcPr>
          <w:p>
            <w:pPr>
              <w:pStyle w:val="26"/>
              <w:spacing w:line="360" w:lineRule="auto"/>
              <w:ind w:firstLine="240" w:firstLineChars="100"/>
              <w:jc w:val="both"/>
              <w:rPr>
                <w:rFonts w:eastAsiaTheme="minorEastAsia"/>
                <w:color w:val="auto"/>
                <w:szCs w:val="21"/>
              </w:rPr>
            </w:pPr>
            <w:r>
              <w:rPr>
                <w:rFonts w:eastAsiaTheme="minorEastAsia"/>
                <w:color w:val="auto"/>
                <w:sz w:val="24"/>
                <w:szCs w:val="21"/>
              </w:rPr>
              <w:t>本项目的建设对生态的主要影响为改变土地的利用类型，但项目实际占地较小，其生态环境影响较小，同时，项目建设过程中将对靠河一侧建设绿化带，则进一步降低项目对生态环境的影响。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环境风险防范措施</w:t>
            </w:r>
          </w:p>
        </w:tc>
        <w:tc>
          <w:tcPr>
            <w:tcW w:w="8405" w:type="dxa"/>
            <w:gridSpan w:val="6"/>
            <w:vAlign w:val="center"/>
          </w:tcPr>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①危废废物应储存于规范的危险废物贮存间；入库时，严格检验物品质量、数量、包装情况、有无泄漏。</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③项目区配备相应品种的消防器材。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其他环境管理要求</w:t>
            </w:r>
          </w:p>
        </w:tc>
        <w:tc>
          <w:tcPr>
            <w:tcW w:w="8405" w:type="dxa"/>
            <w:gridSpan w:val="6"/>
            <w:vAlign w:val="center"/>
          </w:tcPr>
          <w:p>
            <w:pPr>
              <w:pStyle w:val="26"/>
              <w:spacing w:line="360" w:lineRule="auto"/>
              <w:ind w:firstLine="240" w:firstLineChars="100"/>
              <w:jc w:val="both"/>
              <w:rPr>
                <w:rFonts w:eastAsiaTheme="minorEastAsia"/>
                <w:color w:val="auto"/>
                <w:sz w:val="24"/>
                <w:szCs w:val="21"/>
              </w:rPr>
            </w:pPr>
            <w:r>
              <w:rPr>
                <w:color w:val="auto"/>
                <w:sz w:val="24"/>
                <w:szCs w:val="21"/>
              </w:rPr>
              <w:t>①</w:t>
            </w:r>
            <w:r>
              <w:rPr>
                <w:rFonts w:eastAsiaTheme="minorEastAsia"/>
                <w:color w:val="auto"/>
                <w:sz w:val="24"/>
                <w:szCs w:val="21"/>
              </w:rPr>
              <w:t>建设单位按照危险废物管理的规范要求，设置危险废物识别标志、环境保护图形标志。</w:t>
            </w:r>
          </w:p>
          <w:p>
            <w:pPr>
              <w:pStyle w:val="26"/>
              <w:spacing w:line="360" w:lineRule="auto"/>
              <w:ind w:firstLine="240" w:firstLineChars="100"/>
              <w:jc w:val="both"/>
              <w:rPr>
                <w:rFonts w:eastAsiaTheme="minorEastAsia"/>
                <w:color w:val="auto"/>
                <w:sz w:val="24"/>
                <w:szCs w:val="21"/>
              </w:rPr>
            </w:pPr>
            <w:r>
              <w:rPr>
                <w:color w:val="auto"/>
                <w:sz w:val="24"/>
                <w:szCs w:val="21"/>
              </w:rPr>
              <w:t>②</w:t>
            </w:r>
            <w:r>
              <w:rPr>
                <w:rFonts w:eastAsiaTheme="minorEastAsia"/>
                <w:color w:val="auto"/>
                <w:sz w:val="24"/>
                <w:szCs w:val="21"/>
              </w:rPr>
              <w:t>要求建设单位制定突发环境事件应急预案，报所在地县级以上环境保护行政主管部门备案并按照预案要求每年组织演练。</w:t>
            </w: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jc w:val="both"/>
              <w:rPr>
                <w:rFonts w:eastAsiaTheme="minorEastAsia"/>
                <w:color w:val="auto"/>
                <w:szCs w:val="21"/>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21" w:name="_Toc25477"/>
      <w:r>
        <w:rPr>
          <w:rFonts w:ascii="Times New Roman" w:hAnsi="Times New Roman" w:cs="Times New Roman"/>
          <w:b/>
          <w:color w:val="000000" w:themeColor="text1"/>
          <w:sz w:val="28"/>
          <w:szCs w:val="20"/>
          <w14:textFill>
            <w14:solidFill>
              <w14:schemeClr w14:val="tx1"/>
            </w14:solidFill>
          </w14:textFill>
        </w:rPr>
        <w:t>六、结论</w:t>
      </w:r>
      <w:bookmarkEnd w:id="21"/>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156" w:beforeLines="50"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昆明滇中浩翊新型建材有限公司拟建设的东川区再利用废石废渣生产建筑用石用砂小李庄加工厂建设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tc>
      </w:tr>
    </w:tbl>
    <w:p>
      <w:pPr>
        <w:spacing w:line="360" w:lineRule="auto"/>
        <w:rPr>
          <w:rFonts w:ascii="Times New Roman" w:hAnsi="Times New Roman" w:cs="Times New Roman"/>
          <w:color w:val="000000" w:themeColor="text1"/>
          <w:sz w:val="24"/>
          <w:szCs w:val="24"/>
          <w14:textFill>
            <w14:solidFill>
              <w14:schemeClr w14:val="tx1"/>
            </w14:solidFill>
          </w14:textFill>
        </w:rPr>
        <w:sectPr>
          <w:footerReference r:id="rId3" w:type="default"/>
          <w:pgSz w:w="11906" w:h="16838"/>
          <w:pgMar w:top="1440" w:right="1797" w:bottom="1440" w:left="1797" w:header="851" w:footer="992" w:gutter="0"/>
          <w:pgNumType w:start="1"/>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22" w:name="_Toc31761"/>
      <w:r>
        <w:rPr>
          <w:rFonts w:ascii="Times New Roman" w:hAnsi="Times New Roman" w:cs="Times New Roman"/>
          <w:b/>
          <w:color w:val="000000" w:themeColor="text1"/>
          <w:sz w:val="28"/>
          <w:szCs w:val="20"/>
          <w14:textFill>
            <w14:solidFill>
              <w14:schemeClr w14:val="tx1"/>
            </w14:solidFill>
          </w14:textFill>
        </w:rPr>
        <w:t>附表</w:t>
      </w:r>
      <w:bookmarkEnd w:id="22"/>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建设项目污染物排放量汇总表</w:t>
      </w:r>
    </w:p>
    <w:tbl>
      <w:tblPr>
        <w:tblStyle w:val="17"/>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项目</w:t>
            </w:r>
          </w:p>
          <w:p>
            <w:pPr>
              <w:spacing w:line="360" w:lineRule="exact"/>
              <w:jc w:val="left"/>
              <w:rPr>
                <w:rFonts w:ascii="Times New Roman" w:hAnsi="Times New Roman" w:cs="Times New Roman"/>
              </w:rPr>
            </w:pPr>
            <w:r>
              <w:rPr>
                <w:rFonts w:ascii="Times New Roman" w:hAnsi="Times New Roman" w:cs="Times New Roman"/>
              </w:rPr>
              <w:t>分类</w:t>
            </w:r>
          </w:p>
        </w:tc>
        <w:tc>
          <w:tcPr>
            <w:tcW w:w="1984" w:type="dxa"/>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560"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ascii="Times New Roman" w:hAnsi="Times New Roman" w:eastAsia="宋体" w:cs="Times New Roman"/>
              </w:rPr>
              <w:t>①</w:t>
            </w:r>
          </w:p>
        </w:tc>
        <w:tc>
          <w:tcPr>
            <w:tcW w:w="1417"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ascii="Times New Roman" w:hAnsi="Times New Roman" w:eastAsia="宋体" w:cs="Times New Roman"/>
              </w:rPr>
              <w:t>②</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ascii="Times New Roman" w:hAnsi="Times New Roman" w:eastAsia="宋体" w:cs="Times New Roman"/>
              </w:rPr>
              <w:t>③</w:t>
            </w:r>
          </w:p>
        </w:tc>
        <w:tc>
          <w:tcPr>
            <w:tcW w:w="1828" w:type="dxa"/>
            <w:vAlign w:val="center"/>
          </w:tcPr>
          <w:p>
            <w:pPr>
              <w:spacing w:line="360" w:lineRule="exact"/>
              <w:jc w:val="center"/>
              <w:rPr>
                <w:rFonts w:ascii="Times New Roman" w:hAnsi="Times New Roman" w:cs="Times New Roman"/>
              </w:rPr>
            </w:pPr>
            <w:r>
              <w:rPr>
                <w:rFonts w:ascii="Times New Roman" w:hAnsi="Times New Roman" w:cs="Times New Roman"/>
              </w:rPr>
              <w:t>本项目排放量（固体废物产生量）</w:t>
            </w:r>
            <w:r>
              <w:rPr>
                <w:rFonts w:ascii="Times New Roman" w:hAnsi="Times New Roman" w:eastAsia="宋体" w:cs="Times New Roman"/>
              </w:rPr>
              <w:t>④</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以新带老削减量（新建项目不填）</w:t>
            </w:r>
            <w:r>
              <w:rPr>
                <w:rFonts w:ascii="Times New Roman" w:hAnsi="Times New Roman" w:eastAsia="宋体" w:cs="Times New Roman"/>
              </w:rPr>
              <w:t>⑤</w:t>
            </w:r>
          </w:p>
        </w:tc>
        <w:tc>
          <w:tcPr>
            <w:tcW w:w="1842" w:type="dxa"/>
            <w:vAlign w:val="center"/>
          </w:tcPr>
          <w:p>
            <w:pPr>
              <w:spacing w:line="360" w:lineRule="exact"/>
              <w:jc w:val="center"/>
              <w:rPr>
                <w:rFonts w:ascii="Times New Roman" w:hAnsi="Times New Roman" w:cs="Times New Roman"/>
              </w:rPr>
            </w:pPr>
            <w:r>
              <w:rPr>
                <w:rFonts w:ascii="Times New Roman" w:hAnsi="Times New Roman" w:cs="Times New Roman"/>
              </w:rPr>
              <w:t>本项目建成后全厂排放量（固体废物产生量）</w:t>
            </w:r>
            <w:r>
              <w:rPr>
                <w:rFonts w:ascii="Times New Roman" w:hAnsi="Times New Roman" w:eastAsia="宋体" w:cs="Times New Roman"/>
              </w:rPr>
              <w:t>⑥</w:t>
            </w:r>
          </w:p>
        </w:tc>
        <w:tc>
          <w:tcPr>
            <w:tcW w:w="1308"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ascii="Times New Roman" w:hAnsi="Times New Roman" w:eastAsia="宋体" w:cs="Times New Roman"/>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26"/>
              <w:spacing w:line="360" w:lineRule="exact"/>
              <w:rPr>
                <w:rFonts w:eastAsiaTheme="minorEastAsia"/>
                <w:color w:val="auto"/>
                <w:szCs w:val="21"/>
              </w:rPr>
            </w:pPr>
            <w:r>
              <w:rPr>
                <w:rFonts w:eastAsiaTheme="minorEastAsia"/>
                <w:color w:val="auto"/>
                <w:szCs w:val="21"/>
              </w:rPr>
              <w:t>废气</w:t>
            </w: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颗粒物</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0.28</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0.28</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废水量</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pH</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CODcr</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总磷</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总氮</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阴离子表面活性剂</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6"/>
              <w:spacing w:line="360" w:lineRule="exact"/>
              <w:rPr>
                <w:rFonts w:eastAsiaTheme="minorEastAsia"/>
                <w:color w:val="auto"/>
                <w:szCs w:val="21"/>
              </w:rPr>
            </w:pPr>
            <w:r>
              <w:rPr>
                <w:rFonts w:eastAsiaTheme="minorEastAsia"/>
                <w:color w:val="auto"/>
                <w:szCs w:val="21"/>
              </w:rPr>
              <w:t>一般工业固废</w:t>
            </w: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生产废水污泥</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c>
          <w:tcPr>
            <w:tcW w:w="1308" w:type="dxa"/>
            <w:vAlign w:val="center"/>
          </w:tcPr>
          <w:p>
            <w:pPr>
              <w:pStyle w:val="26"/>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6"/>
              <w:spacing w:line="360" w:lineRule="exact"/>
              <w:rPr>
                <w:rFonts w:eastAsiaTheme="minorEastAsia"/>
                <w:color w:val="auto"/>
                <w:szCs w:val="21"/>
              </w:rPr>
            </w:pP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废弃沾油抹布</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rPr>
              <w:t>10kg/a</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rPr>
              <w:t>10kg/a</w:t>
            </w:r>
          </w:p>
        </w:tc>
        <w:tc>
          <w:tcPr>
            <w:tcW w:w="1308" w:type="dxa"/>
            <w:vAlign w:val="center"/>
          </w:tcPr>
          <w:p>
            <w:pPr>
              <w:pStyle w:val="26"/>
              <w:spacing w:line="360" w:lineRule="exact"/>
              <w:rPr>
                <w:rFonts w:eastAsiaTheme="minorEastAsia"/>
                <w:color w:val="auto"/>
                <w:szCs w:val="21"/>
              </w:rPr>
            </w:pPr>
            <w:r>
              <w:rPr>
                <w:rFonts w:eastAsiaTheme="minorEastAsia"/>
                <w:color w:val="auto"/>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26"/>
              <w:spacing w:line="360" w:lineRule="exact"/>
              <w:rPr>
                <w:rFonts w:eastAsiaTheme="minorEastAsia"/>
                <w:color w:val="auto"/>
                <w:szCs w:val="21"/>
              </w:rPr>
            </w:pPr>
            <w:r>
              <w:rPr>
                <w:rFonts w:eastAsiaTheme="minorEastAsia"/>
                <w:color w:val="auto"/>
                <w:szCs w:val="21"/>
              </w:rPr>
              <w:t>危险废物</w:t>
            </w:r>
          </w:p>
        </w:tc>
        <w:tc>
          <w:tcPr>
            <w:tcW w:w="1984" w:type="dxa"/>
            <w:vAlign w:val="center"/>
          </w:tcPr>
          <w:p>
            <w:pPr>
              <w:pStyle w:val="26"/>
              <w:spacing w:line="360" w:lineRule="exact"/>
              <w:rPr>
                <w:rFonts w:eastAsiaTheme="minorEastAsia"/>
                <w:color w:val="auto"/>
                <w:szCs w:val="21"/>
              </w:rPr>
            </w:pPr>
            <w:r>
              <w:rPr>
                <w:rFonts w:eastAsiaTheme="minorEastAsia"/>
                <w:color w:val="auto"/>
                <w:szCs w:val="21"/>
              </w:rPr>
              <w:t>废机油</w:t>
            </w:r>
          </w:p>
        </w:tc>
        <w:tc>
          <w:tcPr>
            <w:tcW w:w="1560"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6"/>
              <w:spacing w:line="360" w:lineRule="exact"/>
              <w:rPr>
                <w:rFonts w:eastAsiaTheme="minorEastAsia"/>
                <w:color w:val="auto"/>
                <w:szCs w:val="21"/>
              </w:rPr>
            </w:pPr>
            <w:r>
              <w:rPr>
                <w:rFonts w:eastAsiaTheme="minorEastAsia"/>
                <w:color w:val="auto"/>
                <w:szCs w:val="21"/>
                <w:lang w:val="en-US"/>
              </w:rPr>
              <w:t>5</w:t>
            </w:r>
            <w:r>
              <w:rPr>
                <w:rFonts w:eastAsiaTheme="minorEastAsia"/>
                <w:color w:val="auto"/>
                <w:szCs w:val="21"/>
              </w:rPr>
              <w:t>0kg/a</w:t>
            </w:r>
          </w:p>
        </w:tc>
        <w:tc>
          <w:tcPr>
            <w:tcW w:w="1575" w:type="dxa"/>
            <w:vAlign w:val="center"/>
          </w:tcPr>
          <w:p>
            <w:pPr>
              <w:pStyle w:val="26"/>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6"/>
              <w:spacing w:line="360" w:lineRule="exact"/>
              <w:rPr>
                <w:rFonts w:eastAsiaTheme="minorEastAsia"/>
                <w:color w:val="auto"/>
                <w:szCs w:val="21"/>
              </w:rPr>
            </w:pPr>
            <w:r>
              <w:rPr>
                <w:rFonts w:eastAsiaTheme="minorEastAsia"/>
                <w:color w:val="auto"/>
                <w:szCs w:val="21"/>
                <w:lang w:val="en-US"/>
              </w:rPr>
              <w:t>5</w:t>
            </w:r>
            <w:r>
              <w:rPr>
                <w:rFonts w:eastAsiaTheme="minorEastAsia"/>
                <w:color w:val="auto"/>
                <w:szCs w:val="21"/>
              </w:rPr>
              <w:t>0kg/a</w:t>
            </w:r>
          </w:p>
        </w:tc>
        <w:tc>
          <w:tcPr>
            <w:tcW w:w="1308" w:type="dxa"/>
            <w:vAlign w:val="center"/>
          </w:tcPr>
          <w:p>
            <w:pPr>
              <w:pStyle w:val="26"/>
              <w:spacing w:line="360" w:lineRule="exact"/>
              <w:rPr>
                <w:rFonts w:eastAsiaTheme="minorEastAsia"/>
                <w:color w:val="auto"/>
                <w:szCs w:val="21"/>
              </w:rPr>
            </w:pPr>
            <w:r>
              <w:rPr>
                <w:rFonts w:eastAsiaTheme="minorEastAsia"/>
                <w:color w:val="auto"/>
                <w:szCs w:val="21"/>
                <w:lang w:val="en-US"/>
              </w:rPr>
              <w:t>5</w:t>
            </w:r>
            <w:r>
              <w:rPr>
                <w:rFonts w:eastAsiaTheme="minorEastAsia"/>
                <w:color w:val="auto"/>
                <w:szCs w:val="21"/>
              </w:rPr>
              <w:t>0kg/a</w:t>
            </w:r>
          </w:p>
        </w:tc>
      </w:tr>
    </w:tbl>
    <w:p>
      <w:pPr>
        <w:ind w:firstLine="420" w:firstLineChars="200"/>
        <w:jc w:val="lef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注：</w:t>
      </w:r>
      <w:r>
        <w:rPr>
          <w:rFonts w:ascii="Times New Roman" w:hAnsi="Times New Roman" w:eastAsia="宋体" w:cs="Times New Roman"/>
          <w:b/>
          <w:color w:val="000000" w:themeColor="text1"/>
          <w14:textFill>
            <w14:solidFill>
              <w14:schemeClr w14:val="tx1"/>
            </w14:solidFill>
          </w14:textFill>
        </w:rPr>
        <w:t>⑥</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①</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③</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④</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⑤</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⑦</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⑥</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62</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dit="forms" w:enforcement="1" w:cryptProviderType="rsaFull" w:cryptAlgorithmClass="hash" w:cryptAlgorithmType="typeAny" w:cryptAlgorithmSid="4" w:cryptSpinCount="0" w:hash="E1plOFLjNdlX31BaxfeZXXLcgD0=" w:salt="Eq9fy4qwrOXoHeONhaGpd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5F"/>
    <w:rsid w:val="0000037C"/>
    <w:rsid w:val="00001460"/>
    <w:rsid w:val="00001C9A"/>
    <w:rsid w:val="00010A49"/>
    <w:rsid w:val="00012C80"/>
    <w:rsid w:val="00013833"/>
    <w:rsid w:val="00021721"/>
    <w:rsid w:val="0002285A"/>
    <w:rsid w:val="00031A59"/>
    <w:rsid w:val="00031E6A"/>
    <w:rsid w:val="00032B08"/>
    <w:rsid w:val="000344EF"/>
    <w:rsid w:val="00034809"/>
    <w:rsid w:val="00035576"/>
    <w:rsid w:val="00040A28"/>
    <w:rsid w:val="00040D99"/>
    <w:rsid w:val="00046D9B"/>
    <w:rsid w:val="00050E55"/>
    <w:rsid w:val="00054F28"/>
    <w:rsid w:val="0005744F"/>
    <w:rsid w:val="00060FF4"/>
    <w:rsid w:val="00062FAD"/>
    <w:rsid w:val="00067BF4"/>
    <w:rsid w:val="00070F66"/>
    <w:rsid w:val="0007395E"/>
    <w:rsid w:val="00075FFD"/>
    <w:rsid w:val="000760FE"/>
    <w:rsid w:val="0008069A"/>
    <w:rsid w:val="00082602"/>
    <w:rsid w:val="0008625A"/>
    <w:rsid w:val="00092548"/>
    <w:rsid w:val="000954A9"/>
    <w:rsid w:val="000B04E4"/>
    <w:rsid w:val="000B35C4"/>
    <w:rsid w:val="000B6EE8"/>
    <w:rsid w:val="000B7547"/>
    <w:rsid w:val="000B7F0F"/>
    <w:rsid w:val="000C1655"/>
    <w:rsid w:val="000D1B94"/>
    <w:rsid w:val="000D4D91"/>
    <w:rsid w:val="000D6A48"/>
    <w:rsid w:val="000E445E"/>
    <w:rsid w:val="000E500A"/>
    <w:rsid w:val="000E6F05"/>
    <w:rsid w:val="000F5DE9"/>
    <w:rsid w:val="0010241D"/>
    <w:rsid w:val="001050AD"/>
    <w:rsid w:val="00111F14"/>
    <w:rsid w:val="00116200"/>
    <w:rsid w:val="00116546"/>
    <w:rsid w:val="00121AAE"/>
    <w:rsid w:val="00122036"/>
    <w:rsid w:val="001250CA"/>
    <w:rsid w:val="00125B5D"/>
    <w:rsid w:val="00126836"/>
    <w:rsid w:val="001307E7"/>
    <w:rsid w:val="0015464F"/>
    <w:rsid w:val="0015799F"/>
    <w:rsid w:val="00162258"/>
    <w:rsid w:val="00166793"/>
    <w:rsid w:val="0017180C"/>
    <w:rsid w:val="001719D1"/>
    <w:rsid w:val="00171AF4"/>
    <w:rsid w:val="00172D3E"/>
    <w:rsid w:val="001731F9"/>
    <w:rsid w:val="001750E1"/>
    <w:rsid w:val="0017574F"/>
    <w:rsid w:val="0018089D"/>
    <w:rsid w:val="00182D5B"/>
    <w:rsid w:val="001864CE"/>
    <w:rsid w:val="00187B44"/>
    <w:rsid w:val="00190097"/>
    <w:rsid w:val="00197070"/>
    <w:rsid w:val="001977B7"/>
    <w:rsid w:val="00197C78"/>
    <w:rsid w:val="001A70EF"/>
    <w:rsid w:val="001B4D27"/>
    <w:rsid w:val="001C0A81"/>
    <w:rsid w:val="001C3FC6"/>
    <w:rsid w:val="001D3CCB"/>
    <w:rsid w:val="001E1D94"/>
    <w:rsid w:val="001F03FE"/>
    <w:rsid w:val="001F0A05"/>
    <w:rsid w:val="001F2DED"/>
    <w:rsid w:val="001F522D"/>
    <w:rsid w:val="00203A93"/>
    <w:rsid w:val="0021020E"/>
    <w:rsid w:val="002171C9"/>
    <w:rsid w:val="002210A0"/>
    <w:rsid w:val="00242934"/>
    <w:rsid w:val="00245CA3"/>
    <w:rsid w:val="00252D41"/>
    <w:rsid w:val="002666BE"/>
    <w:rsid w:val="002735A4"/>
    <w:rsid w:val="00277862"/>
    <w:rsid w:val="00283568"/>
    <w:rsid w:val="002909A1"/>
    <w:rsid w:val="002931E6"/>
    <w:rsid w:val="002963A7"/>
    <w:rsid w:val="00296512"/>
    <w:rsid w:val="002A1028"/>
    <w:rsid w:val="002A1BFA"/>
    <w:rsid w:val="002A1DB1"/>
    <w:rsid w:val="002B2BE4"/>
    <w:rsid w:val="002B40E5"/>
    <w:rsid w:val="002B5B05"/>
    <w:rsid w:val="002C07C0"/>
    <w:rsid w:val="002C3853"/>
    <w:rsid w:val="002E25DE"/>
    <w:rsid w:val="002E3C02"/>
    <w:rsid w:val="002E3E71"/>
    <w:rsid w:val="002E3F5D"/>
    <w:rsid w:val="002E4EE2"/>
    <w:rsid w:val="002F37F6"/>
    <w:rsid w:val="003012BB"/>
    <w:rsid w:val="00317F26"/>
    <w:rsid w:val="00322DCE"/>
    <w:rsid w:val="00323170"/>
    <w:rsid w:val="00332BCA"/>
    <w:rsid w:val="0034317D"/>
    <w:rsid w:val="00353F34"/>
    <w:rsid w:val="00354B52"/>
    <w:rsid w:val="00361CF9"/>
    <w:rsid w:val="003707A9"/>
    <w:rsid w:val="00371986"/>
    <w:rsid w:val="00371B13"/>
    <w:rsid w:val="00372641"/>
    <w:rsid w:val="003852E6"/>
    <w:rsid w:val="00385DE6"/>
    <w:rsid w:val="003879AF"/>
    <w:rsid w:val="00390401"/>
    <w:rsid w:val="00394E91"/>
    <w:rsid w:val="003A1A97"/>
    <w:rsid w:val="003A2C94"/>
    <w:rsid w:val="003A4F39"/>
    <w:rsid w:val="003B149E"/>
    <w:rsid w:val="003B2DB5"/>
    <w:rsid w:val="003B6B9D"/>
    <w:rsid w:val="003C4D0F"/>
    <w:rsid w:val="003D01EE"/>
    <w:rsid w:val="003D03A2"/>
    <w:rsid w:val="003D15BD"/>
    <w:rsid w:val="003D25E7"/>
    <w:rsid w:val="003D4831"/>
    <w:rsid w:val="003E1314"/>
    <w:rsid w:val="003E1A39"/>
    <w:rsid w:val="003E24A1"/>
    <w:rsid w:val="003E2878"/>
    <w:rsid w:val="003E4647"/>
    <w:rsid w:val="003F0CB4"/>
    <w:rsid w:val="003F4B40"/>
    <w:rsid w:val="003F5310"/>
    <w:rsid w:val="00405DB9"/>
    <w:rsid w:val="00411F09"/>
    <w:rsid w:val="00412056"/>
    <w:rsid w:val="0042165D"/>
    <w:rsid w:val="0042483F"/>
    <w:rsid w:val="004329BC"/>
    <w:rsid w:val="004369B4"/>
    <w:rsid w:val="004431BA"/>
    <w:rsid w:val="00444FBC"/>
    <w:rsid w:val="004459AB"/>
    <w:rsid w:val="00445CD5"/>
    <w:rsid w:val="004521CF"/>
    <w:rsid w:val="00452F00"/>
    <w:rsid w:val="00465080"/>
    <w:rsid w:val="00477A89"/>
    <w:rsid w:val="004840C4"/>
    <w:rsid w:val="00484777"/>
    <w:rsid w:val="00490ECA"/>
    <w:rsid w:val="004A0BC4"/>
    <w:rsid w:val="004A0E4C"/>
    <w:rsid w:val="004A1EEA"/>
    <w:rsid w:val="004A2FFF"/>
    <w:rsid w:val="004A37C5"/>
    <w:rsid w:val="004A4E36"/>
    <w:rsid w:val="004A7486"/>
    <w:rsid w:val="004C2E9F"/>
    <w:rsid w:val="004C7D2E"/>
    <w:rsid w:val="004D1330"/>
    <w:rsid w:val="004D3DA8"/>
    <w:rsid w:val="004D5133"/>
    <w:rsid w:val="004D5651"/>
    <w:rsid w:val="004D620C"/>
    <w:rsid w:val="004E0B6A"/>
    <w:rsid w:val="004F046C"/>
    <w:rsid w:val="004F79F0"/>
    <w:rsid w:val="004F7ED7"/>
    <w:rsid w:val="00505002"/>
    <w:rsid w:val="00511B6E"/>
    <w:rsid w:val="00512026"/>
    <w:rsid w:val="005164B3"/>
    <w:rsid w:val="00516F69"/>
    <w:rsid w:val="00531AD8"/>
    <w:rsid w:val="00531E5D"/>
    <w:rsid w:val="00533467"/>
    <w:rsid w:val="005340F1"/>
    <w:rsid w:val="005344D8"/>
    <w:rsid w:val="00542078"/>
    <w:rsid w:val="00543C10"/>
    <w:rsid w:val="00544F28"/>
    <w:rsid w:val="00551B30"/>
    <w:rsid w:val="00551E76"/>
    <w:rsid w:val="005528F5"/>
    <w:rsid w:val="0055331A"/>
    <w:rsid w:val="0055687A"/>
    <w:rsid w:val="005568AC"/>
    <w:rsid w:val="005571AA"/>
    <w:rsid w:val="00570AC5"/>
    <w:rsid w:val="00570B7C"/>
    <w:rsid w:val="00572A09"/>
    <w:rsid w:val="00582AD6"/>
    <w:rsid w:val="00586942"/>
    <w:rsid w:val="00595DFB"/>
    <w:rsid w:val="00595DFF"/>
    <w:rsid w:val="005A040B"/>
    <w:rsid w:val="005A468F"/>
    <w:rsid w:val="005B2471"/>
    <w:rsid w:val="005B5075"/>
    <w:rsid w:val="005B60E2"/>
    <w:rsid w:val="005B6614"/>
    <w:rsid w:val="005C3240"/>
    <w:rsid w:val="005C358A"/>
    <w:rsid w:val="005C38F9"/>
    <w:rsid w:val="005C5209"/>
    <w:rsid w:val="005C568F"/>
    <w:rsid w:val="005C6ECF"/>
    <w:rsid w:val="005D1BB5"/>
    <w:rsid w:val="005D2878"/>
    <w:rsid w:val="005D2DAC"/>
    <w:rsid w:val="005D40A7"/>
    <w:rsid w:val="005D6D94"/>
    <w:rsid w:val="005E43DF"/>
    <w:rsid w:val="005E7578"/>
    <w:rsid w:val="00607B6F"/>
    <w:rsid w:val="00613C50"/>
    <w:rsid w:val="00615657"/>
    <w:rsid w:val="00617A01"/>
    <w:rsid w:val="0062045F"/>
    <w:rsid w:val="006220CE"/>
    <w:rsid w:val="00623A6B"/>
    <w:rsid w:val="0063583F"/>
    <w:rsid w:val="00635E7E"/>
    <w:rsid w:val="00636BF7"/>
    <w:rsid w:val="006379C6"/>
    <w:rsid w:val="006507CC"/>
    <w:rsid w:val="00655AAA"/>
    <w:rsid w:val="00663A36"/>
    <w:rsid w:val="00670600"/>
    <w:rsid w:val="00674BFA"/>
    <w:rsid w:val="006826DF"/>
    <w:rsid w:val="00685451"/>
    <w:rsid w:val="0068738A"/>
    <w:rsid w:val="00687D0A"/>
    <w:rsid w:val="006946BA"/>
    <w:rsid w:val="006952FD"/>
    <w:rsid w:val="006A0148"/>
    <w:rsid w:val="006A310F"/>
    <w:rsid w:val="006A5256"/>
    <w:rsid w:val="006A7586"/>
    <w:rsid w:val="006A78F8"/>
    <w:rsid w:val="006B30E2"/>
    <w:rsid w:val="006B4D33"/>
    <w:rsid w:val="006C0272"/>
    <w:rsid w:val="006C0B93"/>
    <w:rsid w:val="006C1364"/>
    <w:rsid w:val="006C1666"/>
    <w:rsid w:val="006C1D02"/>
    <w:rsid w:val="006C52A7"/>
    <w:rsid w:val="006C58DC"/>
    <w:rsid w:val="006C640B"/>
    <w:rsid w:val="006D1F47"/>
    <w:rsid w:val="006D449A"/>
    <w:rsid w:val="006D469B"/>
    <w:rsid w:val="006E20AC"/>
    <w:rsid w:val="006E2C47"/>
    <w:rsid w:val="006E3BBE"/>
    <w:rsid w:val="006E4148"/>
    <w:rsid w:val="006E69D9"/>
    <w:rsid w:val="006F2742"/>
    <w:rsid w:val="006F31A9"/>
    <w:rsid w:val="006F404F"/>
    <w:rsid w:val="006F6817"/>
    <w:rsid w:val="00702658"/>
    <w:rsid w:val="00702A5D"/>
    <w:rsid w:val="00702CD6"/>
    <w:rsid w:val="00710575"/>
    <w:rsid w:val="00712452"/>
    <w:rsid w:val="00714EBC"/>
    <w:rsid w:val="00715081"/>
    <w:rsid w:val="00715F71"/>
    <w:rsid w:val="007205B9"/>
    <w:rsid w:val="00734F3E"/>
    <w:rsid w:val="00740A4F"/>
    <w:rsid w:val="007431C8"/>
    <w:rsid w:val="00745C1E"/>
    <w:rsid w:val="00751732"/>
    <w:rsid w:val="0075551E"/>
    <w:rsid w:val="00756F3F"/>
    <w:rsid w:val="00760397"/>
    <w:rsid w:val="007620A6"/>
    <w:rsid w:val="00766AE0"/>
    <w:rsid w:val="00766D22"/>
    <w:rsid w:val="0077006B"/>
    <w:rsid w:val="007752A9"/>
    <w:rsid w:val="007809B0"/>
    <w:rsid w:val="00785FBC"/>
    <w:rsid w:val="00786705"/>
    <w:rsid w:val="0079096A"/>
    <w:rsid w:val="007923CD"/>
    <w:rsid w:val="00793033"/>
    <w:rsid w:val="00793C8B"/>
    <w:rsid w:val="00797D3A"/>
    <w:rsid w:val="007A17E9"/>
    <w:rsid w:val="007A1811"/>
    <w:rsid w:val="007A6586"/>
    <w:rsid w:val="007B296B"/>
    <w:rsid w:val="007B60C1"/>
    <w:rsid w:val="007B741C"/>
    <w:rsid w:val="007C0DE2"/>
    <w:rsid w:val="007C48B8"/>
    <w:rsid w:val="007D01C3"/>
    <w:rsid w:val="007D01EC"/>
    <w:rsid w:val="007D440B"/>
    <w:rsid w:val="007D66D8"/>
    <w:rsid w:val="007E68B1"/>
    <w:rsid w:val="007F4217"/>
    <w:rsid w:val="00800713"/>
    <w:rsid w:val="0080313A"/>
    <w:rsid w:val="008037FF"/>
    <w:rsid w:val="00804005"/>
    <w:rsid w:val="008140BC"/>
    <w:rsid w:val="00814387"/>
    <w:rsid w:val="00820EEF"/>
    <w:rsid w:val="008278FC"/>
    <w:rsid w:val="00844558"/>
    <w:rsid w:val="00847A3B"/>
    <w:rsid w:val="00853681"/>
    <w:rsid w:val="0085784B"/>
    <w:rsid w:val="00857DB7"/>
    <w:rsid w:val="00862A78"/>
    <w:rsid w:val="00876278"/>
    <w:rsid w:val="0087758A"/>
    <w:rsid w:val="00877DC6"/>
    <w:rsid w:val="00883F24"/>
    <w:rsid w:val="00884880"/>
    <w:rsid w:val="008902AE"/>
    <w:rsid w:val="008948EB"/>
    <w:rsid w:val="00897E97"/>
    <w:rsid w:val="008A1159"/>
    <w:rsid w:val="008A6FD6"/>
    <w:rsid w:val="008B21E0"/>
    <w:rsid w:val="008B702B"/>
    <w:rsid w:val="008C08AB"/>
    <w:rsid w:val="008C1FB7"/>
    <w:rsid w:val="008C50F0"/>
    <w:rsid w:val="008C537C"/>
    <w:rsid w:val="008C7652"/>
    <w:rsid w:val="008D15CE"/>
    <w:rsid w:val="008D164F"/>
    <w:rsid w:val="008E01DB"/>
    <w:rsid w:val="008E375A"/>
    <w:rsid w:val="008E56A4"/>
    <w:rsid w:val="008F1331"/>
    <w:rsid w:val="008F3815"/>
    <w:rsid w:val="008F4CE6"/>
    <w:rsid w:val="008F5F3E"/>
    <w:rsid w:val="008F74C5"/>
    <w:rsid w:val="008F7AE0"/>
    <w:rsid w:val="00903A8B"/>
    <w:rsid w:val="009050A1"/>
    <w:rsid w:val="00913BBF"/>
    <w:rsid w:val="00920360"/>
    <w:rsid w:val="009206AC"/>
    <w:rsid w:val="009252EF"/>
    <w:rsid w:val="00925E63"/>
    <w:rsid w:val="00927433"/>
    <w:rsid w:val="00927C70"/>
    <w:rsid w:val="00931F67"/>
    <w:rsid w:val="00935E07"/>
    <w:rsid w:val="00936AFA"/>
    <w:rsid w:val="009371D8"/>
    <w:rsid w:val="00954268"/>
    <w:rsid w:val="009545F8"/>
    <w:rsid w:val="0095737E"/>
    <w:rsid w:val="00966221"/>
    <w:rsid w:val="00973DC5"/>
    <w:rsid w:val="00974646"/>
    <w:rsid w:val="009800F5"/>
    <w:rsid w:val="00985B1D"/>
    <w:rsid w:val="00987D4A"/>
    <w:rsid w:val="009937DE"/>
    <w:rsid w:val="0099505A"/>
    <w:rsid w:val="009A28F3"/>
    <w:rsid w:val="009A570D"/>
    <w:rsid w:val="009A6B88"/>
    <w:rsid w:val="009A6C5B"/>
    <w:rsid w:val="009B7740"/>
    <w:rsid w:val="009C091A"/>
    <w:rsid w:val="009C166B"/>
    <w:rsid w:val="009D27CC"/>
    <w:rsid w:val="009D368A"/>
    <w:rsid w:val="009D3A91"/>
    <w:rsid w:val="009D41A3"/>
    <w:rsid w:val="009D6702"/>
    <w:rsid w:val="009E1AE2"/>
    <w:rsid w:val="009E20A5"/>
    <w:rsid w:val="009E33D7"/>
    <w:rsid w:val="009E461F"/>
    <w:rsid w:val="009E4666"/>
    <w:rsid w:val="009F1793"/>
    <w:rsid w:val="009F2273"/>
    <w:rsid w:val="009F2D07"/>
    <w:rsid w:val="00A05164"/>
    <w:rsid w:val="00A05998"/>
    <w:rsid w:val="00A06B38"/>
    <w:rsid w:val="00A158CC"/>
    <w:rsid w:val="00A2271E"/>
    <w:rsid w:val="00A22965"/>
    <w:rsid w:val="00A261F5"/>
    <w:rsid w:val="00A33875"/>
    <w:rsid w:val="00A37D8D"/>
    <w:rsid w:val="00A4202F"/>
    <w:rsid w:val="00A4354F"/>
    <w:rsid w:val="00A4616E"/>
    <w:rsid w:val="00A46859"/>
    <w:rsid w:val="00A46F3A"/>
    <w:rsid w:val="00A475BE"/>
    <w:rsid w:val="00A52AFE"/>
    <w:rsid w:val="00A536B3"/>
    <w:rsid w:val="00A53E67"/>
    <w:rsid w:val="00A707E4"/>
    <w:rsid w:val="00A719DE"/>
    <w:rsid w:val="00A77714"/>
    <w:rsid w:val="00A8003A"/>
    <w:rsid w:val="00A80A3E"/>
    <w:rsid w:val="00A923EE"/>
    <w:rsid w:val="00A92F34"/>
    <w:rsid w:val="00A96334"/>
    <w:rsid w:val="00AA4EA6"/>
    <w:rsid w:val="00AA5A9C"/>
    <w:rsid w:val="00AA7709"/>
    <w:rsid w:val="00AB571D"/>
    <w:rsid w:val="00AB68A8"/>
    <w:rsid w:val="00AB6D1E"/>
    <w:rsid w:val="00AC07DE"/>
    <w:rsid w:val="00AC6D60"/>
    <w:rsid w:val="00AD1B30"/>
    <w:rsid w:val="00AD2BD7"/>
    <w:rsid w:val="00AD5086"/>
    <w:rsid w:val="00AD5A01"/>
    <w:rsid w:val="00AD70C8"/>
    <w:rsid w:val="00AE1FB4"/>
    <w:rsid w:val="00AE2950"/>
    <w:rsid w:val="00AE48A8"/>
    <w:rsid w:val="00AE6373"/>
    <w:rsid w:val="00AF0DF7"/>
    <w:rsid w:val="00AF7020"/>
    <w:rsid w:val="00B0393E"/>
    <w:rsid w:val="00B11487"/>
    <w:rsid w:val="00B12184"/>
    <w:rsid w:val="00B1473D"/>
    <w:rsid w:val="00B1487D"/>
    <w:rsid w:val="00B1596E"/>
    <w:rsid w:val="00B16599"/>
    <w:rsid w:val="00B20232"/>
    <w:rsid w:val="00B21DB0"/>
    <w:rsid w:val="00B26AB9"/>
    <w:rsid w:val="00B31882"/>
    <w:rsid w:val="00B33013"/>
    <w:rsid w:val="00B34787"/>
    <w:rsid w:val="00B4575C"/>
    <w:rsid w:val="00B45987"/>
    <w:rsid w:val="00B45CFC"/>
    <w:rsid w:val="00B46E0F"/>
    <w:rsid w:val="00B5125D"/>
    <w:rsid w:val="00B53D4D"/>
    <w:rsid w:val="00B56333"/>
    <w:rsid w:val="00B620DD"/>
    <w:rsid w:val="00B77F51"/>
    <w:rsid w:val="00B80331"/>
    <w:rsid w:val="00B82AF0"/>
    <w:rsid w:val="00B846BB"/>
    <w:rsid w:val="00B8599C"/>
    <w:rsid w:val="00B87833"/>
    <w:rsid w:val="00B9657F"/>
    <w:rsid w:val="00BA39DB"/>
    <w:rsid w:val="00BA4DC1"/>
    <w:rsid w:val="00BA79D2"/>
    <w:rsid w:val="00BB5F36"/>
    <w:rsid w:val="00BC42B9"/>
    <w:rsid w:val="00BC4C15"/>
    <w:rsid w:val="00BC5093"/>
    <w:rsid w:val="00BD0523"/>
    <w:rsid w:val="00BD0FFC"/>
    <w:rsid w:val="00BD2A4E"/>
    <w:rsid w:val="00BD317E"/>
    <w:rsid w:val="00BE0032"/>
    <w:rsid w:val="00BE4393"/>
    <w:rsid w:val="00BE716A"/>
    <w:rsid w:val="00BF0309"/>
    <w:rsid w:val="00BF0650"/>
    <w:rsid w:val="00BF117C"/>
    <w:rsid w:val="00BF4082"/>
    <w:rsid w:val="00BF5489"/>
    <w:rsid w:val="00BF592F"/>
    <w:rsid w:val="00BF739D"/>
    <w:rsid w:val="00BF7C1F"/>
    <w:rsid w:val="00C023BF"/>
    <w:rsid w:val="00C11EC6"/>
    <w:rsid w:val="00C11F0E"/>
    <w:rsid w:val="00C14CC4"/>
    <w:rsid w:val="00C21282"/>
    <w:rsid w:val="00C23DA0"/>
    <w:rsid w:val="00C2445F"/>
    <w:rsid w:val="00C31F22"/>
    <w:rsid w:val="00C323CA"/>
    <w:rsid w:val="00C337D6"/>
    <w:rsid w:val="00C36564"/>
    <w:rsid w:val="00C37163"/>
    <w:rsid w:val="00C37EB4"/>
    <w:rsid w:val="00C416AA"/>
    <w:rsid w:val="00C458C4"/>
    <w:rsid w:val="00C466EA"/>
    <w:rsid w:val="00C46C54"/>
    <w:rsid w:val="00C47F54"/>
    <w:rsid w:val="00C54650"/>
    <w:rsid w:val="00C5657F"/>
    <w:rsid w:val="00C5703D"/>
    <w:rsid w:val="00C62458"/>
    <w:rsid w:val="00C6321B"/>
    <w:rsid w:val="00C63515"/>
    <w:rsid w:val="00C635BA"/>
    <w:rsid w:val="00C63B71"/>
    <w:rsid w:val="00C64149"/>
    <w:rsid w:val="00C71B72"/>
    <w:rsid w:val="00C72737"/>
    <w:rsid w:val="00C72DAD"/>
    <w:rsid w:val="00C77C13"/>
    <w:rsid w:val="00C85CB3"/>
    <w:rsid w:val="00C90CDE"/>
    <w:rsid w:val="00C91A59"/>
    <w:rsid w:val="00C92CDF"/>
    <w:rsid w:val="00C9314B"/>
    <w:rsid w:val="00CA1213"/>
    <w:rsid w:val="00CA4BB4"/>
    <w:rsid w:val="00CA4DD5"/>
    <w:rsid w:val="00CA6CE9"/>
    <w:rsid w:val="00CB20C7"/>
    <w:rsid w:val="00CB2F29"/>
    <w:rsid w:val="00CB6E12"/>
    <w:rsid w:val="00CC2BD0"/>
    <w:rsid w:val="00CC3974"/>
    <w:rsid w:val="00CC5962"/>
    <w:rsid w:val="00CD10E5"/>
    <w:rsid w:val="00CD34AD"/>
    <w:rsid w:val="00CD485D"/>
    <w:rsid w:val="00CD511C"/>
    <w:rsid w:val="00CE2306"/>
    <w:rsid w:val="00CE3245"/>
    <w:rsid w:val="00CE32C0"/>
    <w:rsid w:val="00CE4D56"/>
    <w:rsid w:val="00CF2AC6"/>
    <w:rsid w:val="00CF31B0"/>
    <w:rsid w:val="00CF51C9"/>
    <w:rsid w:val="00CF64FE"/>
    <w:rsid w:val="00CF7FB1"/>
    <w:rsid w:val="00D02159"/>
    <w:rsid w:val="00D11CB4"/>
    <w:rsid w:val="00D13852"/>
    <w:rsid w:val="00D1449F"/>
    <w:rsid w:val="00D2157C"/>
    <w:rsid w:val="00D21A6D"/>
    <w:rsid w:val="00D23738"/>
    <w:rsid w:val="00D2536F"/>
    <w:rsid w:val="00D33CC5"/>
    <w:rsid w:val="00D33F3C"/>
    <w:rsid w:val="00D426F0"/>
    <w:rsid w:val="00D4522A"/>
    <w:rsid w:val="00D51EA8"/>
    <w:rsid w:val="00D52226"/>
    <w:rsid w:val="00D54364"/>
    <w:rsid w:val="00D554CF"/>
    <w:rsid w:val="00D567D4"/>
    <w:rsid w:val="00D57F96"/>
    <w:rsid w:val="00D62262"/>
    <w:rsid w:val="00D625E0"/>
    <w:rsid w:val="00D647F2"/>
    <w:rsid w:val="00D66B7D"/>
    <w:rsid w:val="00D707F7"/>
    <w:rsid w:val="00D708CF"/>
    <w:rsid w:val="00D71E9C"/>
    <w:rsid w:val="00D72434"/>
    <w:rsid w:val="00D731D2"/>
    <w:rsid w:val="00D73B45"/>
    <w:rsid w:val="00D911B2"/>
    <w:rsid w:val="00D965D5"/>
    <w:rsid w:val="00DA1769"/>
    <w:rsid w:val="00DA2FBA"/>
    <w:rsid w:val="00DA6C99"/>
    <w:rsid w:val="00DA707D"/>
    <w:rsid w:val="00DB6353"/>
    <w:rsid w:val="00DB680A"/>
    <w:rsid w:val="00DC67B5"/>
    <w:rsid w:val="00DD0426"/>
    <w:rsid w:val="00DD7A9F"/>
    <w:rsid w:val="00DE4B23"/>
    <w:rsid w:val="00DF5A36"/>
    <w:rsid w:val="00E06BCD"/>
    <w:rsid w:val="00E1063F"/>
    <w:rsid w:val="00E122AF"/>
    <w:rsid w:val="00E2185D"/>
    <w:rsid w:val="00E27815"/>
    <w:rsid w:val="00E303D4"/>
    <w:rsid w:val="00E42FBC"/>
    <w:rsid w:val="00E519CE"/>
    <w:rsid w:val="00E51BFD"/>
    <w:rsid w:val="00E5203D"/>
    <w:rsid w:val="00E63B58"/>
    <w:rsid w:val="00E64C12"/>
    <w:rsid w:val="00E66D1F"/>
    <w:rsid w:val="00E67620"/>
    <w:rsid w:val="00E7474A"/>
    <w:rsid w:val="00E75E2F"/>
    <w:rsid w:val="00E8453C"/>
    <w:rsid w:val="00E87BC1"/>
    <w:rsid w:val="00E914AF"/>
    <w:rsid w:val="00E9156B"/>
    <w:rsid w:val="00E91797"/>
    <w:rsid w:val="00E964EA"/>
    <w:rsid w:val="00E9735A"/>
    <w:rsid w:val="00EA0CF8"/>
    <w:rsid w:val="00EA3639"/>
    <w:rsid w:val="00EA3913"/>
    <w:rsid w:val="00EA3E90"/>
    <w:rsid w:val="00EA7D37"/>
    <w:rsid w:val="00EB0DD5"/>
    <w:rsid w:val="00EB0E32"/>
    <w:rsid w:val="00EB1CB2"/>
    <w:rsid w:val="00EB297D"/>
    <w:rsid w:val="00EB4C21"/>
    <w:rsid w:val="00EB5E37"/>
    <w:rsid w:val="00EB6CFB"/>
    <w:rsid w:val="00EC0172"/>
    <w:rsid w:val="00EC0446"/>
    <w:rsid w:val="00EC1495"/>
    <w:rsid w:val="00ED2EC4"/>
    <w:rsid w:val="00ED35F4"/>
    <w:rsid w:val="00ED3A56"/>
    <w:rsid w:val="00ED71D0"/>
    <w:rsid w:val="00EE14D0"/>
    <w:rsid w:val="00EF36F5"/>
    <w:rsid w:val="00EF3C0E"/>
    <w:rsid w:val="00EF4749"/>
    <w:rsid w:val="00EF62C3"/>
    <w:rsid w:val="00F003D2"/>
    <w:rsid w:val="00F02D22"/>
    <w:rsid w:val="00F057AE"/>
    <w:rsid w:val="00F12E9C"/>
    <w:rsid w:val="00F1433A"/>
    <w:rsid w:val="00F153FF"/>
    <w:rsid w:val="00F234D9"/>
    <w:rsid w:val="00F249CA"/>
    <w:rsid w:val="00F2526D"/>
    <w:rsid w:val="00F32629"/>
    <w:rsid w:val="00F41EA4"/>
    <w:rsid w:val="00F42462"/>
    <w:rsid w:val="00F440BB"/>
    <w:rsid w:val="00F500E4"/>
    <w:rsid w:val="00F600C0"/>
    <w:rsid w:val="00F60F88"/>
    <w:rsid w:val="00F6192B"/>
    <w:rsid w:val="00F624A7"/>
    <w:rsid w:val="00F63B25"/>
    <w:rsid w:val="00F646F0"/>
    <w:rsid w:val="00F64760"/>
    <w:rsid w:val="00F66966"/>
    <w:rsid w:val="00F772AB"/>
    <w:rsid w:val="00F80C21"/>
    <w:rsid w:val="00F81460"/>
    <w:rsid w:val="00F82262"/>
    <w:rsid w:val="00F827AD"/>
    <w:rsid w:val="00F82C79"/>
    <w:rsid w:val="00F83B32"/>
    <w:rsid w:val="00F83F93"/>
    <w:rsid w:val="00F84044"/>
    <w:rsid w:val="00F879F6"/>
    <w:rsid w:val="00F91ABB"/>
    <w:rsid w:val="00F924C3"/>
    <w:rsid w:val="00F93088"/>
    <w:rsid w:val="00FA0B2F"/>
    <w:rsid w:val="00FA1481"/>
    <w:rsid w:val="00FB01E5"/>
    <w:rsid w:val="00FB1246"/>
    <w:rsid w:val="00FB484A"/>
    <w:rsid w:val="00FB5B45"/>
    <w:rsid w:val="00FC1290"/>
    <w:rsid w:val="00FD2BFA"/>
    <w:rsid w:val="00FD675C"/>
    <w:rsid w:val="00FD7052"/>
    <w:rsid w:val="00FE27FD"/>
    <w:rsid w:val="00FE4015"/>
    <w:rsid w:val="00FE4AB5"/>
    <w:rsid w:val="00FE596E"/>
    <w:rsid w:val="00FF727E"/>
    <w:rsid w:val="0EDE1E39"/>
    <w:rsid w:val="27033931"/>
    <w:rsid w:val="312723C7"/>
    <w:rsid w:val="33B760E1"/>
    <w:rsid w:val="35B65525"/>
    <w:rsid w:val="36015149"/>
    <w:rsid w:val="3B6A1E01"/>
    <w:rsid w:val="3D7B42B8"/>
    <w:rsid w:val="403C5911"/>
    <w:rsid w:val="66784942"/>
    <w:rsid w:val="75ED7C17"/>
    <w:rsid w:val="7BB03D4A"/>
    <w:rsid w:val="7D02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14:textFill>
        <w14:solidFill>
          <w14:schemeClr w14:val="tx1"/>
        </w14:solidFill>
      </w14:textFill>
    </w:rPr>
  </w:style>
  <w:style w:type="paragraph" w:styleId="5">
    <w:name w:val="heading 3"/>
    <w:basedOn w:val="1"/>
    <w:next w:val="1"/>
    <w:link w:val="42"/>
    <w:semiHidden/>
    <w:unhideWhenUsed/>
    <w:qFormat/>
    <w:uiPriority w:val="9"/>
    <w:pPr>
      <w:keepNext/>
      <w:keepLines/>
      <w:spacing w:before="260" w:after="260" w:line="416" w:lineRule="auto"/>
      <w:outlineLvl w:val="2"/>
    </w:pPr>
    <w:rPr>
      <w:b/>
      <w:bCs/>
      <w:sz w:val="32"/>
      <w:szCs w:val="32"/>
    </w:rPr>
  </w:style>
  <w:style w:type="paragraph" w:styleId="6">
    <w:name w:val="heading 8"/>
    <w:basedOn w:val="1"/>
    <w:next w:val="1"/>
    <w:link w:val="4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jc w:val="left"/>
    </w:pPr>
    <w:rPr>
      <w:sz w:val="18"/>
      <w:szCs w:val="18"/>
    </w:rPr>
  </w:style>
  <w:style w:type="paragraph" w:styleId="7">
    <w:name w:val="Normal Indent"/>
    <w:basedOn w:val="1"/>
    <w:link w:val="46"/>
    <w:qFormat/>
    <w:uiPriority w:val="99"/>
    <w:pPr>
      <w:widowControl/>
      <w:ind w:firstLine="420" w:firstLineChars="200"/>
      <w:jc w:val="left"/>
    </w:pPr>
    <w:rPr>
      <w:rFonts w:ascii="Calibri" w:hAnsi="Calibri" w:eastAsia="宋体" w:cs="Times New Roman"/>
      <w:sz w:val="28"/>
      <w:szCs w:val="20"/>
    </w:rPr>
  </w:style>
  <w:style w:type="paragraph" w:styleId="8">
    <w:name w:val="Document Map"/>
    <w:basedOn w:val="1"/>
    <w:link w:val="23"/>
    <w:semiHidden/>
    <w:unhideWhenUsed/>
    <w:qFormat/>
    <w:uiPriority w:val="99"/>
    <w:rPr>
      <w:rFonts w:ascii="宋体" w:eastAsia="宋体"/>
      <w:sz w:val="20"/>
      <w:szCs w:val="18"/>
    </w:rPr>
  </w:style>
  <w:style w:type="paragraph" w:styleId="9">
    <w:name w:val="annotation text"/>
    <w:basedOn w:val="1"/>
    <w:link w:val="30"/>
    <w:semiHidden/>
    <w:unhideWhenUsed/>
    <w:qFormat/>
    <w:uiPriority w:val="99"/>
    <w:pPr>
      <w:jc w:val="left"/>
    </w:pPr>
  </w:style>
  <w:style w:type="paragraph" w:styleId="10">
    <w:name w:val="Body Text"/>
    <w:basedOn w:val="1"/>
    <w:link w:val="39"/>
    <w:semiHidden/>
    <w:unhideWhenUsed/>
    <w:qFormat/>
    <w:uiPriority w:val="99"/>
    <w:pPr>
      <w:spacing w:after="120"/>
    </w:pPr>
  </w:style>
  <w:style w:type="paragraph" w:styleId="11">
    <w:name w:val="Balloon Text"/>
    <w:basedOn w:val="1"/>
    <w:link w:val="22"/>
    <w:unhideWhenUsed/>
    <w:qFormat/>
    <w:uiPriority w:val="99"/>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uiPriority w:val="39"/>
  </w:style>
  <w:style w:type="paragraph" w:styleId="14">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5">
    <w:name w:val="annotation subject"/>
    <w:basedOn w:val="9"/>
    <w:next w:val="9"/>
    <w:link w:val="31"/>
    <w:semiHidden/>
    <w:unhideWhenUsed/>
    <w:qFormat/>
    <w:uiPriority w:val="99"/>
    <w:rPr>
      <w:b/>
      <w:bCs/>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批注框文本 Char"/>
    <w:basedOn w:val="18"/>
    <w:link w:val="11"/>
    <w:qFormat/>
    <w:uiPriority w:val="99"/>
    <w:rPr>
      <w:sz w:val="18"/>
      <w:szCs w:val="18"/>
    </w:rPr>
  </w:style>
  <w:style w:type="character" w:customStyle="1" w:styleId="23">
    <w:name w:val="文档结构图 Char"/>
    <w:basedOn w:val="18"/>
    <w:link w:val="8"/>
    <w:semiHidden/>
    <w:qFormat/>
    <w:uiPriority w:val="99"/>
    <w:rPr>
      <w:rFonts w:ascii="宋体" w:eastAsia="宋体"/>
      <w:sz w:val="20"/>
      <w:szCs w:val="18"/>
    </w:rPr>
  </w:style>
  <w:style w:type="character" w:customStyle="1" w:styleId="24">
    <w:name w:val="页眉 Char"/>
    <w:basedOn w:val="18"/>
    <w:link w:val="12"/>
    <w:qFormat/>
    <w:uiPriority w:val="99"/>
    <w:rPr>
      <w:sz w:val="18"/>
      <w:szCs w:val="18"/>
    </w:rPr>
  </w:style>
  <w:style w:type="character" w:customStyle="1" w:styleId="25">
    <w:name w:val="页脚 Char"/>
    <w:basedOn w:val="18"/>
    <w:link w:val="2"/>
    <w:qFormat/>
    <w:uiPriority w:val="99"/>
    <w:rPr>
      <w:sz w:val="18"/>
      <w:szCs w:val="18"/>
    </w:rPr>
  </w:style>
  <w:style w:type="paragraph" w:customStyle="1" w:styleId="26">
    <w:name w:val="表体"/>
    <w:basedOn w:val="1"/>
    <w:link w:val="38"/>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7">
    <w:name w:val="正文文本缩进 3 Char"/>
    <w:basedOn w:val="18"/>
    <w:link w:val="14"/>
    <w:qFormat/>
    <w:uiPriority w:val="0"/>
    <w:rPr>
      <w:rFonts w:ascii="Times New Roman" w:hAnsi="Times New Roman" w:eastAsia="宋体" w:cs="Times New Roman"/>
      <w:sz w:val="16"/>
      <w:szCs w:val="16"/>
    </w:rPr>
  </w:style>
  <w:style w:type="paragraph" w:customStyle="1" w:styleId="28">
    <w:name w:val="表头"/>
    <w:basedOn w:val="1"/>
    <w:link w:val="29"/>
    <w:qFormat/>
    <w:uiPriority w:val="0"/>
    <w:pPr>
      <w:adjustRightInd w:val="0"/>
      <w:snapToGrid w:val="0"/>
      <w:spacing w:beforeLines="25"/>
      <w:jc w:val="center"/>
      <w:textAlignment w:val="baseline"/>
    </w:pPr>
    <w:rPr>
      <w:rFonts w:ascii="Times New Roman" w:hAnsi="宋体" w:eastAsia="仿宋_GB2312" w:cs="Times New Roman"/>
      <w:b/>
      <w:kern w:val="0"/>
      <w:sz w:val="28"/>
      <w:szCs w:val="28"/>
    </w:rPr>
  </w:style>
  <w:style w:type="character" w:customStyle="1" w:styleId="29">
    <w:name w:val="表头 Char Char"/>
    <w:link w:val="28"/>
    <w:qFormat/>
    <w:uiPriority w:val="0"/>
    <w:rPr>
      <w:rFonts w:ascii="Times New Roman" w:hAnsi="宋体" w:eastAsia="仿宋_GB2312" w:cs="Times New Roman"/>
      <w:b/>
      <w:kern w:val="0"/>
      <w:sz w:val="28"/>
      <w:szCs w:val="28"/>
    </w:rPr>
  </w:style>
  <w:style w:type="character" w:customStyle="1" w:styleId="30">
    <w:name w:val="批注文字 Char"/>
    <w:basedOn w:val="18"/>
    <w:link w:val="9"/>
    <w:semiHidden/>
    <w:qFormat/>
    <w:uiPriority w:val="99"/>
  </w:style>
  <w:style w:type="character" w:customStyle="1" w:styleId="31">
    <w:name w:val="批注主题 Char"/>
    <w:basedOn w:val="30"/>
    <w:link w:val="15"/>
    <w:semiHidden/>
    <w:qFormat/>
    <w:uiPriority w:val="99"/>
    <w:rPr>
      <w:b/>
      <w:bCs/>
    </w:rPr>
  </w:style>
  <w:style w:type="character" w:customStyle="1" w:styleId="32">
    <w:name w:val="题注1 Char"/>
    <w:link w:val="33"/>
    <w:qFormat/>
    <w:uiPriority w:val="0"/>
    <w:rPr>
      <w:rFonts w:cs="宋体"/>
      <w:b/>
      <w:bCs/>
      <w:spacing w:val="10"/>
      <w:szCs w:val="24"/>
    </w:rPr>
  </w:style>
  <w:style w:type="paragraph" w:customStyle="1" w:styleId="33">
    <w:name w:val="题注1"/>
    <w:basedOn w:val="1"/>
    <w:link w:val="32"/>
    <w:qFormat/>
    <w:uiPriority w:val="0"/>
    <w:pPr>
      <w:spacing w:beforeLines="20" w:afterLines="20"/>
      <w:jc w:val="center"/>
    </w:pPr>
    <w:rPr>
      <w:rFonts w:cs="宋体"/>
      <w:b/>
      <w:bCs/>
      <w:spacing w:val="10"/>
      <w:szCs w:val="24"/>
    </w:rPr>
  </w:style>
  <w:style w:type="paragraph" w:customStyle="1" w:styleId="34">
    <w:name w:val="赵"/>
    <w:basedOn w:val="1"/>
    <w:link w:val="35"/>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5">
    <w:name w:val="赵 Char"/>
    <w:basedOn w:val="18"/>
    <w:link w:val="34"/>
    <w:qFormat/>
    <w:uiPriority w:val="0"/>
    <w:rPr>
      <w:rFonts w:ascii="Times New Roman" w:hAnsi="Times New Roman" w:eastAsia="宋体" w:cs="Times New Roman"/>
      <w:sz w:val="24"/>
      <w:szCs w:val="30"/>
    </w:rPr>
  </w:style>
  <w:style w:type="paragraph" w:customStyle="1" w:styleId="36">
    <w:name w:val="【表头】"/>
    <w:basedOn w:val="1"/>
    <w:link w:val="37"/>
    <w:qFormat/>
    <w:uiPriority w:val="0"/>
    <w:pPr>
      <w:jc w:val="center"/>
    </w:pPr>
    <w:rPr>
      <w:rFonts w:ascii="Times New Roman" w:hAnsi="Times New Roman" w:eastAsia="宋体" w:cs="Times New Roman"/>
      <w:b/>
      <w:szCs w:val="24"/>
    </w:rPr>
  </w:style>
  <w:style w:type="character" w:customStyle="1" w:styleId="37">
    <w:name w:val="【表头】 Char"/>
    <w:link w:val="36"/>
    <w:qFormat/>
    <w:uiPriority w:val="0"/>
    <w:rPr>
      <w:rFonts w:ascii="Times New Roman" w:hAnsi="Times New Roman" w:eastAsia="宋体" w:cs="Times New Roman"/>
      <w:b/>
      <w:szCs w:val="24"/>
    </w:rPr>
  </w:style>
  <w:style w:type="character" w:customStyle="1" w:styleId="38">
    <w:name w:val="表体 Char Char"/>
    <w:link w:val="26"/>
    <w:qFormat/>
    <w:locked/>
    <w:uiPriority w:val="0"/>
    <w:rPr>
      <w:rFonts w:ascii="Times New Roman" w:hAnsi="Times New Roman" w:eastAsia="宋体" w:cs="Times New Roman"/>
      <w:bCs/>
      <w:snapToGrid w:val="0"/>
      <w:color w:val="000000"/>
      <w:kern w:val="32"/>
      <w:szCs w:val="20"/>
      <w:lang w:val="zh-CN"/>
    </w:rPr>
  </w:style>
  <w:style w:type="character" w:customStyle="1" w:styleId="39">
    <w:name w:val="正文文本 Char"/>
    <w:basedOn w:val="18"/>
    <w:link w:val="10"/>
    <w:semiHidden/>
    <w:qFormat/>
    <w:uiPriority w:val="99"/>
  </w:style>
  <w:style w:type="character" w:customStyle="1" w:styleId="40">
    <w:name w:val="标题 2 Char"/>
    <w:basedOn w:val="18"/>
    <w:link w:val="4"/>
    <w:qFormat/>
    <w:uiPriority w:val="0"/>
    <w:rPr>
      <w:rFonts w:ascii="Times New Roman" w:hAnsi="Times New Roman" w:eastAsia="黑体" w:cs="Times New Roman"/>
      <w:color w:val="000000" w:themeColor="text1"/>
      <w:sz w:val="30"/>
      <w:szCs w:val="24"/>
      <w14:textFill>
        <w14:solidFill>
          <w14:schemeClr w14:val="tx1"/>
        </w14:solidFill>
      </w14:textFill>
    </w:rPr>
  </w:style>
  <w:style w:type="character" w:customStyle="1" w:styleId="41">
    <w:name w:val="表头 Char1"/>
    <w:basedOn w:val="18"/>
    <w:qFormat/>
    <w:uiPriority w:val="0"/>
    <w:rPr>
      <w:rFonts w:ascii="Times New Roman" w:hAnsi="Times New Roman" w:eastAsia="宋体" w:cs="Times New Roman"/>
      <w:b/>
      <w:bCs/>
      <w:kern w:val="0"/>
      <w:szCs w:val="28"/>
    </w:rPr>
  </w:style>
  <w:style w:type="character" w:customStyle="1" w:styleId="42">
    <w:name w:val="标题 3 Char"/>
    <w:basedOn w:val="18"/>
    <w:link w:val="5"/>
    <w:semiHidden/>
    <w:qFormat/>
    <w:uiPriority w:val="9"/>
    <w:rPr>
      <w:b/>
      <w:bCs/>
      <w:sz w:val="32"/>
      <w:szCs w:val="32"/>
    </w:rPr>
  </w:style>
  <w:style w:type="table" w:customStyle="1" w:styleId="43">
    <w:name w:val="Table Normal"/>
    <w:semiHidden/>
    <w:unhideWhenUsed/>
    <w:qFormat/>
    <w:uiPriority w:val="2"/>
    <w:pPr>
      <w:widowControl w:val="0"/>
    </w:pPr>
    <w:rPr>
      <w:sz w:val="22"/>
      <w:lang w:eastAsia="en-US"/>
    </w:rPr>
    <w:tblPr>
      <w:tblLayout w:type="fixed"/>
      <w:tblCellMar>
        <w:top w:w="0" w:type="dxa"/>
        <w:left w:w="0" w:type="dxa"/>
        <w:bottom w:w="0" w:type="dxa"/>
        <w:right w:w="0" w:type="dxa"/>
      </w:tblCellMar>
    </w:tblPr>
  </w:style>
  <w:style w:type="character" w:customStyle="1" w:styleId="44">
    <w:name w:val="标题 8 Char"/>
    <w:basedOn w:val="18"/>
    <w:link w:val="6"/>
    <w:qFormat/>
    <w:uiPriority w:val="99"/>
    <w:rPr>
      <w:rFonts w:asciiTheme="majorHAnsi" w:hAnsiTheme="majorHAnsi" w:eastAsiaTheme="majorEastAsia" w:cstheme="majorBidi"/>
      <w:sz w:val="24"/>
      <w:szCs w:val="24"/>
    </w:rPr>
  </w:style>
  <w:style w:type="paragraph" w:customStyle="1" w:styleId="45">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46">
    <w:name w:val="正文缩进 Char"/>
    <w:link w:val="7"/>
    <w:qFormat/>
    <w:uiPriority w:val="99"/>
    <w:rPr>
      <w:rFonts w:ascii="Calibri" w:hAnsi="Calibri" w:eastAsia="宋体" w:cs="Times New Roman"/>
      <w:sz w:val="28"/>
      <w:szCs w:val="20"/>
    </w:rPr>
  </w:style>
  <w:style w:type="paragraph" w:customStyle="1" w:styleId="47">
    <w:name w:val="样式1"/>
    <w:basedOn w:val="1"/>
    <w:link w:val="48"/>
    <w:qFormat/>
    <w:uiPriority w:val="0"/>
    <w:pPr>
      <w:spacing w:line="360" w:lineRule="auto"/>
      <w:ind w:firstLine="510"/>
    </w:pPr>
    <w:rPr>
      <w:rFonts w:ascii="Times New Roman" w:hAnsi="Times New Roman" w:eastAsia="宋体" w:cs="Times New Roman"/>
      <w:sz w:val="24"/>
      <w:szCs w:val="20"/>
    </w:rPr>
  </w:style>
  <w:style w:type="character" w:customStyle="1" w:styleId="48">
    <w:name w:val="样式1 Char"/>
    <w:link w:val="47"/>
    <w:qFormat/>
    <w:locked/>
    <w:uiPriority w:val="0"/>
    <w:rPr>
      <w:rFonts w:ascii="Times New Roman" w:hAnsi="Times New Roman" w:eastAsia="宋体" w:cs="Times New Roman"/>
      <w:sz w:val="24"/>
      <w:szCs w:val="20"/>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标题 1 Char"/>
    <w:basedOn w:val="18"/>
    <w:link w:val="3"/>
    <w:qFormat/>
    <w:uiPriority w:val="9"/>
    <w:rPr>
      <w:b/>
      <w:bCs/>
      <w:kern w:val="44"/>
      <w:sz w:val="44"/>
      <w:szCs w:val="44"/>
    </w:rPr>
  </w:style>
  <w:style w:type="character" w:customStyle="1" w:styleId="51">
    <w:name w:val="标题1"/>
    <w:basedOn w:val="18"/>
    <w:qFormat/>
    <w:uiPriority w:val="0"/>
  </w:style>
  <w:style w:type="paragraph" w:customStyle="1" w:styleId="52">
    <w:name w:val="Table Paragraph"/>
    <w:basedOn w:val="1"/>
    <w:qFormat/>
    <w:uiPriority w:val="1"/>
    <w:rPr>
      <w:rFonts w:ascii="宋体" w:hAnsi="宋体" w:eastAsia="宋体" w:cs="宋体"/>
      <w:lang w:val="zh-CN" w:bidi="zh-CN"/>
    </w:rPr>
  </w:style>
  <w:style w:type="paragraph" w:styleId="53">
    <w:name w:val="List Paragraph"/>
    <w:basedOn w:val="1"/>
    <w:qFormat/>
    <w:uiPriority w:val="1"/>
    <w:pPr>
      <w:ind w:left="1581" w:hanging="705"/>
    </w:pPr>
    <w:rPr>
      <w:rFonts w:ascii="宋体" w:hAnsi="宋体" w:eastAsia="宋体" w:cs="宋体"/>
      <w:lang w:val="zh-CN" w:bidi="zh-CN"/>
    </w:rPr>
  </w:style>
  <w:style w:type="character" w:customStyle="1" w:styleId="54">
    <w:name w:val="NormalCharacter"/>
    <w:qFormat/>
    <w:uiPriority w:val="0"/>
  </w:style>
  <w:style w:type="paragraph" w:customStyle="1" w:styleId="55">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29A4B-4698-43CC-8947-CF0E2E1FFD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6790</Words>
  <Characters>38708</Characters>
  <Lines>322</Lines>
  <Paragraphs>90</Paragraphs>
  <TotalTime>30</TotalTime>
  <ScaleCrop>false</ScaleCrop>
  <LinksUpToDate>false</LinksUpToDate>
  <CharactersWithSpaces>45408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2022-03-13T07:56:00Z</dcterms:created>
  <dc:creator>微软用户</dc:creator>
  <cp:lastModifiedBy>admin</cp:lastModifiedBy>
  <cp:lastPrinted>2022-03-20T08:45:00Z</cp:lastPrinted>
  <dcterms:modified xsi:type="dcterms:W3CDTF">2022-03-21T07:29:09Z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689DD73F5E564276B27CC6F6F8D6289A</vt:lpwstr>
  </property>
</Properties>
</file>