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23" w:name="_GoBack"/>
      <w:bookmarkEnd w:id="23"/>
      <w:r>
        <w:rPr>
          <w:rFonts w:ascii="Times New Roman" w:hAnsi="Times New Roman" w:cs="Times New Roman"/>
          <w:b/>
          <w:color w:val="000000" w:themeColor="text1"/>
          <w:sz w:val="28"/>
          <w:szCs w:val="20"/>
        </w:rPr>
        <w:t>一、建设项目基本情况</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409"/>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新建年产2.5万吨水溶肥生产线项目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云南禾欧农业科技有限公司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2019-530113-26-03-049620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刘</w:t>
            </w:r>
            <w:r>
              <w:rPr>
                <w:rFonts w:hint="eastAsia" w:ascii="Times New Roman" w:hAnsi="Times New Roman" w:cs="Times New Roman"/>
                <w:color w:val="000000" w:themeColor="text1"/>
                <w:sz w:val="24"/>
                <w:szCs w:val="24"/>
                <w:lang w:val="en-US" w:eastAsia="zh-CN"/>
              </w:rPr>
              <w:t>**</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136</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云南省东川再就业特区天生桥特色产业园区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东经103°15'1.080"，北纬25°38'33.158"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2624 复混肥料制造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二十三、化学原料和化学制品制造业</w:t>
            </w:r>
            <w:r>
              <w:rPr>
                <w:rFonts w:ascii="Times New Roman" w:hAnsi="Times New Roman" w:cs="Times New Roman"/>
                <w:color w:val="000000" w:themeColor="text1"/>
                <w:sz w:val="24"/>
                <w:szCs w:val="24"/>
              </w:rPr>
              <w:t>26</w:t>
            </w:r>
            <w:r>
              <w:rPr>
                <w:rFonts w:hint="eastAsia" w:ascii="Times New Roman" w:hAnsi="Times New Roman" w:cs="Times New Roman"/>
                <w:color w:val="000000" w:themeColor="text1"/>
                <w:sz w:val="24"/>
                <w:szCs w:val="24"/>
              </w:rPr>
              <w:t>、肥料制造</w:t>
            </w:r>
            <w:r>
              <w:rPr>
                <w:rFonts w:ascii="Times New Roman" w:hAnsi="Times New Roman" w:cs="Times New Roman"/>
                <w:color w:val="000000" w:themeColor="text1"/>
                <w:sz w:val="24"/>
                <w:szCs w:val="24"/>
              </w:rPr>
              <w:t>262</w:t>
            </w:r>
            <w:r>
              <w:rPr>
                <w:rFonts w:hint="eastAsia" w:ascii="Times New Roman" w:hAnsi="Times New Roman" w:cs="Times New Roman"/>
                <w:color w:val="000000" w:themeColor="text1"/>
                <w:sz w:val="24"/>
                <w:szCs w:val="24"/>
              </w:rPr>
              <w:t>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4"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hint="eastAsia" w:ascii="MS Mincho" w:hAnsi="MS Mincho" w:eastAsia="MS Mincho" w:cs="MS Mincho"/>
                <w:color w:val="000000" w:themeColor="text1"/>
                <w:sz w:val="24"/>
                <w:szCs w:val="24"/>
              </w:rPr>
              <w:t>☑</w:t>
            </w: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投资项目备案证（项目代码：2019-530113-26-03-049620）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否</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本项目专项评价设置情况具体如下表所示。</w:t>
            </w:r>
          </w:p>
          <w:p>
            <w:pPr>
              <w:spacing w:beforeLines="50" w:line="360" w:lineRule="auto"/>
              <w:ind w:firstLine="480" w:firstLineChars="200"/>
              <w:rPr>
                <w:rFonts w:ascii="Times New Roman" w:hAnsi="Times New Roman" w:cs="Times New Roman"/>
                <w:color w:val="000000" w:themeColor="text1"/>
                <w:sz w:val="24"/>
                <w:szCs w:val="24"/>
              </w:rPr>
            </w:pP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3373"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68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本项目情况</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337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本项目排放的大气污染物主要包括颗粒物和臭气浓度；不含上述需设置大气专项评价的排放因子，因此不设置大气专项评价。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337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本项目产生的废水类型包括</w:t>
                  </w:r>
                  <w:r>
                    <w:rPr>
                      <w:rFonts w:hint="eastAsia"/>
                      <w:color w:val="000000" w:themeColor="text1"/>
                      <w:szCs w:val="21"/>
                    </w:rPr>
                    <w:t>设备清洗废水和生活污水</w:t>
                  </w:r>
                  <w:r>
                    <w:rPr>
                      <w:color w:val="000000" w:themeColor="text1"/>
                      <w:szCs w:val="21"/>
                    </w:rPr>
                    <w:t>，</w:t>
                  </w:r>
                  <w:r>
                    <w:rPr>
                      <w:rFonts w:hint="eastAsia"/>
                      <w:color w:val="000000" w:themeColor="text1"/>
                      <w:szCs w:val="21"/>
                    </w:rPr>
                    <w:t>设备清洗废水回用于生产，生活污水依托昆明再生资源（集团）天生桥再生资源回收基地污水处理设施处理后，回用于绿化，不外排</w:t>
                  </w:r>
                  <w:r>
                    <w:rPr>
                      <w:color w:val="000000" w:themeColor="text1"/>
                      <w:szCs w:val="21"/>
                    </w:rPr>
                    <w:t>；因此不设置地表水专项评价。</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337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685" w:type="dxa"/>
                  <w:vAlign w:val="center"/>
                </w:tcPr>
                <w:p>
                  <w:pPr>
                    <w:pStyle w:val="32"/>
                    <w:spacing w:line="360" w:lineRule="exact"/>
                    <w:ind w:firstLine="210" w:firstLineChars="100"/>
                    <w:jc w:val="both"/>
                    <w:rPr>
                      <w:color w:val="000000" w:themeColor="text1"/>
                      <w:szCs w:val="21"/>
                      <w:highlight w:val="yellow"/>
                    </w:rPr>
                  </w:pPr>
                  <w:r>
                    <w:rPr>
                      <w:color w:val="000000" w:themeColor="text1"/>
                      <w:szCs w:val="21"/>
                    </w:rPr>
                    <w:t>本项目涉及的危险物质包括</w:t>
                  </w:r>
                  <w:r>
                    <w:rPr>
                      <w:rFonts w:hint="eastAsia"/>
                      <w:color w:val="000000" w:themeColor="text1"/>
                      <w:szCs w:val="21"/>
                    </w:rPr>
                    <w:t>原料硫酸铵和</w:t>
                  </w:r>
                  <w:r>
                    <w:rPr>
                      <w:color w:val="000000" w:themeColor="text1"/>
                      <w:szCs w:val="21"/>
                    </w:rPr>
                    <w:t>暂存的废机油，</w:t>
                  </w:r>
                  <w:r>
                    <w:rPr>
                      <w:rFonts w:hint="eastAsia"/>
                      <w:color w:val="000000" w:themeColor="text1"/>
                      <w:szCs w:val="21"/>
                    </w:rPr>
                    <w:t>硫酸铵最大储存量为38.7t</w:t>
                  </w:r>
                  <w:r>
                    <w:rPr>
                      <w:color w:val="000000" w:themeColor="text1"/>
                      <w:szCs w:val="21"/>
                    </w:rPr>
                    <w:t>（临界量为</w:t>
                  </w:r>
                  <w:r>
                    <w:rPr>
                      <w:rFonts w:hint="eastAsia"/>
                      <w:color w:val="000000" w:themeColor="text1"/>
                      <w:szCs w:val="21"/>
                    </w:rPr>
                    <w:t>1</w:t>
                  </w:r>
                  <w:r>
                    <w:rPr>
                      <w:color w:val="000000" w:themeColor="text1"/>
                      <w:szCs w:val="21"/>
                    </w:rPr>
                    <w:t>0t）</w:t>
                  </w:r>
                  <w:r>
                    <w:rPr>
                      <w:rFonts w:hint="eastAsia"/>
                      <w:color w:val="000000" w:themeColor="text1"/>
                      <w:szCs w:val="21"/>
                    </w:rPr>
                    <w:t>，</w:t>
                  </w:r>
                  <w:r>
                    <w:rPr>
                      <w:color w:val="000000" w:themeColor="text1"/>
                      <w:szCs w:val="21"/>
                    </w:rPr>
                    <w:t>超过临界量，因此</w:t>
                  </w:r>
                  <w:r>
                    <w:rPr>
                      <w:rFonts w:hint="eastAsia"/>
                      <w:color w:val="000000" w:themeColor="text1"/>
                      <w:szCs w:val="21"/>
                    </w:rPr>
                    <w:t>，应</w:t>
                  </w:r>
                  <w:r>
                    <w:rPr>
                      <w:color w:val="000000" w:themeColor="text1"/>
                      <w:szCs w:val="21"/>
                    </w:rPr>
                    <w:t>设置环境风险评价等级。</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337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685" w:type="dxa"/>
                  <w:vAlign w:val="center"/>
                </w:tcPr>
                <w:p>
                  <w:pPr>
                    <w:pStyle w:val="32"/>
                    <w:spacing w:line="360" w:lineRule="exact"/>
                    <w:ind w:firstLine="210" w:firstLineChars="100"/>
                    <w:jc w:val="both"/>
                    <w:rPr>
                      <w:color w:val="000000" w:themeColor="text1"/>
                      <w:sz w:val="24"/>
                      <w:szCs w:val="24"/>
                      <w:lang w:val="en-US"/>
                    </w:rPr>
                  </w:pPr>
                  <w:r>
                    <w:rPr>
                      <w:color w:val="000000" w:themeColor="text1"/>
                      <w:szCs w:val="21"/>
                    </w:rPr>
                    <w:t>本项目用水使用自来水，不涉及河道取水，因此不设置生态专项评价。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本项目不涉及海洋，因此不设置海洋专项评价。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综上，本项目设置环境风险专项评价。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省东川再就业特区天生桥产业园总体规划（2010-2030）》，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云南省东川再就业特区天生桥特色产业园，根据《云南省东川再就业特区天生桥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②</w:t>
            </w:r>
            <w:r>
              <w:rPr>
                <w:rFonts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根据附图5 天生桥特色产业园功能区划图可知，本项目位于云南省东川再就业特区天生桥产业园北片区工业南区组团（静脉产业园），东川再就业特色产业园区管理委员会对本项目进行严格审核，明确本项目符合园区的总体规划，并于2019年11月18日下发了《东川再就业特色产业园区管理委员会关于云南禾欧农业科技有限公司入驻东川再就业特色产业园区天生桥业园的批复》（东特发【2019】69号）。</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综上，本项目符合云南省东川再就业特区天生桥特色产业园区的产业定位。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hAnsi="Times New Roman" w:cs="Times New Roman"/>
                <w:b/>
                <w:color w:val="000000" w:themeColor="text1"/>
                <w:sz w:val="24"/>
              </w:rPr>
              <w:t>与园区环保措施要求的符合性分析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查阅《云南省东川再就业特区天生桥特色产业园总体规划环境影响报告书》及其审查意见（云环函【2012】340号），针对园区环保措施要求，重点提出了废水和固废处置的要，具体符合性分析如下表所示。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2</w:t>
            </w:r>
            <w:r>
              <w:rPr>
                <w:rFonts w:ascii="Times New Roman" w:hAnsi="Times New Roman" w:cs="Times New Roman"/>
                <w:b/>
                <w:color w:val="000000" w:themeColor="text1"/>
              </w:rPr>
              <w:t xml:space="preserve"> 与园区环保措施要求的符合性分析</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3232"/>
              <w:gridCol w:w="3795"/>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要求</w:t>
                  </w:r>
                </w:p>
              </w:tc>
              <w:tc>
                <w:tcPr>
                  <w:tcW w:w="323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规划环评及审查意见污染物控制要求</w:t>
                  </w:r>
                </w:p>
              </w:tc>
              <w:tc>
                <w:tcPr>
                  <w:tcW w:w="379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color w:val="000000" w:themeColor="text1"/>
                      <w:szCs w:val="21"/>
                    </w:rPr>
                    <w:t>关于园区污水处理及排放问题</w:t>
                  </w:r>
                </w:p>
              </w:tc>
              <w:tc>
                <w:tcPr>
                  <w:tcW w:w="3232" w:type="dxa"/>
                  <w:vAlign w:val="center"/>
                </w:tcPr>
                <w:p>
                  <w:pPr>
                    <w:pStyle w:val="32"/>
                    <w:spacing w:line="360" w:lineRule="exact"/>
                    <w:ind w:firstLine="210" w:firstLineChars="100"/>
                    <w:jc w:val="both"/>
                    <w:rPr>
                      <w:color w:val="000000" w:themeColor="text1"/>
                      <w:szCs w:val="21"/>
                    </w:rPr>
                  </w:pPr>
                  <w:r>
                    <w:rPr>
                      <w:color w:val="000000" w:themeColor="text1"/>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795"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pStyle w:val="32"/>
                    <w:spacing w:line="360" w:lineRule="exact"/>
                    <w:ind w:firstLine="210" w:firstLineChars="100"/>
                    <w:jc w:val="both"/>
                    <w:rPr>
                      <w:color w:val="000000" w:themeColor="text1"/>
                      <w:szCs w:val="21"/>
                    </w:rPr>
                  </w:pPr>
                  <w:r>
                    <w:rPr>
                      <w:rFonts w:hint="eastAsia"/>
                      <w:color w:val="000000" w:themeColor="text1"/>
                      <w:szCs w:val="21"/>
                    </w:rPr>
                    <w:t>根据调查，本项目位于小江流域片区，目前小江流域规划建设的生活污水收集处理管网系统还未建成，而昆明再生资源（集团）天生桥再生资源回收基地已配套设置了2座设计规模均为15</w:t>
                  </w:r>
                  <w:r>
                    <w:rPr>
                      <w:color w:val="000000" w:themeColor="text1"/>
                      <w:szCs w:val="21"/>
                    </w:rPr>
                    <w:t>m³</w:t>
                  </w:r>
                  <w:r>
                    <w:rPr>
                      <w:rFonts w:hint="eastAsia"/>
                      <w:color w:val="000000" w:themeColor="text1"/>
                      <w:szCs w:val="21"/>
                    </w:rPr>
                    <w:t>/d的中水处理站，对基地内的生活污水进行处理达到《城市污水再生利用 城市杂用水水质》（GB/T18920-2020）中城市绿化标准后，回用于基地绿化、卫生间冲厕等，不外排。设备清洗废水收集后作为含腐植酸液体水溶肥生产原料使用，不外排</w:t>
                  </w:r>
                  <w:r>
                    <w:rPr>
                      <w:color w:val="000000" w:themeColor="text1"/>
                      <w:szCs w:val="21"/>
                    </w:rPr>
                    <w:t>。符合园污水处理及排放管理相关要求。</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color w:val="000000" w:themeColor="text1"/>
                      <w:szCs w:val="21"/>
                    </w:rPr>
                    <w:t>关于固废处置问题</w:t>
                  </w:r>
                </w:p>
              </w:tc>
              <w:tc>
                <w:tcPr>
                  <w:tcW w:w="3232" w:type="dxa"/>
                  <w:vAlign w:val="center"/>
                </w:tcPr>
                <w:p>
                  <w:pPr>
                    <w:pStyle w:val="32"/>
                    <w:spacing w:line="360" w:lineRule="exact"/>
                    <w:ind w:firstLine="210" w:firstLineChars="100"/>
                    <w:jc w:val="both"/>
                    <w:rPr>
                      <w:color w:val="000000" w:themeColor="text1"/>
                      <w:szCs w:val="21"/>
                    </w:rPr>
                  </w:pPr>
                  <w:r>
                    <w:rPr>
                      <w:color w:val="000000" w:themeColor="text1"/>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795" w:type="dxa"/>
                  <w:vAlign w:val="center"/>
                </w:tcPr>
                <w:p>
                  <w:pPr>
                    <w:pStyle w:val="32"/>
                    <w:spacing w:line="360" w:lineRule="exact"/>
                    <w:ind w:firstLine="210" w:firstLineChars="100"/>
                    <w:jc w:val="both"/>
                    <w:rPr>
                      <w:color w:val="000000" w:themeColor="text1"/>
                      <w:szCs w:val="21"/>
                    </w:rPr>
                  </w:pPr>
                  <w:r>
                    <w:rPr>
                      <w:color w:val="000000" w:themeColor="text1"/>
                      <w:szCs w:val="21"/>
                    </w:rPr>
                    <w:t>该项目产生的废弃包装物统一收集后，委托厂家回收处理；废机油拟设置一个5m²的规范的危险废物贮存间对其储存后，委托有资质的单位处理；废弃沾油抹布及生活垃圾按照园区要求委托当地环卫部门定期清运处理；处置率为100%。符合园区固体废物管理相关要求。</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hAnsi="Times New Roman" w:cs="Times New Roman"/>
                <w:b/>
                <w:color w:val="000000" w:themeColor="text1"/>
                <w:sz w:val="24"/>
              </w:rPr>
              <w:t>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本项目与云南省东川再就业特区天生桥特色产业园准入要求的符合性分析如下表所示。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与园区准入要求的符合性分析</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0"/>
              <w:gridCol w:w="4393"/>
              <w:gridCol w:w="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规划环评及审查意见准入要求</w:t>
                  </w:r>
                </w:p>
              </w:tc>
              <w:tc>
                <w:tcPr>
                  <w:tcW w:w="4393"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项目实际情况</w:t>
                  </w:r>
                </w:p>
              </w:tc>
              <w:tc>
                <w:tcPr>
                  <w:tcW w:w="815"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szCs w:val="21"/>
                    </w:rPr>
                    <w:t>加强入园企业的控制，对不符合园区功能定位的企业和项目禁止入园。入园企业须满足国家产业政策和环境准入条件，坚持使用清洁能源，严格执行污染物达标排放和总量控制要求。</w:t>
                  </w:r>
                </w:p>
              </w:tc>
              <w:tc>
                <w:tcPr>
                  <w:tcW w:w="4393" w:type="dxa"/>
                  <w:vAlign w:val="center"/>
                </w:tcPr>
                <w:p>
                  <w:pPr>
                    <w:pStyle w:val="32"/>
                    <w:spacing w:line="360" w:lineRule="exact"/>
                    <w:ind w:firstLine="210" w:firstLineChars="100"/>
                    <w:jc w:val="both"/>
                    <w:rPr>
                      <w:color w:val="000000" w:themeColor="text1"/>
                      <w:szCs w:val="21"/>
                    </w:rPr>
                  </w:pPr>
                  <w:r>
                    <w:rPr>
                      <w:color w:val="000000" w:themeColor="text1"/>
                      <w:szCs w:val="21"/>
                    </w:rPr>
                    <w:t>根据《东川再就业特色产业园区管理委员会关于云南禾欧农业科技有限公司入驻东川再就业特色产业园区天生桥业园的批复》（东特发【2019】69号）</w:t>
                  </w:r>
                  <w:r>
                    <w:rPr>
                      <w:rFonts w:hint="eastAsia"/>
                      <w:color w:val="000000" w:themeColor="text1"/>
                      <w:szCs w:val="21"/>
                    </w:rPr>
                    <w:t>，</w:t>
                  </w:r>
                  <w:r>
                    <w:rPr>
                      <w:color w:val="000000" w:themeColor="text1"/>
                      <w:szCs w:val="21"/>
                    </w:rPr>
                    <w:t>该项目符合园区功能定位，该项目符合国家产业政策和环境准入条件，同时污染物可达标排放，无总量控制指标要求。满足园区政策管理相关要求。</w:t>
                  </w:r>
                </w:p>
              </w:tc>
              <w:tc>
                <w:tcPr>
                  <w:tcW w:w="815"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由上表可知，本项目符合云南省东川再就业特区天生桥特色产业园环准入要求。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本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昆明市人民政府已发布《昆明市人民政府关于昆明市“三线一单” 生态环境分区管控的实施意见》，本项目符合性分析具体如下：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w:t>
            </w:r>
            <w:r>
              <w:rPr>
                <w:rFonts w:ascii="Times New Roman" w:hAnsi="Times New Roman" w:cs="Times New Roman"/>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hAnsi="Times New Roman" w:cs="Times New Roman"/>
                <w:color w:val="000000" w:themeColor="text1"/>
                <w:sz w:val="24"/>
              </w:rPr>
              <w:t>”，本项目位于</w:t>
            </w:r>
            <w:r>
              <w:rPr>
                <w:rFonts w:ascii="Times New Roman" w:hAnsi="Times New Roman" w:cs="Times New Roman"/>
                <w:color w:val="000000" w:themeColor="text1"/>
                <w:sz w:val="24"/>
              </w:rPr>
              <w:t>云南省东川再就业特区天生桥特色产业园</w:t>
            </w:r>
            <w:r>
              <w:rPr>
                <w:rFonts w:hint="eastAsia" w:ascii="Times New Roman" w:hAnsi="Times New Roman" w:cs="Times New Roman"/>
                <w:color w:val="000000" w:themeColor="text1"/>
                <w:sz w:val="24"/>
              </w:rPr>
              <w:t>，项目所在地属于</w:t>
            </w:r>
            <w:r>
              <w:rPr>
                <w:rFonts w:ascii="Times New Roman" w:hAnsi="Times New Roman" w:cs="Times New Roman"/>
                <w:color w:val="000000" w:themeColor="text1"/>
                <w:sz w:val="24"/>
              </w:rPr>
              <w:t>云南东川再就业特色产业园区重点管控单元</w:t>
            </w:r>
            <w:r>
              <w:rPr>
                <w:rFonts w:hint="eastAsia" w:ascii="Times New Roman" w:hAnsi="Times New Roman" w:cs="Times New Roman"/>
                <w:color w:val="000000" w:themeColor="text1"/>
                <w:sz w:val="24"/>
              </w:rPr>
              <w:t>，因此项目不属于优先保护单元。</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，环境质量底线和本项目相关的要求及符合性分析如下：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、PM²</w:t>
            </w:r>
            <w:r>
              <w:rPr>
                <w:rFonts w:ascii="Times New Roman" w:cs="Times New Roman" w:hAnsiTheme="minorEastAsia"/>
                <w:color w:val="000000" w:themeColor="text1"/>
                <w:sz w:val="24"/>
                <w:vertAlign w:val="subscript"/>
              </w:rPr>
              <w:t>.5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根据调查，现目选址区域空气环境可达到《环境空气质量标准》（GB3095-2012）二级标准，属于空气达标区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且本项目的建设不会改变区域环境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r>
              <w:rPr>
                <w:rFonts w:hint="eastAsia" w:ascii="Times New Roman" w:cs="Times New Roman" w:hAnsiTheme="minorEastAsia"/>
                <w:color w:val="000000" w:themeColor="text1"/>
                <w:sz w:val="24"/>
              </w:rPr>
              <w:t>根据调查，</w:t>
            </w:r>
            <w:r>
              <w:rPr>
                <w:rFonts w:ascii="Times New Roman" w:cs="Times New Roman" w:hAnsiTheme="minorEastAsia"/>
                <w:color w:val="000000" w:themeColor="text1"/>
                <w:sz w:val="24"/>
              </w:rPr>
              <w:t>甸头大河可达到《地表水环境质量标准》（GB3838-2002）III类标准限值；</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根据调查，项目主要用水环节为生产用水、设备清洗用水、生活用水，用水量较全市工业用水量占比极小；项目选址位于工业园区，租用厂房建设，不涉及耕地、基本农田等土地资源，项目能耗较低；因此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根据调查，本项目位于本项目位于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的管理要求，本项目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表1-4</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402"/>
              <w:gridCol w:w="3045"/>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4133" w:type="dxa"/>
                  <w:gridSpan w:val="2"/>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04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73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402"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重点发展重化工、有色冶金、铸造、有色金属和稀贵金属加工、机械制造、机电设备、黄金精加工、建筑建材以及食品加工、生物医药行业。</w:t>
                  </w:r>
                </w:p>
              </w:tc>
              <w:tc>
                <w:tcPr>
                  <w:tcW w:w="3045"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东川再就业特色产业园区管理委员会对本项目进行严格审核，明确本项目符合园区的总体规划，</w:t>
                  </w:r>
                  <w:r>
                    <w:rPr>
                      <w:rFonts w:hint="eastAsia" w:hAnsiTheme="minorEastAsia" w:eastAsiaTheme="minorEastAsia"/>
                      <w:color w:val="000000" w:themeColor="text1"/>
                    </w:rPr>
                    <w:t xml:space="preserve"> </w:t>
                  </w:r>
                  <w:r>
                    <w:rPr>
                      <w:rFonts w:hAnsiTheme="minorEastAsia" w:eastAsiaTheme="minorEastAsia"/>
                      <w:color w:val="000000" w:themeColor="text1"/>
                    </w:rPr>
                    <w:t>并于2019年11月18日下发了《东川再就业特色产业园区管理委员会关于云南禾欧农业科技有限公司入驻东川再就业特色产业园区天生桥业园的批复》（东特发【2019】69号）。</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hAnsiTheme="minorEastAsia" w:eastAsiaTheme="minorEastAsia"/>
                      <w:color w:val="000000" w:themeColor="text1"/>
                      <w:szCs w:val="21"/>
                    </w:rPr>
                  </w:pPr>
                </w:p>
              </w:tc>
              <w:tc>
                <w:tcPr>
                  <w:tcW w:w="73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402"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1.四方地组团禁止再安排重污染企业，防止加重该区域的环境污染。</w:t>
                  </w:r>
                </w:p>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2.碧谷片区靠近城区一侧安排居住及轻污染的工业项目，该地区地势较低，不得布置空气污染较重的项目。</w:t>
                  </w:r>
                </w:p>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3.对门山片区不宜作为工业片区，作为城市服务功能区，靠近城区一侧应营造绿化带和布置低噪声影响项目。</w:t>
                  </w:r>
                </w:p>
                <w:p>
                  <w:pPr>
                    <w:pStyle w:val="32"/>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rPr>
                    <w:t>4.阿旺片区不宜布局空气污染大的项目</w:t>
                  </w:r>
                  <w:r>
                    <w:rPr>
                      <w:rFonts w:hAnsiTheme="minorEastAsia" w:eastAsiaTheme="minorEastAsia"/>
                      <w:color w:val="000000" w:themeColor="text1"/>
                      <w:sz w:val="20"/>
                    </w:rPr>
                    <w:t>。</w:t>
                  </w:r>
                </w:p>
              </w:tc>
              <w:tc>
                <w:tcPr>
                  <w:tcW w:w="3045" w:type="dxa"/>
                  <w:vAlign w:val="center"/>
                </w:tcPr>
                <w:p>
                  <w:pPr>
                    <w:pStyle w:val="32"/>
                    <w:spacing w:line="360" w:lineRule="exact"/>
                    <w:ind w:firstLine="200" w:firstLineChars="100"/>
                    <w:jc w:val="both"/>
                    <w:rPr>
                      <w:rFonts w:hAnsiTheme="minorEastAsia" w:eastAsiaTheme="minorEastAsia"/>
                      <w:color w:val="000000" w:themeColor="text1"/>
                      <w:szCs w:val="2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四方地组团</w:t>
                  </w:r>
                  <w:r>
                    <w:rPr>
                      <w:rFonts w:hint="eastAsia" w:hAnsiTheme="minorEastAsia" w:eastAsiaTheme="minorEastAsia"/>
                      <w:color w:val="000000" w:themeColor="text1"/>
                    </w:rPr>
                    <w:t>、</w:t>
                  </w:r>
                  <w:r>
                    <w:rPr>
                      <w:rFonts w:hAnsiTheme="minorEastAsia" w:eastAsiaTheme="minorEastAsia"/>
                      <w:color w:val="000000" w:themeColor="text1"/>
                    </w:rPr>
                    <w:t>碧谷片区</w:t>
                  </w:r>
                  <w:r>
                    <w:rPr>
                      <w:rFonts w:hint="eastAsia" w:hAnsiTheme="minorEastAsia" w:eastAsiaTheme="minorEastAsia"/>
                      <w:color w:val="000000" w:themeColor="text1"/>
                    </w:rPr>
                    <w:t>、</w:t>
                  </w:r>
                  <w:r>
                    <w:rPr>
                      <w:rFonts w:hAnsiTheme="minorEastAsia" w:eastAsiaTheme="minorEastAsia"/>
                      <w:color w:val="000000" w:themeColor="text1"/>
                    </w:rPr>
                    <w:t>对门山片区</w:t>
                  </w:r>
                  <w:r>
                    <w:rPr>
                      <w:rFonts w:hint="eastAsia" w:hAnsiTheme="minorEastAsia" w:eastAsiaTheme="minorEastAsia"/>
                      <w:color w:val="000000" w:themeColor="text1"/>
                    </w:rPr>
                    <w:t>和</w:t>
                  </w:r>
                  <w:r>
                    <w:rPr>
                      <w:rFonts w:hAnsiTheme="minorEastAsia" w:eastAsiaTheme="minorEastAsia"/>
                      <w:color w:val="000000" w:themeColor="text1"/>
                    </w:rPr>
                    <w:t>阿旺片区</w:t>
                  </w:r>
                  <w:r>
                    <w:rPr>
                      <w:rFonts w:hint="eastAsia" w:hAnsiTheme="minorEastAsia" w:eastAsiaTheme="minorEastAsia"/>
                      <w:color w:val="000000" w:themeColor="text1"/>
                    </w:rPr>
                    <w:t>。</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hAnsiTheme="minorEastAsia" w:eastAsiaTheme="minorEastAsia"/>
                      <w:color w:val="000000" w:themeColor="text1"/>
                      <w:szCs w:val="21"/>
                    </w:rPr>
                  </w:pPr>
                </w:p>
              </w:tc>
              <w:tc>
                <w:tcPr>
                  <w:tcW w:w="73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402"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045" w:type="dxa"/>
                  <w:vAlign w:val="center"/>
                </w:tcPr>
                <w:p>
                  <w:pPr>
                    <w:pStyle w:val="32"/>
                    <w:spacing w:line="360" w:lineRule="exact"/>
                    <w:ind w:firstLine="200" w:firstLineChars="100"/>
                    <w:jc w:val="both"/>
                    <w:rPr>
                      <w:color w:val="000000" w:themeColor="text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hAnsiTheme="minorEastAsia" w:eastAsiaTheme="minorEastAsia"/>
                      <w:color w:val="000000" w:themeColor="text1"/>
                      <w:szCs w:val="21"/>
                    </w:rPr>
                  </w:pPr>
                </w:p>
              </w:tc>
              <w:tc>
                <w:tcPr>
                  <w:tcW w:w="731" w:type="dxa"/>
                  <w:vAlign w:val="center"/>
                </w:tcPr>
                <w:p>
                  <w:pPr>
                    <w:pStyle w:val="32"/>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402"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045" w:type="dxa"/>
                  <w:vAlign w:val="center"/>
                </w:tcPr>
                <w:p>
                  <w:pPr>
                    <w:pStyle w:val="32"/>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w:t>
            </w: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5</w:t>
            </w:r>
            <w:r>
              <w:rPr>
                <w:rFonts w:ascii="Times New Roman" w:hAnsi="Times New Roman" w:cs="Times New Roman"/>
                <w:b/>
                <w:color w:val="000000" w:themeColor="text1"/>
              </w:rPr>
              <w:t xml:space="preserve"> 与《中华人民共和国长江保护法》符合性分析一览表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2552"/>
              <w:gridCol w:w="4819"/>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序号</w:t>
                  </w:r>
                </w:p>
              </w:tc>
              <w:tc>
                <w:tcPr>
                  <w:tcW w:w="2552" w:type="dxa"/>
                  <w:vAlign w:val="center"/>
                </w:tcPr>
                <w:p>
                  <w:pPr>
                    <w:pStyle w:val="32"/>
                    <w:spacing w:line="360" w:lineRule="exact"/>
                    <w:rPr>
                      <w:color w:val="000000" w:themeColor="text1"/>
                      <w:kern w:val="0"/>
                      <w:szCs w:val="21"/>
                    </w:rPr>
                  </w:pPr>
                  <w:r>
                    <w:rPr>
                      <w:color w:val="000000" w:themeColor="text1"/>
                      <w:kern w:val="0"/>
                      <w:szCs w:val="21"/>
                    </w:rPr>
                    <w:t>中华人民共和国长江保护法要求</w:t>
                  </w:r>
                </w:p>
              </w:tc>
              <w:tc>
                <w:tcPr>
                  <w:tcW w:w="4819" w:type="dxa"/>
                  <w:vAlign w:val="center"/>
                </w:tcPr>
                <w:p>
                  <w:pPr>
                    <w:pStyle w:val="32"/>
                    <w:spacing w:line="360" w:lineRule="exact"/>
                    <w:rPr>
                      <w:color w:val="000000" w:themeColor="text1"/>
                      <w:kern w:val="0"/>
                      <w:szCs w:val="21"/>
                    </w:rPr>
                  </w:pPr>
                  <w:r>
                    <w:rPr>
                      <w:color w:val="000000" w:themeColor="text1"/>
                      <w:kern w:val="0"/>
                      <w:szCs w:val="21"/>
                    </w:rPr>
                    <w:t>本项目实际情况</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1</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819"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w:t>
                  </w:r>
                  <w:r>
                    <w:rPr>
                      <w:rFonts w:hint="eastAsia"/>
                      <w:color w:val="000000" w:themeColor="text1"/>
                      <w:kern w:val="0"/>
                      <w:szCs w:val="21"/>
                    </w:rPr>
                    <w:t>位于</w:t>
                  </w:r>
                  <w:r>
                    <w:rPr>
                      <w:color w:val="000000" w:themeColor="text1"/>
                      <w:kern w:val="0"/>
                      <w:szCs w:val="21"/>
                    </w:rPr>
                    <w:t>云南省东川再就业特区天生桥特色产业园区，</w:t>
                  </w:r>
                  <w:r>
                    <w:rPr>
                      <w:rFonts w:hint="eastAsia"/>
                      <w:color w:val="000000" w:themeColor="text1"/>
                      <w:kern w:val="0"/>
                      <w:szCs w:val="21"/>
                    </w:rPr>
                    <w:t>距离</w:t>
                  </w:r>
                  <w:r>
                    <w:rPr>
                      <w:color w:val="000000" w:themeColor="text1"/>
                      <w:kern w:val="0"/>
                      <w:szCs w:val="21"/>
                    </w:rPr>
                    <w:t>长江支流</w:t>
                  </w:r>
                  <w:r>
                    <w:rPr>
                      <w:rFonts w:hint="eastAsia"/>
                      <w:color w:val="000000" w:themeColor="text1"/>
                      <w:kern w:val="0"/>
                      <w:szCs w:val="21"/>
                    </w:rPr>
                    <w:t>小江的距离超过10km。</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08" w:hRule="atLeast"/>
              </w:trPr>
              <w:tc>
                <w:tcPr>
                  <w:tcW w:w="596" w:type="dxa"/>
                  <w:vAlign w:val="center"/>
                </w:tcPr>
                <w:p>
                  <w:pPr>
                    <w:pStyle w:val="32"/>
                    <w:spacing w:line="360" w:lineRule="exact"/>
                    <w:rPr>
                      <w:color w:val="000000" w:themeColor="text1"/>
                      <w:kern w:val="0"/>
                      <w:szCs w:val="21"/>
                    </w:rPr>
                  </w:pPr>
                  <w:r>
                    <w:rPr>
                      <w:color w:val="000000" w:themeColor="text1"/>
                      <w:kern w:val="0"/>
                      <w:szCs w:val="21"/>
                    </w:rPr>
                    <w:t>2</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819" w:type="dxa"/>
                  <w:vAlign w:val="center"/>
                </w:tcPr>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本项目为复混肥料制造项目，不属于水利部发布18项传统高耗水行业。</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3</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819"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本项目位于云南省东川再就业特区天生桥特色产业园区，该区域不属于长江流域河湖管理范围。</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由上表可知，项目的建设符合</w:t>
            </w:r>
            <w:r>
              <w:rPr>
                <w:rFonts w:ascii="Times New Roman" w:hAnsi="Times New Roman" w:cs="Times New Roman"/>
                <w:color w:val="000000" w:themeColor="text1"/>
                <w:sz w:val="24"/>
              </w:rPr>
              <w:t>《中华人民共和国长江保护法》</w:t>
            </w:r>
            <w:r>
              <w:rPr>
                <w:rFonts w:hint="eastAsia" w:ascii="Times New Roman" w:hAnsi="Times New Roman" w:cs="Times New Roman"/>
                <w:color w:val="000000" w:themeColor="text1"/>
                <w:sz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本项目位于云南省东川再就业特区天生桥特色产业园区，项目所在地的纳污水体为小江（清水海-入金沙江口段），小江属于长江的上游主要支流。因此，本环评须分析本项目与《长江经济带发展负面清单指南（试行）》的符合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具体分析如下表所示。</w:t>
            </w:r>
          </w:p>
          <w:p>
            <w:pPr>
              <w:spacing w:line="360" w:lineRule="auto"/>
              <w:ind w:firstLine="480" w:firstLineChars="200"/>
              <w:rPr>
                <w:rFonts w:ascii="Times New Roman" w:hAnsi="Times New Roman" w:cs="Times New Roman"/>
                <w:color w:val="000000" w:themeColor="text1"/>
                <w:sz w:val="24"/>
                <w:szCs w:val="24"/>
              </w:rPr>
            </w:pPr>
          </w:p>
          <w:p>
            <w:pPr>
              <w:pStyle w:val="16"/>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w:t>
            </w:r>
            <w:r>
              <w:rPr>
                <w:rFonts w:hint="eastAsia" w:eastAsiaTheme="minorEastAsia"/>
                <w:b/>
                <w:color w:val="000000" w:themeColor="text1"/>
                <w:sz w:val="21"/>
                <w:szCs w:val="21"/>
              </w:rPr>
              <w:t>6</w:t>
            </w:r>
            <w:r>
              <w:rPr>
                <w:rFonts w:eastAsiaTheme="minorEastAsia"/>
                <w:b/>
                <w:color w:val="000000" w:themeColor="text1"/>
                <w:sz w:val="21"/>
                <w:szCs w:val="21"/>
              </w:rPr>
              <w:t xml:space="preserve"> 与《长江经济带发展负面清单指南（试行）》符合性分析一览表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751"/>
              <w:gridCol w:w="3510"/>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75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510"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本项目实际情况</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本项目位于云南省东川再就业特区天生桥特色产业园区，不涉及码头及过江通道。</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本项目位于云南省东川再就业特区天生桥特色产业园区，不涉及自然保护区核心区、风景名胜区等特殊敏感区。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w:t>
                  </w:r>
                  <w:r>
                    <w:rPr>
                      <w:color w:val="000000" w:themeColor="text1"/>
                      <w:kern w:val="0"/>
                      <w:szCs w:val="21"/>
                    </w:rPr>
                    <w:t>不涉及到饮用水水源地的一级保护区或二级保护区。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510"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本项目为复混肥料制造项目，项目建设符合主体功能定位，项目所在地的纳污水体为小江（清水海-入金沙江口段），不属于水产种植资源保护区的岸线和河段范围。</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项目所在地的纳污水体为黑泥沟河，该河段不属于《长江岸线保护和开发利用总体规划》划定的岸线保护区，也不属于全国重要江河湖泊水功能区划》划定的河段保护区、保留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w:t>
                  </w:r>
                  <w:r>
                    <w:rPr>
                      <w:rFonts w:eastAsiaTheme="minorEastAsia"/>
                      <w:color w:val="000000" w:themeColor="text1"/>
                      <w:szCs w:val="21"/>
                    </w:rPr>
                    <w:t>位于</w:t>
                  </w:r>
                  <w:r>
                    <w:rPr>
                      <w:rFonts w:eastAsiaTheme="minorEastAsia"/>
                      <w:color w:val="000000" w:themeColor="text1"/>
                      <w:kern w:val="0"/>
                      <w:szCs w:val="21"/>
                    </w:rPr>
                    <w:t>云南省东川再就业特区天生桥特色产业园区，</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本项目位于东川区云南省东川再就业特区天生桥特色产业园，根据周边关系可知，距离小江超过10km，项目所在区域不属于禁建范围。</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本项目为复混肥料制造项目，不属于不符合国家石化、现代煤化工等产业布局规划的项目。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本项目为复混肥料制造项目，不属于《产业结构调整指导目录（2019年本）》中淘汰类或限制类项目，不属于法律法规和相关政策明令禁止的落后产能项目。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本项目为复混肥料制造项目，不属于国家产能置换要求的严重过剩产能行业的项目。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本项目为复混肥料制造项目，本项目的建设与《长江经济带生态环境保护规划》的相关要求不相冲突。</w:t>
            </w: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云南禾欧农业科技有限公司拟在云南省东川再就业特区天生桥特色产业园区建设新建年产2.5万吨水溶肥生产线项目（本项目），</w:t>
            </w:r>
            <w:r>
              <w:rPr>
                <w:rFonts w:hint="eastAsia" w:ascii="Times New Roman" w:hAnsi="Times New Roman" w:cs="Times New Roman"/>
                <w:color w:val="000000" w:themeColor="text1"/>
                <w:sz w:val="24"/>
                <w:szCs w:val="24"/>
              </w:rPr>
              <w:t>原规划建设于园区内的</w:t>
            </w:r>
            <w:r>
              <w:rPr>
                <w:rFonts w:ascii="Times New Roman" w:hAnsi="Times New Roman" w:cs="Times New Roman"/>
                <w:color w:val="000000" w:themeColor="text1"/>
                <w:sz w:val="24"/>
                <w:szCs w:val="24"/>
              </w:rPr>
              <w:t>昆明再生资源（集团）天生桥再生资源回收基地</w:t>
            </w:r>
            <w:r>
              <w:rPr>
                <w:rFonts w:hint="eastAsia" w:ascii="Times New Roman" w:hAnsi="Times New Roman" w:cs="Times New Roman"/>
                <w:color w:val="000000" w:themeColor="text1"/>
                <w:sz w:val="24"/>
                <w:szCs w:val="24"/>
              </w:rPr>
              <w:t>一期标准厂房，</w:t>
            </w:r>
            <w:r>
              <w:rPr>
                <w:rFonts w:ascii="Times New Roman" w:hAnsi="Times New Roman" w:cs="Times New Roman"/>
                <w:color w:val="000000" w:themeColor="text1"/>
                <w:sz w:val="24"/>
                <w:szCs w:val="24"/>
              </w:rPr>
              <w:t>本项目于20</w:t>
            </w:r>
            <w:r>
              <w:rPr>
                <w:rFonts w:hint="eastAsia"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年编制完成《新建年产2.5万吨水溶肥生产线项目环境影响报告表》，</w:t>
            </w:r>
            <w:r>
              <w:rPr>
                <w:rFonts w:hint="eastAsia" w:ascii="Times New Roman" w:hAnsi="Times New Roman" w:cs="Times New Roman"/>
                <w:color w:val="000000" w:themeColor="text1"/>
                <w:sz w:val="24"/>
                <w:szCs w:val="24"/>
              </w:rPr>
              <w:t>并</w:t>
            </w:r>
            <w:r>
              <w:rPr>
                <w:rFonts w:ascii="Times New Roman" w:hAnsi="Times New Roman" w:cs="Times New Roman"/>
                <w:color w:val="000000" w:themeColor="text1"/>
                <w:sz w:val="24"/>
                <w:szCs w:val="24"/>
              </w:rPr>
              <w:t>取得昆明市生态环境局东川分局下发的《关于对新建年产2.5万吨水溶肥生产线项目环境影响报告表的批复》（昆生环（东）复【2019】24号）。项目取得环评批复后于2020年12月开工建设</w:t>
            </w:r>
            <w:r>
              <w:rPr>
                <w:rFonts w:hint="eastAsia" w:ascii="Times New Roman" w:hAnsi="Times New Roman" w:cs="Times New Roman"/>
                <w:color w:val="000000" w:themeColor="text1"/>
                <w:sz w:val="24"/>
                <w:szCs w:val="24"/>
              </w:rPr>
              <w:t>，项目还未建成投产，但由于原规划的建设厂房和云南睿朗环保工程有限公司公用一栋厂房，经建设单位多方考虑拟将项目区搬迁至该园区内的</w:t>
            </w:r>
            <w:r>
              <w:rPr>
                <w:rFonts w:ascii="Times New Roman" w:hAnsi="Times New Roman" w:cs="Times New Roman"/>
                <w:color w:val="000000" w:themeColor="text1"/>
                <w:sz w:val="24"/>
                <w:szCs w:val="24"/>
              </w:rPr>
              <w:t>昆明再生资源（集团）天生桥再生资源回收基地</w:t>
            </w:r>
            <w:r>
              <w:rPr>
                <w:rFonts w:hint="eastAsia" w:ascii="Times New Roman" w:hAnsi="Times New Roman" w:cs="Times New Roman"/>
                <w:color w:val="000000" w:themeColor="text1"/>
                <w:sz w:val="24"/>
                <w:szCs w:val="24"/>
              </w:rPr>
              <w:t>二期标准厂房。</w:t>
            </w:r>
            <w:r>
              <w:rPr>
                <w:rFonts w:ascii="Times New Roman" w:hAnsi="Times New Roman" w:cs="Times New Roman"/>
                <w:color w:val="000000" w:themeColor="text1"/>
                <w:sz w:val="24"/>
                <w:szCs w:val="24"/>
              </w:rPr>
              <w:t>根据《污染影响类建设项目重大变动清单（试行）》</w:t>
            </w:r>
            <w:r>
              <w:rPr>
                <w:rFonts w:hint="eastAsia" w:ascii="Times New Roman" w:hAnsi="Times New Roman" w:cs="Times New Roman"/>
                <w:color w:val="000000" w:themeColor="text1"/>
                <w:sz w:val="24"/>
                <w:szCs w:val="24"/>
              </w:rPr>
              <w:t>中“规模”“第5条 重新选址”</w:t>
            </w:r>
            <w:r>
              <w:rPr>
                <w:rFonts w:ascii="Times New Roman" w:hAnsi="Times New Roman" w:cs="Times New Roman"/>
                <w:color w:val="000000" w:themeColor="text1"/>
                <w:sz w:val="24"/>
                <w:szCs w:val="24"/>
              </w:rPr>
              <w:t>的判断依据，本项目属于重大变动，因此项目拟重新编制环评。</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该项目主要生产大量元素固体水溶肥和含腐植酸液体水溶肥；建成后，形成年产大量元素固体水溶肥10000t（其中包括粉</w:t>
            </w:r>
            <w:r>
              <w:rPr>
                <w:rFonts w:hint="eastAsia" w:ascii="Times New Roman" w:hAnsi="Times New Roman" w:cs="Times New Roman"/>
                <w:color w:val="000000" w:themeColor="text1"/>
                <w:sz w:val="24"/>
                <w:szCs w:val="24"/>
              </w:rPr>
              <w:t>状1</w:t>
            </w:r>
            <w:r>
              <w:rPr>
                <w:rFonts w:ascii="Times New Roman" w:hAnsi="Times New Roman" w:cs="Times New Roman"/>
                <w:color w:val="000000" w:themeColor="text1"/>
                <w:sz w:val="24"/>
                <w:szCs w:val="24"/>
              </w:rPr>
              <w:t>000t、颗粒</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000t）、含腐植酸液体水溶肥15000t的生产规模。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建设单位租用昆明再生资源（集团）天生桥再生资源回收基地二期2000m²的标准厂房进行该项目建设</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主要建设内容包括大量元素固体（颗粒）水溶肥生产线、大量元素固体（</w:t>
            </w:r>
            <w:r>
              <w:rPr>
                <w:rFonts w:hint="eastAsia" w:ascii="Times New Roman" w:hAnsi="Times New Roman" w:cs="Times New Roman"/>
                <w:color w:val="000000" w:themeColor="text1"/>
                <w:sz w:val="24"/>
                <w:szCs w:val="24"/>
              </w:rPr>
              <w:t>粉状</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含腐植酸液体水溶肥生产线</w:t>
            </w:r>
            <w:r>
              <w:rPr>
                <w:rFonts w:hint="eastAsia" w:ascii="Times New Roman" w:hAnsi="Times New Roman" w:cs="Times New Roman"/>
                <w:color w:val="000000" w:themeColor="text1"/>
                <w:sz w:val="24"/>
                <w:szCs w:val="24"/>
              </w:rPr>
              <w:t>3条生产线</w:t>
            </w:r>
            <w:r>
              <w:rPr>
                <w:rFonts w:ascii="Times New Roman" w:hAnsi="Times New Roman" w:cs="Times New Roman"/>
                <w:color w:val="000000" w:themeColor="text1"/>
                <w:sz w:val="24"/>
                <w:szCs w:val="24"/>
              </w:rPr>
              <w:t>；项目区不设置生活设施</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办公生活设施全部依托昆明再生资源（集团）天生桥再生资源回收基地现有设施。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1"/>
              <w:gridCol w:w="1071"/>
              <w:gridCol w:w="501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pStyle w:val="32"/>
                    <w:spacing w:line="360" w:lineRule="exact"/>
                    <w:rPr>
                      <w:color w:val="000000" w:themeColor="text1"/>
                      <w:szCs w:val="21"/>
                    </w:rPr>
                  </w:pPr>
                  <w:r>
                    <w:rPr>
                      <w:color w:val="000000" w:themeColor="text1"/>
                      <w:szCs w:val="21"/>
                    </w:rPr>
                    <w:t>类别</w:t>
                  </w:r>
                </w:p>
              </w:tc>
              <w:tc>
                <w:tcPr>
                  <w:tcW w:w="1792" w:type="dxa"/>
                  <w:gridSpan w:val="2"/>
                  <w:vAlign w:val="center"/>
                </w:tcPr>
                <w:p>
                  <w:pPr>
                    <w:pStyle w:val="32"/>
                    <w:spacing w:line="360" w:lineRule="exact"/>
                    <w:rPr>
                      <w:color w:val="000000" w:themeColor="text1"/>
                      <w:szCs w:val="21"/>
                    </w:rPr>
                  </w:pPr>
                  <w:r>
                    <w:rPr>
                      <w:color w:val="000000" w:themeColor="text1"/>
                      <w:szCs w:val="21"/>
                    </w:rPr>
                    <w:t>工程内容</w:t>
                  </w:r>
                </w:p>
              </w:tc>
              <w:tc>
                <w:tcPr>
                  <w:tcW w:w="5018" w:type="dxa"/>
                  <w:vAlign w:val="center"/>
                </w:tcPr>
                <w:p>
                  <w:pPr>
                    <w:pStyle w:val="32"/>
                    <w:spacing w:line="360" w:lineRule="exact"/>
                    <w:rPr>
                      <w:color w:val="000000" w:themeColor="text1"/>
                      <w:szCs w:val="21"/>
                    </w:rPr>
                  </w:pPr>
                  <w:r>
                    <w:rPr>
                      <w:color w:val="000000" w:themeColor="text1"/>
                      <w:szCs w:val="21"/>
                    </w:rPr>
                    <w:t>建筑内容及规模</w:t>
                  </w:r>
                </w:p>
              </w:tc>
              <w:tc>
                <w:tcPr>
                  <w:tcW w:w="1064"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主体工程</w:t>
                  </w:r>
                </w:p>
              </w:tc>
              <w:tc>
                <w:tcPr>
                  <w:tcW w:w="1792" w:type="dxa"/>
                  <w:gridSpan w:val="2"/>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w:t>
                  </w:r>
                  <w:r>
                    <w:rPr>
                      <w:color w:val="000000" w:themeColor="text1"/>
                      <w:szCs w:val="21"/>
                    </w:rPr>
                    <w:t>大量元素固体</w:t>
                  </w:r>
                  <w:r>
                    <w:rPr>
                      <w:rFonts w:hint="eastAsia"/>
                      <w:color w:val="000000" w:themeColor="text1"/>
                      <w:szCs w:val="21"/>
                    </w:rPr>
                    <w:t>（颗粒）</w:t>
                  </w:r>
                  <w:r>
                    <w:rPr>
                      <w:color w:val="000000" w:themeColor="text1"/>
                      <w:szCs w:val="21"/>
                    </w:rPr>
                    <w:t>水溶肥生产线</w:t>
                  </w:r>
                  <w:r>
                    <w:rPr>
                      <w:rFonts w:hint="eastAsia"/>
                      <w:color w:val="000000" w:themeColor="text1"/>
                      <w:szCs w:val="21"/>
                    </w:rPr>
                    <w:t>位于厂房北偏西侧，</w:t>
                  </w:r>
                  <w:r>
                    <w:rPr>
                      <w:color w:val="000000" w:themeColor="text1"/>
                      <w:szCs w:val="21"/>
                    </w:rPr>
                    <w:t>该区域面积约为</w:t>
                  </w:r>
                  <w:r>
                    <w:rPr>
                      <w:rFonts w:hint="eastAsia"/>
                      <w:color w:val="000000" w:themeColor="text1"/>
                      <w:szCs w:val="21"/>
                    </w:rPr>
                    <w:t>50</w:t>
                  </w:r>
                  <w:r>
                    <w:rPr>
                      <w:color w:val="000000" w:themeColor="text1"/>
                      <w:szCs w:val="21"/>
                    </w:rPr>
                    <w:t>0m²，该生产线主要生产大量元素固体</w:t>
                  </w:r>
                  <w:r>
                    <w:rPr>
                      <w:rFonts w:hint="eastAsia"/>
                      <w:color w:val="000000" w:themeColor="text1"/>
                      <w:szCs w:val="21"/>
                    </w:rPr>
                    <w:t>（颗粒）</w:t>
                  </w:r>
                  <w:r>
                    <w:rPr>
                      <w:color w:val="000000" w:themeColor="text1"/>
                      <w:szCs w:val="21"/>
                    </w:rPr>
                    <w:t>水溶肥，其生产工艺包括</w:t>
                  </w:r>
                  <w:r>
                    <w:rPr>
                      <w:rFonts w:hint="eastAsia"/>
                      <w:color w:val="000000" w:themeColor="text1"/>
                      <w:szCs w:val="21"/>
                    </w:rPr>
                    <w:t>备料</w:t>
                  </w:r>
                  <w:r>
                    <w:rPr>
                      <w:color w:val="000000" w:themeColor="text1"/>
                      <w:szCs w:val="21"/>
                    </w:rPr>
                    <w:t>、</w:t>
                  </w:r>
                  <w:r>
                    <w:rPr>
                      <w:rFonts w:hint="eastAsia"/>
                      <w:color w:val="000000" w:themeColor="text1"/>
                      <w:szCs w:val="21"/>
                    </w:rPr>
                    <w:t>搅拌</w:t>
                  </w:r>
                  <w:r>
                    <w:rPr>
                      <w:color w:val="000000" w:themeColor="text1"/>
                      <w:szCs w:val="21"/>
                    </w:rPr>
                    <w:t>混合</w:t>
                  </w:r>
                  <w:r>
                    <w:rPr>
                      <w:rFonts w:hint="eastAsia"/>
                      <w:color w:val="000000" w:themeColor="text1"/>
                      <w:szCs w:val="21"/>
                    </w:rPr>
                    <w:t>、</w:t>
                  </w:r>
                  <w:r>
                    <w:rPr>
                      <w:color w:val="000000" w:themeColor="text1"/>
                      <w:szCs w:val="21"/>
                    </w:rPr>
                    <w:t>造粒</w:t>
                  </w:r>
                  <w:r>
                    <w:rPr>
                      <w:rFonts w:hint="eastAsia"/>
                      <w:color w:val="000000" w:themeColor="text1"/>
                      <w:szCs w:val="21"/>
                    </w:rPr>
                    <w:t>、筛分和包装等</w:t>
                  </w:r>
                  <w:r>
                    <w:rPr>
                      <w:color w:val="000000" w:themeColor="text1"/>
                      <w:szCs w:val="21"/>
                    </w:rPr>
                    <w:t>工序</w:t>
                  </w:r>
                  <w:r>
                    <w:rPr>
                      <w:rFonts w:hint="eastAsia"/>
                      <w:color w:val="000000" w:themeColor="text1"/>
                      <w:szCs w:val="21"/>
                    </w:rPr>
                    <w:t>。</w:t>
                  </w:r>
                </w:p>
              </w:tc>
              <w:tc>
                <w:tcPr>
                  <w:tcW w:w="1064" w:type="dxa"/>
                  <w:vMerge w:val="restart"/>
                  <w:vAlign w:val="center"/>
                </w:tcPr>
                <w:p>
                  <w:pPr>
                    <w:pStyle w:val="32"/>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（粉状）</w:t>
                  </w:r>
                  <w:r>
                    <w:rPr>
                      <w:color w:val="000000" w:themeColor="text1"/>
                      <w:szCs w:val="21"/>
                    </w:rPr>
                    <w:t>水溶肥生产线</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w:t>
                  </w:r>
                  <w:r>
                    <w:rPr>
                      <w:color w:val="000000" w:themeColor="text1"/>
                      <w:szCs w:val="21"/>
                    </w:rPr>
                    <w:t>大量元素固体</w:t>
                  </w:r>
                  <w:r>
                    <w:rPr>
                      <w:rFonts w:hint="eastAsia"/>
                      <w:color w:val="000000" w:themeColor="text1"/>
                      <w:szCs w:val="21"/>
                    </w:rPr>
                    <w:t>（粉状）</w:t>
                  </w:r>
                  <w:r>
                    <w:rPr>
                      <w:color w:val="000000" w:themeColor="text1"/>
                      <w:szCs w:val="21"/>
                    </w:rPr>
                    <w:t>水溶肥生产线</w:t>
                  </w:r>
                  <w:r>
                    <w:rPr>
                      <w:rFonts w:hint="eastAsia"/>
                      <w:color w:val="000000" w:themeColor="text1"/>
                      <w:szCs w:val="21"/>
                    </w:rPr>
                    <w:t>位于厂房北侧，</w:t>
                  </w:r>
                  <w:r>
                    <w:rPr>
                      <w:color w:val="000000" w:themeColor="text1"/>
                      <w:szCs w:val="21"/>
                    </w:rPr>
                    <w:t>该区域面积约为</w:t>
                  </w:r>
                  <w:r>
                    <w:rPr>
                      <w:rFonts w:hint="eastAsia"/>
                      <w:color w:val="000000" w:themeColor="text1"/>
                      <w:szCs w:val="21"/>
                    </w:rPr>
                    <w:t>10</w:t>
                  </w:r>
                  <w:r>
                    <w:rPr>
                      <w:color w:val="000000" w:themeColor="text1"/>
                      <w:szCs w:val="21"/>
                    </w:rPr>
                    <w:t>0m²，该生产线主要生产大量元素固体</w:t>
                  </w:r>
                  <w:r>
                    <w:rPr>
                      <w:rFonts w:hint="eastAsia"/>
                      <w:color w:val="000000" w:themeColor="text1"/>
                      <w:szCs w:val="21"/>
                    </w:rPr>
                    <w:t>（粉状）</w:t>
                  </w:r>
                  <w:r>
                    <w:rPr>
                      <w:color w:val="000000" w:themeColor="text1"/>
                      <w:szCs w:val="21"/>
                    </w:rPr>
                    <w:t>水溶肥，其生产工艺包括</w:t>
                  </w:r>
                  <w:r>
                    <w:rPr>
                      <w:rFonts w:hint="eastAsia"/>
                      <w:color w:val="000000" w:themeColor="text1"/>
                      <w:szCs w:val="21"/>
                    </w:rPr>
                    <w:t>备料</w:t>
                  </w:r>
                  <w:r>
                    <w:rPr>
                      <w:color w:val="000000" w:themeColor="text1"/>
                      <w:szCs w:val="21"/>
                    </w:rPr>
                    <w:t>、</w:t>
                  </w:r>
                  <w:r>
                    <w:rPr>
                      <w:rFonts w:hint="eastAsia"/>
                      <w:color w:val="000000" w:themeColor="text1"/>
                      <w:szCs w:val="21"/>
                    </w:rPr>
                    <w:t>搅拌</w:t>
                  </w:r>
                  <w:r>
                    <w:rPr>
                      <w:color w:val="000000" w:themeColor="text1"/>
                      <w:szCs w:val="21"/>
                    </w:rPr>
                    <w:t>混合</w:t>
                  </w:r>
                  <w:r>
                    <w:rPr>
                      <w:rFonts w:hint="eastAsia"/>
                      <w:color w:val="000000" w:themeColor="text1"/>
                      <w:szCs w:val="21"/>
                    </w:rPr>
                    <w:t>和包装等</w:t>
                  </w:r>
                  <w:r>
                    <w:rPr>
                      <w:color w:val="000000" w:themeColor="text1"/>
                      <w:szCs w:val="21"/>
                    </w:rPr>
                    <w:t>工序</w:t>
                  </w:r>
                  <w:r>
                    <w:rPr>
                      <w:rFonts w:hint="eastAsia"/>
                      <w:color w:val="000000" w:themeColor="text1"/>
                      <w:szCs w:val="21"/>
                    </w:rPr>
                    <w:t>。</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含腐植酸液体水溶肥生产线</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w:t>
                  </w:r>
                  <w:r>
                    <w:rPr>
                      <w:color w:val="000000" w:themeColor="text1"/>
                      <w:szCs w:val="21"/>
                    </w:rPr>
                    <w:t>含腐植酸液体水溶肥生产线位于厂房内</w:t>
                  </w:r>
                  <w:r>
                    <w:rPr>
                      <w:rFonts w:hint="eastAsia"/>
                      <w:color w:val="000000" w:themeColor="text1"/>
                      <w:szCs w:val="21"/>
                    </w:rPr>
                    <w:t>北</w:t>
                  </w:r>
                  <w:r>
                    <w:rPr>
                      <w:color w:val="000000" w:themeColor="text1"/>
                      <w:szCs w:val="21"/>
                    </w:rPr>
                    <w:t>侧，该区域面积约为</w:t>
                  </w:r>
                  <w:r>
                    <w:rPr>
                      <w:rFonts w:hint="eastAsia"/>
                      <w:color w:val="000000" w:themeColor="text1"/>
                      <w:szCs w:val="21"/>
                    </w:rPr>
                    <w:t>30</w:t>
                  </w:r>
                  <w:r>
                    <w:rPr>
                      <w:color w:val="000000" w:themeColor="text1"/>
                      <w:szCs w:val="21"/>
                    </w:rPr>
                    <w:t>0m²，该生产线主要是将各原料配比后在罐内进行搅拌</w:t>
                  </w:r>
                  <w:r>
                    <w:rPr>
                      <w:rFonts w:hint="eastAsia"/>
                      <w:color w:val="000000" w:themeColor="text1"/>
                      <w:szCs w:val="21"/>
                    </w:rPr>
                    <w:t>和灌装。</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32"/>
                    <w:spacing w:line="360" w:lineRule="exact"/>
                    <w:rPr>
                      <w:color w:val="000000" w:themeColor="text1"/>
                      <w:szCs w:val="21"/>
                    </w:rPr>
                  </w:pPr>
                  <w:r>
                    <w:rPr>
                      <w:color w:val="000000" w:themeColor="text1"/>
                      <w:szCs w:val="21"/>
                    </w:rPr>
                    <w:t>储运工程</w:t>
                  </w:r>
                </w:p>
              </w:tc>
              <w:tc>
                <w:tcPr>
                  <w:tcW w:w="1792" w:type="dxa"/>
                  <w:gridSpan w:val="2"/>
                  <w:vAlign w:val="center"/>
                </w:tcPr>
                <w:p>
                  <w:pPr>
                    <w:pStyle w:val="32"/>
                    <w:spacing w:line="360" w:lineRule="exact"/>
                    <w:rPr>
                      <w:color w:val="000000" w:themeColor="text1"/>
                      <w:szCs w:val="21"/>
                    </w:rPr>
                  </w:pPr>
                  <w:r>
                    <w:rPr>
                      <w:color w:val="000000" w:themeColor="text1"/>
                      <w:szCs w:val="21"/>
                    </w:rPr>
                    <w:t>原料堆存区</w:t>
                  </w:r>
                </w:p>
              </w:tc>
              <w:tc>
                <w:tcPr>
                  <w:tcW w:w="5018"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根据设计，项目拟设置1个约</w:t>
                  </w:r>
                  <w:r>
                    <w:rPr>
                      <w:rFonts w:hint="eastAsia"/>
                      <w:color w:val="000000" w:themeColor="text1"/>
                      <w:szCs w:val="21"/>
                    </w:rPr>
                    <w:t>45</w:t>
                  </w:r>
                  <w:r>
                    <w:rPr>
                      <w:color w:val="000000" w:themeColor="text1"/>
                      <w:szCs w:val="21"/>
                    </w:rPr>
                    <w:t>0m²的原料堆存区，对项目生产使用的</w:t>
                  </w:r>
                  <w:r>
                    <w:rPr>
                      <w:rFonts w:hint="eastAsia"/>
                      <w:color w:val="000000" w:themeColor="text1"/>
                      <w:szCs w:val="21"/>
                    </w:rPr>
                    <w:t>原料进行储存，固体原料采用袋装储存。</w:t>
                  </w:r>
                </w:p>
              </w:tc>
              <w:tc>
                <w:tcPr>
                  <w:tcW w:w="1064" w:type="dxa"/>
                  <w:vMerge w:val="restart"/>
                  <w:vAlign w:val="center"/>
                </w:tcPr>
                <w:p>
                  <w:pPr>
                    <w:pStyle w:val="32"/>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rFonts w:hint="eastAsia"/>
                      <w:color w:val="000000" w:themeColor="text1"/>
                      <w:szCs w:val="21"/>
                    </w:rPr>
                    <w:t>腐殖酸液体原料储罐</w:t>
                  </w:r>
                </w:p>
              </w:tc>
              <w:tc>
                <w:tcPr>
                  <w:tcW w:w="5018"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w:t>
                  </w:r>
                  <w:r>
                    <w:rPr>
                      <w:rFonts w:hint="eastAsia"/>
                      <w:color w:val="000000" w:themeColor="text1"/>
                      <w:szCs w:val="21"/>
                    </w:rPr>
                    <w:t>两个有效容积约为50m³/个的腐殖酸液体原料储罐对购入的腐殖酸原料进行储存。</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rFonts w:hint="eastAsia"/>
                      <w:color w:val="000000" w:themeColor="text1"/>
                      <w:szCs w:val="21"/>
                    </w:rPr>
                    <w:t>包装材料堆存区</w:t>
                  </w:r>
                </w:p>
              </w:tc>
              <w:tc>
                <w:tcPr>
                  <w:tcW w:w="5018"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根据设计，项目拟设置1个约</w:t>
                  </w:r>
                  <w:r>
                    <w:rPr>
                      <w:rFonts w:hint="eastAsia"/>
                      <w:color w:val="000000" w:themeColor="text1"/>
                      <w:szCs w:val="21"/>
                    </w:rPr>
                    <w:t>200</w:t>
                  </w:r>
                  <w:r>
                    <w:rPr>
                      <w:color w:val="000000" w:themeColor="text1"/>
                      <w:szCs w:val="21"/>
                    </w:rPr>
                    <w:t>m²的包装材料堆存区，对项目生产使用的</w:t>
                  </w:r>
                  <w:r>
                    <w:rPr>
                      <w:rFonts w:hint="eastAsia"/>
                      <w:color w:val="000000" w:themeColor="text1"/>
                      <w:szCs w:val="21"/>
                    </w:rPr>
                    <w:t>灌装桶、包装袋等物资进行储存。</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产品堆存区</w:t>
                  </w:r>
                </w:p>
              </w:tc>
              <w:tc>
                <w:tcPr>
                  <w:tcW w:w="5018"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根据设计，项目拟设置1个约</w:t>
                  </w:r>
                  <w:r>
                    <w:rPr>
                      <w:rFonts w:hint="eastAsia"/>
                      <w:color w:val="000000" w:themeColor="text1"/>
                      <w:szCs w:val="21"/>
                    </w:rPr>
                    <w:t>35</w:t>
                  </w:r>
                  <w:r>
                    <w:rPr>
                      <w:color w:val="000000" w:themeColor="text1"/>
                      <w:szCs w:val="21"/>
                    </w:rPr>
                    <w:t>0m²的产品堆存区，对项目</w:t>
                  </w:r>
                  <w:r>
                    <w:rPr>
                      <w:rFonts w:hint="eastAsia"/>
                      <w:color w:val="000000" w:themeColor="text1"/>
                      <w:szCs w:val="21"/>
                    </w:rPr>
                    <w:t>产品进行储存待售，其中</w:t>
                  </w:r>
                  <w:r>
                    <w:rPr>
                      <w:color w:val="000000" w:themeColor="text1"/>
                      <w:szCs w:val="21"/>
                    </w:rPr>
                    <w:t>大量元素固体</w:t>
                  </w:r>
                  <w:r>
                    <w:rPr>
                      <w:rFonts w:hint="eastAsia"/>
                      <w:color w:val="000000" w:themeColor="text1"/>
                      <w:szCs w:val="21"/>
                    </w:rPr>
                    <w:t>（颗粒和粉状）</w:t>
                  </w:r>
                  <w:r>
                    <w:rPr>
                      <w:color w:val="000000" w:themeColor="text1"/>
                      <w:szCs w:val="21"/>
                    </w:rPr>
                    <w:t>水溶肥</w:t>
                  </w:r>
                  <w:r>
                    <w:rPr>
                      <w:rFonts w:hint="eastAsia"/>
                      <w:color w:val="000000" w:themeColor="text1"/>
                      <w:szCs w:val="21"/>
                    </w:rPr>
                    <w:t>采用袋装储存，</w:t>
                  </w:r>
                  <w:r>
                    <w:rPr>
                      <w:color w:val="000000" w:themeColor="text1"/>
                      <w:szCs w:val="21"/>
                    </w:rPr>
                    <w:t>含腐植酸液体水溶肥</w:t>
                  </w:r>
                  <w:r>
                    <w:rPr>
                      <w:rFonts w:hint="eastAsia"/>
                      <w:color w:val="000000" w:themeColor="text1"/>
                      <w:szCs w:val="21"/>
                    </w:rPr>
                    <w:t>产品采用桶装储存。</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shd w:val="clear" w:color="auto" w:fill="auto"/>
                  <w:vAlign w:val="center"/>
                </w:tcPr>
                <w:p>
                  <w:pPr>
                    <w:pStyle w:val="32"/>
                    <w:spacing w:line="360" w:lineRule="exact"/>
                    <w:rPr>
                      <w:color w:val="000000" w:themeColor="text1"/>
                      <w:szCs w:val="21"/>
                    </w:rPr>
                  </w:pPr>
                  <w:r>
                    <w:rPr>
                      <w:rFonts w:hint="eastAsia"/>
                      <w:color w:val="000000" w:themeColor="text1"/>
                      <w:szCs w:val="21"/>
                    </w:rPr>
                    <w:t>依托工程</w:t>
                  </w:r>
                </w:p>
              </w:tc>
              <w:tc>
                <w:tcPr>
                  <w:tcW w:w="1792" w:type="dxa"/>
                  <w:gridSpan w:val="2"/>
                  <w:vAlign w:val="center"/>
                </w:tcPr>
                <w:p>
                  <w:pPr>
                    <w:pStyle w:val="32"/>
                    <w:spacing w:line="360" w:lineRule="exact"/>
                    <w:rPr>
                      <w:color w:val="000000" w:themeColor="text1"/>
                      <w:szCs w:val="21"/>
                    </w:rPr>
                  </w:pPr>
                  <w:r>
                    <w:rPr>
                      <w:color w:val="000000" w:themeColor="text1"/>
                      <w:szCs w:val="21"/>
                    </w:rPr>
                    <w:t>办公生活区</w:t>
                  </w:r>
                </w:p>
              </w:tc>
              <w:tc>
                <w:tcPr>
                  <w:tcW w:w="5018" w:type="dxa"/>
                  <w:shd w:val="clear" w:color="auto" w:fill="auto"/>
                  <w:vAlign w:val="center"/>
                </w:tcPr>
                <w:p>
                  <w:pPr>
                    <w:pStyle w:val="32"/>
                    <w:spacing w:line="360" w:lineRule="exact"/>
                    <w:ind w:firstLine="210" w:firstLineChars="100"/>
                    <w:jc w:val="both"/>
                    <w:rPr>
                      <w:color w:val="000000" w:themeColor="text1"/>
                      <w:szCs w:val="24"/>
                    </w:rPr>
                  </w:pPr>
                  <w:r>
                    <w:rPr>
                      <w:color w:val="000000" w:themeColor="text1"/>
                      <w:szCs w:val="24"/>
                    </w:rPr>
                    <w:t>根据项目情况，</w:t>
                  </w:r>
                  <w:r>
                    <w:rPr>
                      <w:rFonts w:hint="eastAsia"/>
                      <w:color w:val="000000" w:themeColor="text1"/>
                      <w:szCs w:val="24"/>
                    </w:rPr>
                    <w:t>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pStyle w:val="32"/>
                    <w:spacing w:line="360" w:lineRule="exact"/>
                    <w:ind w:firstLine="210" w:firstLineChars="100"/>
                    <w:jc w:val="both"/>
                    <w:rPr>
                      <w:color w:val="000000" w:themeColor="text1"/>
                      <w:szCs w:val="24"/>
                    </w:rPr>
                  </w:pPr>
                  <w:r>
                    <w:rPr>
                      <w:rFonts w:hint="eastAsia"/>
                      <w:color w:val="000000" w:themeColor="text1"/>
                      <w:szCs w:val="24"/>
                    </w:rPr>
                    <w:t>根据调查，昆明再生资源（集团）天生桥再生资源回收基地设置的办公生活设施，已配套设置了2座设计规模均为15</w:t>
                  </w:r>
                  <w:r>
                    <w:rPr>
                      <w:color w:val="000000" w:themeColor="text1"/>
                      <w:szCs w:val="24"/>
                    </w:rPr>
                    <w:t>m³</w:t>
                  </w:r>
                  <w:r>
                    <w:rPr>
                      <w:rFonts w:hint="eastAsia"/>
                      <w:color w:val="000000" w:themeColor="text1"/>
                      <w:szCs w:val="24"/>
                    </w:rPr>
                    <w:t>/d的中水处理站，对基地内的生活污水进行处理达到《城市污水再生利用 城市杂用水水质》（GB/T18920-2020）中城市绿化标准后，回用于基地绿化、卫生间冲厕等，不外排。目前昆明再生资源（集团）天生桥再生资源回收基地内已引进并正在营业的企业有10余家，依托使用基地内设施的员工不超过200人，其生活污水产生量不超过20</w:t>
                  </w:r>
                  <w:r>
                    <w:rPr>
                      <w:color w:val="000000" w:themeColor="text1"/>
                      <w:szCs w:val="24"/>
                    </w:rPr>
                    <w:t>m³/</w:t>
                  </w:r>
                  <w:r>
                    <w:rPr>
                      <w:rFonts w:hint="eastAsia"/>
                      <w:color w:val="000000" w:themeColor="text1"/>
                      <w:szCs w:val="24"/>
                    </w:rPr>
                    <w:t>d，余量为10</w:t>
                  </w:r>
                  <w:r>
                    <w:rPr>
                      <w:color w:val="000000" w:themeColor="text1"/>
                      <w:szCs w:val="24"/>
                    </w:rPr>
                    <w:t>m³</w:t>
                  </w:r>
                  <w:r>
                    <w:rPr>
                      <w:rFonts w:hint="eastAsia"/>
                      <w:color w:val="000000" w:themeColor="text1"/>
                      <w:szCs w:val="24"/>
                    </w:rPr>
                    <w:t>/d，而本项目建成后，基地新增生活污水量为0.32m³/d，则昆明再生资源（集团）天生桥再生资源回收基地生活污水处理设施余量可满足本项目依托使用。</w:t>
                  </w:r>
                </w:p>
              </w:tc>
              <w:tc>
                <w:tcPr>
                  <w:tcW w:w="1064"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公用工程</w:t>
                  </w:r>
                </w:p>
              </w:tc>
              <w:tc>
                <w:tcPr>
                  <w:tcW w:w="1792" w:type="dxa"/>
                  <w:gridSpan w:val="2"/>
                  <w:vAlign w:val="center"/>
                </w:tcPr>
                <w:p>
                  <w:pPr>
                    <w:pStyle w:val="32"/>
                    <w:spacing w:line="360" w:lineRule="exact"/>
                    <w:rPr>
                      <w:color w:val="000000" w:themeColor="text1"/>
                      <w:szCs w:val="21"/>
                    </w:rPr>
                  </w:pPr>
                  <w:r>
                    <w:rPr>
                      <w:color w:val="000000" w:themeColor="text1"/>
                      <w:szCs w:val="21"/>
                    </w:rPr>
                    <w:t>供电</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供电由电力公司供给。</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给水</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项目生活及生产用水均来源于云南省东川再就业特区天生桥特色产业园区给水系统，可满足需要。</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排水</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本项目区内无生活污水，仅有设备清洗废水，而主要排水为雨水。</w:t>
                  </w:r>
                </w:p>
                <w:p>
                  <w:pPr>
                    <w:pStyle w:val="32"/>
                    <w:spacing w:line="360" w:lineRule="exact"/>
                    <w:ind w:firstLine="210" w:firstLineChars="100"/>
                    <w:jc w:val="both"/>
                    <w:rPr>
                      <w:color w:val="000000" w:themeColor="text1"/>
                      <w:szCs w:val="21"/>
                    </w:rPr>
                  </w:pPr>
                  <w:r>
                    <w:rPr>
                      <w:color w:val="000000" w:themeColor="text1"/>
                      <w:szCs w:val="21"/>
                    </w:rPr>
                    <w:t>①设备清洗废水：项目需定期对设备进行清洗，清洗产生的废水含有大量的有益元素，清洗废水经两个有效容积合计不低于2m³的沉淀池收集后，用于项目含腐植酸液体水溶肥生产线作为原料生产使用，不外排。</w:t>
                  </w:r>
                </w:p>
                <w:p>
                  <w:pPr>
                    <w:pStyle w:val="32"/>
                    <w:spacing w:line="360" w:lineRule="exact"/>
                    <w:ind w:firstLine="210" w:firstLineChars="100"/>
                    <w:jc w:val="both"/>
                    <w:rPr>
                      <w:color w:val="000000" w:themeColor="text1"/>
                      <w:szCs w:val="21"/>
                    </w:rPr>
                  </w:pPr>
                  <w:r>
                    <w:rPr>
                      <w:color w:val="000000" w:themeColor="text1"/>
                      <w:szCs w:val="21"/>
                    </w:rPr>
                    <w:t>②雨水：项目采取雨污分流，根据项目基本情况，项目范围仅为1栋标准厂房，根据厂房的设计，厂房外围将配套设置雨水沟，对厂房外的雨水进行导流，严禁其进入厂房内。</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环保工程</w:t>
                  </w:r>
                </w:p>
              </w:tc>
              <w:tc>
                <w:tcPr>
                  <w:tcW w:w="721" w:type="dxa"/>
                  <w:vMerge w:val="restart"/>
                  <w:vAlign w:val="center"/>
                </w:tcPr>
                <w:p>
                  <w:pPr>
                    <w:pStyle w:val="32"/>
                    <w:spacing w:line="360" w:lineRule="exact"/>
                    <w:rPr>
                      <w:color w:val="000000" w:themeColor="text1"/>
                      <w:szCs w:val="21"/>
                    </w:rPr>
                  </w:pPr>
                  <w:r>
                    <w:rPr>
                      <w:color w:val="000000" w:themeColor="text1"/>
                      <w:szCs w:val="21"/>
                    </w:rPr>
                    <w:t>废气</w:t>
                  </w:r>
                </w:p>
              </w:tc>
              <w:tc>
                <w:tcPr>
                  <w:tcW w:w="1071" w:type="dxa"/>
                  <w:vAlign w:val="center"/>
                </w:tcPr>
                <w:p>
                  <w:pPr>
                    <w:pStyle w:val="32"/>
                    <w:spacing w:line="360" w:lineRule="exact"/>
                    <w:rPr>
                      <w:color w:val="000000" w:themeColor="text1"/>
                      <w:szCs w:val="21"/>
                    </w:rPr>
                  </w:pPr>
                  <w:r>
                    <w:rPr>
                      <w:rFonts w:hint="eastAsia"/>
                      <w:color w:val="000000" w:themeColor="text1"/>
                      <w:szCs w:val="21"/>
                    </w:rPr>
                    <w:t>集气罩</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w:t>
                  </w:r>
                  <w:r>
                    <w:rPr>
                      <w:color w:val="000000" w:themeColor="text1"/>
                      <w:szCs w:val="21"/>
                    </w:rPr>
                    <w:t>大量元素固体</w:t>
                  </w:r>
                  <w:r>
                    <w:rPr>
                      <w:rFonts w:hint="eastAsia"/>
                      <w:color w:val="000000" w:themeColor="text1"/>
                      <w:szCs w:val="21"/>
                    </w:rPr>
                    <w:t>（颗粒）</w:t>
                  </w:r>
                  <w:r>
                    <w:rPr>
                      <w:color w:val="000000" w:themeColor="text1"/>
                      <w:szCs w:val="21"/>
                    </w:rPr>
                    <w:t>水溶肥生产线</w:t>
                  </w:r>
                  <w:r>
                    <w:rPr>
                      <w:rFonts w:hint="eastAsia"/>
                      <w:color w:val="000000" w:themeColor="text1"/>
                      <w:szCs w:val="21"/>
                    </w:rPr>
                    <w:t>造粒和筛分两个环节会产生粉尘，因此项目拟分别对上述工序进行密闭，并设置集气罩，将粉尘进行有效收集。</w:t>
                  </w:r>
                </w:p>
                <w:p>
                  <w:pPr>
                    <w:pStyle w:val="32"/>
                    <w:spacing w:line="360" w:lineRule="exact"/>
                    <w:ind w:firstLine="210" w:firstLineChars="100"/>
                    <w:jc w:val="both"/>
                    <w:rPr>
                      <w:color w:val="000000" w:themeColor="text1"/>
                      <w:szCs w:val="21"/>
                    </w:rPr>
                  </w:pPr>
                  <w:r>
                    <w:rPr>
                      <w:color w:val="000000" w:themeColor="text1"/>
                      <w:szCs w:val="21"/>
                    </w:rPr>
                    <w:t>项目共设置</w:t>
                  </w:r>
                  <w:r>
                    <w:rPr>
                      <w:rFonts w:hint="eastAsia"/>
                      <w:color w:val="000000" w:themeColor="text1"/>
                      <w:szCs w:val="21"/>
                    </w:rPr>
                    <w:t>3</w:t>
                  </w:r>
                  <w:r>
                    <w:rPr>
                      <w:color w:val="000000" w:themeColor="text1"/>
                      <w:szCs w:val="21"/>
                    </w:rPr>
                    <w:t>个集气罩，集气效率不低于9</w:t>
                  </w:r>
                  <w:r>
                    <w:rPr>
                      <w:rFonts w:hint="eastAsia"/>
                      <w:color w:val="000000" w:themeColor="text1"/>
                      <w:szCs w:val="21"/>
                    </w:rPr>
                    <w:t>5</w:t>
                  </w:r>
                  <w:r>
                    <w:rPr>
                      <w:color w:val="000000" w:themeColor="text1"/>
                      <w:szCs w:val="21"/>
                    </w:rPr>
                    <w:t>%。</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1" w:type="dxa"/>
                  <w:vAlign w:val="center"/>
                </w:tcPr>
                <w:p>
                  <w:pPr>
                    <w:pStyle w:val="32"/>
                    <w:spacing w:line="360" w:lineRule="exact"/>
                    <w:rPr>
                      <w:color w:val="000000" w:themeColor="text1"/>
                      <w:szCs w:val="21"/>
                    </w:rPr>
                  </w:pPr>
                  <w:r>
                    <w:rPr>
                      <w:rFonts w:hint="eastAsia"/>
                      <w:color w:val="000000" w:themeColor="text1"/>
                      <w:szCs w:val="21"/>
                    </w:rPr>
                    <w:t>布袋除尘器</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根据设计，针对</w:t>
                  </w:r>
                  <w:r>
                    <w:rPr>
                      <w:color w:val="000000" w:themeColor="text1"/>
                      <w:szCs w:val="21"/>
                    </w:rPr>
                    <w:t>大量元素固体</w:t>
                  </w:r>
                  <w:r>
                    <w:rPr>
                      <w:rFonts w:hint="eastAsia"/>
                      <w:color w:val="000000" w:themeColor="text1"/>
                      <w:szCs w:val="21"/>
                    </w:rPr>
                    <w:t>（颗粒）</w:t>
                  </w:r>
                  <w:r>
                    <w:rPr>
                      <w:color w:val="000000" w:themeColor="text1"/>
                      <w:szCs w:val="21"/>
                    </w:rPr>
                    <w:t>水溶肥生产线</w:t>
                  </w:r>
                  <w:r>
                    <w:rPr>
                      <w:rFonts w:hint="eastAsia"/>
                      <w:color w:val="000000" w:themeColor="text1"/>
                      <w:szCs w:val="21"/>
                    </w:rPr>
                    <w:t>的粉尘，项目已对各工序配套设置了集气罩，将其有效统一收集后，通过1台布袋除尘器进行处理</w:t>
                  </w:r>
                  <w:r>
                    <w:rPr>
                      <w:color w:val="000000" w:themeColor="text1"/>
                      <w:szCs w:val="21"/>
                    </w:rPr>
                    <w:t>。</w:t>
                  </w:r>
                </w:p>
                <w:p>
                  <w:pPr>
                    <w:pStyle w:val="32"/>
                    <w:spacing w:line="360" w:lineRule="exact"/>
                    <w:ind w:firstLine="210" w:firstLineChars="100"/>
                    <w:jc w:val="both"/>
                    <w:rPr>
                      <w:color w:val="000000" w:themeColor="text1"/>
                      <w:szCs w:val="21"/>
                    </w:rPr>
                  </w:pPr>
                  <w:r>
                    <w:rPr>
                      <w:rFonts w:hint="eastAsia"/>
                      <w:color w:val="000000" w:themeColor="text1"/>
                      <w:szCs w:val="21"/>
                    </w:rPr>
                    <w:t>根据“</w:t>
                  </w:r>
                  <w:r>
                    <w:rPr>
                      <w:color w:val="000000" w:themeColor="text1"/>
                      <w:szCs w:val="21"/>
                    </w:rPr>
                    <w:t>2624</w:t>
                  </w:r>
                  <w:r>
                    <w:rPr>
                      <w:rFonts w:hint="eastAsia"/>
                      <w:color w:val="000000" w:themeColor="text1"/>
                      <w:szCs w:val="21"/>
                    </w:rPr>
                    <w:t>复混肥料制造行业系数手册”</w:t>
                  </w:r>
                  <w:r>
                    <w:rPr>
                      <w:color w:val="000000" w:themeColor="text1"/>
                      <w:szCs w:val="21"/>
                    </w:rPr>
                    <w:t>布袋除尘器</w:t>
                  </w:r>
                  <w:r>
                    <w:rPr>
                      <w:rFonts w:hint="eastAsia"/>
                      <w:color w:val="000000" w:themeColor="text1"/>
                      <w:szCs w:val="21"/>
                    </w:rPr>
                    <w:t>的除尘效率不低于99%。</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1" w:type="dxa"/>
                  <w:vAlign w:val="center"/>
                </w:tcPr>
                <w:p>
                  <w:pPr>
                    <w:pStyle w:val="32"/>
                    <w:spacing w:line="360" w:lineRule="exact"/>
                    <w:rPr>
                      <w:color w:val="000000" w:themeColor="text1"/>
                      <w:szCs w:val="21"/>
                    </w:rPr>
                  </w:pPr>
                  <w:r>
                    <w:rPr>
                      <w:rFonts w:hint="eastAsia"/>
                      <w:color w:val="000000" w:themeColor="text1"/>
                      <w:szCs w:val="21"/>
                    </w:rPr>
                    <w:t>排气筒</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根据设计，项目拟设置1根Φ0.35m、高15m的排气筒（DA001），经布袋除尘器处理后的排气筒通过DA001外排。</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1792" w:type="dxa"/>
                  <w:gridSpan w:val="2"/>
                  <w:vAlign w:val="center"/>
                </w:tcPr>
                <w:p>
                  <w:pPr>
                    <w:pStyle w:val="32"/>
                    <w:spacing w:line="360" w:lineRule="exact"/>
                    <w:rPr>
                      <w:color w:val="000000" w:themeColor="text1"/>
                      <w:szCs w:val="21"/>
                      <w:highlight w:val="yellow"/>
                    </w:rPr>
                  </w:pPr>
                  <w:r>
                    <w:rPr>
                      <w:rFonts w:eastAsiaTheme="minorEastAsia"/>
                      <w:color w:val="000000" w:themeColor="text1"/>
                      <w:szCs w:val="21"/>
                    </w:rPr>
                    <w:t>雨污分流</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根据调查，项目区拟设置了雨污分流设施。</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107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设备清洗废水收集池</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根据设计，本项目拟配套设置了</w:t>
                  </w:r>
                  <w:r>
                    <w:rPr>
                      <w:rFonts w:hint="eastAsia"/>
                      <w:color w:val="000000" w:themeColor="text1"/>
                      <w:szCs w:val="21"/>
                    </w:rPr>
                    <w:t>2</w:t>
                  </w:r>
                  <w:r>
                    <w:rPr>
                      <w:color w:val="000000" w:themeColor="text1"/>
                      <w:szCs w:val="21"/>
                    </w:rPr>
                    <w:t>个</w:t>
                  </w:r>
                  <w:r>
                    <w:rPr>
                      <w:rFonts w:hint="eastAsia"/>
                      <w:color w:val="000000" w:themeColor="text1"/>
                      <w:szCs w:val="21"/>
                    </w:rPr>
                    <w:t>1</w:t>
                  </w:r>
                  <w:r>
                    <w:rPr>
                      <w:color w:val="000000" w:themeColor="text1"/>
                      <w:szCs w:val="21"/>
                    </w:rPr>
                    <w:t>m³</w:t>
                  </w:r>
                  <w:r>
                    <w:rPr>
                      <w:rFonts w:hint="eastAsia"/>
                      <w:color w:val="000000" w:themeColor="text1"/>
                      <w:szCs w:val="21"/>
                    </w:rPr>
                    <w:t>的设备清洗废水收集池对设备清洗废水进行收集后，用于项目</w:t>
                  </w:r>
                  <w:r>
                    <w:rPr>
                      <w:color w:val="000000" w:themeColor="text1"/>
                      <w:szCs w:val="21"/>
                    </w:rPr>
                    <w:t>含腐植酸液体水溶肥生产线</w:t>
                  </w:r>
                  <w:r>
                    <w:rPr>
                      <w:rFonts w:hint="eastAsia"/>
                      <w:color w:val="000000" w:themeColor="text1"/>
                      <w:szCs w:val="21"/>
                    </w:rPr>
                    <w:t>作为原料生产使用，不外排。</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Align w:val="center"/>
                </w:tcPr>
                <w:p>
                  <w:pPr>
                    <w:pStyle w:val="32"/>
                    <w:spacing w:line="360" w:lineRule="exact"/>
                    <w:rPr>
                      <w:color w:val="000000" w:themeColor="text1"/>
                      <w:szCs w:val="21"/>
                    </w:rPr>
                  </w:pPr>
                  <w:r>
                    <w:rPr>
                      <w:rFonts w:hint="eastAsia"/>
                      <w:color w:val="000000" w:themeColor="text1"/>
                      <w:szCs w:val="21"/>
                    </w:rPr>
                    <w:t>雨水</w:t>
                  </w:r>
                </w:p>
              </w:tc>
              <w:tc>
                <w:tcPr>
                  <w:tcW w:w="1071" w:type="dxa"/>
                  <w:vAlign w:val="center"/>
                </w:tcPr>
                <w:p>
                  <w:pPr>
                    <w:pStyle w:val="32"/>
                    <w:spacing w:line="360" w:lineRule="exact"/>
                    <w:rPr>
                      <w:color w:val="000000" w:themeColor="text1"/>
                      <w:szCs w:val="21"/>
                    </w:rPr>
                  </w:pPr>
                  <w:r>
                    <w:rPr>
                      <w:rFonts w:hint="eastAsia"/>
                      <w:color w:val="000000" w:themeColor="text1"/>
                      <w:szCs w:val="21"/>
                    </w:rPr>
                    <w:t>雨水沟及围挡</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根据设计，拟在项目区入口处设置15cm高的围挡，并在外围建设雨水沟，对厂房外的雨水进行导流，确保雨水不能进入项目区内。</w:t>
                  </w:r>
                </w:p>
              </w:tc>
              <w:tc>
                <w:tcPr>
                  <w:tcW w:w="1064" w:type="dxa"/>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10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Merge w:val="continue"/>
                  <w:vAlign w:val="center"/>
                </w:tcPr>
                <w:p>
                  <w:pPr>
                    <w:pStyle w:val="32"/>
                    <w:spacing w:line="360" w:lineRule="exact"/>
                    <w:rPr>
                      <w:rFonts w:eastAsiaTheme="minorEastAsia"/>
                      <w:color w:val="000000" w:themeColor="text1"/>
                      <w:szCs w:val="21"/>
                    </w:rPr>
                  </w:pPr>
                </w:p>
              </w:tc>
              <w:tc>
                <w:tcPr>
                  <w:tcW w:w="10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根据分区防渗规范要求，项目生产车间划定为一般防渗区，</w:t>
                  </w:r>
                  <w:r>
                    <w:rPr>
                      <w:rFonts w:hint="eastAsia"/>
                      <w:color w:val="000000" w:themeColor="text1"/>
                      <w:szCs w:val="21"/>
                    </w:rPr>
                    <w:t>根据调查，项目</w:t>
                  </w:r>
                  <w:r>
                    <w:rPr>
                      <w:color w:val="000000" w:themeColor="text1"/>
                      <w:szCs w:val="21"/>
                    </w:rPr>
                    <w:t>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Align w:val="center"/>
                </w:tcPr>
                <w:p>
                  <w:pPr>
                    <w:pStyle w:val="32"/>
                    <w:spacing w:line="360" w:lineRule="exact"/>
                    <w:rPr>
                      <w:color w:val="000000" w:themeColor="text1"/>
                      <w:szCs w:val="21"/>
                    </w:rPr>
                  </w:pPr>
                  <w:r>
                    <w:rPr>
                      <w:color w:val="000000" w:themeColor="text1"/>
                      <w:szCs w:val="21"/>
                    </w:rPr>
                    <w:t>噪声</w:t>
                  </w:r>
                </w:p>
              </w:tc>
              <w:tc>
                <w:tcPr>
                  <w:tcW w:w="1071" w:type="dxa"/>
                  <w:vAlign w:val="center"/>
                </w:tcPr>
                <w:p>
                  <w:pPr>
                    <w:pStyle w:val="32"/>
                    <w:spacing w:line="360" w:lineRule="exact"/>
                    <w:rPr>
                      <w:color w:val="000000" w:themeColor="text1"/>
                      <w:szCs w:val="21"/>
                    </w:rPr>
                  </w:pPr>
                  <w:r>
                    <w:rPr>
                      <w:color w:val="000000" w:themeColor="text1"/>
                      <w:szCs w:val="21"/>
                    </w:rPr>
                    <w:t>设备噪声</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Merge w:val="restart"/>
                  <w:vAlign w:val="center"/>
                </w:tcPr>
                <w:p>
                  <w:pPr>
                    <w:pStyle w:val="32"/>
                    <w:spacing w:line="360" w:lineRule="exact"/>
                    <w:rPr>
                      <w:color w:val="000000" w:themeColor="text1"/>
                      <w:szCs w:val="21"/>
                    </w:rPr>
                  </w:pPr>
                  <w:r>
                    <w:rPr>
                      <w:color w:val="000000" w:themeColor="text1"/>
                      <w:szCs w:val="21"/>
                    </w:rPr>
                    <w:t>固废</w:t>
                  </w:r>
                </w:p>
              </w:tc>
              <w:tc>
                <w:tcPr>
                  <w:tcW w:w="1071" w:type="dxa"/>
                  <w:vAlign w:val="center"/>
                </w:tcPr>
                <w:p>
                  <w:pPr>
                    <w:pStyle w:val="32"/>
                    <w:spacing w:line="360" w:lineRule="exact"/>
                    <w:rPr>
                      <w:color w:val="000000" w:themeColor="text1"/>
                      <w:szCs w:val="21"/>
                    </w:rPr>
                  </w:pPr>
                  <w:r>
                    <w:rPr>
                      <w:color w:val="000000" w:themeColor="text1"/>
                      <w:szCs w:val="21"/>
                    </w:rPr>
                    <w:t>危险废物贮存间</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项目拟设置一个5m²的危险废物贮存间对设备维护过程产生的废机油等危险废物进行暂存，并委托有资质的单位处理。</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Merge w:val="continue"/>
                  <w:vAlign w:val="center"/>
                </w:tcPr>
                <w:p>
                  <w:pPr>
                    <w:pStyle w:val="32"/>
                    <w:spacing w:line="360" w:lineRule="exact"/>
                    <w:rPr>
                      <w:color w:val="000000" w:themeColor="text1"/>
                      <w:szCs w:val="21"/>
                    </w:rPr>
                  </w:pPr>
                </w:p>
              </w:tc>
              <w:tc>
                <w:tcPr>
                  <w:tcW w:w="1071" w:type="dxa"/>
                  <w:vAlign w:val="center"/>
                </w:tcPr>
                <w:p>
                  <w:pPr>
                    <w:pStyle w:val="32"/>
                    <w:spacing w:line="360" w:lineRule="exact"/>
                    <w:rPr>
                      <w:color w:val="000000" w:themeColor="text1"/>
                      <w:szCs w:val="21"/>
                    </w:rPr>
                  </w:pPr>
                  <w:r>
                    <w:rPr>
                      <w:color w:val="000000" w:themeColor="text1"/>
                      <w:szCs w:val="21"/>
                    </w:rPr>
                    <w:t>生活垃圾桶</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项目拟设置生活垃圾桶，对生活垃圾收集后委托环卫部门进行处理。</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Align w:val="center"/>
                </w:tcPr>
                <w:p>
                  <w:pPr>
                    <w:pStyle w:val="32"/>
                    <w:spacing w:line="360" w:lineRule="exact"/>
                    <w:rPr>
                      <w:color w:val="000000" w:themeColor="text1"/>
                      <w:szCs w:val="21"/>
                    </w:rPr>
                  </w:pPr>
                  <w:r>
                    <w:rPr>
                      <w:color w:val="000000" w:themeColor="text1"/>
                      <w:szCs w:val="21"/>
                    </w:rPr>
                    <w:t>其他</w:t>
                  </w:r>
                </w:p>
              </w:tc>
              <w:tc>
                <w:tcPr>
                  <w:tcW w:w="1071" w:type="dxa"/>
                  <w:vAlign w:val="center"/>
                </w:tcPr>
                <w:p>
                  <w:pPr>
                    <w:pStyle w:val="32"/>
                    <w:spacing w:line="360" w:lineRule="exact"/>
                    <w:rPr>
                      <w:color w:val="000000" w:themeColor="text1"/>
                      <w:szCs w:val="21"/>
                    </w:rPr>
                  </w:pPr>
                  <w:r>
                    <w:rPr>
                      <w:color w:val="000000" w:themeColor="text1"/>
                      <w:szCs w:val="21"/>
                    </w:rPr>
                    <w:t>标识牌</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93693536"/>
            <w:bookmarkStart w:id="1" w:name="_Toc433544969"/>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该项目租用昆明再生资源（集团）天生桥再生资源回收基地二期2000m²的标准厂房进行项目建设，项目按照利用生产的原则进行厂区建设，其中生产区和原料、产品堆存区分布于厂房</w:t>
            </w:r>
            <w:r>
              <w:rPr>
                <w:rFonts w:hint="eastAsia" w:ascii="Times New Roman" w:hAnsi="Times New Roman" w:cs="Times New Roman"/>
                <w:color w:val="000000" w:themeColor="text1"/>
                <w:sz w:val="24"/>
                <w:szCs w:val="24"/>
              </w:rPr>
              <w:t>四周区域</w:t>
            </w:r>
            <w:r>
              <w:rPr>
                <w:rFonts w:ascii="Times New Roman" w:hAnsi="Times New Roman" w:cs="Times New Roman"/>
                <w:color w:val="000000" w:themeColor="text1"/>
                <w:sz w:val="24"/>
                <w:szCs w:val="24"/>
              </w:rPr>
              <w:t>，中部区域空置便于物料运输，其中厂区的原料堆存区位于厂房西侧、产品堆存区</w:t>
            </w:r>
            <w:r>
              <w:rPr>
                <w:rFonts w:hint="eastAsia" w:ascii="Times New Roman" w:hAnsi="Times New Roman" w:cs="Times New Roman"/>
                <w:color w:val="000000" w:themeColor="text1"/>
                <w:sz w:val="24"/>
                <w:szCs w:val="24"/>
              </w:rPr>
              <w:t>和包装材料堆存区</w:t>
            </w:r>
            <w:r>
              <w:rPr>
                <w:rFonts w:ascii="Times New Roman" w:hAnsi="Times New Roman" w:cs="Times New Roman"/>
                <w:color w:val="000000" w:themeColor="text1"/>
                <w:sz w:val="24"/>
                <w:szCs w:val="24"/>
              </w:rPr>
              <w:t>位于厂房</w:t>
            </w:r>
            <w:r>
              <w:rPr>
                <w:rFonts w:hint="eastAsia" w:ascii="Times New Roman" w:hAnsi="Times New Roman" w:cs="Times New Roman"/>
                <w:color w:val="000000" w:themeColor="text1"/>
                <w:sz w:val="24"/>
                <w:szCs w:val="24"/>
              </w:rPr>
              <w:t>南</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含腐植酸液体</w:t>
            </w:r>
            <w:r>
              <w:rPr>
                <w:rFonts w:hint="eastAsia" w:ascii="Times New Roman" w:hAnsi="Times New Roman" w:cs="Times New Roman"/>
                <w:color w:val="000000" w:themeColor="text1"/>
                <w:sz w:val="24"/>
                <w:szCs w:val="24"/>
              </w:rPr>
              <w:t>储罐位于项目区东侧，</w:t>
            </w:r>
            <w:r>
              <w:rPr>
                <w:rFonts w:ascii="Times New Roman" w:hAnsi="Times New Roman" w:cs="Times New Roman"/>
                <w:color w:val="000000" w:themeColor="text1"/>
                <w:sz w:val="24"/>
                <w:szCs w:val="24"/>
              </w:rPr>
              <w:t>含腐植酸液体水溶肥生产线位于厂房内</w:t>
            </w:r>
            <w:r>
              <w:rPr>
                <w:rFonts w:hint="eastAsia" w:ascii="Times New Roman" w:hAnsi="Times New Roman" w:cs="Times New Roman"/>
                <w:color w:val="000000" w:themeColor="text1"/>
                <w:sz w:val="24"/>
                <w:szCs w:val="24"/>
              </w:rPr>
              <w:t>北</w:t>
            </w:r>
            <w:r>
              <w:rPr>
                <w:rFonts w:ascii="Times New Roman" w:hAnsi="Times New Roman" w:cs="Times New Roman"/>
                <w:color w:val="000000" w:themeColor="text1"/>
                <w:sz w:val="24"/>
                <w:szCs w:val="24"/>
              </w:rPr>
              <w:t>侧、大量元素固体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位于厂房北偏西侧、</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（粉状）</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位于厂房北侧；项目布袋除尘器和排气筒位于厂房外北侧区域，设备清洗废水收集池位于</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旁</w:t>
            </w:r>
            <w:r>
              <w:rPr>
                <w:rFonts w:ascii="Times New Roman" w:hAnsi="Times New Roman" w:cs="Times New Roman"/>
                <w:color w:val="000000" w:themeColor="text1"/>
                <w:sz w:val="24"/>
                <w:szCs w:val="24"/>
              </w:rPr>
              <w:t>。由于该项目污染环节较少，平面布置的变化对环境影响不大，因此该项目平面布置利于生产，则平面布置合理。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项目平面布置详见附图</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根据设计，项目建成后主要产品为大量元素固体水溶肥和含腐植酸液体水溶肥具体产品方案如下表所示。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rPr>
              <w:t>2.3</w:t>
            </w:r>
            <w:r>
              <w:rPr>
                <w:rFonts w:ascii="Times New Roman" w:hAnsi="Times New Roman" w:cs="Times New Roman"/>
                <w:b/>
                <w:color w:val="000000" w:themeColor="text1"/>
              </w:rPr>
              <w:t>-1 项目产品方案一览表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3118"/>
              <w:gridCol w:w="1134"/>
              <w:gridCol w:w="36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color w:val="000000" w:themeColor="text1"/>
                      <w:szCs w:val="21"/>
                    </w:rPr>
                    <w:t>序号</w:t>
                  </w:r>
                </w:p>
              </w:tc>
              <w:tc>
                <w:tcPr>
                  <w:tcW w:w="3118" w:type="dxa"/>
                  <w:vAlign w:val="center"/>
                </w:tcPr>
                <w:p>
                  <w:pPr>
                    <w:pStyle w:val="32"/>
                    <w:spacing w:line="360" w:lineRule="exact"/>
                    <w:rPr>
                      <w:color w:val="000000" w:themeColor="text1"/>
                      <w:szCs w:val="21"/>
                    </w:rPr>
                  </w:pPr>
                  <w:r>
                    <w:rPr>
                      <w:color w:val="000000" w:themeColor="text1"/>
                      <w:szCs w:val="21"/>
                    </w:rPr>
                    <w:t>产品名称</w:t>
                  </w:r>
                </w:p>
              </w:tc>
              <w:tc>
                <w:tcPr>
                  <w:tcW w:w="1134" w:type="dxa"/>
                  <w:vAlign w:val="center"/>
                </w:tcPr>
                <w:p>
                  <w:pPr>
                    <w:pStyle w:val="32"/>
                    <w:spacing w:line="360" w:lineRule="exact"/>
                    <w:rPr>
                      <w:color w:val="000000" w:themeColor="text1"/>
                      <w:szCs w:val="21"/>
                    </w:rPr>
                  </w:pPr>
                  <w:r>
                    <w:rPr>
                      <w:color w:val="000000" w:themeColor="text1"/>
                      <w:szCs w:val="21"/>
                    </w:rPr>
                    <w:t>产量</w:t>
                  </w:r>
                </w:p>
              </w:tc>
              <w:tc>
                <w:tcPr>
                  <w:tcW w:w="3618"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color w:val="000000" w:themeColor="text1"/>
                      <w:szCs w:val="21"/>
                    </w:rPr>
                    <w:t>1</w:t>
                  </w:r>
                </w:p>
              </w:tc>
              <w:tc>
                <w:tcPr>
                  <w:tcW w:w="3118" w:type="dxa"/>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w:t>
                  </w:r>
                  <w:r>
                    <w:rPr>
                      <w:color w:val="000000" w:themeColor="text1"/>
                      <w:szCs w:val="21"/>
                    </w:rPr>
                    <w:t>颗粒</w:t>
                  </w:r>
                  <w:r>
                    <w:rPr>
                      <w:rFonts w:hint="eastAsia"/>
                      <w:color w:val="000000" w:themeColor="text1"/>
                      <w:szCs w:val="21"/>
                    </w:rPr>
                    <w:t>）</w:t>
                  </w:r>
                  <w:r>
                    <w:rPr>
                      <w:color w:val="000000" w:themeColor="text1"/>
                      <w:szCs w:val="21"/>
                    </w:rPr>
                    <w:t>水溶肥</w:t>
                  </w:r>
                </w:p>
              </w:tc>
              <w:tc>
                <w:tcPr>
                  <w:tcW w:w="1134" w:type="dxa"/>
                  <w:vAlign w:val="center"/>
                </w:tcPr>
                <w:p>
                  <w:pPr>
                    <w:pStyle w:val="32"/>
                    <w:spacing w:line="360" w:lineRule="exact"/>
                    <w:rPr>
                      <w:color w:val="000000" w:themeColor="text1"/>
                      <w:szCs w:val="21"/>
                    </w:rPr>
                  </w:pPr>
                  <w:r>
                    <w:rPr>
                      <w:rFonts w:hint="eastAsia"/>
                      <w:color w:val="000000" w:themeColor="text1"/>
                      <w:szCs w:val="21"/>
                    </w:rPr>
                    <w:t>9000t/a</w:t>
                  </w:r>
                </w:p>
              </w:tc>
              <w:tc>
                <w:tcPr>
                  <w:tcW w:w="3618"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执行《大量元素水溶肥料》（NY1107-2010）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color w:val="000000" w:themeColor="text1"/>
                      <w:szCs w:val="21"/>
                    </w:rPr>
                    <w:t>2</w:t>
                  </w:r>
                </w:p>
              </w:tc>
              <w:tc>
                <w:tcPr>
                  <w:tcW w:w="3118" w:type="dxa"/>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（粉状）</w:t>
                  </w:r>
                  <w:r>
                    <w:rPr>
                      <w:color w:val="000000" w:themeColor="text1"/>
                      <w:szCs w:val="21"/>
                    </w:rPr>
                    <w:t>水溶肥</w:t>
                  </w:r>
                </w:p>
              </w:tc>
              <w:tc>
                <w:tcPr>
                  <w:tcW w:w="1134" w:type="dxa"/>
                  <w:vAlign w:val="center"/>
                </w:tcPr>
                <w:p>
                  <w:pPr>
                    <w:pStyle w:val="32"/>
                    <w:spacing w:line="360" w:lineRule="exact"/>
                    <w:rPr>
                      <w:color w:val="000000" w:themeColor="text1"/>
                      <w:szCs w:val="21"/>
                    </w:rPr>
                  </w:pPr>
                  <w:r>
                    <w:rPr>
                      <w:rFonts w:hint="eastAsia"/>
                      <w:color w:val="000000" w:themeColor="text1"/>
                      <w:szCs w:val="21"/>
                    </w:rPr>
                    <w:t>1000t/a</w:t>
                  </w:r>
                </w:p>
              </w:tc>
              <w:tc>
                <w:tcPr>
                  <w:tcW w:w="3618" w:type="dxa"/>
                  <w:vMerge w:val="continue"/>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rFonts w:hint="eastAsia"/>
                      <w:color w:val="000000" w:themeColor="text1"/>
                      <w:szCs w:val="21"/>
                    </w:rPr>
                    <w:t>3</w:t>
                  </w:r>
                </w:p>
              </w:tc>
              <w:tc>
                <w:tcPr>
                  <w:tcW w:w="3118" w:type="dxa"/>
                  <w:vAlign w:val="center"/>
                </w:tcPr>
                <w:p>
                  <w:pPr>
                    <w:pStyle w:val="32"/>
                    <w:spacing w:line="360" w:lineRule="exact"/>
                    <w:rPr>
                      <w:color w:val="000000" w:themeColor="text1"/>
                      <w:szCs w:val="21"/>
                    </w:rPr>
                  </w:pPr>
                  <w:r>
                    <w:rPr>
                      <w:color w:val="000000" w:themeColor="text1"/>
                      <w:szCs w:val="21"/>
                    </w:rPr>
                    <w:t>含腐植酸液体水溶肥</w:t>
                  </w:r>
                </w:p>
              </w:tc>
              <w:tc>
                <w:tcPr>
                  <w:tcW w:w="1134" w:type="dxa"/>
                  <w:vAlign w:val="center"/>
                </w:tcPr>
                <w:p>
                  <w:pPr>
                    <w:pStyle w:val="32"/>
                    <w:spacing w:line="360" w:lineRule="exact"/>
                    <w:rPr>
                      <w:color w:val="000000" w:themeColor="text1"/>
                      <w:szCs w:val="21"/>
                    </w:rPr>
                  </w:pPr>
                  <w:r>
                    <w:rPr>
                      <w:color w:val="000000" w:themeColor="text1"/>
                      <w:szCs w:val="21"/>
                    </w:rPr>
                    <w:t>15000t/a</w:t>
                  </w:r>
                </w:p>
              </w:tc>
              <w:tc>
                <w:tcPr>
                  <w:tcW w:w="3618" w:type="dxa"/>
                  <w:vAlign w:val="center"/>
                </w:tcPr>
                <w:p>
                  <w:pPr>
                    <w:pStyle w:val="32"/>
                    <w:spacing w:line="360" w:lineRule="exact"/>
                    <w:ind w:firstLine="210" w:firstLineChars="100"/>
                    <w:jc w:val="both"/>
                    <w:rPr>
                      <w:color w:val="000000" w:themeColor="text1"/>
                      <w:szCs w:val="21"/>
                    </w:rPr>
                  </w:pPr>
                  <w:r>
                    <w:rPr>
                      <w:color w:val="000000" w:themeColor="text1"/>
                      <w:szCs w:val="21"/>
                    </w:rPr>
                    <w:t>执行《含腐植酸水溶肥料》（NY1106-2010）</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4"/>
              <w:gridCol w:w="1511"/>
              <w:gridCol w:w="1287"/>
              <w:gridCol w:w="1575"/>
              <w:gridCol w:w="1287"/>
              <w:gridCol w:w="1145"/>
              <w:gridCol w:w="10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Align w:val="center"/>
                </w:tcPr>
                <w:p>
                  <w:pPr>
                    <w:pStyle w:val="32"/>
                    <w:spacing w:line="360" w:lineRule="exact"/>
                    <w:rPr>
                      <w:color w:val="000000" w:themeColor="text1"/>
                      <w:szCs w:val="21"/>
                    </w:rPr>
                  </w:pPr>
                  <w:r>
                    <w:rPr>
                      <w:color w:val="000000" w:themeColor="text1"/>
                      <w:szCs w:val="21"/>
                    </w:rPr>
                    <w:t>主要生产单元</w:t>
                  </w:r>
                </w:p>
              </w:tc>
              <w:tc>
                <w:tcPr>
                  <w:tcW w:w="1511" w:type="dxa"/>
                  <w:vAlign w:val="center"/>
                </w:tcPr>
                <w:p>
                  <w:pPr>
                    <w:pStyle w:val="32"/>
                    <w:spacing w:line="360" w:lineRule="exact"/>
                    <w:rPr>
                      <w:color w:val="000000" w:themeColor="text1"/>
                      <w:szCs w:val="21"/>
                    </w:rPr>
                  </w:pPr>
                  <w:r>
                    <w:rPr>
                      <w:color w:val="000000" w:themeColor="text1"/>
                      <w:szCs w:val="21"/>
                    </w:rPr>
                    <w:t>主要工艺</w:t>
                  </w:r>
                </w:p>
              </w:tc>
              <w:tc>
                <w:tcPr>
                  <w:tcW w:w="2862" w:type="dxa"/>
                  <w:gridSpan w:val="2"/>
                  <w:vAlign w:val="center"/>
                </w:tcPr>
                <w:p>
                  <w:pPr>
                    <w:pStyle w:val="32"/>
                    <w:spacing w:line="360" w:lineRule="exact"/>
                    <w:rPr>
                      <w:color w:val="000000" w:themeColor="text1"/>
                      <w:szCs w:val="21"/>
                    </w:rPr>
                  </w:pPr>
                  <w:r>
                    <w:rPr>
                      <w:color w:val="000000" w:themeColor="text1"/>
                      <w:szCs w:val="21"/>
                    </w:rPr>
                    <w:t>生产设施</w:t>
                  </w:r>
                </w:p>
              </w:tc>
              <w:tc>
                <w:tcPr>
                  <w:tcW w:w="1287" w:type="dxa"/>
                  <w:vAlign w:val="center"/>
                </w:tcPr>
                <w:p>
                  <w:pPr>
                    <w:pStyle w:val="32"/>
                    <w:spacing w:line="360" w:lineRule="exact"/>
                    <w:rPr>
                      <w:color w:val="000000" w:themeColor="text1"/>
                      <w:szCs w:val="21"/>
                    </w:rPr>
                  </w:pPr>
                  <w:r>
                    <w:rPr>
                      <w:rFonts w:hint="eastAsia"/>
                      <w:color w:val="000000" w:themeColor="text1"/>
                      <w:szCs w:val="21"/>
                    </w:rPr>
                    <w:t>型号</w:t>
                  </w:r>
                </w:p>
              </w:tc>
              <w:tc>
                <w:tcPr>
                  <w:tcW w:w="1145" w:type="dxa"/>
                  <w:vAlign w:val="center"/>
                </w:tcPr>
                <w:p>
                  <w:pPr>
                    <w:pStyle w:val="32"/>
                    <w:spacing w:line="360" w:lineRule="exact"/>
                    <w:rPr>
                      <w:color w:val="000000" w:themeColor="text1"/>
                      <w:szCs w:val="21"/>
                    </w:rPr>
                  </w:pPr>
                  <w:r>
                    <w:rPr>
                      <w:color w:val="000000" w:themeColor="text1"/>
                      <w:szCs w:val="21"/>
                    </w:rPr>
                    <w:t>设施参数</w:t>
                  </w:r>
                </w:p>
              </w:tc>
              <w:tc>
                <w:tcPr>
                  <w:tcW w:w="1059" w:type="dxa"/>
                  <w:vAlign w:val="center"/>
                </w:tcPr>
                <w:p>
                  <w:pPr>
                    <w:pStyle w:val="32"/>
                    <w:spacing w:line="360" w:lineRule="exact"/>
                    <w:rPr>
                      <w:color w:val="000000" w:themeColor="text1"/>
                      <w:szCs w:val="21"/>
                    </w:rPr>
                  </w:pPr>
                  <w:r>
                    <w:rPr>
                      <w:color w:val="000000" w:themeColor="text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restart"/>
                  <w:vAlign w:val="center"/>
                </w:tcPr>
                <w:p>
                  <w:pPr>
                    <w:pStyle w:val="32"/>
                    <w:spacing w:line="360" w:lineRule="exact"/>
                    <w:rPr>
                      <w:color w:val="000000" w:themeColor="text1"/>
                      <w:szCs w:val="21"/>
                    </w:rPr>
                  </w:pPr>
                  <w:r>
                    <w:rPr>
                      <w:color w:val="000000" w:themeColor="text1"/>
                      <w:szCs w:val="21"/>
                    </w:rPr>
                    <w:t>主体工程</w:t>
                  </w:r>
                </w:p>
              </w:tc>
              <w:tc>
                <w:tcPr>
                  <w:tcW w:w="1511" w:type="dxa"/>
                  <w:vMerge w:val="restart"/>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备料</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提升机</w:t>
                  </w:r>
                </w:p>
              </w:tc>
              <w:tc>
                <w:tcPr>
                  <w:tcW w:w="128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斗式提升机</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带式输送机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混合搅拌机</w:t>
                  </w:r>
                </w:p>
              </w:tc>
              <w:tc>
                <w:tcPr>
                  <w:tcW w:w="128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封闭式</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造粒</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挤压造粒机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筛分</w:t>
                  </w:r>
                </w:p>
              </w:tc>
              <w:tc>
                <w:tcPr>
                  <w:tcW w:w="15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筛分机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称重、包装</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热压封口机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打包机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744" w:type="dxa"/>
                  <w:vMerge w:val="continue"/>
                  <w:vAlign w:val="center"/>
                </w:tcPr>
                <w:p>
                  <w:pPr>
                    <w:pStyle w:val="32"/>
                    <w:spacing w:line="360" w:lineRule="exact"/>
                    <w:rPr>
                      <w:color w:val="000000" w:themeColor="text1"/>
                      <w:szCs w:val="21"/>
                    </w:rPr>
                  </w:pPr>
                </w:p>
              </w:tc>
              <w:tc>
                <w:tcPr>
                  <w:tcW w:w="1511" w:type="dxa"/>
                  <w:vMerge w:val="restart"/>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（粉状）</w:t>
                  </w:r>
                  <w:r>
                    <w:rPr>
                      <w:color w:val="000000" w:themeColor="text1"/>
                      <w:szCs w:val="21"/>
                    </w:rPr>
                    <w:t>水溶肥生产线</w:t>
                  </w: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混合搅拌机</w:t>
                  </w:r>
                </w:p>
              </w:tc>
              <w:tc>
                <w:tcPr>
                  <w:tcW w:w="128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封闭式</w:t>
                  </w:r>
                </w:p>
              </w:tc>
              <w:tc>
                <w:tcPr>
                  <w:tcW w:w="1145" w:type="dxa"/>
                  <w:vAlign w:val="center"/>
                </w:tcPr>
                <w:p>
                  <w:pPr>
                    <w:pStyle w:val="32"/>
                    <w:spacing w:line="360" w:lineRule="exact"/>
                    <w:rPr>
                      <w:color w:val="000000" w:themeColor="text1"/>
                      <w:szCs w:val="21"/>
                    </w:rPr>
                  </w:pPr>
                  <w:r>
                    <w:rPr>
                      <w:rFonts w:hint="eastAsia"/>
                      <w:color w:val="000000" w:themeColor="text1"/>
                      <w:szCs w:val="21"/>
                    </w:rPr>
                    <w:t>0.15t/h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称重、包装</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热压封口机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0.15t/h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打包机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0.15t/h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restart"/>
                  <w:vAlign w:val="center"/>
                </w:tcPr>
                <w:p>
                  <w:pPr>
                    <w:pStyle w:val="32"/>
                    <w:spacing w:line="360" w:lineRule="exact"/>
                    <w:rPr>
                      <w:color w:val="000000" w:themeColor="text1"/>
                      <w:szCs w:val="21"/>
                    </w:rPr>
                  </w:pPr>
                  <w:r>
                    <w:rPr>
                      <w:color w:val="000000" w:themeColor="text1"/>
                      <w:szCs w:val="21"/>
                    </w:rPr>
                    <w:t>含腐植酸液体水溶肥</w:t>
                  </w: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原液储存</w:t>
                  </w:r>
                </w:p>
              </w:tc>
              <w:tc>
                <w:tcPr>
                  <w:tcW w:w="15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含腐殖酸基液储罐</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不锈钢</w:t>
                  </w:r>
                </w:p>
              </w:tc>
              <w:tc>
                <w:tcPr>
                  <w:tcW w:w="1145" w:type="dxa"/>
                  <w:vAlign w:val="center"/>
                </w:tcPr>
                <w:p>
                  <w:pPr>
                    <w:pStyle w:val="32"/>
                    <w:spacing w:line="360" w:lineRule="exact"/>
                    <w:rPr>
                      <w:color w:val="000000" w:themeColor="text1"/>
                      <w:szCs w:val="21"/>
                    </w:rPr>
                  </w:pPr>
                  <w:r>
                    <w:rPr>
                      <w:rFonts w:hint="eastAsia"/>
                      <w:color w:val="000000" w:themeColor="text1"/>
                      <w:szCs w:val="21"/>
                    </w:rPr>
                    <w:t>50</w:t>
                  </w:r>
                  <w:r>
                    <w:rPr>
                      <w:color w:val="000000" w:themeColor="text1"/>
                      <w:szCs w:val="21"/>
                    </w:rPr>
                    <w:t>m³</w:t>
                  </w:r>
                  <w:r>
                    <w:rPr>
                      <w:rFonts w:hint="eastAsia"/>
                      <w:color w:val="000000" w:themeColor="text1"/>
                      <w:szCs w:val="21"/>
                    </w:rPr>
                    <w:t>/个</w:t>
                  </w:r>
                </w:p>
              </w:tc>
              <w:tc>
                <w:tcPr>
                  <w:tcW w:w="1059" w:type="dxa"/>
                  <w:vAlign w:val="center"/>
                </w:tcPr>
                <w:p>
                  <w:pPr>
                    <w:pStyle w:val="32"/>
                    <w:spacing w:line="360" w:lineRule="exact"/>
                    <w:rPr>
                      <w:color w:val="000000" w:themeColor="text1"/>
                      <w:szCs w:val="21"/>
                    </w:rPr>
                  </w:pPr>
                  <w:r>
                    <w:rPr>
                      <w:rFonts w:hint="eastAsia"/>
                      <w:color w:val="000000" w:themeColor="text1"/>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搅拌罐</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不锈钢</w:t>
                  </w:r>
                </w:p>
              </w:tc>
              <w:tc>
                <w:tcPr>
                  <w:tcW w:w="1145" w:type="dxa"/>
                  <w:vAlign w:val="center"/>
                </w:tcPr>
                <w:p>
                  <w:pPr>
                    <w:pStyle w:val="32"/>
                    <w:spacing w:line="360" w:lineRule="exact"/>
                    <w:rPr>
                      <w:color w:val="000000" w:themeColor="text1"/>
                      <w:szCs w:val="21"/>
                    </w:rPr>
                  </w:pPr>
                  <w:r>
                    <w:rPr>
                      <w:rFonts w:hint="eastAsia"/>
                      <w:color w:val="000000" w:themeColor="text1"/>
                      <w:szCs w:val="21"/>
                    </w:rPr>
                    <w:t>10</w:t>
                  </w:r>
                  <w:r>
                    <w:rPr>
                      <w:color w:val="000000" w:themeColor="text1"/>
                      <w:szCs w:val="21"/>
                    </w:rPr>
                    <w:t>m³</w:t>
                  </w:r>
                  <w:r>
                    <w:rPr>
                      <w:rFonts w:hint="eastAsia"/>
                      <w:color w:val="000000" w:themeColor="text1"/>
                      <w:szCs w:val="21"/>
                    </w:rPr>
                    <w:t>/个</w:t>
                  </w:r>
                </w:p>
              </w:tc>
              <w:tc>
                <w:tcPr>
                  <w:tcW w:w="1059" w:type="dxa"/>
                  <w:vAlign w:val="center"/>
                </w:tcPr>
                <w:p>
                  <w:pPr>
                    <w:pStyle w:val="32"/>
                    <w:spacing w:line="360" w:lineRule="exact"/>
                    <w:rPr>
                      <w:color w:val="000000" w:themeColor="text1"/>
                      <w:szCs w:val="21"/>
                    </w:rPr>
                  </w:pPr>
                  <w:r>
                    <w:rPr>
                      <w:rFonts w:hint="eastAsia"/>
                      <w:color w:val="000000" w:themeColor="text1"/>
                      <w:szCs w:val="21"/>
                    </w:rPr>
                    <w:t>6个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分装罐</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不锈钢</w:t>
                  </w:r>
                </w:p>
              </w:tc>
              <w:tc>
                <w:tcPr>
                  <w:tcW w:w="1145" w:type="dxa"/>
                  <w:vAlign w:val="center"/>
                </w:tcPr>
                <w:p>
                  <w:pPr>
                    <w:pStyle w:val="32"/>
                    <w:spacing w:line="360" w:lineRule="exact"/>
                    <w:rPr>
                      <w:color w:val="000000" w:themeColor="text1"/>
                      <w:szCs w:val="21"/>
                    </w:rPr>
                  </w:pPr>
                  <w:r>
                    <w:rPr>
                      <w:rFonts w:hint="eastAsia"/>
                      <w:color w:val="000000" w:themeColor="text1"/>
                      <w:szCs w:val="21"/>
                    </w:rPr>
                    <w:t>5</w:t>
                  </w:r>
                  <w:r>
                    <w:rPr>
                      <w:color w:val="000000" w:themeColor="text1"/>
                      <w:szCs w:val="21"/>
                    </w:rPr>
                    <w:t>m³</w:t>
                  </w:r>
                  <w:r>
                    <w:rPr>
                      <w:rFonts w:hint="eastAsia"/>
                      <w:color w:val="000000" w:themeColor="text1"/>
                      <w:szCs w:val="21"/>
                    </w:rPr>
                    <w:t>/个</w:t>
                  </w:r>
                </w:p>
              </w:tc>
              <w:tc>
                <w:tcPr>
                  <w:tcW w:w="1059" w:type="dxa"/>
                  <w:vAlign w:val="center"/>
                </w:tcPr>
                <w:p>
                  <w:pPr>
                    <w:pStyle w:val="32"/>
                    <w:spacing w:line="360" w:lineRule="exact"/>
                    <w:rPr>
                      <w:color w:val="000000" w:themeColor="text1"/>
                      <w:szCs w:val="21"/>
                    </w:rPr>
                  </w:pPr>
                  <w:r>
                    <w:rPr>
                      <w:rFonts w:hint="eastAsia"/>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称重、包装</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喷码机</w:t>
                  </w:r>
                </w:p>
              </w:tc>
              <w:tc>
                <w:tcPr>
                  <w:tcW w:w="128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MAC32+B</w:t>
                  </w:r>
                </w:p>
              </w:tc>
              <w:tc>
                <w:tcPr>
                  <w:tcW w:w="1145" w:type="dxa"/>
                  <w:vAlign w:val="center"/>
                </w:tcPr>
                <w:p>
                  <w:pPr>
                    <w:pStyle w:val="32"/>
                    <w:spacing w:line="360" w:lineRule="exact"/>
                    <w:rPr>
                      <w:color w:val="000000" w:themeColor="text1"/>
                      <w:szCs w:val="21"/>
                    </w:rPr>
                  </w:pPr>
                </w:p>
              </w:tc>
              <w:tc>
                <w:tcPr>
                  <w:tcW w:w="1059" w:type="dxa"/>
                  <w:vAlign w:val="center"/>
                </w:tcPr>
                <w:p>
                  <w:pPr>
                    <w:pStyle w:val="32"/>
                    <w:spacing w:line="360" w:lineRule="exact"/>
                    <w:rPr>
                      <w:color w:val="000000" w:themeColor="text1"/>
                      <w:szCs w:val="21"/>
                    </w:rPr>
                  </w:pPr>
                  <w:r>
                    <w:rPr>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Align w:val="center"/>
                </w:tcPr>
                <w:p>
                  <w:pPr>
                    <w:pStyle w:val="32"/>
                    <w:spacing w:line="360" w:lineRule="exact"/>
                    <w:rPr>
                      <w:color w:val="000000" w:themeColor="text1"/>
                      <w:szCs w:val="21"/>
                    </w:rPr>
                  </w:pPr>
                  <w:r>
                    <w:rPr>
                      <w:color w:val="000000" w:themeColor="text1"/>
                      <w:szCs w:val="21"/>
                    </w:rPr>
                    <w:t>储运工程</w:t>
                  </w:r>
                </w:p>
              </w:tc>
              <w:tc>
                <w:tcPr>
                  <w:tcW w:w="1511" w:type="dxa"/>
                  <w:vAlign w:val="center"/>
                </w:tcPr>
                <w:p>
                  <w:pPr>
                    <w:pStyle w:val="32"/>
                    <w:spacing w:line="360" w:lineRule="exact"/>
                    <w:rPr>
                      <w:color w:val="000000" w:themeColor="text1"/>
                      <w:szCs w:val="21"/>
                    </w:rPr>
                  </w:pPr>
                  <w:r>
                    <w:rPr>
                      <w:rFonts w:hint="eastAsia"/>
                      <w:color w:val="000000" w:themeColor="text1"/>
                      <w:szCs w:val="21"/>
                    </w:rPr>
                    <w:t>储运</w:t>
                  </w: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运输</w:t>
                  </w:r>
                </w:p>
              </w:tc>
              <w:tc>
                <w:tcPr>
                  <w:tcW w:w="15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叉车</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color w:val="000000" w:themeColor="text1"/>
                      <w:szCs w:val="21"/>
                    </w:rPr>
                    <w:t>--</w:t>
                  </w:r>
                </w:p>
              </w:tc>
              <w:tc>
                <w:tcPr>
                  <w:tcW w:w="1059" w:type="dxa"/>
                  <w:vAlign w:val="center"/>
                </w:tcPr>
                <w:p>
                  <w:pPr>
                    <w:pStyle w:val="32"/>
                    <w:spacing w:line="360" w:lineRule="exact"/>
                    <w:rPr>
                      <w:color w:val="000000" w:themeColor="text1"/>
                      <w:szCs w:val="21"/>
                    </w:rPr>
                  </w:pPr>
                  <w:r>
                    <w:rPr>
                      <w:color w:val="000000" w:themeColor="text1"/>
                      <w:szCs w:val="21"/>
                    </w:rPr>
                    <w:t>1台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（1）原辅料的用量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项目原辅料用量情况如下表所示。</w:t>
            </w:r>
          </w:p>
          <w:p>
            <w:pPr>
              <w:spacing w:line="360" w:lineRule="auto"/>
              <w:ind w:firstLine="480" w:firstLineChars="200"/>
              <w:rPr>
                <w:rFonts w:ascii="Times New Roman" w:hAnsi="Times New Roman" w:cs="Times New Roman"/>
                <w:color w:val="000000" w:themeColor="text1"/>
                <w:sz w:val="24"/>
                <w:szCs w:val="24"/>
              </w:rPr>
            </w:pP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 xml:space="preserve">表2.5.1-1 </w:t>
            </w:r>
            <w:r>
              <w:rPr>
                <w:rFonts w:hint="eastAsia" w:hAnsi="Times New Roman" w:eastAsiaTheme="minorEastAsia"/>
                <w:bCs/>
                <w:snapToGrid w:val="0"/>
                <w:color w:val="000000" w:themeColor="text1"/>
                <w:sz w:val="21"/>
                <w:szCs w:val="21"/>
              </w:rPr>
              <w:t xml:space="preserve"> </w:t>
            </w:r>
            <w:r>
              <w:rPr>
                <w:rFonts w:hAnsi="Times New Roman" w:eastAsiaTheme="minorEastAsia"/>
                <w:bCs/>
                <w:snapToGrid w:val="0"/>
                <w:color w:val="000000" w:themeColor="text1"/>
                <w:sz w:val="21"/>
                <w:szCs w:val="21"/>
              </w:rPr>
              <w:t>原辅料用量一览表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5"/>
              <w:gridCol w:w="1549"/>
              <w:gridCol w:w="1221"/>
              <w:gridCol w:w="1724"/>
              <w:gridCol w:w="1701"/>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产品类型</w:t>
                  </w:r>
                </w:p>
              </w:tc>
              <w:tc>
                <w:tcPr>
                  <w:tcW w:w="1549" w:type="dxa"/>
                  <w:vMerge w:val="restart"/>
                  <w:vAlign w:val="center"/>
                </w:tcPr>
                <w:p>
                  <w:pPr>
                    <w:pStyle w:val="32"/>
                    <w:spacing w:line="360" w:lineRule="exact"/>
                    <w:rPr>
                      <w:color w:val="000000" w:themeColor="text1"/>
                      <w:szCs w:val="21"/>
                    </w:rPr>
                  </w:pPr>
                  <w:r>
                    <w:rPr>
                      <w:color w:val="000000" w:themeColor="text1"/>
                      <w:szCs w:val="21"/>
                    </w:rPr>
                    <w:t>原辅料名称</w:t>
                  </w:r>
                </w:p>
              </w:tc>
              <w:tc>
                <w:tcPr>
                  <w:tcW w:w="2945" w:type="dxa"/>
                  <w:gridSpan w:val="2"/>
                  <w:vAlign w:val="center"/>
                </w:tcPr>
                <w:p>
                  <w:pPr>
                    <w:pStyle w:val="32"/>
                    <w:spacing w:line="360" w:lineRule="exact"/>
                    <w:rPr>
                      <w:color w:val="000000" w:themeColor="text1"/>
                      <w:szCs w:val="21"/>
                    </w:rPr>
                  </w:pPr>
                  <w:r>
                    <w:rPr>
                      <w:color w:val="000000" w:themeColor="text1"/>
                      <w:szCs w:val="21"/>
                    </w:rPr>
                    <w:t>使用量及储存量</w:t>
                  </w:r>
                </w:p>
              </w:tc>
              <w:tc>
                <w:tcPr>
                  <w:tcW w:w="1701"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形态</w:t>
                  </w:r>
                </w:p>
              </w:tc>
              <w:tc>
                <w:tcPr>
                  <w:tcW w:w="1208" w:type="dxa"/>
                  <w:vMerge w:val="restart"/>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主要</w:t>
                  </w:r>
                  <w:r>
                    <w:rPr>
                      <w:color w:val="000000" w:themeColor="text1"/>
                      <w:szCs w:val="21"/>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Merge w:val="continue"/>
                  <w:vAlign w:val="center"/>
                </w:tcPr>
                <w:p>
                  <w:pPr>
                    <w:pStyle w:val="32"/>
                    <w:spacing w:line="360" w:lineRule="exact"/>
                    <w:rPr>
                      <w:color w:val="000000" w:themeColor="text1"/>
                      <w:szCs w:val="21"/>
                    </w:rPr>
                  </w:pP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用量（t/a）</w:t>
                  </w:r>
                </w:p>
              </w:tc>
              <w:tc>
                <w:tcPr>
                  <w:tcW w:w="17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最大储存量（t/a）</w:t>
                  </w:r>
                </w:p>
              </w:tc>
              <w:tc>
                <w:tcPr>
                  <w:tcW w:w="1701" w:type="dxa"/>
                  <w:vMerge w:val="continue"/>
                  <w:tcBorders>
                    <w:right w:val="single" w:color="auto" w:sz="4" w:space="0"/>
                  </w:tcBorders>
                  <w:vAlign w:val="center"/>
                </w:tcPr>
                <w:p>
                  <w:pPr>
                    <w:pStyle w:val="32"/>
                    <w:spacing w:line="360" w:lineRule="exact"/>
                    <w:rPr>
                      <w:color w:val="000000" w:themeColor="text1"/>
                      <w:szCs w:val="21"/>
                    </w:rPr>
                  </w:pP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restart"/>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尿素</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18</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市场购买成品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硫酸钾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9</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rFonts w:hint="eastAsia"/>
                      <w:color w:val="000000" w:themeColor="text1"/>
                      <w:szCs w:val="21"/>
                    </w:rPr>
                  </w:pPr>
                  <w:r>
                    <w:rPr>
                      <w:rFonts w:hint="eastAsia"/>
                      <w:color w:val="000000" w:themeColor="text1"/>
                      <w:szCs w:val="21"/>
                    </w:rPr>
                    <w:t>硫酸铵</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3870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38.7</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氯化铵</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18</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黄粉</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450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4.5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rFonts w:hint="eastAsia"/>
                      <w:color w:val="000000" w:themeColor="text1"/>
                      <w:szCs w:val="21"/>
                    </w:rPr>
                  </w:pPr>
                  <w:r>
                    <w:rPr>
                      <w:rFonts w:hint="eastAsia"/>
                      <w:color w:val="000000" w:themeColor="text1"/>
                      <w:szCs w:val="21"/>
                    </w:rPr>
                    <w:t>水</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1.8</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自来水</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小计</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9000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30</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restart"/>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（粉状）</w:t>
                  </w:r>
                  <w:r>
                    <w:rPr>
                      <w:color w:val="000000" w:themeColor="text1"/>
                      <w:szCs w:val="21"/>
                    </w:rPr>
                    <w:t>水溶肥生产线</w:t>
                  </w: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尿素</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硫酸</w:t>
                  </w:r>
                  <w:r>
                    <w:rPr>
                      <w:color w:val="000000" w:themeColor="text1"/>
                      <w:szCs w:val="21"/>
                    </w:rPr>
                    <w:t>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磷酸二氢钾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氯化钾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磷酸一铵</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375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3.75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有机螯合中微量元素</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小计</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1000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含腐植酸液体水溶肥</w:t>
                  </w:r>
                </w:p>
              </w:tc>
              <w:tc>
                <w:tcPr>
                  <w:tcW w:w="1549" w:type="dxa"/>
                  <w:vAlign w:val="center"/>
                </w:tcPr>
                <w:p>
                  <w:pPr>
                    <w:pStyle w:val="32"/>
                    <w:spacing w:line="360" w:lineRule="exact"/>
                    <w:rPr>
                      <w:color w:val="000000" w:themeColor="text1"/>
                      <w:szCs w:val="21"/>
                    </w:rPr>
                  </w:pPr>
                  <w:r>
                    <w:rPr>
                      <w:color w:val="000000" w:themeColor="text1"/>
                      <w:szCs w:val="21"/>
                    </w:rPr>
                    <w:t>尿素</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750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rFonts w:hint="eastAsia"/>
                      <w:color w:val="000000" w:themeColor="text1"/>
                      <w:szCs w:val="21"/>
                    </w:rPr>
                    <w:t>硫酸</w:t>
                  </w:r>
                  <w:r>
                    <w:rPr>
                      <w:color w:val="000000" w:themeColor="text1"/>
                      <w:szCs w:val="21"/>
                    </w:rPr>
                    <w:t>钾</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1125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30</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color w:val="000000" w:themeColor="text1"/>
                      <w:szCs w:val="21"/>
                    </w:rPr>
                    <w:t>磷酸二氢钾</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750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color w:val="000000" w:themeColor="text1"/>
                      <w:szCs w:val="21"/>
                    </w:rPr>
                    <w:t>磷酸一铵</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375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rFonts w:hint="eastAsia"/>
                      <w:color w:val="000000" w:themeColor="text1"/>
                      <w:szCs w:val="21"/>
                    </w:rPr>
                    <w:t>含腐殖酸基液</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12000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100</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液体，罐装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rFonts w:hint="eastAsia"/>
                      <w:color w:val="000000" w:themeColor="text1"/>
                      <w:szCs w:val="21"/>
                    </w:rPr>
                  </w:pPr>
                  <w:r>
                    <w:rPr>
                      <w:rFonts w:hint="eastAsia"/>
                      <w:color w:val="000000" w:themeColor="text1"/>
                      <w:szCs w:val="21"/>
                    </w:rPr>
                    <w:t>小计</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15000</w:t>
                  </w:r>
                </w:p>
              </w:tc>
              <w:tc>
                <w:tcPr>
                  <w:tcW w:w="1724" w:type="dxa"/>
                  <w:tcBorders>
                    <w:left w:val="single" w:color="auto" w:sz="4" w:space="0"/>
                  </w:tcBorders>
                  <w:vAlign w:val="center"/>
                </w:tcPr>
                <w:p>
                  <w:pPr>
                    <w:pStyle w:val="32"/>
                    <w:spacing w:line="360" w:lineRule="exact"/>
                    <w:rPr>
                      <w:rFonts w:hint="eastAsia"/>
                      <w:color w:val="000000" w:themeColor="text1"/>
                      <w:szCs w:val="21"/>
                    </w:rPr>
                  </w:pPr>
                  <w:r>
                    <w:rPr>
                      <w:rFonts w:hint="eastAsia"/>
                      <w:color w:val="000000" w:themeColor="text1"/>
                      <w:szCs w:val="21"/>
                    </w:rPr>
                    <w:t>160</w:t>
                  </w:r>
                </w:p>
              </w:tc>
              <w:tc>
                <w:tcPr>
                  <w:tcW w:w="1701" w:type="dxa"/>
                  <w:tcBorders>
                    <w:right w:val="single" w:color="auto" w:sz="4" w:space="0"/>
                  </w:tcBorders>
                  <w:vAlign w:val="center"/>
                </w:tcPr>
                <w:p>
                  <w:pPr>
                    <w:pStyle w:val="32"/>
                    <w:spacing w:line="360" w:lineRule="exact"/>
                    <w:rPr>
                      <w:rFonts w:hint="eastAsia"/>
                      <w:color w:val="000000" w:themeColor="text1"/>
                      <w:szCs w:val="21"/>
                    </w:rPr>
                  </w:pPr>
                  <w:r>
                    <w:rPr>
                      <w:rFonts w:hint="eastAsia"/>
                      <w:color w:val="000000" w:themeColor="text1"/>
                      <w:szCs w:val="21"/>
                    </w:rPr>
                    <w:t>--</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（2）原辅料性质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项目生产所用原辅料其理化性质如下表所示。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表2.5.1-2 项目原辅材料主要成分基本性质一览表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0"/>
              <w:gridCol w:w="1083"/>
              <w:gridCol w:w="258"/>
              <w:gridCol w:w="2758"/>
              <w:gridCol w:w="1708"/>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Align w:val="center"/>
                </w:tcPr>
                <w:p>
                  <w:pPr>
                    <w:pStyle w:val="68"/>
                    <w:spacing w:line="276" w:lineRule="auto"/>
                    <w:ind w:firstLine="0" w:firstLineChars="0"/>
                    <w:jc w:val="center"/>
                    <w:rPr>
                      <w:color w:val="000000" w:themeColor="text1"/>
                      <w:szCs w:val="21"/>
                    </w:rPr>
                  </w:pPr>
                  <w:r>
                    <w:rPr>
                      <w:color w:val="000000" w:themeColor="text1"/>
                      <w:szCs w:val="21"/>
                    </w:rPr>
                    <w:t>尿素</w:t>
                  </w:r>
                </w:p>
              </w:tc>
              <w:tc>
                <w:tcPr>
                  <w:tcW w:w="7558" w:type="dxa"/>
                  <w:gridSpan w:val="5"/>
                  <w:vAlign w:val="center"/>
                </w:tcPr>
                <w:p>
                  <w:pPr>
                    <w:pStyle w:val="68"/>
                    <w:spacing w:line="276" w:lineRule="auto"/>
                    <w:ind w:firstLine="210" w:firstLineChars="100"/>
                    <w:rPr>
                      <w:color w:val="000000" w:themeColor="text1"/>
                      <w:szCs w:val="21"/>
                    </w:rPr>
                  </w:pPr>
                  <w:r>
                    <w:rPr>
                      <w:color w:val="000000" w:themeColor="text1"/>
                      <w:szCs w:val="21"/>
                    </w:rPr>
                    <w:t>尿素，又称</w:t>
                  </w:r>
                  <w:r>
                    <w:fldChar w:fldCharType="begin"/>
                  </w:r>
                  <w:r>
                    <w:instrText xml:space="preserve"> HYPERLINK "https://baike.baidu.com/item/%E7%A2%B3%E9%85%B0%E8%83%BA/4160952" \t "_blank" </w:instrText>
                  </w:r>
                  <w:r>
                    <w:fldChar w:fldCharType="separate"/>
                  </w:r>
                  <w:r>
                    <w:rPr>
                      <w:color w:val="000000" w:themeColor="text1"/>
                      <w:szCs w:val="21"/>
                    </w:rPr>
                    <w:t>碳酰胺</w:t>
                  </w:r>
                  <w:r>
                    <w:rPr>
                      <w:color w:val="000000" w:themeColor="text1"/>
                      <w:szCs w:val="21"/>
                    </w:rPr>
                    <w:fldChar w:fldCharType="end"/>
                  </w:r>
                  <w:r>
                    <w:rPr>
                      <w:color w:val="000000" w:themeColor="text1"/>
                      <w:szCs w:val="21"/>
                    </w:rPr>
                    <w:t>（carbamide），是由</w:t>
                  </w:r>
                  <w:r>
                    <w:fldChar w:fldCharType="begin"/>
                  </w:r>
                  <w:r>
                    <w:instrText xml:space="preserve"> HYPERLINK "https://baike.baidu.com/item/%E7%A2%B3/457137" \t "_blank" </w:instrText>
                  </w:r>
                  <w:r>
                    <w:fldChar w:fldCharType="separate"/>
                  </w:r>
                  <w:r>
                    <w:rPr>
                      <w:color w:val="000000" w:themeColor="text1"/>
                      <w:szCs w:val="21"/>
                    </w:rPr>
                    <w:t>碳</w:t>
                  </w:r>
                  <w:r>
                    <w:rPr>
                      <w:color w:val="000000" w:themeColor="text1"/>
                      <w:szCs w:val="21"/>
                    </w:rPr>
                    <w:fldChar w:fldCharType="end"/>
                  </w:r>
                  <w:r>
                    <w:rPr>
                      <w:color w:val="000000" w:themeColor="text1"/>
                      <w:szCs w:val="21"/>
                    </w:rPr>
                    <w:t>、氮、氧、氢组成的</w:t>
                  </w:r>
                  <w:r>
                    <w:fldChar w:fldCharType="begin"/>
                  </w:r>
                  <w:r>
                    <w:instrText xml:space="preserve"> HYPERLINK "https://baike.baidu.com/item/%E6%9C%89%E6%9C%BA%E5%8C%96%E5%90%88%E7%89%A9/2950156" \t "_blank" </w:instrText>
                  </w:r>
                  <w:r>
                    <w:fldChar w:fldCharType="separate"/>
                  </w:r>
                  <w:r>
                    <w:rPr>
                      <w:color w:val="000000" w:themeColor="text1"/>
                      <w:szCs w:val="21"/>
                    </w:rPr>
                    <w:t>有机化合物</w:t>
                  </w:r>
                  <w:r>
                    <w:rPr>
                      <w:color w:val="000000" w:themeColor="text1"/>
                      <w:szCs w:val="21"/>
                    </w:rPr>
                    <w:fldChar w:fldCharType="end"/>
                  </w:r>
                  <w:r>
                    <w:rPr>
                      <w:color w:val="000000" w:themeColor="text1"/>
                      <w:szCs w:val="21"/>
                    </w:rPr>
                    <w:t>是一种白色</w:t>
                  </w:r>
                  <w:r>
                    <w:fldChar w:fldCharType="begin"/>
                  </w:r>
                  <w:r>
                    <w:instrText xml:space="preserve"> HYPERLINK "https://baike.baidu.com/item/%E6%99%B6%E4%BD%93/944670" \t "_blank" </w:instrText>
                  </w:r>
                  <w:r>
                    <w:fldChar w:fldCharType="separate"/>
                  </w:r>
                  <w:r>
                    <w:rPr>
                      <w:color w:val="000000" w:themeColor="text1"/>
                      <w:szCs w:val="21"/>
                    </w:rPr>
                    <w:t>晶体</w:t>
                  </w:r>
                  <w:r>
                    <w:rPr>
                      <w:color w:val="000000" w:themeColor="text1"/>
                      <w:szCs w:val="21"/>
                    </w:rPr>
                    <w:fldChar w:fldCharType="end"/>
                  </w:r>
                  <w:r>
                    <w:rPr>
                      <w:color w:val="000000" w:themeColor="text1"/>
                      <w:szCs w:val="21"/>
                    </w:rPr>
                    <w:t>。最简单的有机化合物之一，是哺乳动物和某些鱼类体内蛋白质代谢分解的主要含氮终产物。也是目前含氮量最高的</w:t>
                  </w:r>
                  <w:r>
                    <w:fldChar w:fldCharType="begin"/>
                  </w:r>
                  <w:r>
                    <w:instrText xml:space="preserve"> HYPERLINK "https://baike.baidu.com/item/%E6%B0%AE%E8%82%A5/9609077" \t "_blank" </w:instrText>
                  </w:r>
                  <w:r>
                    <w:fldChar w:fldCharType="separate"/>
                  </w:r>
                  <w:r>
                    <w:rPr>
                      <w:color w:val="000000" w:themeColor="text1"/>
                      <w:szCs w:val="21"/>
                    </w:rPr>
                    <w:t>氮肥</w:t>
                  </w:r>
                  <w:r>
                    <w:rPr>
                      <w:color w:val="000000" w:themeColor="text1"/>
                      <w:szCs w:val="21"/>
                    </w:rPr>
                    <w:fldChar w:fldCharType="end"/>
                  </w:r>
                  <w:r>
                    <w:rPr>
                      <w:color w:val="000000" w:themeColor="text1"/>
                      <w:szCs w:val="21"/>
                    </w:rPr>
                    <w:t>。作为一种中性肥料，尿素适用于各种土壤和植物。它易保存，使用方便，对</w:t>
                  </w:r>
                  <w:r>
                    <w:fldChar w:fldCharType="begin"/>
                  </w:r>
                  <w:r>
                    <w:instrText xml:space="preserve"> HYPERLINK "https://baike.baidu.com/item/%E5%9C%9F%E5%A3%A4/33675" \t "_blank" </w:instrText>
                  </w:r>
                  <w:r>
                    <w:fldChar w:fldCharType="separate"/>
                  </w:r>
                  <w:r>
                    <w:rPr>
                      <w:color w:val="000000" w:themeColor="text1"/>
                      <w:szCs w:val="21"/>
                    </w:rPr>
                    <w:t>土壤</w:t>
                  </w:r>
                  <w:r>
                    <w:rPr>
                      <w:color w:val="000000" w:themeColor="text1"/>
                      <w:szCs w:val="21"/>
                    </w:rPr>
                    <w:fldChar w:fldCharType="end"/>
                  </w:r>
                  <w:r>
                    <w:rPr>
                      <w:color w:val="000000" w:themeColor="text1"/>
                      <w:szCs w:val="21"/>
                    </w:rPr>
                    <w:t>的破坏作用小，是目前使用量较大的一种化学</w:t>
                  </w:r>
                  <w:r>
                    <w:fldChar w:fldCharType="begin"/>
                  </w:r>
                  <w:r>
                    <w:instrText xml:space="preserve"> HYPERLINK "https://baike.baidu.com/item/%E6%B0%AE%E8%82%A5/9609077" \t "_blank" </w:instrText>
                  </w:r>
                  <w:r>
                    <w:fldChar w:fldCharType="separate"/>
                  </w:r>
                  <w:r>
                    <w:rPr>
                      <w:color w:val="000000" w:themeColor="text1"/>
                      <w:szCs w:val="21"/>
                    </w:rPr>
                    <w:t>氮肥</w:t>
                  </w:r>
                  <w:r>
                    <w:rPr>
                      <w:color w:val="000000" w:themeColor="text1"/>
                      <w:szCs w:val="21"/>
                    </w:rPr>
                    <w:fldChar w:fldCharType="end"/>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Align w:val="center"/>
                </w:tcPr>
                <w:p>
                  <w:pPr>
                    <w:pStyle w:val="68"/>
                    <w:spacing w:line="276" w:lineRule="auto"/>
                    <w:ind w:firstLine="0" w:firstLineChars="0"/>
                    <w:jc w:val="center"/>
                    <w:rPr>
                      <w:color w:val="000000" w:themeColor="text1"/>
                      <w:szCs w:val="21"/>
                    </w:rPr>
                  </w:pPr>
                  <w:r>
                    <w:rPr>
                      <w:color w:val="000000" w:themeColor="text1"/>
                      <w:szCs w:val="21"/>
                    </w:rPr>
                    <w:t>硫酸钾</w:t>
                  </w:r>
                </w:p>
              </w:tc>
              <w:tc>
                <w:tcPr>
                  <w:tcW w:w="7558" w:type="dxa"/>
                  <w:gridSpan w:val="5"/>
                  <w:vAlign w:val="center"/>
                </w:tcPr>
                <w:p>
                  <w:pPr>
                    <w:pStyle w:val="68"/>
                    <w:spacing w:line="276" w:lineRule="auto"/>
                    <w:ind w:firstLine="210" w:firstLineChars="100"/>
                    <w:rPr>
                      <w:color w:val="000000" w:themeColor="text1"/>
                      <w:szCs w:val="21"/>
                    </w:rPr>
                  </w:pPr>
                  <w:r>
                    <w:rPr>
                      <w:color w:val="000000" w:themeColor="text1"/>
                      <w:szCs w:val="21"/>
                    </w:rPr>
                    <w:t xml:space="preserve">硫酸钾是由硫酸根离子和钾离子组成的无机盐。通常状况下为无色或白色六方形或斜方晶系结晶或颗粒状粉末。具有苦咸味，质硬。化学性质不活泼，在空气中稳定。密度2.66g/cm³。熔点1069 </w:t>
                  </w:r>
                  <w:r>
                    <w:rPr>
                      <w:rFonts w:hint="eastAsia"/>
                      <w:color w:val="000000" w:themeColor="text1"/>
                      <w:szCs w:val="21"/>
                    </w:rPr>
                    <w:t>℃</w:t>
                  </w:r>
                  <w:r>
                    <w:rPr>
                      <w:color w:val="000000" w:themeColor="text1"/>
                      <w:szCs w:val="21"/>
                    </w:rPr>
                    <w:t>。水溶液呈中性，常温下pH约为7。1 g硫酸钾溶于9.1mL水（20</w:t>
                  </w:r>
                  <w:r>
                    <w:rPr>
                      <w:rFonts w:hint="eastAsia"/>
                      <w:color w:val="000000" w:themeColor="text1"/>
                      <w:szCs w:val="21"/>
                    </w:rPr>
                    <w:t>℃</w:t>
                  </w:r>
                  <w:r>
                    <w:rPr>
                      <w:color w:val="000000" w:themeColor="text1"/>
                      <w:szCs w:val="21"/>
                    </w:rPr>
                    <w:t>）、4 mL沸水、75 mL甘油，不溶于乙醇、丙酮和二硫化碳</w:t>
                  </w: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restart"/>
                  <w:vAlign w:val="center"/>
                </w:tcPr>
                <w:p>
                  <w:pPr>
                    <w:pStyle w:val="68"/>
                    <w:spacing w:line="276" w:lineRule="auto"/>
                    <w:ind w:firstLine="0" w:firstLineChars="0"/>
                    <w:jc w:val="center"/>
                    <w:rPr>
                      <w:color w:val="000000" w:themeColor="text1"/>
                      <w:szCs w:val="21"/>
                    </w:rPr>
                  </w:pPr>
                  <w:r>
                    <w:rPr>
                      <w:rFonts w:hint="eastAsia"/>
                      <w:color w:val="000000" w:themeColor="text1"/>
                      <w:szCs w:val="21"/>
                    </w:rPr>
                    <w:t>硫酸铵</w:t>
                  </w: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中文别名：</w:t>
                  </w:r>
                </w:p>
              </w:tc>
              <w:tc>
                <w:tcPr>
                  <w:tcW w:w="2758" w:type="dxa"/>
                  <w:vAlign w:val="center"/>
                </w:tcPr>
                <w:p>
                  <w:pPr>
                    <w:pStyle w:val="68"/>
                    <w:spacing w:line="276" w:lineRule="auto"/>
                    <w:ind w:firstLine="0" w:firstLineChars="0"/>
                    <w:jc w:val="center"/>
                    <w:rPr>
                      <w:color w:val="000000" w:themeColor="text1"/>
                      <w:szCs w:val="21"/>
                    </w:rPr>
                  </w:pPr>
                  <w:r>
                    <w:rPr>
                      <w:rFonts w:hint="eastAsia"/>
                      <w:color w:val="000000" w:themeColor="text1"/>
                      <w:szCs w:val="21"/>
                    </w:rPr>
                    <w:t>硫酸铵</w:t>
                  </w:r>
                </w:p>
              </w:tc>
              <w:tc>
                <w:tcPr>
                  <w:tcW w:w="1708" w:type="dxa"/>
                  <w:vAlign w:val="center"/>
                </w:tcPr>
                <w:p>
                  <w:pPr>
                    <w:pStyle w:val="68"/>
                    <w:spacing w:line="276" w:lineRule="auto"/>
                    <w:ind w:firstLine="0" w:firstLineChars="0"/>
                    <w:jc w:val="center"/>
                    <w:rPr>
                      <w:color w:val="000000" w:themeColor="text1"/>
                      <w:szCs w:val="21"/>
                    </w:rPr>
                  </w:pPr>
                  <w:r>
                    <w:rPr>
                      <w:color w:val="000000" w:themeColor="text1"/>
                      <w:szCs w:val="21"/>
                    </w:rPr>
                    <w:t>英文名称：</w:t>
                  </w:r>
                </w:p>
              </w:tc>
              <w:tc>
                <w:tcPr>
                  <w:tcW w:w="1751" w:type="dxa"/>
                  <w:vAlign w:val="center"/>
                </w:tcPr>
                <w:p>
                  <w:pPr>
                    <w:pStyle w:val="68"/>
                    <w:spacing w:line="276" w:lineRule="auto"/>
                    <w:ind w:firstLine="0" w:firstLineChars="0"/>
                    <w:jc w:val="center"/>
                    <w:rPr>
                      <w:color w:val="000000" w:themeColor="text1"/>
                      <w:szCs w:val="21"/>
                    </w:rPr>
                  </w:pPr>
                  <w:r>
                    <w:rPr>
                      <w:color w:val="000000" w:themeColor="text1"/>
                      <w:szCs w:val="21"/>
                    </w:rPr>
                    <w:t>ammonium sulfate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CAS号：</w:t>
                  </w:r>
                </w:p>
              </w:tc>
              <w:tc>
                <w:tcPr>
                  <w:tcW w:w="2758" w:type="dxa"/>
                  <w:vAlign w:val="center"/>
                </w:tcPr>
                <w:p>
                  <w:pPr>
                    <w:pStyle w:val="68"/>
                    <w:spacing w:line="276" w:lineRule="auto"/>
                    <w:ind w:firstLine="0" w:firstLineChars="0"/>
                    <w:jc w:val="center"/>
                    <w:rPr>
                      <w:color w:val="000000" w:themeColor="text1"/>
                      <w:szCs w:val="21"/>
                    </w:rPr>
                  </w:pPr>
                  <w:r>
                    <w:rPr>
                      <w:rFonts w:hint="eastAsia"/>
                      <w:color w:val="000000" w:themeColor="text1"/>
                      <w:szCs w:val="21"/>
                    </w:rPr>
                    <w:t>7783-20-2</w:t>
                  </w:r>
                </w:p>
              </w:tc>
              <w:tc>
                <w:tcPr>
                  <w:tcW w:w="1708" w:type="dxa"/>
                  <w:vAlign w:val="center"/>
                </w:tcPr>
                <w:p>
                  <w:pPr>
                    <w:pStyle w:val="68"/>
                    <w:spacing w:line="276" w:lineRule="auto"/>
                    <w:ind w:firstLine="0" w:firstLineChars="0"/>
                    <w:jc w:val="center"/>
                    <w:rPr>
                      <w:color w:val="000000" w:themeColor="text1"/>
                      <w:szCs w:val="21"/>
                    </w:rPr>
                  </w:pPr>
                  <w:r>
                    <w:rPr>
                      <w:color w:val="000000" w:themeColor="text1"/>
                      <w:szCs w:val="21"/>
                    </w:rPr>
                    <w:t>UN号：</w:t>
                  </w:r>
                </w:p>
              </w:tc>
              <w:tc>
                <w:tcPr>
                  <w:tcW w:w="1751" w:type="dxa"/>
                  <w:vAlign w:val="center"/>
                </w:tcPr>
                <w:p>
                  <w:pPr>
                    <w:pStyle w:val="68"/>
                    <w:spacing w:line="276" w:lineRule="auto"/>
                    <w:ind w:firstLine="0" w:firstLineChars="0"/>
                    <w:jc w:val="center"/>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危险性类别：</w:t>
                  </w:r>
                </w:p>
              </w:tc>
              <w:tc>
                <w:tcPr>
                  <w:tcW w:w="6217"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危险性类别： 急性毒性-经口-类别4,皮肤腐蚀/刺激-类别2,严重眼损伤/眼刺激-类别2,特异性靶器官毒性-一次接触-类别3（呼吸道刺激）,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GHS警示词：</w:t>
                  </w:r>
                </w:p>
              </w:tc>
              <w:tc>
                <w:tcPr>
                  <w:tcW w:w="6217"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警告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危险性说明：</w:t>
                  </w:r>
                </w:p>
              </w:tc>
              <w:tc>
                <w:tcPr>
                  <w:tcW w:w="6217"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H335:可能引起呼吸道刺激 H302:吞咽有害 H319:造成严重眼刺激 H315:造成皮肤刺激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理化特性：</w:t>
                  </w:r>
                </w:p>
              </w:tc>
              <w:tc>
                <w:tcPr>
                  <w:tcW w:w="6217" w:type="dxa"/>
                  <w:gridSpan w:val="3"/>
                  <w:vAlign w:val="center"/>
                </w:tcPr>
                <w:p>
                  <w:pPr>
                    <w:pStyle w:val="68"/>
                    <w:spacing w:line="276" w:lineRule="auto"/>
                    <w:ind w:firstLine="210" w:firstLineChars="100"/>
                    <w:jc w:val="left"/>
                    <w:rPr>
                      <w:color w:val="000000" w:themeColor="text1"/>
                      <w:szCs w:val="21"/>
                    </w:rPr>
                  </w:pPr>
                  <w:r>
                    <w:rPr>
                      <w:color w:val="000000" w:themeColor="text1"/>
                      <w:szCs w:val="21"/>
                    </w:rPr>
                    <w:t>外观与性状： 纯品为无色斜方晶体，工业品为白色至淡黄色</w:t>
                  </w:r>
                  <w:r>
                    <w:fldChar w:fldCharType="begin"/>
                  </w:r>
                  <w:r>
                    <w:instrText xml:space="preserve"> HYPERLINK "https://baike.sogou.com/lemma/ShowInnerLink.htm?lemmaId=1866885&amp;ss_c=ssc.citiao.link" \t "_blank" </w:instrText>
                  </w:r>
                  <w:r>
                    <w:fldChar w:fldCharType="separate"/>
                  </w:r>
                  <w:r>
                    <w:rPr>
                      <w:color w:val="000000" w:themeColor="text1"/>
                      <w:szCs w:val="21"/>
                    </w:rPr>
                    <w:t>结晶体</w:t>
                  </w:r>
                  <w:r>
                    <w:rPr>
                      <w:color w:val="000000" w:themeColor="text1"/>
                      <w:szCs w:val="21"/>
                    </w:rPr>
                    <w:fldChar w:fldCharType="end"/>
                  </w:r>
                  <w:r>
                    <w:rPr>
                      <w:color w:val="000000" w:themeColor="text1"/>
                      <w:szCs w:val="21"/>
                    </w:rPr>
                    <w:t>。氮（N）含量：21.0%min</w:t>
                  </w:r>
                  <w:r>
                    <w:rPr>
                      <w:rFonts w:hint="eastAsia"/>
                      <w:color w:val="000000" w:themeColor="text1"/>
                      <w:szCs w:val="21"/>
                    </w:rPr>
                    <w:t>，</w:t>
                  </w:r>
                  <w:r>
                    <w:rPr>
                      <w:color w:val="000000" w:themeColor="text1"/>
                      <w:szCs w:val="21"/>
                    </w:rPr>
                    <w:t>水分：0.2max</w:t>
                  </w:r>
                  <w:r>
                    <w:rPr>
                      <w:rFonts w:hint="eastAsia"/>
                      <w:color w:val="000000" w:themeColor="text1"/>
                      <w:szCs w:val="21"/>
                    </w:rPr>
                    <w:t>，</w:t>
                  </w:r>
                  <w:r>
                    <w:rPr>
                      <w:color w:val="000000" w:themeColor="text1"/>
                      <w:szCs w:val="21"/>
                    </w:rPr>
                    <w:t>游离酸：0.05max</w:t>
                  </w:r>
                  <w:r>
                    <w:rPr>
                      <w:rFonts w:hint="eastAsia"/>
                      <w:color w:val="000000" w:themeColor="text1"/>
                      <w:szCs w:val="21"/>
                    </w:rPr>
                    <w:t>，</w:t>
                  </w:r>
                  <w:r>
                    <w:rPr>
                      <w:color w:val="000000" w:themeColor="text1"/>
                      <w:szCs w:val="21"/>
                    </w:rPr>
                    <w:t>熔点(</w:t>
                  </w:r>
                  <w:r>
                    <w:rPr>
                      <w:rFonts w:hint="eastAsia"/>
                      <w:color w:val="000000" w:themeColor="text1"/>
                      <w:szCs w:val="21"/>
                    </w:rPr>
                    <w:t>℃</w:t>
                  </w:r>
                  <w:r>
                    <w:rPr>
                      <w:color w:val="000000" w:themeColor="text1"/>
                      <w:szCs w:val="21"/>
                    </w:rPr>
                    <w:t>)： 230-280</w:t>
                  </w:r>
                  <w:r>
                    <w:rPr>
                      <w:rFonts w:hint="eastAsia"/>
                      <w:color w:val="000000" w:themeColor="text1"/>
                      <w:szCs w:val="21"/>
                    </w:rPr>
                    <w:t>℃，</w:t>
                  </w:r>
                  <w:r>
                    <w:rPr>
                      <w:color w:val="000000" w:themeColor="text1"/>
                      <w:szCs w:val="21"/>
                    </w:rPr>
                    <w:t>相对密度(水=1)： 1.77</w:t>
                  </w:r>
                  <w:r>
                    <w:rPr>
                      <w:rFonts w:hint="eastAsia"/>
                      <w:color w:val="000000" w:themeColor="text1"/>
                      <w:szCs w:val="21"/>
                    </w:rPr>
                    <w:t>，</w:t>
                  </w:r>
                  <w:r>
                    <w:rPr>
                      <w:color w:val="000000" w:themeColor="text1"/>
                      <w:szCs w:val="21"/>
                    </w:rPr>
                    <w:t>相对蒸气密度(空气=1)： 7.9</w:t>
                  </w:r>
                  <w:r>
                    <w:rPr>
                      <w:rFonts w:hint="eastAsia"/>
                      <w:color w:val="000000" w:themeColor="text1"/>
                      <w:szCs w:val="21"/>
                    </w:rPr>
                    <w:t>，</w:t>
                  </w:r>
                  <w:r>
                    <w:rPr>
                      <w:color w:val="000000" w:themeColor="text1"/>
                      <w:szCs w:val="21"/>
                    </w:rPr>
                    <w:t>溶解度：0</w:t>
                  </w:r>
                  <w:r>
                    <w:rPr>
                      <w:rFonts w:hint="eastAsia"/>
                      <w:color w:val="000000" w:themeColor="text1"/>
                      <w:szCs w:val="21"/>
                    </w:rPr>
                    <w:t>℃</w:t>
                  </w:r>
                  <w:r>
                    <w:rPr>
                      <w:color w:val="000000" w:themeColor="text1"/>
                      <w:szCs w:val="21"/>
                    </w:rPr>
                    <w:t>溶解70.6g。20</w:t>
                  </w:r>
                  <w:r>
                    <w:rPr>
                      <w:rFonts w:hint="eastAsia"/>
                      <w:color w:val="000000" w:themeColor="text1"/>
                      <w:szCs w:val="21"/>
                    </w:rPr>
                    <w:t>℃</w:t>
                  </w:r>
                  <w:r>
                    <w:rPr>
                      <w:color w:val="000000" w:themeColor="text1"/>
                      <w:szCs w:val="21"/>
                    </w:rPr>
                    <w:t>溶解75.4g。30</w:t>
                  </w:r>
                  <w:r>
                    <w:rPr>
                      <w:rFonts w:hint="eastAsia"/>
                      <w:color w:val="000000" w:themeColor="text1"/>
                      <w:szCs w:val="21"/>
                    </w:rPr>
                    <w:t>℃</w:t>
                  </w:r>
                  <w:r>
                    <w:rPr>
                      <w:color w:val="000000" w:themeColor="text1"/>
                      <w:szCs w:val="21"/>
                    </w:rPr>
                    <w:t>溶解78g。40</w:t>
                  </w:r>
                  <w:r>
                    <w:rPr>
                      <w:rFonts w:hint="eastAsia"/>
                      <w:color w:val="000000" w:themeColor="text1"/>
                      <w:szCs w:val="21"/>
                    </w:rPr>
                    <w:t>℃</w:t>
                  </w:r>
                  <w:r>
                    <w:rPr>
                      <w:color w:val="000000" w:themeColor="text1"/>
                      <w:szCs w:val="21"/>
                    </w:rPr>
                    <w:t>溶解81g。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燃烧与爆炸危险性：</w:t>
                  </w:r>
                </w:p>
              </w:tc>
              <w:tc>
                <w:tcPr>
                  <w:tcW w:w="6217"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活性反应：</w:t>
                  </w:r>
                </w:p>
              </w:tc>
              <w:tc>
                <w:tcPr>
                  <w:tcW w:w="6217"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不聚合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禁忌物：</w:t>
                  </w:r>
                </w:p>
              </w:tc>
              <w:tc>
                <w:tcPr>
                  <w:tcW w:w="6217"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强酸、强碱。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毒性：</w:t>
                  </w:r>
                </w:p>
              </w:tc>
              <w:tc>
                <w:tcPr>
                  <w:tcW w:w="6217"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对眼睛、粘膜和皮肤有刺激作用。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341" w:type="dxa"/>
                  <w:gridSpan w:val="2"/>
                  <w:vAlign w:val="center"/>
                </w:tcPr>
                <w:p>
                  <w:pPr>
                    <w:pStyle w:val="68"/>
                    <w:spacing w:line="276" w:lineRule="auto"/>
                    <w:ind w:firstLine="0" w:firstLineChars="0"/>
                    <w:jc w:val="center"/>
                    <w:rPr>
                      <w:color w:val="000000" w:themeColor="text1"/>
                      <w:szCs w:val="21"/>
                    </w:rPr>
                  </w:pPr>
                  <w:r>
                    <w:rPr>
                      <w:rFonts w:hint="eastAsia"/>
                      <w:color w:val="000000" w:themeColor="text1"/>
                      <w:szCs w:val="21"/>
                    </w:rPr>
                    <w:t>环境危害：</w:t>
                  </w:r>
                </w:p>
              </w:tc>
              <w:tc>
                <w:tcPr>
                  <w:tcW w:w="6217"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对水生生物有毒作用。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Align w:val="center"/>
                </w:tcPr>
                <w:p>
                  <w:pPr>
                    <w:pStyle w:val="68"/>
                    <w:spacing w:line="276" w:lineRule="auto"/>
                    <w:ind w:firstLine="0" w:firstLineChars="0"/>
                    <w:jc w:val="center"/>
                    <w:rPr>
                      <w:color w:val="000000" w:themeColor="text1"/>
                      <w:szCs w:val="21"/>
                    </w:rPr>
                  </w:pPr>
                  <w:r>
                    <w:rPr>
                      <w:color w:val="000000" w:themeColor="text1"/>
                      <w:szCs w:val="21"/>
                    </w:rPr>
                    <w:t>氯化铵</w:t>
                  </w:r>
                </w:p>
              </w:tc>
              <w:tc>
                <w:tcPr>
                  <w:tcW w:w="7558" w:type="dxa"/>
                  <w:gridSpan w:val="5"/>
                  <w:vAlign w:val="center"/>
                </w:tcPr>
                <w:p>
                  <w:pPr>
                    <w:pStyle w:val="68"/>
                    <w:spacing w:line="276" w:lineRule="auto"/>
                    <w:ind w:firstLine="210" w:firstLineChars="100"/>
                    <w:jc w:val="left"/>
                    <w:rPr>
                      <w:rFonts w:hint="eastAsia"/>
                      <w:color w:val="000000" w:themeColor="text1"/>
                      <w:szCs w:val="21"/>
                    </w:rPr>
                  </w:pPr>
                  <w:r>
                    <w:rPr>
                      <w:color w:val="000000" w:themeColor="text1"/>
                      <w:szCs w:val="21"/>
                    </w:rPr>
                    <w:t>氯化铵（氯铵）是指盐酸的铵盐，多为制碱工业的副产品。含氮24%</w:t>
                  </w:r>
                  <w:r>
                    <w:rPr>
                      <w:rFonts w:hint="eastAsia"/>
                      <w:color w:val="000000" w:themeColor="text1"/>
                      <w:szCs w:val="21"/>
                    </w:rPr>
                    <w:t>〜</w:t>
                  </w:r>
                  <w:r>
                    <w:rPr>
                      <w:color w:val="000000" w:themeColor="text1"/>
                      <w:szCs w:val="21"/>
                    </w:rPr>
                    <w:t>26%，呈白色或略带黄色的方形或</w:t>
                  </w:r>
                  <w:r>
                    <w:fldChar w:fldCharType="begin"/>
                  </w:r>
                  <w:r>
                    <w:instrText xml:space="preserve"> HYPERLINK "https://baike.sogou.com/lemma/ShowInnerLink.htm?lemmaId=116290&amp;ss_c=ssc.citiao.link" \t "_blank" </w:instrText>
                  </w:r>
                  <w:r>
                    <w:fldChar w:fldCharType="separate"/>
                  </w:r>
                  <w:r>
                    <w:rPr>
                      <w:color w:val="000000" w:themeColor="text1"/>
                      <w:szCs w:val="21"/>
                    </w:rPr>
                    <w:t>八面体</w:t>
                  </w:r>
                  <w:r>
                    <w:rPr>
                      <w:color w:val="000000" w:themeColor="text1"/>
                      <w:szCs w:val="21"/>
                    </w:rPr>
                    <w:fldChar w:fldCharType="end"/>
                  </w:r>
                  <w:r>
                    <w:rPr>
                      <w:color w:val="000000" w:themeColor="text1"/>
                      <w:szCs w:val="21"/>
                    </w:rPr>
                    <w:t>小结晶，有粉状和粒状两种剂型，粒状氯化铵不易吸湿，易储存，而粉状氯化铵较多用作生产复肥的基础肥料。属生理酸性肥料，因含氯较多而不宜在酸性土和</w:t>
                  </w:r>
                  <w:r>
                    <w:fldChar w:fldCharType="begin"/>
                  </w:r>
                  <w:r>
                    <w:instrText xml:space="preserve"> HYPERLINK "https://baike.sogou.com/lemma/ShowInnerLink.htm?lemmaId=91750&amp;ss_c=ssc.citiao.link" \t "_blank" </w:instrText>
                  </w:r>
                  <w:r>
                    <w:fldChar w:fldCharType="separate"/>
                  </w:r>
                  <w:r>
                    <w:rPr>
                      <w:color w:val="000000" w:themeColor="text1"/>
                      <w:szCs w:val="21"/>
                    </w:rPr>
                    <w:t>盐碱土</w:t>
                  </w:r>
                  <w:r>
                    <w:rPr>
                      <w:color w:val="000000" w:themeColor="text1"/>
                      <w:szCs w:val="21"/>
                    </w:rPr>
                    <w:fldChar w:fldCharType="end"/>
                  </w:r>
                  <w:r>
                    <w:rPr>
                      <w:color w:val="000000" w:themeColor="text1"/>
                      <w:szCs w:val="21"/>
                    </w:rPr>
                    <w:t>上施用，不宜用作种肥、秧田肥或</w:t>
                  </w:r>
                  <w:r>
                    <w:fldChar w:fldCharType="begin"/>
                  </w:r>
                  <w:r>
                    <w:instrText xml:space="preserve"> HYPERLINK "https://baike.sogou.com/lemma/ShowInnerLink.htm?lemmaId=264039&amp;ss_c=ssc.citiao.link" \t "_blank" </w:instrText>
                  </w:r>
                  <w:r>
                    <w:fldChar w:fldCharType="separate"/>
                  </w:r>
                  <w:r>
                    <w:rPr>
                      <w:color w:val="000000" w:themeColor="text1"/>
                      <w:szCs w:val="21"/>
                    </w:rPr>
                    <w:t>叶面肥</w:t>
                  </w:r>
                  <w:r>
                    <w:rPr>
                      <w:color w:val="000000" w:themeColor="text1"/>
                      <w:szCs w:val="21"/>
                    </w:rPr>
                    <w:fldChar w:fldCharType="end"/>
                  </w:r>
                  <w:r>
                    <w:rPr>
                      <w:color w:val="000000" w:themeColor="text1"/>
                      <w:szCs w:val="21"/>
                    </w:rPr>
                    <w:t>，也不宜在</w:t>
                  </w:r>
                  <w:r>
                    <w:fldChar w:fldCharType="begin"/>
                  </w:r>
                  <w:r>
                    <w:instrText xml:space="preserve"> HYPERLINK "https://baike.sogou.com/lemma/ShowInnerLink.htm?lemmaId=7624119&amp;ss_c=ssc.citiao.link" \t "_blank" </w:instrText>
                  </w:r>
                  <w:r>
                    <w:fldChar w:fldCharType="separate"/>
                  </w:r>
                  <w:r>
                    <w:rPr>
                      <w:color w:val="000000" w:themeColor="text1"/>
                      <w:szCs w:val="21"/>
                    </w:rPr>
                    <w:t>忌氯作物</w:t>
                  </w:r>
                  <w:r>
                    <w:rPr>
                      <w:color w:val="000000" w:themeColor="text1"/>
                      <w:szCs w:val="21"/>
                    </w:rPr>
                    <w:fldChar w:fldCharType="end"/>
                  </w:r>
                  <w:r>
                    <w:rPr>
                      <w:color w:val="000000" w:themeColor="text1"/>
                      <w:szCs w:val="21"/>
                    </w:rPr>
                    <w:t>（如烟草、马铃薯、柑橘、茶树等）上施用。氯化铵用于稻田肥效较高而且稳定，因为C1既可抑制稻田</w:t>
                  </w:r>
                  <w:r>
                    <w:fldChar w:fldCharType="begin"/>
                  </w:r>
                  <w:r>
                    <w:instrText xml:space="preserve"> HYPERLINK "https://baike.sogou.com/lemma/ShowInnerLink.htm?lemmaId=636237&amp;ss_c=ssc.citiao.link" \t "_blank" </w:instrText>
                  </w:r>
                  <w:r>
                    <w:fldChar w:fldCharType="separate"/>
                  </w:r>
                  <w:r>
                    <w:rPr>
                      <w:color w:val="000000" w:themeColor="text1"/>
                      <w:szCs w:val="21"/>
                    </w:rPr>
                    <w:t>硝化作用</w:t>
                  </w:r>
                  <w:r>
                    <w:rPr>
                      <w:color w:val="000000" w:themeColor="text1"/>
                      <w:szCs w:val="21"/>
                    </w:rPr>
                    <w:fldChar w:fldCharType="end"/>
                  </w:r>
                  <w:r>
                    <w:rPr>
                      <w:color w:val="000000" w:themeColor="text1"/>
                      <w:szCs w:val="21"/>
                    </w:rPr>
                    <w:t>，又有利于水稻茎秆纤维形成，增加韧性，减少</w:t>
                  </w:r>
                  <w:r>
                    <w:fldChar w:fldCharType="begin"/>
                  </w:r>
                  <w:r>
                    <w:instrText xml:space="preserve"> HYPERLINK "https://baike.sogou.com/lemma/ShowInnerLink.htm?lemmaId=6649789&amp;ss_c=ssc.citiao.link" \t "_blank" </w:instrText>
                  </w:r>
                  <w:r>
                    <w:fldChar w:fldCharType="separate"/>
                  </w:r>
                  <w:r>
                    <w:rPr>
                      <w:color w:val="000000" w:themeColor="text1"/>
                      <w:szCs w:val="21"/>
                    </w:rPr>
                    <w:t>水稻倒伏</w:t>
                  </w:r>
                  <w:r>
                    <w:rPr>
                      <w:color w:val="000000" w:themeColor="text1"/>
                      <w:szCs w:val="21"/>
                    </w:rPr>
                    <w:fldChar w:fldCharType="end"/>
                  </w:r>
                  <w:r>
                    <w:rPr>
                      <w:color w:val="000000" w:themeColor="text1"/>
                      <w:szCs w:val="21"/>
                    </w:rPr>
                    <w:t>和病虫侵袭。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Align w:val="center"/>
                </w:tcPr>
                <w:p>
                  <w:pPr>
                    <w:pStyle w:val="68"/>
                    <w:spacing w:line="276" w:lineRule="auto"/>
                    <w:ind w:firstLine="0" w:firstLineChars="0"/>
                    <w:jc w:val="center"/>
                    <w:rPr>
                      <w:color w:val="000000" w:themeColor="text1"/>
                      <w:szCs w:val="21"/>
                    </w:rPr>
                  </w:pPr>
                  <w:r>
                    <w:rPr>
                      <w:color w:val="000000" w:themeColor="text1"/>
                      <w:szCs w:val="21"/>
                    </w:rPr>
                    <w:t>黄粉</w:t>
                  </w:r>
                </w:p>
              </w:tc>
              <w:tc>
                <w:tcPr>
                  <w:tcW w:w="7558" w:type="dxa"/>
                  <w:gridSpan w:val="5"/>
                  <w:vAlign w:val="center"/>
                </w:tcPr>
                <w:p>
                  <w:pPr>
                    <w:pStyle w:val="68"/>
                    <w:spacing w:line="276" w:lineRule="auto"/>
                    <w:ind w:firstLine="210" w:firstLineChars="100"/>
                    <w:jc w:val="left"/>
                    <w:rPr>
                      <w:color w:val="000000" w:themeColor="text1"/>
                      <w:szCs w:val="21"/>
                    </w:rPr>
                  </w:pPr>
                  <w:r>
                    <w:rPr>
                      <w:color w:val="000000" w:themeColor="text1"/>
                      <w:szCs w:val="21"/>
                    </w:rPr>
                    <w:t>亮黄色结晶性粉末；无臭，味初淡，余味发苦。日光下色渐变深黄色。极微溶于水，微溶于乙醇，溶于碱性溶液后色泽渐变为暗棕色，饱和水溶液的酸碱度为5、5至7、5。能干扰细菌的糖代谢过程和氧化酶系统而发挥抑菌或杀菌作用。</w:t>
                  </w:r>
                </w:p>
                <w:p>
                  <w:pPr>
                    <w:pStyle w:val="68"/>
                    <w:spacing w:line="276" w:lineRule="auto"/>
                    <w:ind w:firstLine="210" w:firstLineChars="100"/>
                    <w:jc w:val="left"/>
                    <w:rPr>
                      <w:color w:val="000000" w:themeColor="text1"/>
                      <w:szCs w:val="21"/>
                    </w:rPr>
                  </w:pPr>
                  <w:r>
                    <w:rPr>
                      <w:color w:val="000000" w:themeColor="text1"/>
                      <w:szCs w:val="21"/>
                    </w:rPr>
                    <w:t>黄粉的药理作用：本品能干扰细菌的糖代谢过程和氧化酶系统而发挥抑菌或杀菌作用，主要干扰细菌糖代谢的早期阶段，导致细菌代谢紊乱而死亡，其抗菌谱较广，对多种革兰阳性和阴性菌有抗菌作用，对绿脓杆菌抗菌力弱，对假单孢菌属及变形杆菌属有耐药性。在体外能抑制一般的细菌，高浓度时可杀菌，外用冲洗处理体表感染和皮肤疾病，效果令人满意，用药后使细菌数量大大减少。</w:t>
                  </w:r>
                </w:p>
                <w:p>
                  <w:pPr>
                    <w:pStyle w:val="68"/>
                    <w:spacing w:line="276" w:lineRule="auto"/>
                    <w:ind w:firstLine="210" w:firstLineChars="100"/>
                    <w:jc w:val="left"/>
                    <w:rPr>
                      <w:color w:val="000000" w:themeColor="text1"/>
                      <w:szCs w:val="21"/>
                    </w:rPr>
                  </w:pPr>
                  <w:r>
                    <w:rPr>
                      <w:color w:val="000000" w:themeColor="text1"/>
                      <w:szCs w:val="21"/>
                    </w:rPr>
                    <w:t>黄粉主治的病：腐皮病、细菌性烂鳃病、赤皮病、细菌感染性竖鳞病、蛀鳍烂尾病、皮肤发炎充血症、水痘病、洞穴病、白头白嘴病。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Align w:val="center"/>
                </w:tcPr>
                <w:p>
                  <w:pPr>
                    <w:pStyle w:val="68"/>
                    <w:spacing w:line="276" w:lineRule="auto"/>
                    <w:ind w:firstLine="0" w:firstLineChars="0"/>
                    <w:jc w:val="center"/>
                    <w:rPr>
                      <w:color w:val="000000" w:themeColor="text1"/>
                      <w:szCs w:val="21"/>
                    </w:rPr>
                  </w:pPr>
                  <w:r>
                    <w:rPr>
                      <w:color w:val="000000" w:themeColor="text1"/>
                      <w:szCs w:val="21"/>
                    </w:rPr>
                    <w:t>磷酸二氢钾</w:t>
                  </w:r>
                </w:p>
              </w:tc>
              <w:tc>
                <w:tcPr>
                  <w:tcW w:w="7558" w:type="dxa"/>
                  <w:gridSpan w:val="5"/>
                  <w:vAlign w:val="center"/>
                </w:tcPr>
                <w:p>
                  <w:pPr>
                    <w:pStyle w:val="68"/>
                    <w:spacing w:line="276" w:lineRule="auto"/>
                    <w:ind w:firstLine="210" w:firstLineChars="100"/>
                    <w:rPr>
                      <w:color w:val="000000" w:themeColor="text1"/>
                      <w:szCs w:val="21"/>
                    </w:rPr>
                  </w:pPr>
                  <w:r>
                    <w:rPr>
                      <w:color w:val="000000" w:themeColor="text1"/>
                      <w:szCs w:val="21"/>
                    </w:rPr>
                    <w:t>磷酸二氢钾是一种化学品，化学式为KH2PO4。有潮解性。加热至400</w:t>
                  </w:r>
                  <w:r>
                    <w:rPr>
                      <w:rFonts w:hint="eastAsia" w:ascii="宋体" w:hAnsi="宋体" w:cs="宋体"/>
                      <w:color w:val="000000" w:themeColor="text1"/>
                      <w:szCs w:val="21"/>
                    </w:rPr>
                    <w:t>℃</w:t>
                  </w:r>
                  <w:r>
                    <w:rPr>
                      <w:color w:val="000000" w:themeColor="text1"/>
                      <w:szCs w:val="21"/>
                    </w:rPr>
                    <w:t>时熔化而成透明的液体，冷却后固化为不透明的玻璃状偏磷酸钾。在空气中稳定，溶于水，不溶于乙醇。工业上用作</w:t>
                  </w:r>
                  <w:r>
                    <w:fldChar w:fldCharType="begin"/>
                  </w:r>
                  <w:r>
                    <w:instrText xml:space="preserve"> HYPERLINK "https://baike.baidu.com/item/%E7%BC%93%E5%86%B2%E5%89%82/8605256" \t "_blank" </w:instrText>
                  </w:r>
                  <w:r>
                    <w:fldChar w:fldCharType="separate"/>
                  </w:r>
                  <w:r>
                    <w:rPr>
                      <w:color w:val="000000" w:themeColor="text1"/>
                      <w:szCs w:val="21"/>
                    </w:rPr>
                    <w:t>缓冲剂</w:t>
                  </w:r>
                  <w:r>
                    <w:rPr>
                      <w:color w:val="000000" w:themeColor="text1"/>
                      <w:szCs w:val="21"/>
                    </w:rPr>
                    <w:fldChar w:fldCharType="end"/>
                  </w:r>
                  <w:r>
                    <w:rPr>
                      <w:color w:val="000000" w:themeColor="text1"/>
                      <w:szCs w:val="21"/>
                    </w:rPr>
                    <w:t>、培养剂；也用作细菌培养剂合成清酒的调味剂，制偏磷酸钾的原料，酿造酵母的培养剂、强化剂、膨松剂、发酵助剂。农业上用作高效磷钾复合肥。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restart"/>
                  <w:vAlign w:val="center"/>
                </w:tcPr>
                <w:p>
                  <w:pPr>
                    <w:pStyle w:val="68"/>
                    <w:spacing w:line="276" w:lineRule="auto"/>
                    <w:ind w:firstLine="0" w:firstLineChars="0"/>
                    <w:jc w:val="center"/>
                    <w:rPr>
                      <w:color w:val="000000" w:themeColor="text1"/>
                      <w:szCs w:val="21"/>
                    </w:rPr>
                  </w:pPr>
                  <w:r>
                    <w:rPr>
                      <w:color w:val="000000" w:themeColor="text1"/>
                      <w:szCs w:val="21"/>
                    </w:rPr>
                    <w:t>氯化钾</w:t>
                  </w:r>
                </w:p>
              </w:tc>
              <w:tc>
                <w:tcPr>
                  <w:tcW w:w="1083" w:type="dxa"/>
                  <w:vAlign w:val="center"/>
                </w:tcPr>
                <w:p>
                  <w:pPr>
                    <w:pStyle w:val="68"/>
                    <w:spacing w:line="276" w:lineRule="auto"/>
                    <w:ind w:firstLine="0" w:firstLineChars="0"/>
                    <w:jc w:val="center"/>
                    <w:rPr>
                      <w:color w:val="000000" w:themeColor="text1"/>
                      <w:szCs w:val="21"/>
                    </w:rPr>
                  </w:pPr>
                  <w:r>
                    <w:rPr>
                      <w:color w:val="000000" w:themeColor="text1"/>
                      <w:szCs w:val="21"/>
                    </w:rPr>
                    <w:t>物理性质</w:t>
                  </w:r>
                </w:p>
              </w:tc>
              <w:tc>
                <w:tcPr>
                  <w:tcW w:w="6475" w:type="dxa"/>
                  <w:gridSpan w:val="4"/>
                  <w:vAlign w:val="center"/>
                </w:tcPr>
                <w:p>
                  <w:pPr>
                    <w:pStyle w:val="68"/>
                    <w:spacing w:line="276" w:lineRule="auto"/>
                    <w:ind w:firstLine="210" w:firstLineChars="100"/>
                    <w:rPr>
                      <w:color w:val="000000" w:themeColor="text1"/>
                      <w:szCs w:val="21"/>
                    </w:rPr>
                  </w:pPr>
                  <w:r>
                    <w:rPr>
                      <w:color w:val="000000" w:themeColor="text1"/>
                      <w:szCs w:val="21"/>
                    </w:rPr>
                    <w:t>外观与性状：白色晶体，味极咸，无臭无毒性。易溶于水、醚、甘油及碱类，微溶于乙醇，但不溶于无水乙醇，有吸湿性，易结块；在水中的溶解度随温度的升高而迅速地增加，与钠盐常起复分解作用而生成新的钾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083" w:type="dxa"/>
                  <w:vAlign w:val="center"/>
                </w:tcPr>
                <w:p>
                  <w:pPr>
                    <w:pStyle w:val="68"/>
                    <w:spacing w:line="276" w:lineRule="auto"/>
                    <w:ind w:firstLine="0" w:firstLineChars="0"/>
                    <w:jc w:val="center"/>
                    <w:rPr>
                      <w:color w:val="000000" w:themeColor="text1"/>
                      <w:szCs w:val="21"/>
                    </w:rPr>
                  </w:pPr>
                  <w:r>
                    <w:rPr>
                      <w:color w:val="000000" w:themeColor="text1"/>
                      <w:szCs w:val="21"/>
                    </w:rPr>
                    <w:t>化学性质</w:t>
                  </w:r>
                </w:p>
              </w:tc>
              <w:tc>
                <w:tcPr>
                  <w:tcW w:w="6475" w:type="dxa"/>
                  <w:gridSpan w:val="4"/>
                  <w:vAlign w:val="center"/>
                </w:tcPr>
                <w:p>
                  <w:pPr>
                    <w:pStyle w:val="68"/>
                    <w:spacing w:line="276" w:lineRule="auto"/>
                    <w:ind w:firstLine="210" w:firstLineChars="100"/>
                    <w:rPr>
                      <w:color w:val="000000" w:themeColor="text1"/>
                      <w:szCs w:val="21"/>
                    </w:rPr>
                  </w:pPr>
                  <w:r>
                    <w:rPr>
                      <w:color w:val="000000" w:themeColor="text1"/>
                      <w:szCs w:val="21"/>
                    </w:rPr>
                    <w:t>性质基本同氯化钠，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Merge w:val="continue"/>
                  <w:vAlign w:val="center"/>
                </w:tcPr>
                <w:p>
                  <w:pPr>
                    <w:pStyle w:val="68"/>
                    <w:spacing w:line="276" w:lineRule="auto"/>
                    <w:ind w:firstLine="0" w:firstLineChars="0"/>
                    <w:jc w:val="center"/>
                    <w:rPr>
                      <w:color w:val="000000" w:themeColor="text1"/>
                      <w:szCs w:val="21"/>
                    </w:rPr>
                  </w:pPr>
                </w:p>
              </w:tc>
              <w:tc>
                <w:tcPr>
                  <w:tcW w:w="1083" w:type="dxa"/>
                  <w:vAlign w:val="center"/>
                </w:tcPr>
                <w:p>
                  <w:pPr>
                    <w:pStyle w:val="68"/>
                    <w:spacing w:line="276" w:lineRule="auto"/>
                    <w:ind w:firstLine="0" w:firstLineChars="0"/>
                    <w:jc w:val="center"/>
                    <w:rPr>
                      <w:color w:val="000000" w:themeColor="text1"/>
                      <w:szCs w:val="21"/>
                    </w:rPr>
                  </w:pPr>
                  <w:r>
                    <w:rPr>
                      <w:color w:val="000000" w:themeColor="text1"/>
                      <w:szCs w:val="21"/>
                    </w:rPr>
                    <w:t>毒理信息</w:t>
                  </w:r>
                </w:p>
              </w:tc>
              <w:tc>
                <w:tcPr>
                  <w:tcW w:w="6475" w:type="dxa"/>
                  <w:gridSpan w:val="4"/>
                  <w:vAlign w:val="center"/>
                </w:tcPr>
                <w:p>
                  <w:pPr>
                    <w:pStyle w:val="68"/>
                    <w:spacing w:line="276" w:lineRule="auto"/>
                    <w:ind w:firstLine="210" w:firstLineChars="100"/>
                    <w:rPr>
                      <w:color w:val="000000" w:themeColor="text1"/>
                      <w:szCs w:val="21"/>
                    </w:rPr>
                  </w:pPr>
                  <w:r>
                    <w:rPr>
                      <w:color w:val="000000" w:themeColor="text1"/>
                      <w:szCs w:val="21"/>
                    </w:rPr>
                    <w:t>口服过量氯化钾有毒；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Align w:val="center"/>
                </w:tcPr>
                <w:p>
                  <w:pPr>
                    <w:pStyle w:val="68"/>
                    <w:spacing w:line="276" w:lineRule="auto"/>
                    <w:ind w:firstLine="0" w:firstLineChars="0"/>
                    <w:jc w:val="center"/>
                    <w:rPr>
                      <w:color w:val="000000" w:themeColor="text1"/>
                      <w:szCs w:val="21"/>
                    </w:rPr>
                  </w:pPr>
                  <w:r>
                    <w:fldChar w:fldCharType="begin"/>
                  </w:r>
                  <w:r>
                    <w:instrText xml:space="preserve"> HYPERLINK "https://baike.baidu.com/item/%E7%A3%B7%E9%85%B8%E4%B8%80%E9%93%B5/4381044" \t "_blank" </w:instrText>
                  </w:r>
                  <w:r>
                    <w:fldChar w:fldCharType="separate"/>
                  </w:r>
                  <w:r>
                    <w:rPr>
                      <w:color w:val="000000" w:themeColor="text1"/>
                      <w:szCs w:val="21"/>
                    </w:rPr>
                    <w:t>磷酸一铵</w:t>
                  </w:r>
                  <w:r>
                    <w:rPr>
                      <w:color w:val="000000" w:themeColor="text1"/>
                      <w:szCs w:val="21"/>
                    </w:rPr>
                    <w:fldChar w:fldCharType="end"/>
                  </w:r>
                </w:p>
              </w:tc>
              <w:tc>
                <w:tcPr>
                  <w:tcW w:w="7558" w:type="dxa"/>
                  <w:gridSpan w:val="5"/>
                  <w:vAlign w:val="center"/>
                </w:tcPr>
                <w:p>
                  <w:pPr>
                    <w:pStyle w:val="68"/>
                    <w:spacing w:line="276" w:lineRule="auto"/>
                    <w:ind w:firstLine="210" w:firstLineChars="100"/>
                    <w:rPr>
                      <w:color w:val="000000" w:themeColor="text1"/>
                      <w:szCs w:val="21"/>
                    </w:rPr>
                  </w:pPr>
                  <w:r>
                    <w:rPr>
                      <w:color w:val="000000" w:themeColor="text1"/>
                      <w:szCs w:val="21"/>
                    </w:rPr>
                    <w:t>磷酸二氢铵，</w:t>
                  </w:r>
                  <w:r>
                    <w:fldChar w:fldCharType="begin"/>
                  </w:r>
                  <w:r>
                    <w:instrText xml:space="preserve"> HYPERLINK "https://baike.baidu.com/item/%E5%8C%96%E5%AD%A6%E5%88%B6%E5%89%82/7356775" \t "_blank" </w:instrText>
                  </w:r>
                  <w:r>
                    <w:fldChar w:fldCharType="separate"/>
                  </w:r>
                  <w:r>
                    <w:rPr>
                      <w:color w:val="000000" w:themeColor="text1"/>
                    </w:rPr>
                    <w:t>化学制剂</w:t>
                  </w:r>
                  <w:r>
                    <w:rPr>
                      <w:color w:val="000000" w:themeColor="text1"/>
                    </w:rPr>
                    <w:fldChar w:fldCharType="end"/>
                  </w:r>
                  <w:r>
                    <w:rPr>
                      <w:color w:val="000000" w:themeColor="text1"/>
                      <w:szCs w:val="21"/>
                    </w:rPr>
                    <w:t>，又称为</w:t>
                  </w:r>
                  <w:r>
                    <w:fldChar w:fldCharType="begin"/>
                  </w:r>
                  <w:r>
                    <w:instrText xml:space="preserve"> HYPERLINK "https://baike.baidu.com/item/%E7%A3%B7%E9%85%B8%E4%B8%80%E9%93%B5/4381044" \t "_blank" </w:instrText>
                  </w:r>
                  <w:r>
                    <w:fldChar w:fldCharType="separate"/>
                  </w:r>
                  <w:r>
                    <w:rPr>
                      <w:color w:val="000000" w:themeColor="text1"/>
                    </w:rPr>
                    <w:t>磷酸一铵</w:t>
                  </w:r>
                  <w:r>
                    <w:rPr>
                      <w:color w:val="000000" w:themeColor="text1"/>
                    </w:rPr>
                    <w:fldChar w:fldCharType="end"/>
                  </w:r>
                  <w:r>
                    <w:rPr>
                      <w:color w:val="000000" w:themeColor="text1"/>
                      <w:szCs w:val="21"/>
                    </w:rPr>
                    <w:t>，是一种白色的晶体，化学式为NH</w:t>
                  </w:r>
                  <w:r>
                    <w:rPr>
                      <w:color w:val="000000" w:themeColor="text1"/>
                      <w:szCs w:val="21"/>
                      <w:vertAlign w:val="subscript"/>
                    </w:rPr>
                    <w:t>4</w:t>
                  </w:r>
                  <w:r>
                    <w:rPr>
                      <w:color w:val="000000" w:themeColor="text1"/>
                      <w:szCs w:val="21"/>
                    </w:rPr>
                    <w:t>H</w:t>
                  </w:r>
                  <w:r>
                    <w:rPr>
                      <w:color w:val="000000" w:themeColor="text1"/>
                      <w:szCs w:val="21"/>
                      <w:vertAlign w:val="subscript"/>
                    </w:rPr>
                    <w:t>2</w:t>
                  </w:r>
                  <w:r>
                    <w:rPr>
                      <w:color w:val="000000" w:themeColor="text1"/>
                      <w:szCs w:val="21"/>
                    </w:rPr>
                    <w:t>PO</w:t>
                  </w:r>
                  <w:r>
                    <w:rPr>
                      <w:color w:val="000000" w:themeColor="text1"/>
                      <w:szCs w:val="21"/>
                      <w:vertAlign w:val="subscript"/>
                    </w:rPr>
                    <w:t>4</w:t>
                  </w:r>
                  <w:r>
                    <w:rPr>
                      <w:color w:val="000000" w:themeColor="text1"/>
                      <w:szCs w:val="21"/>
                    </w:rPr>
                    <w:t>，加热会分解成</w:t>
                  </w:r>
                  <w:r>
                    <w:fldChar w:fldCharType="begin"/>
                  </w:r>
                  <w:r>
                    <w:instrText xml:space="preserve"> HYPERLINK "https://baike.baidu.com/item/%E5%81%8F%E7%A3%B7%E9%85%B8%E9%93%B5/8303961" \t "_blank" </w:instrText>
                  </w:r>
                  <w:r>
                    <w:fldChar w:fldCharType="separate"/>
                  </w:r>
                  <w:r>
                    <w:rPr>
                      <w:color w:val="000000" w:themeColor="text1"/>
                    </w:rPr>
                    <w:t>偏磷酸铵</w:t>
                  </w:r>
                  <w:r>
                    <w:rPr>
                      <w:color w:val="000000" w:themeColor="text1"/>
                    </w:rPr>
                    <w:fldChar w:fldCharType="end"/>
                  </w:r>
                  <w:r>
                    <w:rPr>
                      <w:color w:val="000000" w:themeColor="text1"/>
                      <w:szCs w:val="21"/>
                    </w:rPr>
                    <w:t>（NH</w:t>
                  </w:r>
                  <w:r>
                    <w:rPr>
                      <w:color w:val="000000" w:themeColor="text1"/>
                      <w:szCs w:val="21"/>
                      <w:vertAlign w:val="subscript"/>
                    </w:rPr>
                    <w:t>4</w:t>
                  </w:r>
                  <w:r>
                    <w:rPr>
                      <w:color w:val="000000" w:themeColor="text1"/>
                      <w:szCs w:val="21"/>
                    </w:rPr>
                    <w:t>PO</w:t>
                  </w:r>
                  <w:r>
                    <w:rPr>
                      <w:color w:val="000000" w:themeColor="text1"/>
                      <w:szCs w:val="21"/>
                      <w:vertAlign w:val="subscript"/>
                    </w:rPr>
                    <w:t>3</w:t>
                  </w:r>
                  <w:r>
                    <w:rPr>
                      <w:color w:val="000000" w:themeColor="text1"/>
                      <w:szCs w:val="21"/>
                    </w:rPr>
                    <w:t>），可用</w:t>
                  </w:r>
                  <w:r>
                    <w:fldChar w:fldCharType="begin"/>
                  </w:r>
                  <w:r>
                    <w:instrText xml:space="preserve"> HYPERLINK "https://baike.baidu.com/item/%E6%B0%A8%E6%B0%B4/163683" \t "_blank" </w:instrText>
                  </w:r>
                  <w:r>
                    <w:fldChar w:fldCharType="separate"/>
                  </w:r>
                  <w:r>
                    <w:rPr>
                      <w:color w:val="000000" w:themeColor="text1"/>
                    </w:rPr>
                    <w:t>氨水</w:t>
                  </w:r>
                  <w:r>
                    <w:rPr>
                      <w:color w:val="000000" w:themeColor="text1"/>
                    </w:rPr>
                    <w:fldChar w:fldCharType="end"/>
                  </w:r>
                  <w:r>
                    <w:rPr>
                      <w:color w:val="000000" w:themeColor="text1"/>
                      <w:szCs w:val="21"/>
                    </w:rPr>
                    <w:t>和</w:t>
                  </w:r>
                  <w:r>
                    <w:fldChar w:fldCharType="begin"/>
                  </w:r>
                  <w:r>
                    <w:instrText xml:space="preserve"> HYPERLINK "https://baike.baidu.com/item/%E7%A3%B7%E9%85%B8/849014" \t "_blank" </w:instrText>
                  </w:r>
                  <w:r>
                    <w:fldChar w:fldCharType="separate"/>
                  </w:r>
                  <w:r>
                    <w:rPr>
                      <w:color w:val="000000" w:themeColor="text1"/>
                    </w:rPr>
                    <w:t>磷酸</w:t>
                  </w:r>
                  <w:r>
                    <w:rPr>
                      <w:color w:val="000000" w:themeColor="text1"/>
                    </w:rPr>
                    <w:fldChar w:fldCharType="end"/>
                  </w:r>
                  <w:r>
                    <w:rPr>
                      <w:color w:val="000000" w:themeColor="text1"/>
                      <w:szCs w:val="21"/>
                    </w:rPr>
                    <w:t>反应制成，主要用作肥料和木材、纸张、织物的防火剂，也用于制药和</w:t>
                  </w:r>
                  <w:r>
                    <w:fldChar w:fldCharType="begin"/>
                  </w:r>
                  <w:r>
                    <w:instrText xml:space="preserve"> HYPERLINK "https://baike.baidu.com/item/%E5%8F%8D%E5%88%8D%E5%8A%A8%E7%89%A9/2498993" \t "_blank" </w:instrText>
                  </w:r>
                  <w:r>
                    <w:fldChar w:fldCharType="separate"/>
                  </w:r>
                  <w:r>
                    <w:rPr>
                      <w:color w:val="000000" w:themeColor="text1"/>
                    </w:rPr>
                    <w:t>反刍动物</w:t>
                  </w:r>
                  <w:r>
                    <w:rPr>
                      <w:color w:val="000000" w:themeColor="text1"/>
                    </w:rPr>
                    <w:fldChar w:fldCharType="end"/>
                  </w:r>
                  <w:r>
                    <w:rPr>
                      <w:color w:val="000000" w:themeColor="text1"/>
                      <w:szCs w:val="21"/>
                    </w:rPr>
                    <w:t>饲料添加剂。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Align w:val="center"/>
                </w:tcPr>
                <w:p>
                  <w:pPr>
                    <w:pStyle w:val="68"/>
                    <w:spacing w:line="276" w:lineRule="auto"/>
                    <w:ind w:firstLine="0" w:firstLineChars="0"/>
                    <w:jc w:val="center"/>
                    <w:rPr>
                      <w:color w:val="000000" w:themeColor="text1"/>
                      <w:szCs w:val="21"/>
                    </w:rPr>
                  </w:pPr>
                  <w:r>
                    <w:rPr>
                      <w:color w:val="000000" w:themeColor="text1"/>
                      <w:szCs w:val="21"/>
                    </w:rPr>
                    <w:t>有机螯合中微量元素</w:t>
                  </w:r>
                </w:p>
              </w:tc>
              <w:tc>
                <w:tcPr>
                  <w:tcW w:w="7558" w:type="dxa"/>
                  <w:gridSpan w:val="5"/>
                  <w:vAlign w:val="center"/>
                </w:tcPr>
                <w:p>
                  <w:pPr>
                    <w:pStyle w:val="68"/>
                    <w:spacing w:line="276" w:lineRule="auto"/>
                    <w:ind w:firstLine="210" w:firstLineChars="100"/>
                    <w:rPr>
                      <w:color w:val="000000" w:themeColor="text1"/>
                      <w:szCs w:val="21"/>
                    </w:rPr>
                  </w:pPr>
                  <w:r>
                    <w:rPr>
                      <w:color w:val="000000" w:themeColor="text1"/>
                      <w:szCs w:val="21"/>
                    </w:rPr>
                    <w:t>有机螯合微量元素是用螯合剂与植物必需的微量元素（硼和钼除外）制成的肥料，如螯合锌、螯合铁、螯合锰、螯合铜等。有机螯合微量元素肥料比无机微量元素肥料好，在土壤中不易被固定，易溶于水，又不离解，能很好地被植物吸收利用。也可与其他固态或液态肥料混合施用而不发生化学反应，不降低任何肥料的肥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50" w:type="dxa"/>
                  <w:vAlign w:val="center"/>
                </w:tcPr>
                <w:p>
                  <w:pPr>
                    <w:pStyle w:val="68"/>
                    <w:spacing w:line="276" w:lineRule="auto"/>
                    <w:ind w:firstLine="0" w:firstLineChars="0"/>
                    <w:jc w:val="center"/>
                    <w:rPr>
                      <w:color w:val="000000" w:themeColor="text1"/>
                      <w:szCs w:val="21"/>
                    </w:rPr>
                  </w:pPr>
                  <w:r>
                    <w:rPr>
                      <w:rFonts w:hint="eastAsia"/>
                      <w:color w:val="000000" w:themeColor="text1"/>
                      <w:szCs w:val="21"/>
                    </w:rPr>
                    <w:t>含腐殖酸基液</w:t>
                  </w:r>
                </w:p>
              </w:tc>
              <w:tc>
                <w:tcPr>
                  <w:tcW w:w="7558" w:type="dxa"/>
                  <w:gridSpan w:val="5"/>
                  <w:vAlign w:val="center"/>
                </w:tcPr>
                <w:p>
                  <w:pPr>
                    <w:pStyle w:val="68"/>
                    <w:spacing w:line="276" w:lineRule="auto"/>
                    <w:ind w:firstLine="210" w:firstLineChars="100"/>
                    <w:rPr>
                      <w:color w:val="000000" w:themeColor="text1"/>
                      <w:szCs w:val="21"/>
                    </w:rPr>
                  </w:pPr>
                  <w:r>
                    <w:rPr>
                      <w:color w:val="000000" w:themeColor="text1"/>
                      <w:szCs w:val="21"/>
                    </w:rPr>
                    <w:t>中文学名:几丁质、甲壳素</w:t>
                  </w:r>
                </w:p>
                <w:p>
                  <w:pPr>
                    <w:pStyle w:val="68"/>
                    <w:spacing w:line="276" w:lineRule="auto"/>
                    <w:ind w:firstLine="210" w:firstLineChars="100"/>
                    <w:rPr>
                      <w:color w:val="000000" w:themeColor="text1"/>
                      <w:szCs w:val="21"/>
                    </w:rPr>
                  </w:pPr>
                  <w:r>
                    <w:rPr>
                      <w:color w:val="000000" w:themeColor="text1"/>
                      <w:szCs w:val="21"/>
                    </w:rPr>
                    <w:t>化学名称:β-（1，4）-2-乙酰</w:t>
                  </w:r>
                  <w:r>
                    <w:fldChar w:fldCharType="begin"/>
                  </w:r>
                  <w:r>
                    <w:instrText xml:space="preserve"> HYPERLINK "https://baike.so.com/doc/5103409-5331962.html" \t "_blank" </w:instrText>
                  </w:r>
                  <w:r>
                    <w:fldChar w:fldCharType="separate"/>
                  </w:r>
                  <w:r>
                    <w:rPr>
                      <w:color w:val="000000" w:themeColor="text1"/>
                      <w:szCs w:val="21"/>
                    </w:rPr>
                    <w:t>氨基</w:t>
                  </w:r>
                  <w:r>
                    <w:rPr>
                      <w:color w:val="000000" w:themeColor="text1"/>
                      <w:szCs w:val="21"/>
                    </w:rPr>
                    <w:fldChar w:fldCharType="end"/>
                  </w:r>
                  <w:r>
                    <w:rPr>
                      <w:color w:val="000000" w:themeColor="text1"/>
                      <w:szCs w:val="21"/>
                    </w:rPr>
                    <w:t>-2-脱氧-D-葡萄糖</w:t>
                  </w:r>
                </w:p>
                <w:p>
                  <w:pPr>
                    <w:pStyle w:val="68"/>
                    <w:spacing w:line="276" w:lineRule="auto"/>
                    <w:ind w:firstLine="210" w:firstLineChars="100"/>
                    <w:rPr>
                      <w:color w:val="000000" w:themeColor="text1"/>
                      <w:szCs w:val="21"/>
                    </w:rPr>
                  </w:pPr>
                  <w:r>
                    <w:fldChar w:fldCharType="begin"/>
                  </w:r>
                  <w:r>
                    <w:instrText xml:space="preserve"> HYPERLINK "https://baike.so.com/doc/6428212.html" \t "_blank" </w:instrText>
                  </w:r>
                  <w:r>
                    <w:fldChar w:fldCharType="separate"/>
                  </w:r>
                  <w:r>
                    <w:rPr>
                      <w:color w:val="000000" w:themeColor="text1"/>
                      <w:szCs w:val="21"/>
                    </w:rPr>
                    <w:t>别名</w:t>
                  </w:r>
                  <w:r>
                    <w:rPr>
                      <w:color w:val="000000" w:themeColor="text1"/>
                      <w:szCs w:val="21"/>
                    </w:rPr>
                    <w:fldChar w:fldCharType="end"/>
                  </w:r>
                  <w:r>
                    <w:rPr>
                      <w:color w:val="000000" w:themeColor="text1"/>
                      <w:szCs w:val="21"/>
                    </w:rPr>
                    <w:t>:壳多糖、几丁质、甲壳质、明角质、聚乙酰氨基葡糖</w:t>
                  </w:r>
                </w:p>
                <w:p>
                  <w:pPr>
                    <w:pStyle w:val="68"/>
                    <w:spacing w:line="276" w:lineRule="auto"/>
                    <w:ind w:firstLine="210" w:firstLineChars="100"/>
                    <w:rPr>
                      <w:color w:val="000000" w:themeColor="text1"/>
                      <w:szCs w:val="21"/>
                    </w:rPr>
                  </w:pPr>
                  <w:r>
                    <w:rPr>
                      <w:color w:val="000000" w:themeColor="text1"/>
                      <w:szCs w:val="21"/>
                    </w:rPr>
                    <w:t>分子式:（C8H13NO5）n</w:t>
                  </w:r>
                </w:p>
                <w:p>
                  <w:pPr>
                    <w:pStyle w:val="68"/>
                    <w:spacing w:line="276" w:lineRule="auto"/>
                    <w:ind w:firstLine="210" w:firstLineChars="100"/>
                    <w:rPr>
                      <w:color w:val="000000" w:themeColor="text1"/>
                      <w:szCs w:val="21"/>
                    </w:rPr>
                  </w:pPr>
                  <w:r>
                    <w:rPr>
                      <w:color w:val="000000" w:themeColor="text1"/>
                      <w:szCs w:val="21"/>
                    </w:rPr>
                    <w:t>性状:外观为类白色无定形物质，无臭、无味。</w:t>
                  </w:r>
                </w:p>
                <w:p>
                  <w:pPr>
                    <w:pStyle w:val="68"/>
                    <w:spacing w:line="276" w:lineRule="auto"/>
                    <w:ind w:firstLine="210" w:firstLineChars="100"/>
                    <w:rPr>
                      <w:color w:val="000000" w:themeColor="text1"/>
                      <w:szCs w:val="21"/>
                    </w:rPr>
                  </w:pPr>
                  <w:r>
                    <w:rPr>
                      <w:color w:val="000000" w:themeColor="text1"/>
                      <w:szCs w:val="21"/>
                    </w:rPr>
                    <w:t>能溶于含8%氯化锂的二甲基乙酰胺或浓酸;不溶于水、稀酸、碱、乙醇或其它有机溶剂。</w:t>
                  </w:r>
                </w:p>
                <w:p>
                  <w:pPr>
                    <w:pStyle w:val="68"/>
                    <w:spacing w:line="276" w:lineRule="auto"/>
                    <w:ind w:firstLine="210" w:firstLineChars="100"/>
                    <w:rPr>
                      <w:color w:val="000000" w:themeColor="text1"/>
                      <w:szCs w:val="21"/>
                    </w:rPr>
                  </w:pPr>
                  <w:r>
                    <w:rPr>
                      <w:color w:val="000000" w:themeColor="text1"/>
                      <w:szCs w:val="21"/>
                    </w:rPr>
                    <w:t>自然界中，甲壳质广泛在于低等植物菌类、虾、</w:t>
                  </w:r>
                  <w:r>
                    <w:fldChar w:fldCharType="begin"/>
                  </w:r>
                  <w:r>
                    <w:instrText xml:space="preserve"> HYPERLINK "https://baike.so.com/doc/5330028-5565202.html" \t "_blank" </w:instrText>
                  </w:r>
                  <w:r>
                    <w:fldChar w:fldCharType="separate"/>
                  </w:r>
                  <w:r>
                    <w:rPr>
                      <w:color w:val="000000" w:themeColor="text1"/>
                      <w:szCs w:val="21"/>
                    </w:rPr>
                    <w:t>蟹</w:t>
                  </w:r>
                  <w:r>
                    <w:rPr>
                      <w:color w:val="000000" w:themeColor="text1"/>
                      <w:szCs w:val="21"/>
                    </w:rPr>
                    <w:fldChar w:fldCharType="end"/>
                  </w:r>
                  <w:r>
                    <w:rPr>
                      <w:color w:val="000000" w:themeColor="text1"/>
                      <w:szCs w:val="21"/>
                    </w:rPr>
                    <w:t>、昆虫等甲壳动物的外壳、真菌的</w:t>
                  </w:r>
                  <w:r>
                    <w:fldChar w:fldCharType="begin"/>
                  </w:r>
                  <w:r>
                    <w:instrText xml:space="preserve"> HYPERLINK "https://baike.so.com/doc/4713899-4928427.html" \t "_blank" </w:instrText>
                  </w:r>
                  <w:r>
                    <w:fldChar w:fldCharType="separate"/>
                  </w:r>
                  <w:r>
                    <w:rPr>
                      <w:color w:val="000000" w:themeColor="text1"/>
                      <w:szCs w:val="21"/>
                    </w:rPr>
                    <w:t>细胞壁</w:t>
                  </w:r>
                  <w:r>
                    <w:rPr>
                      <w:color w:val="000000" w:themeColor="text1"/>
                      <w:szCs w:val="21"/>
                    </w:rPr>
                    <w:fldChar w:fldCharType="end"/>
                  </w:r>
                  <w:r>
                    <w:rPr>
                      <w:color w:val="000000" w:themeColor="text1"/>
                      <w:szCs w:val="21"/>
                    </w:rPr>
                    <w:t>等。</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 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本项目用水环节包括设备清洗用水和生活用水；</w:t>
            </w:r>
            <w:r>
              <w:rPr>
                <w:rFonts w:ascii="Times New Roman" w:hAnsi="Times New Roman" w:cs="Times New Roman"/>
                <w:color w:val="000000" w:themeColor="text1"/>
                <w:sz w:val="24"/>
                <w:szCs w:val="24"/>
              </w:rPr>
              <w:t>废水产生类型包括</w:t>
            </w:r>
            <w:r>
              <w:rPr>
                <w:rFonts w:hint="eastAsia" w:ascii="Times New Roman" w:hAnsi="Times New Roman" w:cs="Times New Roman"/>
                <w:color w:val="000000" w:themeColor="text1"/>
                <w:sz w:val="24"/>
                <w:szCs w:val="24"/>
              </w:rPr>
              <w:t>设备清洗废水和生活污水。</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①设备清洗废水</w:t>
            </w:r>
            <w:r>
              <w:rPr>
                <w:rFonts w:ascii="Times New Roman" w:hAnsi="Times New Roman" w:cs="Times New Roman"/>
                <w:b/>
                <w:color w:val="000000" w:themeColor="text1"/>
                <w:sz w:val="24"/>
                <w:szCs w:val="24"/>
              </w:rPr>
              <w:t>产排核算</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根据项目运行特点，项目项目需定期对设备进行清洗，根据设计，清洗用水量约为1.2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次，一个月清洗一次，则清洗废水量约为1.2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d（14.4m³/a）。</w:t>
            </w:r>
            <w:r>
              <w:rPr>
                <w:rFonts w:ascii="Times New Roman" w:hAnsi="Times New Roman" w:cs="Times New Roman"/>
                <w:color w:val="000000" w:themeColor="text1"/>
                <w:sz w:val="24"/>
                <w:szCs w:val="24"/>
              </w:rPr>
              <w:t>根据类比调查，设备清洗废水水质如下表所示。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2.6-1</w:t>
            </w:r>
            <w:r>
              <w:rPr>
                <w:rFonts w:ascii="Times New Roman" w:hAnsi="Times New Roman" w:cs="Times New Roman"/>
                <w:b/>
                <w:bCs/>
                <w:color w:val="000000" w:themeColor="text1"/>
                <w:kern w:val="0"/>
              </w:rPr>
              <w:t xml:space="preserve"> 设备清洗废水水质指标一览表 mg/L</w:t>
            </w:r>
          </w:p>
          <w:tbl>
            <w:tblPr>
              <w:tblStyle w:val="21"/>
              <w:tblW w:w="8603" w:type="dxa"/>
              <w:jc w:val="center"/>
              <w:tblInd w:w="0" w:type="dxa"/>
              <w:tblLayout w:type="fixed"/>
              <w:tblCellMar>
                <w:top w:w="0" w:type="dxa"/>
                <w:left w:w="108" w:type="dxa"/>
                <w:bottom w:w="0" w:type="dxa"/>
                <w:right w:w="108" w:type="dxa"/>
              </w:tblCellMar>
            </w:tblPr>
            <w:tblGrid>
              <w:gridCol w:w="1009"/>
              <w:gridCol w:w="817"/>
              <w:gridCol w:w="858"/>
              <w:gridCol w:w="1001"/>
              <w:gridCol w:w="858"/>
              <w:gridCol w:w="1001"/>
              <w:gridCol w:w="715"/>
              <w:gridCol w:w="857"/>
              <w:gridCol w:w="1487"/>
            </w:tblGrid>
            <w:tr>
              <w:tblPrEx>
                <w:tblLayout w:type="fixed"/>
                <w:tblCellMar>
                  <w:top w:w="0" w:type="dxa"/>
                  <w:left w:w="108" w:type="dxa"/>
                  <w:bottom w:w="0" w:type="dxa"/>
                  <w:right w:w="108" w:type="dxa"/>
                </w:tblCellMar>
              </w:tblPrEx>
              <w:trPr>
                <w:trHeight w:val="149" w:hRule="atLeast"/>
                <w:jc w:val="center"/>
              </w:trPr>
              <w:tc>
                <w:tcPr>
                  <w:tcW w:w="1009"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594" w:type="dxa"/>
                  <w:gridSpan w:val="8"/>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285" w:hRule="atLeast"/>
                <w:jc w:val="center"/>
              </w:trPr>
              <w:tc>
                <w:tcPr>
                  <w:tcW w:w="100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81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00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00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71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TN</w:t>
                  </w:r>
                </w:p>
              </w:tc>
              <w:tc>
                <w:tcPr>
                  <w:tcW w:w="85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TP</w:t>
                  </w:r>
                </w:p>
              </w:tc>
              <w:tc>
                <w:tcPr>
                  <w:tcW w:w="148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r>
            <w:tr>
              <w:tblPrEx>
                <w:tblLayout w:type="fixed"/>
                <w:tblCellMar>
                  <w:top w:w="0" w:type="dxa"/>
                  <w:left w:w="108" w:type="dxa"/>
                  <w:bottom w:w="0" w:type="dxa"/>
                  <w:right w:w="108" w:type="dxa"/>
                </w:tblCellMar>
              </w:tblPrEx>
              <w:trPr>
                <w:trHeight w:val="300" w:hRule="atLeast"/>
                <w:jc w:val="center"/>
              </w:trPr>
              <w:tc>
                <w:tcPr>
                  <w:tcW w:w="1009"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hAnsiTheme="minorEastAsia" w:eastAsiaTheme="minorEastAsia"/>
                      <w:color w:val="000000" w:themeColor="text1"/>
                      <w:szCs w:val="21"/>
                    </w:rPr>
                    <w:t>设备清洗废水</w:t>
                  </w:r>
                </w:p>
              </w:tc>
              <w:tc>
                <w:tcPr>
                  <w:tcW w:w="81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15</w:t>
                  </w:r>
                  <w:r>
                    <w:rPr>
                      <w:rFonts w:eastAsiaTheme="minorEastAsia"/>
                      <w:color w:val="000000" w:themeColor="text1"/>
                      <w:szCs w:val="21"/>
                    </w:rPr>
                    <w:t>0</w:t>
                  </w:r>
                </w:p>
              </w:tc>
              <w:tc>
                <w:tcPr>
                  <w:tcW w:w="100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w:t>
                  </w:r>
                  <w:r>
                    <w:rPr>
                      <w:rFonts w:eastAsiaTheme="minorEastAsia"/>
                      <w:color w:val="000000" w:themeColor="text1"/>
                      <w:szCs w:val="21"/>
                    </w:rPr>
                    <w:t>0</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00</w:t>
                  </w:r>
                </w:p>
              </w:tc>
              <w:tc>
                <w:tcPr>
                  <w:tcW w:w="100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15</w:t>
                  </w:r>
                </w:p>
              </w:tc>
              <w:tc>
                <w:tcPr>
                  <w:tcW w:w="71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18</w:t>
                  </w:r>
                </w:p>
              </w:tc>
              <w:tc>
                <w:tcPr>
                  <w:tcW w:w="85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148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20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由于清洗产生的废水含有大量的有益元素，经两个有效容积合计不低于2m³的沉淀池收集后，用于项目含腐植酸液体水溶肥生产线作为原料生产使用，不外排。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拟设置员工10人，项目不设置办公生活区，管理人员租用昆明再生资源（集团）天生桥再生资源回收基地办公设施进行办公，厂区内不提供食宿，工作期间员工如厕等依托使用昆明再生资源（集团）天生桥再生资源回收基地内的公共卫生间。</w:t>
            </w:r>
            <w:r>
              <w:rPr>
                <w:rFonts w:ascii="Times New Roman" w:hAnsi="Times New Roman" w:cs="Times New Roman"/>
                <w:color w:val="000000" w:themeColor="text1"/>
                <w:sz w:val="24"/>
                <w:szCs w:val="24"/>
              </w:rPr>
              <w:t>根据《云南省地方标准用水定额》（DB53/T168-2019），员工</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用水量取</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0L/d·人，则生活用水量</w:t>
            </w:r>
            <w:r>
              <w:rPr>
                <w:rFonts w:hint="eastAsia" w:ascii="Times New Roman" w:hAnsi="Times New Roman" w:cs="Times New Roman"/>
                <w:color w:val="000000" w:themeColor="text1"/>
                <w:sz w:val="24"/>
                <w:szCs w:val="24"/>
              </w:rPr>
              <w:t>0.4m³/d</w:t>
            </w:r>
            <w:r>
              <w:rPr>
                <w:rFonts w:ascii="Times New Roman" w:hAnsi="Times New Roman" w:cs="Times New Roman"/>
                <w:color w:val="000000" w:themeColor="text1"/>
                <w:sz w:val="24"/>
                <w:szCs w:val="24"/>
              </w:rPr>
              <w:t>，合计为120m³/a；废水率按80%计，则废水量为0.32m³/d，合计为96m³/a；根据类比调查，生活污水水质如下表所示。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2.6-2</w:t>
            </w:r>
            <w:r>
              <w:rPr>
                <w:rFonts w:ascii="Times New Roman" w:hAnsi="Times New Roman" w:cs="Times New Roman"/>
                <w:b/>
                <w:bCs/>
                <w:color w:val="000000" w:themeColor="text1"/>
                <w:kern w:val="0"/>
              </w:rPr>
              <w:t xml:space="preserve"> 生活污水水质指标一览表</w:t>
            </w:r>
          </w:p>
          <w:tbl>
            <w:tblPr>
              <w:tblStyle w:val="21"/>
              <w:tblW w:w="8603" w:type="dxa"/>
              <w:jc w:val="center"/>
              <w:tblInd w:w="0" w:type="dxa"/>
              <w:tblLayout w:type="fixed"/>
              <w:tblCellMar>
                <w:top w:w="0" w:type="dxa"/>
                <w:left w:w="108" w:type="dxa"/>
                <w:bottom w:w="0" w:type="dxa"/>
                <w:right w:w="108" w:type="dxa"/>
              </w:tblCellMar>
            </w:tblPr>
            <w:tblGrid>
              <w:gridCol w:w="733"/>
              <w:gridCol w:w="567"/>
              <w:gridCol w:w="850"/>
              <w:gridCol w:w="851"/>
              <w:gridCol w:w="685"/>
              <w:gridCol w:w="859"/>
              <w:gridCol w:w="715"/>
              <w:gridCol w:w="716"/>
              <w:gridCol w:w="1281"/>
              <w:gridCol w:w="1346"/>
            </w:tblGrid>
            <w:tr>
              <w:tblPrEx>
                <w:tblLayout w:type="fixed"/>
                <w:tblCellMar>
                  <w:top w:w="0" w:type="dxa"/>
                  <w:left w:w="108" w:type="dxa"/>
                  <w:bottom w:w="0" w:type="dxa"/>
                  <w:right w:w="108" w:type="dxa"/>
                </w:tblCellMar>
              </w:tblPrEx>
              <w:trPr>
                <w:trHeight w:val="149" w:hRule="atLeast"/>
                <w:jc w:val="center"/>
              </w:trPr>
              <w:tc>
                <w:tcPr>
                  <w:tcW w:w="733"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870" w:type="dxa"/>
                  <w:gridSpan w:val="9"/>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285" w:hRule="atLeast"/>
                <w:jc w:val="center"/>
              </w:trPr>
              <w:tc>
                <w:tcPr>
                  <w:tcW w:w="733"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56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85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85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8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859"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71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TN</w:t>
                  </w:r>
                </w:p>
              </w:tc>
              <w:tc>
                <w:tcPr>
                  <w:tcW w:w="71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TP</w:t>
                  </w:r>
                </w:p>
              </w:tc>
              <w:tc>
                <w:tcPr>
                  <w:tcW w:w="1281"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34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300" w:hRule="atLeast"/>
                <w:jc w:val="center"/>
              </w:trPr>
              <w:tc>
                <w:tcPr>
                  <w:tcW w:w="733"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56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5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85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68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859"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71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71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1281"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346"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2.6.3 水平衡</w:t>
            </w:r>
          </w:p>
          <w:p>
            <w:pPr>
              <w:pStyle w:val="4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根据上述分析，项目本</w:t>
            </w:r>
            <w:r>
              <w:rPr>
                <w:rFonts w:hAnsiTheme="minorEastAsia" w:eastAsiaTheme="minorEastAsia"/>
                <w:color w:val="000000" w:themeColor="text1"/>
                <w:szCs w:val="24"/>
              </w:rPr>
              <w:t>用排水情况详见下表。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2.6-3</w:t>
            </w:r>
            <w:r>
              <w:rPr>
                <w:rFonts w:ascii="Times New Roman" w:cs="Times New Roman" w:hAnsiTheme="minorEastAsia"/>
                <w:b/>
                <w:bCs/>
                <w:color w:val="000000" w:themeColor="text1"/>
                <w:kern w:val="0"/>
              </w:rPr>
              <w:t xml:space="preserve">  </w:t>
            </w:r>
            <w:r>
              <w:rPr>
                <w:rFonts w:hint="eastAsia" w:ascii="Times New Roman" w:cs="Times New Roman" w:hAnsiTheme="minorEastAsia"/>
                <w:b/>
                <w:bCs/>
                <w:color w:val="000000" w:themeColor="text1"/>
                <w:kern w:val="0"/>
              </w:rPr>
              <w:t>本</w:t>
            </w:r>
            <w:r>
              <w:rPr>
                <w:rFonts w:ascii="Times New Roman" w:cs="Times New Roman" w:hAnsiTheme="minorEastAsia"/>
                <w:b/>
                <w:bCs/>
                <w:color w:val="000000" w:themeColor="text1"/>
                <w:kern w:val="0"/>
              </w:rPr>
              <w:t>项目供排水情况一览表</w:t>
            </w:r>
          </w:p>
          <w:tbl>
            <w:tblPr>
              <w:tblStyle w:val="21"/>
              <w:tblW w:w="8598" w:type="dxa"/>
              <w:jc w:val="center"/>
              <w:tblInd w:w="0" w:type="dxa"/>
              <w:tblLayout w:type="fixed"/>
              <w:tblCellMar>
                <w:top w:w="0" w:type="dxa"/>
                <w:left w:w="108" w:type="dxa"/>
                <w:bottom w:w="0" w:type="dxa"/>
                <w:right w:w="108" w:type="dxa"/>
              </w:tblCellMar>
            </w:tblPr>
            <w:tblGrid>
              <w:gridCol w:w="1427"/>
              <w:gridCol w:w="1277"/>
              <w:gridCol w:w="1604"/>
              <w:gridCol w:w="1064"/>
              <w:gridCol w:w="1078"/>
              <w:gridCol w:w="1081"/>
              <w:gridCol w:w="1067"/>
            </w:tblGrid>
            <w:tr>
              <w:tblPrEx>
                <w:tblLayout w:type="fixed"/>
                <w:tblCellMar>
                  <w:top w:w="0" w:type="dxa"/>
                  <w:left w:w="108" w:type="dxa"/>
                  <w:bottom w:w="0" w:type="dxa"/>
                  <w:right w:w="108" w:type="dxa"/>
                </w:tblCellMar>
              </w:tblPrEx>
              <w:trPr>
                <w:trHeight w:val="67" w:hRule="atLeast"/>
                <w:jc w:val="center"/>
              </w:trPr>
              <w:tc>
                <w:tcPr>
                  <w:tcW w:w="1427"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本用水单元</w:t>
                  </w:r>
                </w:p>
              </w:tc>
              <w:tc>
                <w:tcPr>
                  <w:tcW w:w="127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规模</w:t>
                  </w:r>
                </w:p>
              </w:tc>
              <w:tc>
                <w:tcPr>
                  <w:tcW w:w="160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用水定额</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用水量</w:t>
                  </w:r>
                </w:p>
              </w:tc>
              <w:tc>
                <w:tcPr>
                  <w:tcW w:w="214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27"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lang w:val="en-US"/>
                    </w:rPr>
                  </w:pPr>
                </w:p>
              </w:tc>
              <w:tc>
                <w:tcPr>
                  <w:tcW w:w="1277"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p>
              </w:tc>
              <w:tc>
                <w:tcPr>
                  <w:tcW w:w="160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m³/d</w:t>
                  </w:r>
                </w:p>
              </w:tc>
              <w:tc>
                <w:tcPr>
                  <w:tcW w:w="107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m³/a</w:t>
                  </w:r>
                </w:p>
              </w:tc>
              <w:tc>
                <w:tcPr>
                  <w:tcW w:w="108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m³/d</w:t>
                  </w:r>
                </w:p>
              </w:tc>
              <w:tc>
                <w:tcPr>
                  <w:tcW w:w="106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m³/a</w:t>
                  </w:r>
                </w:p>
              </w:tc>
            </w:tr>
            <w:tr>
              <w:tblPrEx>
                <w:tblLayout w:type="fixed"/>
                <w:tblCellMar>
                  <w:top w:w="0" w:type="dxa"/>
                  <w:left w:w="108" w:type="dxa"/>
                  <w:bottom w:w="0" w:type="dxa"/>
                  <w:right w:w="108" w:type="dxa"/>
                </w:tblCellMar>
              </w:tblPrEx>
              <w:trPr>
                <w:trHeight w:val="285" w:hRule="atLeast"/>
                <w:jc w:val="center"/>
              </w:trPr>
              <w:tc>
                <w:tcPr>
                  <w:tcW w:w="1427"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设备清洗</w:t>
                  </w:r>
                </w:p>
              </w:tc>
              <w:tc>
                <w:tcPr>
                  <w:tcW w:w="127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60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r>
                    <w:rPr>
                      <w:rFonts w:eastAsiaTheme="minorEastAsia"/>
                      <w:color w:val="000000" w:themeColor="text1"/>
                      <w:lang w:val="en-US"/>
                    </w:rPr>
                    <w:t>m³/</w:t>
                  </w:r>
                  <w:r>
                    <w:rPr>
                      <w:rFonts w:hint="eastAsia" w:eastAsiaTheme="minorEastAsia"/>
                      <w:color w:val="000000" w:themeColor="text1"/>
                    </w:rPr>
                    <w:t>次</w:t>
                  </w: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p>
              </w:tc>
              <w:tc>
                <w:tcPr>
                  <w:tcW w:w="107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14.4</w:t>
                  </w:r>
                </w:p>
              </w:tc>
              <w:tc>
                <w:tcPr>
                  <w:tcW w:w="108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p>
              </w:tc>
              <w:tc>
                <w:tcPr>
                  <w:tcW w:w="106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14.4</w:t>
                  </w:r>
                </w:p>
              </w:tc>
            </w:tr>
            <w:tr>
              <w:tblPrEx>
                <w:tblLayout w:type="fixed"/>
                <w:tblCellMar>
                  <w:top w:w="0" w:type="dxa"/>
                  <w:left w:w="108" w:type="dxa"/>
                  <w:bottom w:w="0" w:type="dxa"/>
                  <w:right w:w="108" w:type="dxa"/>
                </w:tblCellMar>
              </w:tblPrEx>
              <w:trPr>
                <w:trHeight w:val="285" w:hRule="atLeast"/>
                <w:jc w:val="center"/>
              </w:trPr>
              <w:tc>
                <w:tcPr>
                  <w:tcW w:w="1427"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生活用水</w:t>
                  </w:r>
                </w:p>
              </w:tc>
              <w:tc>
                <w:tcPr>
                  <w:tcW w:w="127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w:t>
                  </w:r>
                  <w:r>
                    <w:rPr>
                      <w:rFonts w:eastAsiaTheme="minorEastAsia"/>
                      <w:color w:val="000000" w:themeColor="text1"/>
                      <w:lang w:val="en-US"/>
                    </w:rPr>
                    <w:t>0</w:t>
                  </w:r>
                  <w:r>
                    <w:rPr>
                      <w:rFonts w:eastAsiaTheme="minorEastAsia"/>
                      <w:color w:val="000000" w:themeColor="text1"/>
                    </w:rPr>
                    <w:t>人</w:t>
                  </w:r>
                </w:p>
              </w:tc>
              <w:tc>
                <w:tcPr>
                  <w:tcW w:w="160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4</w:t>
                  </w:r>
                  <w:r>
                    <w:rPr>
                      <w:rFonts w:eastAsiaTheme="minorEastAsia"/>
                      <w:color w:val="000000" w:themeColor="text1"/>
                      <w:lang w:val="en-US"/>
                    </w:rPr>
                    <w:t>0L/d·</w:t>
                  </w:r>
                  <w:r>
                    <w:rPr>
                      <w:rFonts w:eastAsiaTheme="minorEastAsia"/>
                      <w:color w:val="000000" w:themeColor="text1"/>
                    </w:rPr>
                    <w:t>人</w:t>
                  </w:r>
                </w:p>
              </w:tc>
              <w:tc>
                <w:tcPr>
                  <w:tcW w:w="1064"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0.4</w:t>
                  </w:r>
                </w:p>
              </w:tc>
              <w:tc>
                <w:tcPr>
                  <w:tcW w:w="1078"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120</w:t>
                  </w:r>
                </w:p>
              </w:tc>
              <w:tc>
                <w:tcPr>
                  <w:tcW w:w="108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0.32</w:t>
                  </w:r>
                </w:p>
              </w:tc>
              <w:tc>
                <w:tcPr>
                  <w:tcW w:w="1067"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96</w:t>
                  </w:r>
                </w:p>
              </w:tc>
            </w:tr>
            <w:tr>
              <w:tblPrEx>
                <w:tblLayout w:type="fixed"/>
                <w:tblCellMar>
                  <w:top w:w="0" w:type="dxa"/>
                  <w:left w:w="108" w:type="dxa"/>
                  <w:bottom w:w="0" w:type="dxa"/>
                  <w:right w:w="108" w:type="dxa"/>
                </w:tblCellMar>
              </w:tblPrEx>
              <w:trPr>
                <w:trHeight w:val="330" w:hRule="atLeast"/>
                <w:jc w:val="center"/>
              </w:trPr>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合计</w:t>
                  </w:r>
                </w:p>
              </w:tc>
              <w:tc>
                <w:tcPr>
                  <w:tcW w:w="1277"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w:t>
                  </w:r>
                </w:p>
              </w:tc>
              <w:tc>
                <w:tcPr>
                  <w:tcW w:w="160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1.6</w:t>
                  </w:r>
                </w:p>
              </w:tc>
              <w:tc>
                <w:tcPr>
                  <w:tcW w:w="1078"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134.4</w:t>
                  </w:r>
                </w:p>
              </w:tc>
              <w:tc>
                <w:tcPr>
                  <w:tcW w:w="1081"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1.52</w:t>
                  </w:r>
                </w:p>
              </w:tc>
              <w:tc>
                <w:tcPr>
                  <w:tcW w:w="1067"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110.4</w:t>
                  </w:r>
                </w:p>
              </w:tc>
            </w:tr>
          </w:tbl>
          <w:p>
            <w:pPr>
              <w:pStyle w:val="40"/>
              <w:spacing w:beforeLines="5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项目建成后</w:t>
            </w:r>
            <w:r>
              <w:rPr>
                <w:rFonts w:hAnsiTheme="minorEastAsia" w:eastAsiaTheme="minorEastAsia"/>
                <w:color w:val="000000" w:themeColor="text1"/>
                <w:szCs w:val="24"/>
              </w:rPr>
              <w:t>水平衡如下图所示。</w:t>
            </w:r>
          </w:p>
          <w:p>
            <w:pPr>
              <w:pStyle w:val="40"/>
              <w:ind w:firstLine="0" w:firstLineChars="0"/>
              <w:jc w:val="center"/>
              <w:rPr>
                <w:rFonts w:hAnsiTheme="minorEastAsia" w:eastAsiaTheme="minorEastAsia"/>
                <w:color w:val="000000" w:themeColor="text1"/>
                <w:szCs w:val="24"/>
              </w:rPr>
            </w:pPr>
            <w:r>
              <w:rPr>
                <w:color w:val="000000" w:themeColor="text1"/>
              </w:rPr>
              <w:object>
                <v:shape id="_x0000_i1025" o:spt="75" type="#_x0000_t75" style="height:295.05pt;width:415.0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图</w:t>
            </w:r>
            <w:r>
              <w:rPr>
                <w:rFonts w:hint="eastAsia" w:ascii="Times New Roman" w:cs="Times New Roman" w:hAnsiTheme="minorEastAsia"/>
                <w:b/>
                <w:bCs/>
                <w:color w:val="000000" w:themeColor="text1"/>
                <w:kern w:val="0"/>
              </w:rPr>
              <w:t>2.6</w:t>
            </w:r>
            <w:r>
              <w:rPr>
                <w:rFonts w:ascii="Times New Roman" w:cs="Times New Roman" w:hAnsiTheme="minorEastAsia"/>
                <w:b/>
                <w:bCs/>
                <w:color w:val="000000" w:themeColor="text1"/>
                <w:kern w:val="0"/>
              </w:rPr>
              <w:t>-1 项目水平衡水平衡图 m³/d</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劳动定员及工作制度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根据设计，本项目劳动定员为</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每天生产24h</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分3班值，每班8h；年生产300d；</w:t>
            </w:r>
            <w:r>
              <w:rPr>
                <w:rFonts w:hint="eastAsia" w:ascii="Times New Roman" w:hAnsi="Times New Roman" w:cs="Times New Roman"/>
                <w:bCs/>
                <w:color w:val="000000" w:themeColor="text1"/>
                <w:sz w:val="24"/>
                <w:szCs w:val="24"/>
              </w:rPr>
              <w:t>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2.8 </w:t>
            </w:r>
            <w:r>
              <w:rPr>
                <w:rFonts w:ascii="Times New Roman" w:hAnsi="Times New Roman" w:cs="Times New Roman"/>
                <w:b/>
                <w:color w:val="000000" w:themeColor="text1"/>
                <w:sz w:val="24"/>
                <w:szCs w:val="24"/>
              </w:rPr>
              <w:t>项目建设进度</w:t>
            </w:r>
          </w:p>
          <w:p>
            <w:pPr>
              <w:spacing w:line="360" w:lineRule="auto"/>
              <w:ind w:firstLine="480" w:firstLineChars="200"/>
              <w:rPr>
                <w:rFonts w:hint="eastAsia"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建设单位根据项目手续办理的实际情况，拟定建设时间为202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月-202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月，建设期为</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个月。</w:t>
            </w: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本项目拟租用昆明再生资源（集团）天生桥再生资源回收基地建设的标准厂房进行项目建设，</w:t>
            </w:r>
            <w:r>
              <w:rPr>
                <w:rFonts w:ascii="Times New Roman" w:cs="Times New Roman" w:hAnsiTheme="minorEastAsia"/>
                <w:color w:val="000000" w:themeColor="text1"/>
                <w:sz w:val="24"/>
                <w:szCs w:val="24"/>
              </w:rPr>
              <w:t>施工期主要建设内容为</w:t>
            </w:r>
            <w:r>
              <w:rPr>
                <w:rFonts w:hint="eastAsia" w:ascii="Times New Roman" w:cs="Times New Roman" w:hAnsiTheme="minorEastAsia"/>
                <w:color w:val="000000" w:themeColor="text1"/>
                <w:sz w:val="24"/>
                <w:szCs w:val="24"/>
              </w:rPr>
              <w:t>设备安装、</w:t>
            </w:r>
            <w:r>
              <w:rPr>
                <w:rFonts w:ascii="Times New Roman" w:cs="Times New Roman" w:hAnsiTheme="minorEastAsia"/>
                <w:color w:val="000000" w:themeColor="text1"/>
                <w:sz w:val="24"/>
                <w:szCs w:val="24"/>
              </w:rPr>
              <w:t>环保设施建设</w:t>
            </w:r>
            <w:r>
              <w:rPr>
                <w:rFonts w:hint="eastAsia" w:ascii="Times New Roman" w:cs="Times New Roman" w:hAnsiTheme="minorEastAsia"/>
                <w:color w:val="000000" w:themeColor="text1"/>
                <w:sz w:val="24"/>
                <w:szCs w:val="24"/>
              </w:rPr>
              <w:t>等</w:t>
            </w:r>
            <w:r>
              <w:rPr>
                <w:rFonts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本项目生产产品包括</w:t>
            </w:r>
            <w:r>
              <w:rPr>
                <w:rFonts w:ascii="Times New Roman" w:cs="Times New Roman" w:hAnsiTheme="minorEastAsia"/>
                <w:color w:val="000000" w:themeColor="text1"/>
                <w:sz w:val="24"/>
                <w:szCs w:val="24"/>
              </w:rPr>
              <w:t>大量元素固体</w:t>
            </w:r>
            <w:r>
              <w:rPr>
                <w:rFonts w:hint="eastAsia" w:ascii="Times New Roman" w:cs="Times New Roman" w:hAnsiTheme="minorEastAsia"/>
                <w:color w:val="000000" w:themeColor="text1"/>
                <w:sz w:val="24"/>
                <w:szCs w:val="24"/>
              </w:rPr>
              <w:t>（颗粒）</w:t>
            </w:r>
            <w:r>
              <w:rPr>
                <w:rFonts w:ascii="Times New Roman" w:cs="Times New Roman" w:hAnsiTheme="minorEastAsia"/>
                <w:color w:val="000000" w:themeColor="text1"/>
                <w:sz w:val="24"/>
                <w:szCs w:val="24"/>
              </w:rPr>
              <w:t>水溶肥</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大量元素固体</w:t>
            </w:r>
            <w:r>
              <w:rPr>
                <w:rFonts w:hint="eastAsia" w:ascii="Times New Roman" w:cs="Times New Roman" w:hAnsiTheme="minorEastAsia"/>
                <w:color w:val="000000" w:themeColor="text1"/>
                <w:sz w:val="24"/>
                <w:szCs w:val="24"/>
              </w:rPr>
              <w:t>（粉状）</w:t>
            </w:r>
            <w:r>
              <w:rPr>
                <w:rFonts w:ascii="Times New Roman" w:cs="Times New Roman" w:hAnsiTheme="minorEastAsia"/>
                <w:color w:val="000000" w:themeColor="text1"/>
                <w:sz w:val="24"/>
                <w:szCs w:val="24"/>
              </w:rPr>
              <w:t>水溶肥</w:t>
            </w:r>
            <w:r>
              <w:rPr>
                <w:rFonts w:hint="eastAsia" w:ascii="Times New Roman" w:cs="Times New Roman" w:hAnsiTheme="minorEastAsia"/>
                <w:color w:val="000000" w:themeColor="text1"/>
                <w:sz w:val="24"/>
                <w:szCs w:val="24"/>
              </w:rPr>
              <w:t>和</w:t>
            </w:r>
            <w:r>
              <w:rPr>
                <w:rFonts w:ascii="Times New Roman" w:cs="Times New Roman" w:hAnsiTheme="minorEastAsia"/>
                <w:color w:val="000000" w:themeColor="text1"/>
                <w:sz w:val="24"/>
                <w:szCs w:val="24"/>
              </w:rPr>
              <w:t>含腐植酸液体水溶肥</w:t>
            </w:r>
            <w:r>
              <w:rPr>
                <w:rFonts w:hint="eastAsia" w:ascii="Times New Roman" w:cs="Times New Roman" w:hAnsiTheme="minorEastAsia"/>
                <w:color w:val="000000" w:themeColor="text1"/>
                <w:sz w:val="24"/>
                <w:szCs w:val="24"/>
              </w:rPr>
              <w:t>，具体生产工艺如下。</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大量元素固体</w:t>
            </w:r>
            <w:r>
              <w:rPr>
                <w:rFonts w:hint="eastAsia" w:ascii="Times New Roman" w:hAnsi="Times New Roman" w:cs="Times New Roman"/>
                <w:b/>
                <w:color w:val="000000" w:themeColor="text1"/>
                <w:sz w:val="24"/>
                <w:szCs w:val="24"/>
              </w:rPr>
              <w:t>（颗粒）</w:t>
            </w:r>
            <w:r>
              <w:rPr>
                <w:rFonts w:ascii="Times New Roman" w:hAnsi="Times New Roman" w:cs="Times New Roman"/>
                <w:b/>
                <w:color w:val="000000" w:themeColor="text1"/>
                <w:sz w:val="24"/>
                <w:szCs w:val="24"/>
              </w:rPr>
              <w:t>水溶肥</w:t>
            </w:r>
            <w:r>
              <w:rPr>
                <w:rFonts w:hint="eastAsia" w:ascii="Times New Roman" w:hAnsi="Times New Roman" w:cs="Times New Roman"/>
                <w:b/>
                <w:color w:val="000000" w:themeColor="text1"/>
                <w:sz w:val="24"/>
                <w:szCs w:val="24"/>
              </w:rPr>
              <w:t>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大量元素固体</w:t>
            </w:r>
            <w:r>
              <w:rPr>
                <w:rFonts w:hint="eastAsia" w:ascii="Times New Roman" w:hAnsi="Times New Roman" w:cs="Times New Roman"/>
                <w:b/>
                <w:bCs/>
                <w:color w:val="000000" w:themeColor="text1"/>
                <w:sz w:val="24"/>
                <w:szCs w:val="24"/>
              </w:rPr>
              <w:t>（颗粒）</w:t>
            </w:r>
            <w:r>
              <w:rPr>
                <w:rFonts w:ascii="Times New Roman" w:hAnsi="Times New Roman" w:cs="Times New Roman"/>
                <w:b/>
                <w:bCs/>
                <w:color w:val="000000" w:themeColor="text1"/>
                <w:sz w:val="24"/>
                <w:szCs w:val="24"/>
              </w:rPr>
              <w:t>水溶肥工艺流程图示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根据设计，大量元素固体</w:t>
            </w:r>
            <w:r>
              <w:rPr>
                <w:rFonts w:hint="eastAsia" w:ascii="Times New Roman" w:hAnsi="Times New Roman" w:cs="Times New Roman"/>
                <w:bCs/>
                <w:color w:val="000000" w:themeColor="text1"/>
                <w:sz w:val="24"/>
                <w:szCs w:val="24"/>
              </w:rPr>
              <w:t>（颗粒）</w:t>
            </w:r>
            <w:r>
              <w:rPr>
                <w:rFonts w:ascii="Times New Roman" w:hAnsi="Times New Roman" w:cs="Times New Roman"/>
                <w:bCs/>
                <w:color w:val="000000" w:themeColor="text1"/>
                <w:sz w:val="24"/>
                <w:szCs w:val="24"/>
              </w:rPr>
              <w:t>水溶肥工艺流程如下图所示。</w:t>
            </w:r>
          </w:p>
          <w:p>
            <w:pPr>
              <w:jc w:val="center"/>
              <w:rPr>
                <w:rFonts w:ascii="Times New Roman" w:hAnsi="Times New Roman" w:cs="Times New Roman"/>
                <w:bCs/>
                <w:color w:val="000000" w:themeColor="text1"/>
                <w:sz w:val="24"/>
                <w:szCs w:val="24"/>
              </w:rPr>
            </w:pPr>
            <w:r>
              <w:rPr>
                <w:color w:val="000000" w:themeColor="text1"/>
              </w:rPr>
              <w:object>
                <v:shape id="_x0000_i1026" o:spt="75" type="#_x0000_t75" style="height:356.45pt;width:385.4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-1  大量元素固体</w:t>
            </w:r>
            <w:r>
              <w:rPr>
                <w:rFonts w:hint="eastAsia" w:ascii="Times New Roman" w:hAnsi="Times New Roman" w:eastAsia="宋体" w:cs="Times New Roman"/>
                <w:b/>
                <w:color w:val="000000" w:themeColor="text1"/>
                <w:szCs w:val="24"/>
              </w:rPr>
              <w:t>（颗粒）</w:t>
            </w:r>
            <w:r>
              <w:rPr>
                <w:rFonts w:ascii="Times New Roman" w:hAnsi="Times New Roman" w:eastAsia="宋体" w:cs="Times New Roman"/>
                <w:b/>
                <w:color w:val="000000" w:themeColor="text1"/>
                <w:szCs w:val="24"/>
              </w:rPr>
              <w:t>水溶肥生产工艺及产污流程示意图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大量元素固体</w:t>
            </w:r>
            <w:r>
              <w:rPr>
                <w:rFonts w:hint="eastAsia" w:ascii="Times New Roman" w:hAnsi="Times New Roman" w:cs="Times New Roman"/>
                <w:b/>
                <w:bCs/>
                <w:color w:val="000000" w:themeColor="text1"/>
                <w:sz w:val="24"/>
                <w:szCs w:val="24"/>
              </w:rPr>
              <w:t>（颗粒）</w:t>
            </w:r>
            <w:r>
              <w:rPr>
                <w:rFonts w:ascii="Times New Roman" w:hAnsi="Times New Roman" w:cs="Times New Roman"/>
                <w:b/>
                <w:bCs/>
                <w:color w:val="000000" w:themeColor="text1"/>
                <w:sz w:val="24"/>
                <w:szCs w:val="24"/>
              </w:rPr>
              <w:t>水溶肥生产工艺简述：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该项目工艺无化学反应过程，仅为简单的物料混合，具体工艺如下：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备料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将外购合格的大量元素水溶肥料原料根据高氮、高磷、高钾以及平衡的大量元素水溶肥配方进行配比；做到不剩料不短料。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在此过程中会产生废弃的原料包装袋，分别统一收集后委托生产厂家回收，不随意丢弃。</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②搅拌混合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将粉状原料，按照设定的比例加入到混合搅拌机内，在混合搅拌机内</w:t>
            </w:r>
            <w:r>
              <w:rPr>
                <w:rFonts w:hint="eastAsia" w:ascii="Times New Roman" w:hAnsi="Times New Roman" w:cs="Times New Roman"/>
                <w:color w:val="000000" w:themeColor="text1"/>
                <w:sz w:val="24"/>
                <w:szCs w:val="24"/>
              </w:rPr>
              <w:t>加入少量的水</w:t>
            </w:r>
            <w:r>
              <w:rPr>
                <w:rFonts w:ascii="Times New Roman" w:hAnsi="Times New Roman" w:cs="Times New Roman"/>
                <w:color w:val="000000" w:themeColor="text1"/>
                <w:sz w:val="24"/>
                <w:szCs w:val="24"/>
              </w:rPr>
              <w:t>进行密闭充分混合</w:t>
            </w:r>
            <w:r>
              <w:rPr>
                <w:rFonts w:hint="eastAsia" w:ascii="Times New Roman" w:hAnsi="Times New Roman" w:cs="Times New Roman"/>
                <w:color w:val="000000" w:themeColor="text1"/>
                <w:sz w:val="24"/>
                <w:szCs w:val="24"/>
              </w:rPr>
              <w:t>均匀</w:t>
            </w:r>
            <w:r>
              <w:rPr>
                <w:rFonts w:ascii="Times New Roman" w:hAnsi="Times New Roman" w:cs="Times New Roman"/>
                <w:color w:val="000000" w:themeColor="text1"/>
                <w:sz w:val="24"/>
                <w:szCs w:val="24"/>
              </w:rPr>
              <w:t>；使每批产品均达到登记证上各指标的含量要求。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由于项目使用原料均为晶体，因此在加料混合过程基本无粉尘产生。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造粒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为了满足市场需求，需生产大量元素颗粒水溶肥，即使用挤压造粒机对物理混合后的大量元素水溶肥进行造粒</w:t>
            </w:r>
            <w:r>
              <w:rPr>
                <w:rFonts w:hint="eastAsia" w:ascii="Times New Roman" w:hAnsi="Times New Roman" w:cs="Times New Roman"/>
                <w:color w:val="000000" w:themeColor="text1"/>
                <w:sz w:val="24"/>
                <w:szCs w:val="24"/>
              </w:rPr>
              <w:t>，使其变为颗粒状，根据项目特点，本项目设置的挤压造粒机造粒后的颗粒最大粒径为4mm。</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造粒过程中挤压造粒机会产生粉尘和噪声，针对造粒粉尘，项目拟对造粒工序产尘点进行封闭，并设置集气罩，将粉尘进行统一收集后，通过1台布袋除尘器进行处理，并经过1根Φ0.35m、高15m的排气筒（DA001）外排</w:t>
            </w:r>
            <w:r>
              <w:rPr>
                <w:rFonts w:hint="eastAsia" w:ascii="Times New Roman" w:hAnsi="Times New Roman" w:cs="Times New Roman"/>
                <w:color w:val="000000" w:themeColor="text1"/>
                <w:sz w:val="24"/>
                <w:szCs w:val="24"/>
              </w:rPr>
              <w:t>；</w:t>
            </w:r>
            <w:r>
              <w:rPr>
                <w:rFonts w:hint="eastAsia" w:ascii="Times New Roman" w:hAnsi="Times New Roman" w:cs="Times New Roman"/>
                <w:bCs/>
                <w:color w:val="000000" w:themeColor="text1"/>
                <w:sz w:val="24"/>
                <w:szCs w:val="24"/>
              </w:rPr>
              <w:t>布袋除尘器收集粉尘</w:t>
            </w:r>
            <w:r>
              <w:rPr>
                <w:rFonts w:ascii="Times New Roman" w:hAnsi="Times New Roman" w:cs="Times New Roman"/>
                <w:bCs/>
                <w:color w:val="000000" w:themeColor="text1"/>
                <w:sz w:val="24"/>
                <w:szCs w:val="24"/>
              </w:rPr>
              <w:t>直接作为项目生产原料利用</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④筛分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根据设计，项目拟设置2套筛分机对造粒后的水溶肥颗粒进行二次筛分，筛分后得到的</w:t>
            </w:r>
            <w:r>
              <w:rPr>
                <w:rFonts w:ascii="Times New Roman" w:hAnsi="Times New Roman" w:cs="Times New Roman"/>
                <w:color w:val="000000" w:themeColor="text1"/>
                <w:sz w:val="24"/>
                <w:szCs w:val="24"/>
              </w:rPr>
              <w:t>粒径为3mm-4mm颗粒状</w:t>
            </w:r>
            <w:r>
              <w:rPr>
                <w:rFonts w:hint="eastAsia" w:ascii="Times New Roman" w:hAnsi="Times New Roman" w:cs="Times New Roman"/>
                <w:color w:val="000000" w:themeColor="text1"/>
                <w:sz w:val="24"/>
                <w:szCs w:val="24"/>
              </w:rPr>
              <w:t>物料即为</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水溶肥产品</w:t>
            </w:r>
            <w:r>
              <w:rPr>
                <w:rFonts w:hint="eastAsia" w:ascii="Times New Roman" w:hAnsi="Times New Roman" w:cs="Times New Roman"/>
                <w:color w:val="000000" w:themeColor="text1"/>
                <w:sz w:val="24"/>
                <w:szCs w:val="24"/>
              </w:rPr>
              <w:t>，而筛分过程产生的粒径＜3mm的物料则返回造粒工序进行造粒。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筛分过程中筛分机会产生粉尘和噪声，针对筛分粉尘，项目拟对</w:t>
            </w:r>
            <w:r>
              <w:rPr>
                <w:rFonts w:hint="eastAsia" w:ascii="Times New Roman" w:hAnsi="Times New Roman" w:cs="Times New Roman"/>
                <w:color w:val="000000" w:themeColor="text1"/>
                <w:sz w:val="24"/>
                <w:szCs w:val="24"/>
              </w:rPr>
              <w:t>两台</w:t>
            </w:r>
            <w:r>
              <w:rPr>
                <w:rFonts w:ascii="Times New Roman" w:hAnsi="Times New Roman" w:cs="Times New Roman"/>
                <w:color w:val="000000" w:themeColor="text1"/>
                <w:sz w:val="24"/>
                <w:szCs w:val="24"/>
              </w:rPr>
              <w:t>筛分</w:t>
            </w:r>
            <w:r>
              <w:rPr>
                <w:rFonts w:hint="eastAsia" w:ascii="Times New Roman" w:hAnsi="Times New Roman" w:cs="Times New Roman"/>
                <w:color w:val="000000" w:themeColor="text1"/>
                <w:sz w:val="24"/>
                <w:szCs w:val="24"/>
              </w:rPr>
              <w:t>设备</w:t>
            </w:r>
            <w:r>
              <w:rPr>
                <w:rFonts w:ascii="Times New Roman" w:hAnsi="Times New Roman" w:cs="Times New Roman"/>
                <w:color w:val="000000" w:themeColor="text1"/>
                <w:sz w:val="24"/>
                <w:szCs w:val="24"/>
              </w:rPr>
              <w:t>产尘点进行封闭，并</w:t>
            </w:r>
            <w:r>
              <w:rPr>
                <w:rFonts w:hint="eastAsia" w:ascii="Times New Roman" w:hAnsi="Times New Roman" w:cs="Times New Roman"/>
                <w:color w:val="000000" w:themeColor="text1"/>
                <w:sz w:val="24"/>
                <w:szCs w:val="24"/>
              </w:rPr>
              <w:t>分别</w:t>
            </w:r>
            <w:r>
              <w:rPr>
                <w:rFonts w:ascii="Times New Roman" w:hAnsi="Times New Roman" w:cs="Times New Roman"/>
                <w:color w:val="000000" w:themeColor="text1"/>
                <w:sz w:val="24"/>
                <w:szCs w:val="24"/>
              </w:rPr>
              <w:t>设置集气罩，将粉尘进行统一收集后，通过1台布袋除尘器进行处理，并经过1根Φ0.35m、高15m的排气筒（DA001）外排</w:t>
            </w:r>
            <w:r>
              <w:rPr>
                <w:rFonts w:hint="eastAsia" w:ascii="Times New Roman" w:hAnsi="Times New Roman" w:cs="Times New Roman"/>
                <w:color w:val="000000" w:themeColor="text1"/>
                <w:sz w:val="24"/>
                <w:szCs w:val="24"/>
              </w:rPr>
              <w:t>；布袋除尘器收集粉尘</w:t>
            </w:r>
            <w:r>
              <w:rPr>
                <w:rFonts w:ascii="Times New Roman" w:hAnsi="Times New Roman" w:cs="Times New Roman"/>
                <w:color w:val="000000" w:themeColor="text1"/>
                <w:sz w:val="24"/>
                <w:szCs w:val="24"/>
              </w:rPr>
              <w:t>直接作为项目生产原料利用</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5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⑤</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称重、包装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按照包装袋规格对大量元素固体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水溶肥进行称重分袋、封口、装箱打包。打包好后暂存于产品堆存区，外运销售。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在此过程中封口机会产生一定的噪声。</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大量元素固体</w:t>
            </w:r>
            <w:r>
              <w:rPr>
                <w:rFonts w:hint="eastAsia" w:ascii="Times New Roman" w:hAnsi="Times New Roman" w:cs="Times New Roman"/>
                <w:b/>
                <w:color w:val="000000" w:themeColor="text1"/>
                <w:sz w:val="24"/>
                <w:szCs w:val="24"/>
              </w:rPr>
              <w:t>（粉状）</w:t>
            </w:r>
            <w:r>
              <w:rPr>
                <w:rFonts w:ascii="Times New Roman" w:hAnsi="Times New Roman" w:cs="Times New Roman"/>
                <w:b/>
                <w:color w:val="000000" w:themeColor="text1"/>
                <w:sz w:val="24"/>
                <w:szCs w:val="24"/>
              </w:rPr>
              <w:t>水溶肥</w:t>
            </w:r>
            <w:r>
              <w:rPr>
                <w:rFonts w:hint="eastAsia" w:ascii="Times New Roman" w:hAnsi="Times New Roman" w:cs="Times New Roman"/>
                <w:b/>
                <w:color w:val="000000" w:themeColor="text1"/>
                <w:sz w:val="24"/>
                <w:szCs w:val="24"/>
              </w:rPr>
              <w:t>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大量元素固体</w:t>
            </w:r>
            <w:r>
              <w:rPr>
                <w:rFonts w:hint="eastAsia" w:ascii="Times New Roman" w:hAnsi="Times New Roman" w:cs="Times New Roman"/>
                <w:b/>
                <w:bCs/>
                <w:color w:val="000000" w:themeColor="text1"/>
                <w:sz w:val="24"/>
                <w:szCs w:val="24"/>
              </w:rPr>
              <w:t>（粉状）</w:t>
            </w:r>
            <w:r>
              <w:rPr>
                <w:rFonts w:ascii="Times New Roman" w:hAnsi="Times New Roman" w:cs="Times New Roman"/>
                <w:b/>
                <w:bCs/>
                <w:color w:val="000000" w:themeColor="text1"/>
                <w:sz w:val="24"/>
                <w:szCs w:val="24"/>
              </w:rPr>
              <w:t>水溶肥工艺流程图示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根据设计，大量元素固体</w:t>
            </w:r>
            <w:r>
              <w:rPr>
                <w:rFonts w:hint="eastAsia" w:ascii="Times New Roman" w:hAnsi="Times New Roman" w:cs="Times New Roman"/>
                <w:bCs/>
                <w:color w:val="000000" w:themeColor="text1"/>
                <w:sz w:val="24"/>
                <w:szCs w:val="24"/>
              </w:rPr>
              <w:t>（粉状）</w:t>
            </w:r>
            <w:r>
              <w:rPr>
                <w:rFonts w:ascii="Times New Roman" w:hAnsi="Times New Roman" w:cs="Times New Roman"/>
                <w:bCs/>
                <w:color w:val="000000" w:themeColor="text1"/>
                <w:sz w:val="24"/>
                <w:szCs w:val="24"/>
              </w:rPr>
              <w:t>水溶肥工艺流程如下图所示。</w:t>
            </w:r>
          </w:p>
          <w:p>
            <w:pPr>
              <w:jc w:val="center"/>
              <w:rPr>
                <w:rFonts w:ascii="Times New Roman" w:hAnsi="Times New Roman" w:cs="Times New Roman"/>
                <w:bCs/>
                <w:color w:val="000000" w:themeColor="text1"/>
                <w:sz w:val="24"/>
                <w:szCs w:val="24"/>
              </w:rPr>
            </w:pPr>
            <w:r>
              <w:rPr>
                <w:color w:val="000000" w:themeColor="text1"/>
              </w:rPr>
              <w:object>
                <v:shape id="_x0000_i1027" o:spt="75" type="#_x0000_t75" style="height:228pt;width:194.1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w:t>
            </w:r>
            <w:r>
              <w:rPr>
                <w:rFonts w:hint="eastAsia" w:ascii="Times New Roman" w:hAnsi="Times New Roman" w:eastAsia="宋体" w:cs="Times New Roman"/>
                <w:b/>
                <w:color w:val="000000" w:themeColor="text1"/>
                <w:szCs w:val="24"/>
              </w:rPr>
              <w:t>2</w:t>
            </w:r>
            <w:r>
              <w:rPr>
                <w:rFonts w:ascii="Times New Roman" w:hAnsi="Times New Roman" w:eastAsia="宋体" w:cs="Times New Roman"/>
                <w:b/>
                <w:color w:val="000000" w:themeColor="text1"/>
                <w:szCs w:val="24"/>
              </w:rPr>
              <w:t xml:space="preserve">  大量元素固体</w:t>
            </w:r>
            <w:r>
              <w:rPr>
                <w:rFonts w:hint="eastAsia" w:ascii="Times New Roman" w:hAnsi="Times New Roman" w:eastAsia="宋体" w:cs="Times New Roman"/>
                <w:b/>
                <w:color w:val="000000" w:themeColor="text1"/>
                <w:szCs w:val="24"/>
              </w:rPr>
              <w:t>（粉状）</w:t>
            </w:r>
            <w:r>
              <w:rPr>
                <w:rFonts w:ascii="Times New Roman" w:hAnsi="Times New Roman" w:eastAsia="宋体" w:cs="Times New Roman"/>
                <w:b/>
                <w:color w:val="000000" w:themeColor="text1"/>
                <w:szCs w:val="24"/>
              </w:rPr>
              <w:t>水溶肥生产工艺及产污流程示意图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大量元素固体</w:t>
            </w:r>
            <w:r>
              <w:rPr>
                <w:rFonts w:hint="eastAsia" w:ascii="Times New Roman" w:hAnsi="Times New Roman" w:cs="Times New Roman"/>
                <w:b/>
                <w:bCs/>
                <w:color w:val="000000" w:themeColor="text1"/>
                <w:sz w:val="24"/>
                <w:szCs w:val="24"/>
              </w:rPr>
              <w:t>（粉状）</w:t>
            </w:r>
            <w:r>
              <w:rPr>
                <w:rFonts w:ascii="Times New Roman" w:hAnsi="Times New Roman" w:cs="Times New Roman"/>
                <w:b/>
                <w:bCs/>
                <w:color w:val="000000" w:themeColor="text1"/>
                <w:sz w:val="24"/>
                <w:szCs w:val="24"/>
              </w:rPr>
              <w:t>水溶肥生产工艺简述：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该项目工艺无化学反应过程，仅为简单的物料混合，具体工艺如下：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备料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将外购合格的大量元素水溶肥料原料根据高氮、高磷、高钾以及平衡的大量元素水溶肥配方进行配比；做到不剩料不短料。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在此过程中会产生废弃的原料包装袋，分别统一收集后委托生产厂家回收，不随意丢弃。</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②搅拌混合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将粉状原料，按照设定的比例加入到混合搅拌机内，在混合搅拌机内进行密闭充分混合</w:t>
            </w:r>
            <w:r>
              <w:rPr>
                <w:rFonts w:hint="eastAsia" w:ascii="Times New Roman" w:hAnsi="Times New Roman" w:cs="Times New Roman"/>
                <w:color w:val="000000" w:themeColor="text1"/>
                <w:sz w:val="24"/>
                <w:szCs w:val="24"/>
              </w:rPr>
              <w:t>均匀即得到</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（粉状）</w:t>
            </w:r>
            <w:r>
              <w:rPr>
                <w:rFonts w:ascii="Times New Roman" w:hAnsi="Times New Roman" w:cs="Times New Roman"/>
                <w:color w:val="000000" w:themeColor="text1"/>
                <w:sz w:val="24"/>
                <w:szCs w:val="24"/>
              </w:rPr>
              <w:t>水溶肥</w:t>
            </w:r>
            <w:r>
              <w:rPr>
                <w:rFonts w:hint="eastAsia" w:ascii="Times New Roman" w:hAnsi="Times New Roman" w:cs="Times New Roman"/>
                <w:color w:val="000000" w:themeColor="text1"/>
                <w:sz w:val="24"/>
                <w:szCs w:val="24"/>
              </w:rPr>
              <w:t>产品</w:t>
            </w:r>
            <w:r>
              <w:rPr>
                <w:rFonts w:ascii="Times New Roman" w:hAnsi="Times New Roman" w:cs="Times New Roman"/>
                <w:color w:val="000000" w:themeColor="text1"/>
                <w:sz w:val="24"/>
                <w:szCs w:val="24"/>
              </w:rPr>
              <w:t>；使每批产品均达到登记证上各指标的含量要求。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由于项目使用原料均为晶体，因此在加料混合过程基本无粉尘产生。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称重、包装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按照包装袋规格对大量元素固体</w:t>
            </w:r>
            <w:r>
              <w:rPr>
                <w:rFonts w:hint="eastAsia" w:ascii="Times New Roman" w:hAnsi="Times New Roman" w:cs="Times New Roman"/>
                <w:color w:val="000000" w:themeColor="text1"/>
                <w:sz w:val="24"/>
                <w:szCs w:val="24"/>
              </w:rPr>
              <w:t>（粉状）</w:t>
            </w:r>
            <w:r>
              <w:rPr>
                <w:rFonts w:ascii="Times New Roman" w:hAnsi="Times New Roman" w:cs="Times New Roman"/>
                <w:color w:val="000000" w:themeColor="text1"/>
                <w:sz w:val="24"/>
                <w:szCs w:val="24"/>
              </w:rPr>
              <w:t>水溶肥进行称重分袋、封口、装箱打包。打包好后暂存于产品堆存区，外运销售。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在此过程中封口机会产生一定的噪声。</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含腐植酸液体水溶肥</w:t>
            </w:r>
            <w:r>
              <w:rPr>
                <w:rFonts w:hint="eastAsia" w:ascii="Times New Roman" w:hAnsi="Times New Roman" w:cs="Times New Roman"/>
                <w:b/>
                <w:color w:val="000000" w:themeColor="text1"/>
                <w:sz w:val="24"/>
                <w:szCs w:val="24"/>
              </w:rPr>
              <w:t>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含腐植酸液体水溶肥工艺流程图示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根据设计，含腐植酸液体水溶肥工艺流程如下图所示。</w:t>
            </w:r>
          </w:p>
          <w:p>
            <w:pPr>
              <w:jc w:val="center"/>
              <w:rPr>
                <w:rFonts w:ascii="Times New Roman" w:hAnsi="Times New Roman" w:cs="Times New Roman"/>
                <w:bCs/>
                <w:color w:val="000000" w:themeColor="text1"/>
                <w:sz w:val="24"/>
                <w:szCs w:val="24"/>
              </w:rPr>
            </w:pPr>
            <w:r>
              <w:rPr>
                <w:color w:val="000000" w:themeColor="text1"/>
              </w:rPr>
              <w:object>
                <v:shape id="_x0000_i1028" o:spt="75" type="#_x0000_t75" style="height:173.65pt;width:335.3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w:t>
            </w:r>
            <w:r>
              <w:rPr>
                <w:rFonts w:hint="eastAsia" w:ascii="Times New Roman" w:hAnsi="Times New Roman" w:eastAsia="宋体" w:cs="Times New Roman"/>
                <w:b/>
                <w:color w:val="000000" w:themeColor="text1"/>
                <w:szCs w:val="24"/>
              </w:rPr>
              <w:t>3</w:t>
            </w:r>
            <w:r>
              <w:rPr>
                <w:rFonts w:ascii="Times New Roman" w:hAnsi="Times New Roman" w:eastAsia="宋体" w:cs="Times New Roman"/>
                <w:b/>
                <w:color w:val="000000" w:themeColor="text1"/>
                <w:szCs w:val="24"/>
              </w:rPr>
              <w:t xml:space="preserve">  含腐植酸液体水溶肥生产工艺及产污流程示意图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含腐植酸液体水溶肥生产工艺简述：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生产基液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w:t>
            </w:r>
            <w:r>
              <w:rPr>
                <w:rFonts w:hint="eastAsia" w:ascii="Times New Roman" w:hAnsi="Times New Roman" w:cs="Times New Roman"/>
                <w:color w:val="000000" w:themeColor="text1"/>
                <w:sz w:val="24"/>
                <w:szCs w:val="24"/>
              </w:rPr>
              <w:t>直接从市场购入发酵过的含腐殖酸基液作为</w:t>
            </w:r>
            <w:r>
              <w:rPr>
                <w:rFonts w:ascii="Times New Roman" w:hAnsi="Times New Roman" w:cs="Times New Roman"/>
                <w:color w:val="000000" w:themeColor="text1"/>
                <w:sz w:val="24"/>
                <w:szCs w:val="24"/>
              </w:rPr>
              <w:t>第一主料，</w:t>
            </w:r>
            <w:r>
              <w:rPr>
                <w:rFonts w:hint="eastAsia" w:ascii="Times New Roman" w:hAnsi="Times New Roman" w:cs="Times New Roman"/>
                <w:color w:val="000000" w:themeColor="text1"/>
                <w:sz w:val="24"/>
                <w:szCs w:val="24"/>
              </w:rPr>
              <w:t>项目拟设置2个50m³的含腐殖酸基液储罐对其进行暂存，</w:t>
            </w:r>
            <w:r>
              <w:rPr>
                <w:rFonts w:ascii="Times New Roman" w:hAnsi="Times New Roman" w:cs="Times New Roman"/>
                <w:color w:val="000000" w:themeColor="text1"/>
                <w:sz w:val="24"/>
                <w:szCs w:val="24"/>
              </w:rPr>
              <w:t>省去厂里发酵的环节，避免发酵环节可能产生的环境污染</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②</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第二主料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根据不同作物不同时节的营养需求及客户订单的实际需求核定氮磷钾、中微量元素配比作为含腐植酸水溶肥的无机配方，也即为含腐植酸水溶肥的第二主料</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在此过程中会产生废弃的原料包装袋，分别统一收集后委托生产厂家回收，不随意丢弃。</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搅拌混合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在液体搅拌罐内，按一定的比例将以上两种主料进行搅拌，每次搅拌料总重300kg；充分搅拌30min；搅拌后即为含腐植酸液体水溶肥</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搅拌过程会有少量原料异味产生。</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4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④</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称重、包装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搅拌后的含腐植酸液体水溶肥，用塑料桶进行分装，分装规格为10kg/桶或20kg/桶，桶里加一层塑料包装袋以防运输途中渗漏；打包好后暂存于产品堆存区，外运销售。</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xml:space="preserve">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w:t>
            </w:r>
            <w:r>
              <w:rPr>
                <w:rFonts w:hint="eastAsia" w:ascii="Times New Roman" w:hAnsi="Times New Roman" w:cs="Times New Roman"/>
                <w:bCs/>
                <w:color w:val="000000" w:themeColor="text1"/>
                <w:sz w:val="24"/>
                <w:szCs w:val="24"/>
              </w:rPr>
              <w:t>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根据项目建设内容及生产工艺，</w:t>
            </w:r>
            <w:r>
              <w:rPr>
                <w:rFonts w:hint="eastAsia" w:ascii="Times New Roman" w:hAnsi="Times New Roman" w:cs="Times New Roman"/>
                <w:bCs/>
                <w:color w:val="000000" w:themeColor="text1"/>
                <w:sz w:val="24"/>
                <w:szCs w:val="24"/>
              </w:rPr>
              <w:t>项目</w:t>
            </w:r>
            <w:r>
              <w:rPr>
                <w:rFonts w:ascii="Times New Roman" w:hAnsi="Times New Roman" w:cs="Times New Roman"/>
                <w:bCs/>
                <w:color w:val="000000" w:themeColor="text1"/>
                <w:sz w:val="24"/>
                <w:szCs w:val="24"/>
              </w:rPr>
              <w:t>生产工艺为单纯性的物理混合</w:t>
            </w:r>
            <w:r>
              <w:rPr>
                <w:rFonts w:hint="eastAsia" w:ascii="Times New Roman" w:hAnsi="Times New Roman" w:cs="Times New Roman"/>
                <w:bCs/>
                <w:color w:val="000000" w:themeColor="text1"/>
                <w:sz w:val="24"/>
                <w:szCs w:val="24"/>
              </w:rPr>
              <w:t>，项目使用固体原料属于晶体性原料，因此在备料、投料和混合过程中基本无粉尘产生，主要粉尘来源于</w:t>
            </w:r>
            <w:r>
              <w:rPr>
                <w:rFonts w:ascii="Times New Roman" w:hAnsi="Times New Roman" w:cs="Times New Roman"/>
                <w:bCs/>
                <w:color w:val="000000" w:themeColor="text1"/>
                <w:sz w:val="24"/>
                <w:szCs w:val="24"/>
              </w:rPr>
              <w:t>大量元素固体</w:t>
            </w:r>
            <w:r>
              <w:rPr>
                <w:rFonts w:hint="eastAsia" w:ascii="Times New Roman" w:hAnsi="Times New Roman" w:cs="Times New Roman"/>
                <w:bCs/>
                <w:color w:val="000000" w:themeColor="text1"/>
                <w:sz w:val="24"/>
                <w:szCs w:val="24"/>
              </w:rPr>
              <w:t>（颗粒）</w:t>
            </w:r>
            <w:r>
              <w:rPr>
                <w:rFonts w:ascii="Times New Roman" w:hAnsi="Times New Roman" w:cs="Times New Roman"/>
                <w:bCs/>
                <w:color w:val="000000" w:themeColor="text1"/>
                <w:sz w:val="24"/>
                <w:szCs w:val="24"/>
              </w:rPr>
              <w:t>水溶肥生产线</w:t>
            </w:r>
            <w:r>
              <w:rPr>
                <w:rFonts w:hint="eastAsia" w:ascii="Times New Roman" w:hAnsi="Times New Roman" w:cs="Times New Roman"/>
                <w:bCs/>
                <w:color w:val="000000" w:themeColor="text1"/>
                <w:sz w:val="24"/>
                <w:szCs w:val="24"/>
              </w:rPr>
              <w:t>中造粒和筛分工序产生的粉尘和</w:t>
            </w:r>
            <w:r>
              <w:rPr>
                <w:rFonts w:ascii="Times New Roman" w:hAnsi="Times New Roman" w:cs="Times New Roman"/>
                <w:bCs/>
                <w:color w:val="000000" w:themeColor="text1"/>
                <w:sz w:val="24"/>
                <w:szCs w:val="24"/>
              </w:rPr>
              <w:t>含腐植酸液体水溶肥生产线</w:t>
            </w:r>
            <w:r>
              <w:rPr>
                <w:rFonts w:hint="eastAsia" w:ascii="Times New Roman" w:hAnsi="Times New Roman" w:cs="Times New Roman"/>
                <w:bCs/>
                <w:color w:val="000000" w:themeColor="text1"/>
                <w:sz w:val="24"/>
                <w:szCs w:val="24"/>
              </w:rPr>
              <w:t>原料产生的异味。</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本项目用水环节包括、设备清洗用水和生活用水；</w:t>
            </w:r>
            <w:r>
              <w:rPr>
                <w:rFonts w:ascii="Times New Roman" w:hAnsi="Times New Roman" w:cs="Times New Roman"/>
                <w:color w:val="000000" w:themeColor="text1"/>
                <w:sz w:val="24"/>
                <w:szCs w:val="24"/>
              </w:rPr>
              <w:t>废水产生类型包括</w:t>
            </w:r>
            <w:r>
              <w:rPr>
                <w:rFonts w:hint="eastAsia" w:ascii="Times New Roman" w:hAnsi="Times New Roman" w:cs="Times New Roman"/>
                <w:color w:val="000000" w:themeColor="text1"/>
                <w:sz w:val="24"/>
                <w:szCs w:val="24"/>
              </w:rPr>
              <w:t>设备清洗废水和生活污水。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w:t>
            </w:r>
            <w:r>
              <w:rPr>
                <w:rFonts w:hint="eastAsia" w:eastAsiaTheme="minorEastAsia"/>
                <w:color w:val="000000" w:themeColor="text1"/>
                <w:szCs w:val="24"/>
              </w:rPr>
              <w:t>：废包装材料、收集粉尘、</w:t>
            </w:r>
            <w:r>
              <w:rPr>
                <w:rFonts w:eastAsiaTheme="minorEastAsia"/>
                <w:color w:val="000000" w:themeColor="text1"/>
                <w:szCs w:val="24"/>
              </w:rPr>
              <w:t>设备维修产生的废机油及废弃沾油抹布</w:t>
            </w:r>
            <w:r>
              <w:rPr>
                <w:rFonts w:hint="eastAsia" w:eastAsiaTheme="minorEastAsia"/>
                <w:color w:val="000000" w:themeColor="text1"/>
                <w:szCs w:val="24"/>
              </w:rPr>
              <w:t>和</w:t>
            </w:r>
            <w:r>
              <w:rPr>
                <w:rFonts w:eastAsiaTheme="minorEastAsia"/>
                <w:color w:val="000000" w:themeColor="text1"/>
                <w:szCs w:val="24"/>
              </w:rPr>
              <w:t>生活垃圾</w:t>
            </w:r>
            <w:r>
              <w:rPr>
                <w:rFonts w:hint="eastAsia" w:eastAsiaTheme="minorEastAsia"/>
                <w:color w:val="000000" w:themeColor="text1"/>
                <w:szCs w:val="24"/>
              </w:rPr>
              <w:t>。</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（1）依托设施的原有情况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昆明再生资源（集团）天生桥再生资源回收基地已配套设置标准厂房、办公生活设施等，目前基地内已引进并正在营业的企业有10余家，依托使用基地内设施的员工不超过200人，其生活污水产生量不超过20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d，而昆明再生资源（集团）天生桥再生资源回收基地已配套设施的设置的2座设计规模均为15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/d的中水处理站可处置30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/d的生活污水量，余量为10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而本项目建成后，基地新增生活污水量为0.32m³/d，则昆明再生资源（集团）天生桥再生资源回收基地生活污水处理设施余量可满足本项目依托使用。昆明再生资源（集团）天生桥再生资源回收基地及其配套的环保工程已通过环保竣工验收，因此依托措施可行。</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（2）租赁厂房原有情况</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本项目租用昆明再生资源（集团）天生桥再生资源回收基地建设的标准厂房进行项目建设。根据调查，该标准厂房目前正在建设中，</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厂房设计，该厂房高约10m，为钢架结构封闭式标准厂房，地面将采用混泥土进行硬化；基本无与本项目有关的环境问题。</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0"/>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本项目位于云南省东川再就业特区天生桥特色产业园区，属于环境空气二类区，执行《环境空气质量标准》（GB3095-2012）二级标准。该园区属于东川区管辖的异地工业园区，该区域位于寻甸县境内；</w:t>
            </w:r>
            <w:r>
              <w:rPr>
                <w:rFonts w:hint="eastAsia" w:eastAsiaTheme="minorEastAsia"/>
                <w:color w:val="000000" w:themeColor="text1"/>
                <w:szCs w:val="24"/>
              </w:rPr>
              <w:t>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w:t>
            </w:r>
            <w:r>
              <w:rPr>
                <w:rFonts w:hint="eastAsia" w:eastAsiaTheme="minorEastAsia"/>
                <w:color w:val="000000" w:themeColor="text1"/>
                <w:szCs w:val="24"/>
              </w:rPr>
              <w:t>。本项目排放的有</w:t>
            </w:r>
            <w:r>
              <w:rPr>
                <w:rFonts w:eastAsiaTheme="minorEastAsia"/>
                <w:color w:val="000000" w:themeColor="text1"/>
                <w:szCs w:val="24"/>
              </w:rPr>
              <w:t>国家、地方环境空气质量标准</w:t>
            </w:r>
            <w:r>
              <w:rPr>
                <w:rFonts w:hint="eastAsia" w:eastAsiaTheme="minorEastAsia"/>
                <w:color w:val="000000" w:themeColor="text1"/>
                <w:szCs w:val="24"/>
              </w:rPr>
              <w:t>的特征污染物为</w:t>
            </w:r>
            <w:r>
              <w:rPr>
                <w:rFonts w:eastAsiaTheme="minorEastAsia"/>
                <w:color w:val="000000" w:themeColor="text1"/>
                <w:szCs w:val="24"/>
              </w:rPr>
              <w:t>TSP</w:t>
            </w:r>
            <w:r>
              <w:rPr>
                <w:rFonts w:hint="eastAsia" w:eastAsiaTheme="minorEastAsia"/>
                <w:color w:val="000000" w:themeColor="text1"/>
                <w:szCs w:val="24"/>
              </w:rPr>
              <w:t>，</w:t>
            </w:r>
            <w:r>
              <w:rPr>
                <w:rFonts w:eastAsiaTheme="minorEastAsia"/>
                <w:color w:val="000000" w:themeColor="text1"/>
                <w:szCs w:val="24"/>
              </w:rPr>
              <w:t>根据调查，云南奥路土工材料有限公司</w:t>
            </w:r>
            <w:r>
              <w:rPr>
                <w:rFonts w:hint="eastAsia" w:eastAsiaTheme="minorEastAsia"/>
                <w:color w:val="000000" w:themeColor="text1"/>
                <w:szCs w:val="24"/>
              </w:rPr>
              <w:t>位于项目区东北侧约100m，该公司在</w:t>
            </w:r>
            <w:r>
              <w:rPr>
                <w:rFonts w:eastAsiaTheme="minorEastAsia"/>
                <w:color w:val="000000" w:themeColor="text1"/>
                <w:szCs w:val="24"/>
              </w:rPr>
              <w:t>环评时已对</w:t>
            </w:r>
            <w:r>
              <w:rPr>
                <w:rFonts w:hint="eastAsia" w:eastAsiaTheme="minorEastAsia"/>
                <w:color w:val="000000" w:themeColor="text1"/>
                <w:szCs w:val="24"/>
              </w:rPr>
              <w:t>其项目区及</w:t>
            </w:r>
            <w:r>
              <w:rPr>
                <w:rFonts w:eastAsiaTheme="minorEastAsia"/>
                <w:color w:val="000000" w:themeColor="text1"/>
                <w:szCs w:val="24"/>
              </w:rPr>
              <w:t>黑泥沟村TSP进行了监测，监测时间为2020年6月26日至7月3日，满足引用条件，因此本环评引用其对环境质量现状进行评价</w:t>
            </w:r>
            <w:r>
              <w:rPr>
                <w:rFonts w:hint="eastAsia" w:eastAsiaTheme="minorEastAsia"/>
                <w:color w:val="000000" w:themeColor="text1"/>
                <w:szCs w:val="24"/>
              </w:rPr>
              <w:t>。</w:t>
            </w:r>
            <w:r>
              <w:rPr>
                <w:rFonts w:eastAsiaTheme="minorEastAsia"/>
                <w:color w:val="000000" w:themeColor="text1"/>
                <w:szCs w:val="24"/>
              </w:rPr>
              <w:t>TSP日均值监测结果见下表。</w:t>
            </w:r>
          </w:p>
          <w:p>
            <w:pPr>
              <w:jc w:val="center"/>
              <w:rPr>
                <w:rFonts w:ascii="Times New Roman" w:hAnsi="Times New Roman" w:cs="Times New Roman"/>
                <w:b/>
                <w:color w:val="000000" w:themeColor="text1"/>
                <w:szCs w:val="24"/>
              </w:rPr>
            </w:pPr>
            <w:r>
              <w:rPr>
                <w:rFonts w:ascii="Times New Roman" w:cs="Times New Roman"/>
                <w:b/>
                <w:color w:val="000000" w:themeColor="text1"/>
                <w:szCs w:val="24"/>
              </w:rPr>
              <w:t>表</w:t>
            </w:r>
            <w:r>
              <w:rPr>
                <w:rFonts w:ascii="Times New Roman" w:hAnsi="Times New Roman" w:cs="Times New Roman"/>
                <w:b/>
                <w:color w:val="000000" w:themeColor="text1"/>
                <w:szCs w:val="24"/>
              </w:rPr>
              <w:t>3.1.1-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项目区域</w:t>
            </w:r>
            <w:r>
              <w:rPr>
                <w:rFonts w:ascii="Times New Roman" w:hAnsi="Times New Roman" w:cs="Times New Roman"/>
                <w:b/>
                <w:color w:val="000000" w:themeColor="text1"/>
                <w:szCs w:val="24"/>
              </w:rPr>
              <w:t>TSP</w:t>
            </w:r>
            <w:r>
              <w:rPr>
                <w:rFonts w:ascii="Times New Roman" w:cs="Times New Roman"/>
                <w:b/>
                <w:color w:val="000000" w:themeColor="text1"/>
                <w:szCs w:val="24"/>
              </w:rPr>
              <w:t>日均值检测结果一览表</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单位：</w:t>
            </w:r>
            <w:r>
              <w:rPr>
                <w:rFonts w:ascii="Times New Roman" w:hAnsi="Times New Roman" w:cs="Times New Roman"/>
                <w:b/>
                <w:color w:val="000000" w:themeColor="text1"/>
                <w:szCs w:val="24"/>
              </w:rPr>
              <w:t>mg/m³</w:t>
            </w:r>
          </w:p>
          <w:tbl>
            <w:tblPr>
              <w:tblStyle w:val="21"/>
              <w:tblW w:w="86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3"/>
              <w:gridCol w:w="2178"/>
              <w:gridCol w:w="2382"/>
              <w:gridCol w:w="2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检测点位</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采样日期</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时间</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restart"/>
                  <w:tcMar>
                    <w:top w:w="15" w:type="dxa"/>
                    <w:left w:w="15" w:type="dxa"/>
                    <w:bottom w:w="15" w:type="dxa"/>
                    <w:right w:w="15" w:type="dxa"/>
                  </w:tcMar>
                  <w:vAlign w:val="center"/>
                </w:tcPr>
                <w:p>
                  <w:pPr>
                    <w:pStyle w:val="32"/>
                    <w:spacing w:line="360" w:lineRule="exact"/>
                    <w:rPr>
                      <w:color w:val="000000" w:themeColor="text1"/>
                    </w:rPr>
                  </w:pPr>
                  <w:r>
                    <w:rPr>
                      <w:color w:val="000000" w:themeColor="text1"/>
                    </w:rPr>
                    <w:t>云南奥路土工材料有限公司厂界内</w:t>
                  </w:r>
                  <w:r>
                    <w:rPr>
                      <w:rFonts w:hint="eastAsia"/>
                      <w:color w:val="000000" w:themeColor="text1"/>
                    </w:rPr>
                    <w:t>（项目区东北侧约100m）</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2020/6/26-27</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10:10-（次日）10:10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2020/6/27-28</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10:15-（次日）10:15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2020/6/28-29</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10:20-（次日）10:20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2020/6/29-30</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10:30-（次日）10:30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2020/6/30-7/1</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10:35-（次日）10:35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2020/7/1-2</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10:45-（次日）10:45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2020/7/2-3</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10:50-（次日）10:50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restart"/>
                  <w:tcMar>
                    <w:top w:w="15" w:type="dxa"/>
                    <w:left w:w="15" w:type="dxa"/>
                    <w:bottom w:w="15" w:type="dxa"/>
                    <w:right w:w="15" w:type="dxa"/>
                  </w:tcMar>
                  <w:vAlign w:val="center"/>
                </w:tcPr>
                <w:p>
                  <w:pPr>
                    <w:pStyle w:val="32"/>
                    <w:spacing w:line="360" w:lineRule="exact"/>
                    <w:rPr>
                      <w:color w:val="000000" w:themeColor="text1"/>
                    </w:rPr>
                  </w:pPr>
                  <w:r>
                    <w:rPr>
                      <w:color w:val="000000" w:themeColor="text1"/>
                    </w:rPr>
                    <w:t>下风向黑泥沟村</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2020/6/26-27</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11:00-（次日）11:00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2020/6/27-28</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11:10-（次日）11:10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2020/6/28-29</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11:20-（次日）11:20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2020/6/29-30</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11:25-（次日）11:25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2020/6/30-7/1</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11:30-（次日）11:30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2020/7/1-2</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11:40-（次日）11:40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2020/7/2-3</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11:50-（次日）11:50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3" w:type="dxa"/>
                  <w:gridSpan w:val="3"/>
                  <w:tcMar>
                    <w:top w:w="15" w:type="dxa"/>
                    <w:left w:w="15" w:type="dxa"/>
                    <w:bottom w:w="15" w:type="dxa"/>
                    <w:right w:w="15" w:type="dxa"/>
                  </w:tcMar>
                  <w:vAlign w:val="center"/>
                </w:tcPr>
                <w:p>
                  <w:pPr>
                    <w:pStyle w:val="32"/>
                    <w:spacing w:line="360" w:lineRule="exact"/>
                    <w:rPr>
                      <w:color w:val="000000" w:themeColor="text1"/>
                    </w:rPr>
                  </w:pPr>
                  <w:r>
                    <w:rPr>
                      <w:color w:val="000000" w:themeColor="text1"/>
                    </w:rPr>
                    <w:t>标准值</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0.3</w:t>
                  </w:r>
                </w:p>
              </w:tc>
            </w:tr>
          </w:tbl>
          <w:p>
            <w:pPr>
              <w:pStyle w:val="40"/>
              <w:spacing w:beforeLines="50"/>
              <w:ind w:firstLine="480"/>
              <w:rPr>
                <w:color w:val="000000" w:themeColor="text1"/>
                <w:szCs w:val="24"/>
              </w:rPr>
            </w:pPr>
            <w:r>
              <w:rPr>
                <w:color w:val="000000" w:themeColor="text1"/>
                <w:szCs w:val="24"/>
              </w:rPr>
              <w:t>根据以上监测结果可知，项目评价范围内TSP可达到《环境空气质量标准》（GB3095-2012）二级标准限值要求。</w:t>
            </w:r>
          </w:p>
          <w:p>
            <w:pPr>
              <w:pStyle w:val="4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0"/>
              <w:ind w:firstLine="480"/>
              <w:rPr>
                <w:color w:val="000000" w:themeColor="text1"/>
                <w:szCs w:val="24"/>
              </w:rPr>
            </w:pPr>
            <w:r>
              <w:rPr>
                <w:color w:val="000000" w:themeColor="text1"/>
                <w:szCs w:val="24"/>
              </w:rPr>
              <w:t>项目所在区域属于黑泥沟的汇水范围，该沟渠位于项目北侧486m处，黑泥沟地表水通过甸头大河最终汇入小江，甸头大河为小江（清水海-入金沙江口段）的支流，区域地表水最终汇集于小江；根据云南省水利厅发布的《云南省水功能区划》（2014版），小江（清水海-入金沙江口段）到2030年的水质目标为III类水体，执行《地表水环境质量标准》（GB3838-2002）</w:t>
            </w:r>
            <w:r>
              <w:rPr>
                <w:color w:val="000000" w:themeColor="text1"/>
                <w:szCs w:val="24"/>
              </w:rPr>
              <w:fldChar w:fldCharType="begin"/>
            </w:r>
            <w:r>
              <w:rPr>
                <w:color w:val="000000" w:themeColor="text1"/>
                <w:szCs w:val="24"/>
              </w:rPr>
              <w:instrText xml:space="preserve"> = 3 \* ROMAN </w:instrText>
            </w:r>
            <w:r>
              <w:rPr>
                <w:color w:val="000000" w:themeColor="text1"/>
                <w:szCs w:val="24"/>
              </w:rPr>
              <w:fldChar w:fldCharType="separate"/>
            </w:r>
            <w:r>
              <w:rPr>
                <w:color w:val="000000" w:themeColor="text1"/>
                <w:szCs w:val="24"/>
              </w:rPr>
              <w:t>II</w:t>
            </w:r>
            <w:r>
              <w:rPr>
                <w:color w:val="000000" w:themeColor="text1"/>
                <w:szCs w:val="24"/>
              </w:rPr>
              <w:fldChar w:fldCharType="end"/>
            </w:r>
            <w:r>
              <w:rPr>
                <w:color w:val="000000" w:themeColor="text1"/>
                <w:szCs w:val="24"/>
              </w:rPr>
              <w:t>I类标准。黑泥沟、甸头大河均无环境功能区划，根据水功能区划原则，参照执行小江河段的功能区划，亦执行《地表水环境质量标准》（GB3838-2002）III类水标准。</w:t>
            </w:r>
          </w:p>
          <w:p>
            <w:pPr>
              <w:pStyle w:val="40"/>
              <w:ind w:firstLine="480"/>
              <w:rPr>
                <w:color w:val="000000" w:themeColor="text1"/>
                <w:szCs w:val="24"/>
              </w:rPr>
            </w:pPr>
            <w:r>
              <w:rPr>
                <w:color w:val="000000" w:themeColor="text1"/>
                <w:szCs w:val="24"/>
              </w:rPr>
              <w:t>在环评编制期间，收集了东川区监测站201</w:t>
            </w:r>
            <w:r>
              <w:rPr>
                <w:rFonts w:hint="eastAsia"/>
                <w:color w:val="000000" w:themeColor="text1"/>
                <w:szCs w:val="24"/>
              </w:rPr>
              <w:t>9</w:t>
            </w:r>
            <w:r>
              <w:rPr>
                <w:color w:val="000000" w:themeColor="text1"/>
                <w:szCs w:val="24"/>
              </w:rPr>
              <w:t>年</w:t>
            </w:r>
            <w:r>
              <w:rPr>
                <w:rFonts w:hint="eastAsia"/>
                <w:color w:val="000000" w:themeColor="text1"/>
                <w:szCs w:val="24"/>
              </w:rPr>
              <w:t>12月</w:t>
            </w:r>
            <w:r>
              <w:rPr>
                <w:color w:val="000000" w:themeColor="text1"/>
                <w:szCs w:val="24"/>
              </w:rPr>
              <w:t>对</w:t>
            </w:r>
            <w:r>
              <w:rPr>
                <w:rFonts w:hint="eastAsia"/>
                <w:color w:val="000000" w:themeColor="text1"/>
                <w:szCs w:val="24"/>
              </w:rPr>
              <w:t>小江</w:t>
            </w:r>
            <w:r>
              <w:rPr>
                <w:color w:val="000000" w:themeColor="text1"/>
                <w:szCs w:val="24"/>
              </w:rPr>
              <w:t>姑海断面的环境现状监测统计数据，如下表所示。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 xml:space="preserve">2-1 </w:t>
            </w:r>
            <w:r>
              <w:rPr>
                <w:rFonts w:hint="eastAsia" w:hAnsi="Times New Roman" w:eastAsia="宋体"/>
                <w:bCs/>
                <w:snapToGrid w:val="0"/>
                <w:color w:val="000000" w:themeColor="text1"/>
                <w:sz w:val="21"/>
                <w:szCs w:val="21"/>
              </w:rPr>
              <w:t>小江</w:t>
            </w:r>
            <w:r>
              <w:rPr>
                <w:rFonts w:hAnsi="Times New Roman" w:eastAsia="宋体"/>
                <w:bCs/>
                <w:snapToGrid w:val="0"/>
                <w:color w:val="000000" w:themeColor="text1"/>
                <w:sz w:val="21"/>
                <w:szCs w:val="21"/>
              </w:rPr>
              <w:t>姑海断面水质检测结果一览表   单位：mg/L</w:t>
            </w:r>
          </w:p>
          <w:tbl>
            <w:tblPr>
              <w:tblStyle w:val="21"/>
              <w:tblW w:w="8608" w:type="dxa"/>
              <w:jc w:val="center"/>
              <w:tblInd w:w="0" w:type="dxa"/>
              <w:tblLayout w:type="fixed"/>
              <w:tblCellMar>
                <w:top w:w="0" w:type="dxa"/>
                <w:left w:w="108" w:type="dxa"/>
                <w:bottom w:w="0" w:type="dxa"/>
                <w:right w:w="108" w:type="dxa"/>
              </w:tblCellMar>
            </w:tblPr>
            <w:tblGrid>
              <w:gridCol w:w="1139"/>
              <w:gridCol w:w="2034"/>
              <w:gridCol w:w="1866"/>
              <w:gridCol w:w="1634"/>
              <w:gridCol w:w="1935"/>
            </w:tblGrid>
            <w:tr>
              <w:tblPrEx>
                <w:tblLayout w:type="fixed"/>
                <w:tblCellMar>
                  <w:top w:w="0" w:type="dxa"/>
                  <w:left w:w="108" w:type="dxa"/>
                  <w:bottom w:w="0" w:type="dxa"/>
                  <w:right w:w="108" w:type="dxa"/>
                </w:tblCellMar>
              </w:tblPrEx>
              <w:trPr>
                <w:trHeight w:val="1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序号</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监测项目</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姑海</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标准值</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pH（无量纲）</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8.20</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6-9</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CODcr</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20</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4</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0.08</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TP</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0.05</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阴离子表面活性剂</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0.05L</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8</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锌</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氟化物</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0.2</w:t>
                  </w:r>
                  <w:r>
                    <w:rPr>
                      <w:rFonts w:hint="eastAsia"/>
                      <w:color w:val="000000" w:themeColor="text1"/>
                      <w:szCs w:val="21"/>
                    </w:rPr>
                    <w:t>0</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砷</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0.0003L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11</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汞</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0.0004L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0.0001</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镉</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0.0001L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13</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六价铬</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0.004L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14</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铅</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0.002L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15</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粪大肠菌群</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500</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20000个/L</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bl>
          <w:p>
            <w:pPr>
              <w:pStyle w:val="40"/>
              <w:spacing w:beforeLines="50"/>
              <w:ind w:firstLine="480"/>
              <w:rPr>
                <w:rFonts w:eastAsiaTheme="minorEastAsia"/>
                <w:color w:val="000000" w:themeColor="text1"/>
                <w:szCs w:val="24"/>
              </w:rPr>
            </w:pPr>
            <w:r>
              <w:rPr>
                <w:rFonts w:hint="eastAsia" w:eastAsiaTheme="minorEastAsia"/>
                <w:color w:val="000000" w:themeColor="text1"/>
                <w:szCs w:val="24"/>
              </w:rPr>
              <w:t>由上表可知，小江</w:t>
            </w:r>
            <w:r>
              <w:rPr>
                <w:rFonts w:eastAsiaTheme="minorEastAsia"/>
                <w:color w:val="000000" w:themeColor="text1"/>
                <w:szCs w:val="24"/>
              </w:rPr>
              <w:t>姑海断面</w:t>
            </w:r>
            <w:r>
              <w:rPr>
                <w:rFonts w:hint="eastAsia" w:eastAsiaTheme="minorEastAsia"/>
                <w:color w:val="000000" w:themeColor="text1"/>
                <w:szCs w:val="24"/>
              </w:rPr>
              <w:t>上述监测指标可达到《地表水环境质量标准》（GB3838-2002）III类标准限值要求</w:t>
            </w:r>
            <w:r>
              <w:rPr>
                <w:rFonts w:eastAsiaTheme="minorEastAsia"/>
                <w:color w:val="000000" w:themeColor="text1"/>
                <w:szCs w:val="24"/>
              </w:rPr>
              <w:t>。</w:t>
            </w:r>
          </w:p>
          <w:p>
            <w:pPr>
              <w:pStyle w:val="40"/>
              <w:ind w:firstLine="482"/>
              <w:rPr>
                <w:rFonts w:eastAsiaTheme="minorEastAsia"/>
                <w:b/>
                <w:color w:val="000000" w:themeColor="text1"/>
                <w:szCs w:val="24"/>
              </w:rPr>
            </w:pPr>
            <w:r>
              <w:rPr>
                <w:rFonts w:eastAsiaTheme="minorEastAsia"/>
                <w:b/>
                <w:color w:val="000000" w:themeColor="text1"/>
                <w:szCs w:val="24"/>
              </w:rPr>
              <w:t>3.1.3 声环境质量现状</w:t>
            </w:r>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按照《声环境功能区划分技术规范》（GB/T15190-2014）的划分要求，项目区域为3类区。在项目区50m范围内无声环境保护目标；根据《建设项目环境影响报告表编制技术指南》（污染影响类）（试行）的要求，可不进行声环境质量现状调查。</w:t>
            </w:r>
          </w:p>
          <w:p>
            <w:pPr>
              <w:pStyle w:val="40"/>
              <w:ind w:firstLine="482"/>
              <w:rPr>
                <w:rFonts w:eastAsiaTheme="minorEastAsia"/>
                <w:b/>
                <w:color w:val="000000" w:themeColor="text1"/>
                <w:szCs w:val="24"/>
              </w:rPr>
            </w:pPr>
            <w:bookmarkStart w:id="2" w:name="_Toc248077256"/>
            <w:r>
              <w:rPr>
                <w:rFonts w:eastAsiaTheme="minorEastAsia"/>
                <w:b/>
                <w:color w:val="000000" w:themeColor="text1"/>
                <w:szCs w:val="24"/>
              </w:rPr>
              <w:t>3.1.4 生态环境质量现状</w:t>
            </w:r>
            <w:bookmarkEnd w:id="2"/>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根据现场调查，厂区范围主要为人工生态系统，该区域的天然植被已较少，总体来说该区域地表植被种类较少，生物多样性较差，生态环境自身调控能力较低。</w:t>
            </w:r>
            <w:r>
              <w:rPr>
                <w:rFonts w:hint="eastAsia" w:eastAsiaTheme="minorEastAsia"/>
                <w:color w:val="000000" w:themeColor="text1"/>
                <w:szCs w:val="24"/>
              </w:rPr>
              <w:t>项目区无国家级和省级保护物种分布，无珍稀濒危物种，无当地特有物种，无古树名木分布。</w:t>
            </w:r>
          </w:p>
          <w:p>
            <w:pPr>
              <w:pStyle w:val="40"/>
              <w:ind w:firstLine="482"/>
              <w:rPr>
                <w:rFonts w:eastAsiaTheme="minorEastAsia"/>
                <w:b/>
                <w:color w:val="000000" w:themeColor="text1"/>
                <w:szCs w:val="24"/>
              </w:rPr>
            </w:pPr>
            <w:r>
              <w:rPr>
                <w:rFonts w:eastAsiaTheme="minorEastAsia"/>
                <w:b/>
                <w:color w:val="000000" w:themeColor="text1"/>
                <w:szCs w:val="24"/>
              </w:rPr>
              <w:t>3.1.5 地下水、土壤环境</w:t>
            </w:r>
          </w:p>
          <w:p>
            <w:pPr>
              <w:pStyle w:val="40"/>
              <w:ind w:firstLine="361" w:firstLineChars="150"/>
              <w:rPr>
                <w:b/>
                <w:color w:val="000000" w:themeColor="text1"/>
                <w:szCs w:val="24"/>
              </w:rPr>
            </w:pPr>
            <w:r>
              <w:rPr>
                <w:rFonts w:hint="eastAsia"/>
                <w:b/>
                <w:color w:val="000000" w:themeColor="text1"/>
                <w:szCs w:val="24"/>
              </w:rPr>
              <w:t>（1）地下水环境质量现状</w:t>
            </w:r>
          </w:p>
          <w:p>
            <w:pPr>
              <w:pStyle w:val="40"/>
              <w:ind w:firstLine="480"/>
              <w:rPr>
                <w:color w:val="000000" w:themeColor="text1"/>
                <w:szCs w:val="24"/>
              </w:rPr>
            </w:pPr>
            <w:r>
              <w:rPr>
                <w:rFonts w:hint="eastAsia"/>
                <w:color w:val="000000" w:themeColor="text1"/>
                <w:szCs w:val="24"/>
              </w:rPr>
              <w:t>根据调查，项目所在区域的地下水主要功能为工农业用水，属于地下水质量III类。根据项目区域水文地质概况，区域地下水流向为由北东方向流向南西方向，因此为了解项目区域地下水质量现状，</w:t>
            </w:r>
            <w:r>
              <w:rPr>
                <w:color w:val="000000" w:themeColor="text1"/>
                <w:szCs w:val="24"/>
              </w:rPr>
              <w:t>云南凯凌环保工程有限公司</w:t>
            </w:r>
            <w:r>
              <w:rPr>
                <w:rFonts w:hint="eastAsia"/>
                <w:color w:val="000000" w:themeColor="text1"/>
                <w:szCs w:val="24"/>
              </w:rPr>
              <w:t>已委托</w:t>
            </w:r>
            <w:r>
              <w:rPr>
                <w:color w:val="000000" w:themeColor="text1"/>
                <w:szCs w:val="24"/>
              </w:rPr>
              <w:t>云南圣清环境监测科技有限公司</w:t>
            </w:r>
            <w:r>
              <w:rPr>
                <w:rFonts w:hint="eastAsia"/>
                <w:color w:val="000000" w:themeColor="text1"/>
                <w:szCs w:val="24"/>
              </w:rPr>
              <w:t>于2019年10月28日至29日对园区钻孔</w:t>
            </w:r>
            <w:r>
              <w:rPr>
                <w:color w:val="000000" w:themeColor="text1"/>
                <w:szCs w:val="24"/>
              </w:rPr>
              <w:t>、</w:t>
            </w:r>
            <w:r>
              <w:rPr>
                <w:rFonts w:hint="eastAsia"/>
                <w:color w:val="000000" w:themeColor="text1"/>
                <w:szCs w:val="24"/>
              </w:rPr>
              <w:t>大凹子农场</w:t>
            </w:r>
            <w:r>
              <w:rPr>
                <w:color w:val="000000" w:themeColor="text1"/>
                <w:szCs w:val="24"/>
              </w:rPr>
              <w:t>、</w:t>
            </w:r>
            <w:r>
              <w:rPr>
                <w:rFonts w:hint="eastAsia"/>
                <w:color w:val="000000" w:themeColor="text1"/>
                <w:szCs w:val="24"/>
              </w:rPr>
              <w:t>黑泥沟村</w:t>
            </w:r>
            <w:r>
              <w:rPr>
                <w:color w:val="000000" w:themeColor="text1"/>
                <w:szCs w:val="24"/>
              </w:rPr>
              <w:t>三个监测点位</w:t>
            </w:r>
            <w:r>
              <w:rPr>
                <w:rFonts w:hint="eastAsia"/>
                <w:color w:val="000000" w:themeColor="text1"/>
                <w:szCs w:val="24"/>
              </w:rPr>
              <w:t>进行了地下水质量现状</w:t>
            </w:r>
            <w:r>
              <w:rPr>
                <w:color w:val="000000" w:themeColor="text1"/>
                <w:szCs w:val="24"/>
              </w:rPr>
              <w:t>进行</w:t>
            </w:r>
            <w:r>
              <w:rPr>
                <w:rFonts w:hint="eastAsia"/>
                <w:color w:val="000000" w:themeColor="text1"/>
                <w:szCs w:val="24"/>
              </w:rPr>
              <w:t>了</w:t>
            </w:r>
            <w:r>
              <w:rPr>
                <w:color w:val="000000" w:themeColor="text1"/>
                <w:szCs w:val="24"/>
              </w:rPr>
              <w:t>监测。</w:t>
            </w:r>
            <w:r>
              <w:rPr>
                <w:rFonts w:hint="eastAsia"/>
                <w:color w:val="000000" w:themeColor="text1"/>
                <w:szCs w:val="24"/>
              </w:rPr>
              <w:t>本次环评引用其数据进行评价。</w:t>
            </w:r>
          </w:p>
          <w:p>
            <w:pPr>
              <w:pStyle w:val="40"/>
              <w:ind w:firstLine="482"/>
              <w:rPr>
                <w:b/>
                <w:color w:val="000000" w:themeColor="text1"/>
                <w:szCs w:val="24"/>
              </w:rPr>
            </w:pPr>
            <w:r>
              <w:rPr>
                <w:rFonts w:hint="eastAsia"/>
                <w:b/>
                <w:color w:val="000000" w:themeColor="text1"/>
                <w:szCs w:val="24"/>
              </w:rPr>
              <w:t>①</w:t>
            </w:r>
            <w:r>
              <w:rPr>
                <w:b/>
                <w:color w:val="000000" w:themeColor="text1"/>
                <w:szCs w:val="24"/>
              </w:rPr>
              <w:t>地下水现状监测参数设置</w:t>
            </w:r>
          </w:p>
          <w:p>
            <w:pPr>
              <w:pStyle w:val="40"/>
              <w:ind w:firstLine="480"/>
              <w:rPr>
                <w:color w:val="000000" w:themeColor="text1"/>
                <w:szCs w:val="24"/>
              </w:rPr>
            </w:pPr>
            <w:r>
              <w:rPr>
                <w:color w:val="000000" w:themeColor="text1"/>
                <w:szCs w:val="24"/>
              </w:rPr>
              <w:t>监测参数如下表所示。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3.1.3</w:t>
            </w:r>
            <w:r>
              <w:rPr>
                <w:rFonts w:hAnsi="Times New Roman" w:eastAsia="宋体"/>
                <w:bCs/>
                <w:snapToGrid w:val="0"/>
                <w:color w:val="000000" w:themeColor="text1"/>
                <w:sz w:val="21"/>
                <w:szCs w:val="21"/>
              </w:rPr>
              <w:t>-1  监测参数一览表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2"/>
              <w:gridCol w:w="1356"/>
              <w:gridCol w:w="6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序号</w:t>
                  </w:r>
                </w:p>
              </w:tc>
              <w:tc>
                <w:tcPr>
                  <w:tcW w:w="1356" w:type="dxa"/>
                  <w:vAlign w:val="center"/>
                </w:tcPr>
                <w:p>
                  <w:pPr>
                    <w:pStyle w:val="32"/>
                    <w:spacing w:line="360" w:lineRule="exact"/>
                    <w:rPr>
                      <w:color w:val="000000" w:themeColor="text1"/>
                      <w:szCs w:val="21"/>
                    </w:rPr>
                  </w:pPr>
                  <w:r>
                    <w:rPr>
                      <w:color w:val="000000" w:themeColor="text1"/>
                      <w:szCs w:val="21"/>
                    </w:rPr>
                    <w:t>项目</w:t>
                  </w:r>
                </w:p>
              </w:tc>
              <w:tc>
                <w:tcPr>
                  <w:tcW w:w="6600" w:type="dxa"/>
                  <w:vAlign w:val="center"/>
                </w:tcPr>
                <w:p>
                  <w:pPr>
                    <w:pStyle w:val="32"/>
                    <w:spacing w:line="360" w:lineRule="exact"/>
                    <w:rPr>
                      <w:color w:val="000000" w:themeColor="text1"/>
                      <w:szCs w:val="21"/>
                    </w:rPr>
                  </w:pPr>
                  <w:r>
                    <w:rPr>
                      <w:color w:val="000000" w:themeColor="text1"/>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1</w:t>
                  </w:r>
                </w:p>
              </w:tc>
              <w:tc>
                <w:tcPr>
                  <w:tcW w:w="1356" w:type="dxa"/>
                  <w:vAlign w:val="center"/>
                </w:tcPr>
                <w:p>
                  <w:pPr>
                    <w:pStyle w:val="32"/>
                    <w:spacing w:line="360" w:lineRule="exact"/>
                    <w:rPr>
                      <w:color w:val="000000" w:themeColor="text1"/>
                      <w:szCs w:val="21"/>
                    </w:rPr>
                  </w:pPr>
                  <w:r>
                    <w:rPr>
                      <w:color w:val="000000" w:themeColor="text1"/>
                      <w:szCs w:val="21"/>
                    </w:rPr>
                    <w:t>监测点位</w:t>
                  </w:r>
                </w:p>
              </w:tc>
              <w:tc>
                <w:tcPr>
                  <w:tcW w:w="6600" w:type="dxa"/>
                  <w:vAlign w:val="center"/>
                </w:tcPr>
                <w:p>
                  <w:pPr>
                    <w:pStyle w:val="32"/>
                    <w:spacing w:line="360" w:lineRule="exact"/>
                    <w:ind w:firstLine="210" w:firstLineChars="100"/>
                    <w:jc w:val="left"/>
                    <w:rPr>
                      <w:color w:val="000000" w:themeColor="text1"/>
                    </w:rPr>
                  </w:pPr>
                  <w:r>
                    <w:rPr>
                      <w:rFonts w:hint="eastAsia"/>
                      <w:color w:val="000000" w:themeColor="text1"/>
                    </w:rPr>
                    <w:t>园区钻孔</w:t>
                  </w:r>
                  <w:r>
                    <w:rPr>
                      <w:color w:val="000000" w:themeColor="text1"/>
                    </w:rPr>
                    <w:t>、</w:t>
                  </w:r>
                  <w:r>
                    <w:rPr>
                      <w:rFonts w:hint="eastAsia"/>
                      <w:color w:val="000000" w:themeColor="text1"/>
                    </w:rPr>
                    <w:t>大凹子农场</w:t>
                  </w:r>
                  <w:r>
                    <w:rPr>
                      <w:color w:val="000000" w:themeColor="text1"/>
                    </w:rPr>
                    <w:t>、</w:t>
                  </w:r>
                  <w:r>
                    <w:rPr>
                      <w:rFonts w:hint="eastAsia"/>
                      <w:color w:val="000000" w:themeColor="text1"/>
                    </w:rPr>
                    <w:t>黑泥沟村</w:t>
                  </w:r>
                  <w:r>
                    <w:rPr>
                      <w:color w:val="000000" w:themeColor="text1"/>
                    </w:rPr>
                    <w:t>三个监测点位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2</w:t>
                  </w:r>
                </w:p>
              </w:tc>
              <w:tc>
                <w:tcPr>
                  <w:tcW w:w="1356" w:type="dxa"/>
                  <w:vAlign w:val="center"/>
                </w:tcPr>
                <w:p>
                  <w:pPr>
                    <w:pStyle w:val="32"/>
                    <w:spacing w:line="360" w:lineRule="exact"/>
                    <w:rPr>
                      <w:color w:val="000000" w:themeColor="text1"/>
                      <w:szCs w:val="21"/>
                    </w:rPr>
                  </w:pPr>
                  <w:r>
                    <w:rPr>
                      <w:color w:val="000000" w:themeColor="text1"/>
                      <w:szCs w:val="21"/>
                    </w:rPr>
                    <w:t>监测项目</w:t>
                  </w:r>
                </w:p>
              </w:tc>
              <w:tc>
                <w:tcPr>
                  <w:tcW w:w="6600" w:type="dxa"/>
                  <w:vAlign w:val="center"/>
                </w:tcPr>
                <w:p>
                  <w:pPr>
                    <w:pStyle w:val="32"/>
                    <w:spacing w:line="360" w:lineRule="exact"/>
                    <w:ind w:firstLine="210" w:firstLineChars="100"/>
                    <w:jc w:val="left"/>
                    <w:rPr>
                      <w:color w:val="000000" w:themeColor="text1"/>
                    </w:rPr>
                  </w:pPr>
                  <w:r>
                    <w:rPr>
                      <w:color w:val="000000" w:themeColor="text1"/>
                    </w:rPr>
                    <w:t>pH、</w:t>
                  </w:r>
                  <w:r>
                    <w:rPr>
                      <w:rFonts w:hint="eastAsia"/>
                      <w:color w:val="000000" w:themeColor="text1"/>
                    </w:rPr>
                    <w:t>总硬度</w:t>
                  </w:r>
                  <w:r>
                    <w:rPr>
                      <w:color w:val="000000" w:themeColor="text1"/>
                    </w:rPr>
                    <w:t>、氨氮、耗氧量、</w:t>
                  </w:r>
                  <w:r>
                    <w:rPr>
                      <w:rFonts w:hint="eastAsia"/>
                      <w:color w:val="000000" w:themeColor="text1"/>
                    </w:rPr>
                    <w:t>砷</w:t>
                  </w:r>
                  <w:r>
                    <w:rPr>
                      <w:color w:val="000000" w:themeColor="text1"/>
                    </w:rPr>
                    <w:t>、</w:t>
                  </w:r>
                  <w:r>
                    <w:rPr>
                      <w:rFonts w:hint="eastAsia"/>
                      <w:color w:val="000000" w:themeColor="text1"/>
                    </w:rPr>
                    <w:t>铅</w:t>
                  </w:r>
                  <w:r>
                    <w:rPr>
                      <w:color w:val="000000" w:themeColor="text1"/>
                    </w:rPr>
                    <w:t>、</w:t>
                  </w:r>
                  <w:r>
                    <w:rPr>
                      <w:rFonts w:hint="eastAsia"/>
                      <w:color w:val="000000" w:themeColor="text1"/>
                    </w:rPr>
                    <w:t>镉</w:t>
                  </w:r>
                  <w:r>
                    <w:rPr>
                      <w:color w:val="000000" w:themeColor="text1"/>
                    </w:rPr>
                    <w:t>、</w:t>
                  </w:r>
                  <w:r>
                    <w:rPr>
                      <w:rFonts w:hint="eastAsia"/>
                      <w:color w:val="000000" w:themeColor="text1"/>
                    </w:rPr>
                    <w:t>六价铬</w:t>
                  </w:r>
                  <w:r>
                    <w:rPr>
                      <w:color w:val="000000" w:themeColor="text1"/>
                    </w:rPr>
                    <w:t>、</w:t>
                  </w:r>
                  <w:r>
                    <w:rPr>
                      <w:rFonts w:hint="eastAsia"/>
                      <w:color w:val="000000" w:themeColor="text1"/>
                    </w:rPr>
                    <w:t>锌</w:t>
                  </w:r>
                  <w:r>
                    <w:rPr>
                      <w:color w:val="000000" w:themeColor="text1"/>
                    </w:rPr>
                    <w:t>、</w:t>
                  </w:r>
                  <w:r>
                    <w:rPr>
                      <w:rFonts w:hint="eastAsia"/>
                      <w:color w:val="000000" w:themeColor="text1"/>
                    </w:rPr>
                    <w:t>铁</w:t>
                  </w:r>
                  <w:r>
                    <w:rPr>
                      <w:color w:val="000000" w:themeColor="text1"/>
                    </w:rPr>
                    <w:t>、</w:t>
                  </w:r>
                  <w:r>
                    <w:rPr>
                      <w:rFonts w:hint="eastAsia"/>
                      <w:color w:val="000000" w:themeColor="text1"/>
                    </w:rPr>
                    <w:t>铝</w:t>
                  </w:r>
                  <w:r>
                    <w:rPr>
                      <w:color w:val="000000" w:themeColor="text1"/>
                    </w:rPr>
                    <w:t>、</w:t>
                  </w:r>
                  <w:r>
                    <w:rPr>
                      <w:rFonts w:hint="eastAsia"/>
                      <w:color w:val="000000" w:themeColor="text1"/>
                    </w:rPr>
                    <w:t>汞</w:t>
                  </w:r>
                  <w:r>
                    <w:rPr>
                      <w:color w:val="000000" w:themeColor="text1"/>
                    </w:rPr>
                    <w:t>、</w:t>
                  </w:r>
                  <w:r>
                    <w:rPr>
                      <w:rFonts w:hint="eastAsia"/>
                      <w:color w:val="000000" w:themeColor="text1"/>
                    </w:rPr>
                    <w:t>钠</w:t>
                  </w:r>
                  <w:r>
                    <w:rPr>
                      <w:color w:val="000000" w:themeColor="text1"/>
                    </w:rPr>
                    <w:t>、</w:t>
                  </w:r>
                  <w:r>
                    <w:rPr>
                      <w:rFonts w:hint="eastAsia"/>
                      <w:color w:val="000000" w:themeColor="text1"/>
                    </w:rPr>
                    <w:t>氟化物</w:t>
                  </w:r>
                  <w:r>
                    <w:rPr>
                      <w:color w:val="000000" w:themeColor="text1"/>
                    </w:rPr>
                    <w:t>、</w:t>
                  </w:r>
                  <w:r>
                    <w:rPr>
                      <w:rFonts w:hint="eastAsia"/>
                      <w:color w:val="000000" w:themeColor="text1"/>
                    </w:rPr>
                    <w:t>硝酸盐</w:t>
                  </w:r>
                  <w:r>
                    <w:rPr>
                      <w:color w:val="000000" w:themeColor="text1"/>
                    </w:rPr>
                    <w:t>、</w:t>
                  </w:r>
                  <w:r>
                    <w:rPr>
                      <w:rFonts w:hint="eastAsia"/>
                      <w:color w:val="000000" w:themeColor="text1"/>
                    </w:rPr>
                    <w:t>亚硝酸盐</w:t>
                  </w:r>
                  <w:r>
                    <w:rPr>
                      <w:color w:val="000000" w:themeColor="text1"/>
                    </w:rPr>
                    <w:t>、</w:t>
                  </w:r>
                  <w:r>
                    <w:rPr>
                      <w:rFonts w:hint="eastAsia"/>
                      <w:color w:val="000000" w:themeColor="text1"/>
                    </w:rPr>
                    <w:t>硫酸盐、氯化物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3</w:t>
                  </w:r>
                </w:p>
              </w:tc>
              <w:tc>
                <w:tcPr>
                  <w:tcW w:w="1356" w:type="dxa"/>
                  <w:vAlign w:val="center"/>
                </w:tcPr>
                <w:p>
                  <w:pPr>
                    <w:pStyle w:val="32"/>
                    <w:spacing w:line="360" w:lineRule="exact"/>
                    <w:rPr>
                      <w:color w:val="000000" w:themeColor="text1"/>
                      <w:szCs w:val="21"/>
                    </w:rPr>
                  </w:pPr>
                  <w:r>
                    <w:rPr>
                      <w:color w:val="000000" w:themeColor="text1"/>
                      <w:szCs w:val="21"/>
                    </w:rPr>
                    <w:t>监测频次</w:t>
                  </w:r>
                </w:p>
              </w:tc>
              <w:tc>
                <w:tcPr>
                  <w:tcW w:w="6600" w:type="dxa"/>
                  <w:vAlign w:val="center"/>
                </w:tcPr>
                <w:p>
                  <w:pPr>
                    <w:pStyle w:val="32"/>
                    <w:spacing w:line="360" w:lineRule="exact"/>
                    <w:ind w:firstLine="210" w:firstLineChars="100"/>
                    <w:jc w:val="left"/>
                    <w:rPr>
                      <w:color w:val="000000" w:themeColor="text1"/>
                    </w:rPr>
                  </w:pPr>
                  <w:r>
                    <w:rPr>
                      <w:color w:val="000000" w:themeColor="text1"/>
                    </w:rPr>
                    <w:t>检测</w:t>
                  </w:r>
                  <w:r>
                    <w:rPr>
                      <w:rFonts w:hint="eastAsia"/>
                      <w:color w:val="000000" w:themeColor="text1"/>
                    </w:rPr>
                    <w:t>2</w:t>
                  </w:r>
                  <w:r>
                    <w:rPr>
                      <w:color w:val="000000" w:themeColor="text1"/>
                    </w:rPr>
                    <w:t>天，</w:t>
                  </w:r>
                  <w:r>
                    <w:rPr>
                      <w:rFonts w:hint="eastAsia"/>
                      <w:color w:val="000000" w:themeColor="text1"/>
                    </w:rPr>
                    <w:t>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4</w:t>
                  </w:r>
                </w:p>
              </w:tc>
              <w:tc>
                <w:tcPr>
                  <w:tcW w:w="1356" w:type="dxa"/>
                  <w:vAlign w:val="center"/>
                </w:tcPr>
                <w:p>
                  <w:pPr>
                    <w:pStyle w:val="32"/>
                    <w:spacing w:line="360" w:lineRule="exact"/>
                    <w:rPr>
                      <w:color w:val="000000" w:themeColor="text1"/>
                      <w:szCs w:val="21"/>
                    </w:rPr>
                  </w:pPr>
                  <w:r>
                    <w:rPr>
                      <w:color w:val="000000" w:themeColor="text1"/>
                      <w:szCs w:val="21"/>
                    </w:rPr>
                    <w:t>采样时间</w:t>
                  </w:r>
                </w:p>
              </w:tc>
              <w:tc>
                <w:tcPr>
                  <w:tcW w:w="6600" w:type="dxa"/>
                  <w:vAlign w:val="center"/>
                </w:tcPr>
                <w:p>
                  <w:pPr>
                    <w:pStyle w:val="32"/>
                    <w:spacing w:line="360" w:lineRule="exact"/>
                    <w:ind w:firstLine="210" w:firstLineChars="100"/>
                    <w:jc w:val="left"/>
                    <w:rPr>
                      <w:color w:val="000000" w:themeColor="text1"/>
                    </w:rPr>
                  </w:pPr>
                  <w:r>
                    <w:rPr>
                      <w:rFonts w:hint="eastAsia"/>
                      <w:color w:val="000000" w:themeColor="text1"/>
                    </w:rPr>
                    <w:t>2019年10月28日至29日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5</w:t>
                  </w:r>
                </w:p>
              </w:tc>
              <w:tc>
                <w:tcPr>
                  <w:tcW w:w="1356" w:type="dxa"/>
                  <w:vAlign w:val="center"/>
                </w:tcPr>
                <w:p>
                  <w:pPr>
                    <w:pStyle w:val="32"/>
                    <w:spacing w:line="360" w:lineRule="exact"/>
                    <w:rPr>
                      <w:color w:val="000000" w:themeColor="text1"/>
                      <w:szCs w:val="21"/>
                    </w:rPr>
                  </w:pPr>
                  <w:r>
                    <w:rPr>
                      <w:color w:val="000000" w:themeColor="text1"/>
                      <w:szCs w:val="21"/>
                    </w:rPr>
                    <w:t>监测方法</w:t>
                  </w:r>
                </w:p>
              </w:tc>
              <w:tc>
                <w:tcPr>
                  <w:tcW w:w="6600" w:type="dxa"/>
                  <w:vAlign w:val="center"/>
                </w:tcPr>
                <w:p>
                  <w:pPr>
                    <w:pStyle w:val="32"/>
                    <w:spacing w:line="360" w:lineRule="exact"/>
                    <w:ind w:firstLine="210" w:firstLineChars="100"/>
                    <w:jc w:val="left"/>
                    <w:rPr>
                      <w:color w:val="000000" w:themeColor="text1"/>
                    </w:rPr>
                  </w:pPr>
                  <w:r>
                    <w:rPr>
                      <w:color w:val="000000" w:themeColor="text1"/>
                    </w:rPr>
                    <w:t>按照国家相关要求进行</w:t>
                  </w:r>
                </w:p>
              </w:tc>
            </w:tr>
          </w:tbl>
          <w:p>
            <w:pPr>
              <w:pStyle w:val="40"/>
              <w:spacing w:beforeLines="50"/>
              <w:ind w:firstLine="482"/>
              <w:rPr>
                <w:b/>
                <w:color w:val="000000" w:themeColor="text1"/>
                <w:szCs w:val="24"/>
              </w:rPr>
            </w:pPr>
            <w:r>
              <w:rPr>
                <w:rFonts w:hint="eastAsia"/>
                <w:b/>
                <w:color w:val="000000" w:themeColor="text1"/>
                <w:szCs w:val="24"/>
              </w:rPr>
              <w:t>②</w:t>
            </w:r>
            <w:r>
              <w:rPr>
                <w:b/>
                <w:color w:val="000000" w:themeColor="text1"/>
                <w:szCs w:val="24"/>
              </w:rPr>
              <w:t>地下水监测结果</w:t>
            </w:r>
          </w:p>
          <w:p>
            <w:pPr>
              <w:pStyle w:val="40"/>
              <w:ind w:firstLine="480"/>
              <w:rPr>
                <w:color w:val="000000" w:themeColor="text1"/>
                <w:szCs w:val="24"/>
              </w:rPr>
            </w:pPr>
            <w:r>
              <w:rPr>
                <w:color w:val="000000" w:themeColor="text1"/>
                <w:szCs w:val="24"/>
              </w:rPr>
              <w:t>地下水主要监测结果见下表。</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w:t>
            </w:r>
            <w:r>
              <w:rPr>
                <w:rFonts w:hAnsi="Times New Roman" w:eastAsia="宋体"/>
                <w:bCs/>
                <w:snapToGrid w:val="0"/>
                <w:color w:val="000000" w:themeColor="text1"/>
                <w:sz w:val="21"/>
                <w:szCs w:val="21"/>
              </w:rPr>
              <w:t>.</w:t>
            </w:r>
            <w:r>
              <w:rPr>
                <w:rFonts w:hint="eastAsia" w:hAnsi="Times New Roman" w:eastAsia="宋体"/>
                <w:bCs/>
                <w:snapToGrid w:val="0"/>
                <w:color w:val="000000" w:themeColor="text1"/>
                <w:sz w:val="21"/>
                <w:szCs w:val="21"/>
              </w:rPr>
              <w:t>1.3</w:t>
            </w:r>
            <w:r>
              <w:rPr>
                <w:rFonts w:hAnsi="Times New Roman" w:eastAsia="宋体"/>
                <w:bCs/>
                <w:snapToGrid w:val="0"/>
                <w:color w:val="000000" w:themeColor="text1"/>
                <w:sz w:val="21"/>
                <w:szCs w:val="21"/>
              </w:rPr>
              <w:t>-2 项目区域地下水质检测结果一览表   单位：mg/L</w:t>
            </w:r>
          </w:p>
          <w:tbl>
            <w:tblPr>
              <w:tblStyle w:val="21"/>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090"/>
              <w:gridCol w:w="1090"/>
              <w:gridCol w:w="1089"/>
              <w:gridCol w:w="1089"/>
              <w:gridCol w:w="1089"/>
              <w:gridCol w:w="108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190" w:type="dxa"/>
                  <w:vMerge w:val="restart"/>
                  <w:tcBorders>
                    <w:top w:val="single" w:color="auto" w:sz="8" w:space="0"/>
                    <w:left w:val="single" w:color="auto" w:sz="8" w:space="0"/>
                    <w:tl2br w:val="single" w:color="auto" w:sz="8" w:space="0"/>
                  </w:tcBorders>
                  <w:vAlign w:val="center"/>
                </w:tcPr>
                <w:p>
                  <w:pPr>
                    <w:pStyle w:val="32"/>
                    <w:spacing w:line="360" w:lineRule="exact"/>
                    <w:rPr>
                      <w:color w:val="000000" w:themeColor="text1"/>
                      <w:szCs w:val="21"/>
                    </w:rPr>
                  </w:pPr>
                  <w:r>
                    <w:rPr>
                      <w:color w:val="000000" w:themeColor="text1"/>
                      <w:szCs w:val="21"/>
                    </w:rPr>
                    <w:t>时间/点位</w:t>
                  </w:r>
                </w:p>
                <w:p>
                  <w:pPr>
                    <w:pStyle w:val="32"/>
                    <w:spacing w:line="360" w:lineRule="exact"/>
                    <w:jc w:val="left"/>
                    <w:rPr>
                      <w:color w:val="000000" w:themeColor="text1"/>
                      <w:szCs w:val="21"/>
                    </w:rPr>
                  </w:pPr>
                  <w:r>
                    <w:rPr>
                      <w:color w:val="000000" w:themeColor="text1"/>
                      <w:szCs w:val="21"/>
                    </w:rPr>
                    <w:t>检测项目</w:t>
                  </w:r>
                </w:p>
              </w:tc>
              <w:tc>
                <w:tcPr>
                  <w:tcW w:w="2180" w:type="dxa"/>
                  <w:gridSpan w:val="2"/>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园区钻孔</w:t>
                  </w:r>
                </w:p>
              </w:tc>
              <w:tc>
                <w:tcPr>
                  <w:tcW w:w="2178" w:type="dxa"/>
                  <w:gridSpan w:val="2"/>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大凹子农场</w:t>
                  </w:r>
                </w:p>
              </w:tc>
              <w:tc>
                <w:tcPr>
                  <w:tcW w:w="2178" w:type="dxa"/>
                  <w:gridSpan w:val="2"/>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黑泥沟村</w:t>
                  </w:r>
                </w:p>
              </w:tc>
              <w:tc>
                <w:tcPr>
                  <w:tcW w:w="872" w:type="dxa"/>
                  <w:vMerge w:val="restart"/>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190" w:type="dxa"/>
                  <w:vMerge w:val="continue"/>
                  <w:tcBorders>
                    <w:left w:val="single" w:color="auto" w:sz="8" w:space="0"/>
                    <w:tl2br w:val="single" w:color="auto" w:sz="8" w:space="0"/>
                  </w:tcBorders>
                  <w:vAlign w:val="center"/>
                </w:tcPr>
                <w:p>
                  <w:pPr>
                    <w:pStyle w:val="32"/>
                    <w:spacing w:line="360" w:lineRule="exact"/>
                    <w:rPr>
                      <w:color w:val="000000" w:themeColor="text1"/>
                      <w:szCs w:val="21"/>
                    </w:rPr>
                  </w:pP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19/10/28</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19/10/29</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19/10/28</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19/10/29</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19/10/28</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19/10/29</w:t>
                  </w:r>
                </w:p>
              </w:tc>
              <w:tc>
                <w:tcPr>
                  <w:tcW w:w="872" w:type="dxa"/>
                  <w:vMerge w:val="continue"/>
                  <w:tcBorders>
                    <w:left w:val="single" w:color="auto" w:sz="4" w:space="0"/>
                    <w:right w:val="single" w:color="auto" w:sz="8" w:space="0"/>
                  </w:tcBorders>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pH（无量纲）</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7.4</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7.4</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7.2</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7.2</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6.5</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6.5</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氨氮</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总硬度</w:t>
                  </w:r>
                </w:p>
              </w:tc>
              <w:tc>
                <w:tcPr>
                  <w:tcW w:w="1090" w:type="dxa"/>
                  <w:tcBorders>
                    <w:top w:val="single" w:color="auto" w:sz="8" w:space="0"/>
                  </w:tcBorders>
                  <w:vAlign w:val="center"/>
                </w:tcPr>
                <w:p>
                  <w:pPr>
                    <w:pStyle w:val="32"/>
                    <w:spacing w:line="360" w:lineRule="exact"/>
                    <w:rPr>
                      <w:color w:val="000000" w:themeColor="text1"/>
                      <w:szCs w:val="21"/>
                    </w:rPr>
                  </w:pPr>
                  <w:r>
                    <w:rPr>
                      <w:rFonts w:hint="eastAsia"/>
                      <w:color w:val="000000" w:themeColor="text1"/>
                      <w:szCs w:val="21"/>
                    </w:rPr>
                    <w:t>92.092</w:t>
                  </w:r>
                </w:p>
              </w:tc>
              <w:tc>
                <w:tcPr>
                  <w:tcW w:w="1090" w:type="dxa"/>
                  <w:tcBorders>
                    <w:top w:val="single" w:color="auto" w:sz="8" w:space="0"/>
                  </w:tcBorders>
                  <w:vAlign w:val="center"/>
                </w:tcPr>
                <w:p>
                  <w:pPr>
                    <w:pStyle w:val="32"/>
                    <w:spacing w:line="360" w:lineRule="exact"/>
                    <w:rPr>
                      <w:color w:val="000000" w:themeColor="text1"/>
                      <w:szCs w:val="21"/>
                    </w:rPr>
                  </w:pPr>
                  <w:r>
                    <w:rPr>
                      <w:rFonts w:hint="eastAsia"/>
                      <w:color w:val="000000" w:themeColor="text1"/>
                      <w:szCs w:val="21"/>
                    </w:rPr>
                    <w:t>94.094</w:t>
                  </w:r>
                </w:p>
              </w:tc>
              <w:tc>
                <w:tcPr>
                  <w:tcW w:w="1089" w:type="dxa"/>
                  <w:tcBorders>
                    <w:top w:val="single" w:color="auto" w:sz="8" w:space="0"/>
                  </w:tcBorders>
                  <w:vAlign w:val="center"/>
                </w:tcPr>
                <w:p>
                  <w:pPr>
                    <w:pStyle w:val="32"/>
                    <w:spacing w:line="360" w:lineRule="exact"/>
                    <w:rPr>
                      <w:color w:val="000000" w:themeColor="text1"/>
                      <w:szCs w:val="21"/>
                    </w:rPr>
                  </w:pPr>
                  <w:r>
                    <w:rPr>
                      <w:rFonts w:hint="eastAsia"/>
                      <w:color w:val="000000" w:themeColor="text1"/>
                      <w:szCs w:val="21"/>
                    </w:rPr>
                    <w:t>27.027</w:t>
                  </w:r>
                </w:p>
              </w:tc>
              <w:tc>
                <w:tcPr>
                  <w:tcW w:w="1089" w:type="dxa"/>
                  <w:tcBorders>
                    <w:top w:val="single" w:color="auto" w:sz="8" w:space="0"/>
                  </w:tcBorders>
                  <w:vAlign w:val="center"/>
                </w:tcPr>
                <w:p>
                  <w:pPr>
                    <w:pStyle w:val="32"/>
                    <w:spacing w:line="360" w:lineRule="exact"/>
                    <w:rPr>
                      <w:color w:val="000000" w:themeColor="text1"/>
                      <w:szCs w:val="21"/>
                    </w:rPr>
                  </w:pPr>
                  <w:r>
                    <w:rPr>
                      <w:rFonts w:hint="eastAsia"/>
                      <w:color w:val="000000" w:themeColor="text1"/>
                      <w:szCs w:val="21"/>
                    </w:rPr>
                    <w:t>28.028</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184.184</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182.182</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耗氧量</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0.7</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0.6</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0.6</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0.6</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0.7</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0.8</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六价铬</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0.004</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0.005</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0.005</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0.005</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0.004</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汞</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砷</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铅</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镉</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钠</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5.02</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5.01</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1.88</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1.83</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6.83</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6.76</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锌</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铁</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0.04</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0.04</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0.09</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0.08</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0.13</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0.12</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铝</w:t>
                  </w:r>
                </w:p>
              </w:tc>
              <w:tc>
                <w:tcPr>
                  <w:tcW w:w="109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0.115</w:t>
                  </w:r>
                </w:p>
              </w:tc>
              <w:tc>
                <w:tcPr>
                  <w:tcW w:w="109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0.135</w:t>
                  </w:r>
                </w:p>
              </w:tc>
              <w:tc>
                <w:tcPr>
                  <w:tcW w:w="108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0.184</w:t>
                  </w:r>
                </w:p>
              </w:tc>
              <w:tc>
                <w:tcPr>
                  <w:tcW w:w="108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0.109</w:t>
                  </w:r>
                </w:p>
              </w:tc>
              <w:tc>
                <w:tcPr>
                  <w:tcW w:w="108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0.119</w:t>
                  </w:r>
                </w:p>
              </w:tc>
              <w:tc>
                <w:tcPr>
                  <w:tcW w:w="108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0.180</w:t>
                  </w:r>
                </w:p>
              </w:tc>
              <w:tc>
                <w:tcPr>
                  <w:tcW w:w="872" w:type="dxa"/>
                  <w:tcBorders>
                    <w:top w:val="single" w:color="auto" w:sz="8" w:space="0"/>
                    <w:left w:val="single" w:color="auto" w:sz="4" w:space="0"/>
                    <w:right w:val="single" w:color="auto" w:sz="8" w:space="0"/>
                  </w:tcBorders>
                  <w:vAlign w:val="center"/>
                </w:tcPr>
                <w:p>
                  <w:pPr>
                    <w:jc w:val="center"/>
                    <w:rPr>
                      <w:rFonts w:ascii="Times New Roman" w:hAnsi="Times New Roman" w:cs="Times New Roman"/>
                      <w:color w:val="000000" w:themeColor="text1"/>
                    </w:rPr>
                  </w:pPr>
                  <w:r>
                    <w:rPr>
                      <w:rFonts w:ascii="Times New Roman" w:hAnsi="Times New Roman" w:cs="Times New Roman"/>
                      <w:bCs/>
                      <w:snapToGrid w:val="0"/>
                      <w:color w:val="000000" w:themeColor="text1"/>
                      <w:kern w:val="32"/>
                      <w:lang w:val="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氟化物</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0.11</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0.12</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0.12</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0.11</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0.13</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0.12</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硝酸盐</w:t>
                  </w:r>
                </w:p>
              </w:tc>
              <w:tc>
                <w:tcPr>
                  <w:tcW w:w="109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1.13</w:t>
                  </w:r>
                </w:p>
              </w:tc>
              <w:tc>
                <w:tcPr>
                  <w:tcW w:w="109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1.56</w:t>
                  </w:r>
                </w:p>
              </w:tc>
              <w:tc>
                <w:tcPr>
                  <w:tcW w:w="108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15.5</w:t>
                  </w:r>
                </w:p>
              </w:tc>
              <w:tc>
                <w:tcPr>
                  <w:tcW w:w="108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0.989</w:t>
                  </w:r>
                </w:p>
              </w:tc>
              <w:tc>
                <w:tcPr>
                  <w:tcW w:w="108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1.57</w:t>
                  </w:r>
                </w:p>
              </w:tc>
              <w:tc>
                <w:tcPr>
                  <w:tcW w:w="108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亚硝酸盐</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0.003</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0.004</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0.010</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0.009</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0.010</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硫酸盐</w:t>
                  </w:r>
                </w:p>
              </w:tc>
              <w:tc>
                <w:tcPr>
                  <w:tcW w:w="1090" w:type="dxa"/>
                  <w:tcBorders>
                    <w:top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15</w:t>
                  </w:r>
                </w:p>
              </w:tc>
              <w:tc>
                <w:tcPr>
                  <w:tcW w:w="1090" w:type="dxa"/>
                  <w:tcBorders>
                    <w:top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16</w:t>
                  </w:r>
                </w:p>
              </w:tc>
              <w:tc>
                <w:tcPr>
                  <w:tcW w:w="1089" w:type="dxa"/>
                  <w:tcBorders>
                    <w:top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4</w:t>
                  </w:r>
                </w:p>
              </w:tc>
              <w:tc>
                <w:tcPr>
                  <w:tcW w:w="1089" w:type="dxa"/>
                  <w:tcBorders>
                    <w:top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4</w:t>
                  </w:r>
                </w:p>
              </w:tc>
              <w:tc>
                <w:tcPr>
                  <w:tcW w:w="1089" w:type="dxa"/>
                  <w:tcBorders>
                    <w:top w:val="single" w:color="auto" w:sz="8" w:space="0"/>
                    <w:bottom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1089" w:type="dxa"/>
                  <w:tcBorders>
                    <w:top w:val="single" w:color="auto" w:sz="8" w:space="0"/>
                    <w:bottom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872" w:type="dxa"/>
                  <w:tcBorders>
                    <w:top w:val="single" w:color="auto" w:sz="8" w:space="0"/>
                    <w:left w:val="single" w:color="auto" w:sz="4" w:space="0"/>
                    <w:bottom w:val="single" w:color="auto" w:sz="8" w:space="0"/>
                    <w:right w:val="single" w:color="auto" w:sz="8" w:space="0"/>
                  </w:tcBorders>
                  <w:vAlign w:val="center"/>
                </w:tcPr>
                <w:p>
                  <w:pPr>
                    <w:pStyle w:val="32"/>
                    <w:spacing w:line="360" w:lineRule="exact"/>
                    <w:rPr>
                      <w:color w:val="000000" w:themeColor="text1"/>
                      <w:szCs w:val="21"/>
                    </w:rPr>
                  </w:pPr>
                  <w:r>
                    <w:rPr>
                      <w:color w:val="000000" w:themeColor="text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氯化物</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1.2</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0.9</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0.5</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0.7</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45.8</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44.8</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≤250</w:t>
                  </w:r>
                </w:p>
              </w:tc>
            </w:tr>
          </w:tbl>
          <w:p>
            <w:pPr>
              <w:pStyle w:val="40"/>
              <w:spacing w:beforeLines="50"/>
              <w:ind w:firstLine="480"/>
              <w:rPr>
                <w:bCs/>
                <w:color w:val="000000" w:themeColor="text1"/>
                <w:szCs w:val="24"/>
              </w:rPr>
            </w:pPr>
            <w:r>
              <w:rPr>
                <w:color w:val="000000" w:themeColor="text1"/>
                <w:szCs w:val="24"/>
              </w:rPr>
              <w:t>根据以上监测结果可知，</w:t>
            </w:r>
            <w:r>
              <w:rPr>
                <w:rFonts w:hint="eastAsia"/>
                <w:color w:val="000000" w:themeColor="text1"/>
                <w:szCs w:val="24"/>
              </w:rPr>
              <w:t>评价区域的上述监测因子均</w:t>
            </w:r>
            <w:r>
              <w:rPr>
                <w:color w:val="000000" w:themeColor="text1"/>
                <w:szCs w:val="24"/>
              </w:rPr>
              <w:t>达到《地下水质量标准》（GB/T14848-2017）</w:t>
            </w:r>
            <w:r>
              <w:rPr>
                <w:rFonts w:hint="eastAsia"/>
                <w:color w:val="000000" w:themeColor="text1"/>
                <w:szCs w:val="24"/>
              </w:rPr>
              <w:t>III</w:t>
            </w:r>
            <w:r>
              <w:rPr>
                <w:color w:val="000000" w:themeColor="text1"/>
                <w:szCs w:val="24"/>
              </w:rPr>
              <w:t>类标准</w:t>
            </w:r>
            <w:r>
              <w:rPr>
                <w:rFonts w:hint="eastAsia"/>
                <w:color w:val="000000" w:themeColor="text1"/>
                <w:szCs w:val="24"/>
              </w:rPr>
              <w:t>。</w:t>
            </w:r>
          </w:p>
          <w:p>
            <w:pPr>
              <w:pStyle w:val="40"/>
              <w:ind w:firstLine="361" w:firstLineChars="150"/>
              <w:rPr>
                <w:b/>
                <w:color w:val="000000" w:themeColor="text1"/>
                <w:szCs w:val="24"/>
              </w:rPr>
            </w:pPr>
            <w:r>
              <w:rPr>
                <w:rFonts w:hint="eastAsia"/>
                <w:b/>
                <w:color w:val="000000" w:themeColor="text1"/>
                <w:szCs w:val="24"/>
              </w:rPr>
              <w:t>（2）土壤环境质量现状</w:t>
            </w:r>
          </w:p>
          <w:p>
            <w:pPr>
              <w:pStyle w:val="40"/>
              <w:ind w:firstLine="480"/>
              <w:rPr>
                <w:color w:val="000000" w:themeColor="text1"/>
                <w:szCs w:val="24"/>
              </w:rPr>
            </w:pPr>
            <w:r>
              <w:rPr>
                <w:rFonts w:hint="eastAsia"/>
                <w:color w:val="000000" w:themeColor="text1"/>
                <w:szCs w:val="24"/>
              </w:rPr>
              <w:t>根据调查，项目位于</w:t>
            </w:r>
            <w:r>
              <w:rPr>
                <w:color w:val="000000" w:themeColor="text1"/>
                <w:szCs w:val="24"/>
              </w:rPr>
              <w:t>云南省东川再就业特区天生桥特色产业园区</w:t>
            </w:r>
            <w:r>
              <w:rPr>
                <w:rFonts w:hint="eastAsia"/>
                <w:color w:val="000000" w:themeColor="text1"/>
                <w:szCs w:val="24"/>
              </w:rPr>
              <w:t>，项目50m范围内无土壤环境敏感目标，项目租用昆明再生资源（集团）天生桥再生资源回收基地标准厂房进行建设，该厂房占地范围内地面已采用厚度约为15cm的混泥土进行硬化，不具备土壤监测条件。</w:t>
            </w:r>
          </w:p>
          <w:p>
            <w:pPr>
              <w:pStyle w:val="40"/>
              <w:ind w:firstLine="480"/>
              <w:rPr>
                <w:rFonts w:eastAsiaTheme="minorEastAsia"/>
                <w:color w:val="000000" w:themeColor="text1"/>
                <w:szCs w:val="24"/>
              </w:rPr>
            </w:pPr>
            <w:r>
              <w:rPr>
                <w:rFonts w:hint="eastAsia" w:eastAsiaTheme="minorEastAsia"/>
                <w:color w:val="000000" w:themeColor="text1"/>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0"/>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ind w:firstLine="480"/>
              <w:rPr>
                <w:rFonts w:eastAsiaTheme="minorEastAsia"/>
                <w:color w:val="000000" w:themeColor="text1"/>
                <w:szCs w:val="24"/>
              </w:rPr>
            </w:pPr>
            <w:r>
              <w:rPr>
                <w:rFonts w:eastAsiaTheme="minorEastAsia"/>
                <w:color w:val="000000" w:themeColor="text1"/>
                <w:szCs w:val="24"/>
              </w:rPr>
              <w:t>根据调查，本项目主要大气环境保护目标如下表所示。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516"/>
              <w:gridCol w:w="1393"/>
              <w:gridCol w:w="733"/>
              <w:gridCol w:w="1012"/>
              <w:gridCol w:w="1385"/>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restart"/>
                  <w:vAlign w:val="center"/>
                </w:tcPr>
                <w:p>
                  <w:pPr>
                    <w:pStyle w:val="32"/>
                    <w:spacing w:line="360" w:lineRule="exact"/>
                    <w:rPr>
                      <w:color w:val="000000" w:themeColor="text1"/>
                      <w:kern w:val="0"/>
                      <w:szCs w:val="21"/>
                    </w:rPr>
                  </w:pPr>
                  <w:r>
                    <w:rPr>
                      <w:color w:val="000000" w:themeColor="text1"/>
                      <w:kern w:val="0"/>
                      <w:szCs w:val="21"/>
                    </w:rPr>
                    <w:t>名称</w:t>
                  </w:r>
                </w:p>
              </w:tc>
              <w:tc>
                <w:tcPr>
                  <w:tcW w:w="2909" w:type="dxa"/>
                  <w:gridSpan w:val="2"/>
                  <w:vAlign w:val="center"/>
                </w:tcPr>
                <w:p>
                  <w:pPr>
                    <w:pStyle w:val="32"/>
                    <w:spacing w:line="360" w:lineRule="exact"/>
                    <w:rPr>
                      <w:color w:val="000000" w:themeColor="text1"/>
                      <w:kern w:val="0"/>
                      <w:szCs w:val="21"/>
                    </w:rPr>
                  </w:pPr>
                  <w:r>
                    <w:rPr>
                      <w:color w:val="000000" w:themeColor="text1"/>
                      <w:kern w:val="0"/>
                      <w:szCs w:val="21"/>
                    </w:rPr>
                    <w:t>坐标/m</w:t>
                  </w:r>
                </w:p>
              </w:tc>
              <w:tc>
                <w:tcPr>
                  <w:tcW w:w="733" w:type="dxa"/>
                  <w:vMerge w:val="restart"/>
                  <w:vAlign w:val="center"/>
                </w:tcPr>
                <w:p>
                  <w:pPr>
                    <w:pStyle w:val="32"/>
                    <w:spacing w:line="360" w:lineRule="exact"/>
                    <w:rPr>
                      <w:color w:val="000000" w:themeColor="text1"/>
                      <w:kern w:val="0"/>
                      <w:szCs w:val="21"/>
                    </w:rPr>
                  </w:pPr>
                  <w:r>
                    <w:rPr>
                      <w:color w:val="000000" w:themeColor="text1"/>
                      <w:kern w:val="0"/>
                      <w:szCs w:val="21"/>
                    </w:rPr>
                    <w:t>保护对象</w:t>
                  </w:r>
                </w:p>
              </w:tc>
              <w:tc>
                <w:tcPr>
                  <w:tcW w:w="1012" w:type="dxa"/>
                  <w:vMerge w:val="restart"/>
                  <w:vAlign w:val="center"/>
                </w:tcPr>
                <w:p>
                  <w:pPr>
                    <w:pStyle w:val="32"/>
                    <w:spacing w:line="360" w:lineRule="exact"/>
                    <w:rPr>
                      <w:color w:val="000000" w:themeColor="text1"/>
                      <w:kern w:val="0"/>
                      <w:szCs w:val="21"/>
                    </w:rPr>
                  </w:pPr>
                  <w:r>
                    <w:rPr>
                      <w:color w:val="000000" w:themeColor="text1"/>
                      <w:kern w:val="0"/>
                      <w:szCs w:val="21"/>
                    </w:rPr>
                    <w:t>保护内容</w:t>
                  </w:r>
                </w:p>
              </w:tc>
              <w:tc>
                <w:tcPr>
                  <w:tcW w:w="1385" w:type="dxa"/>
                  <w:vMerge w:val="restart"/>
                  <w:vAlign w:val="center"/>
                </w:tcPr>
                <w:p>
                  <w:pPr>
                    <w:pStyle w:val="32"/>
                    <w:spacing w:line="360" w:lineRule="exact"/>
                    <w:rPr>
                      <w:color w:val="000000" w:themeColor="text1"/>
                      <w:kern w:val="0"/>
                      <w:szCs w:val="21"/>
                    </w:rPr>
                  </w:pPr>
                  <w:r>
                    <w:rPr>
                      <w:rFonts w:hint="eastAsia"/>
                      <w:color w:val="000000" w:themeColor="text1"/>
                      <w:kern w:val="0"/>
                      <w:szCs w:val="21"/>
                    </w:rPr>
                    <w:t>保护级别</w:t>
                  </w:r>
                </w:p>
              </w:tc>
              <w:tc>
                <w:tcPr>
                  <w:tcW w:w="734" w:type="dxa"/>
                  <w:vMerge w:val="restart"/>
                  <w:vAlign w:val="center"/>
                </w:tcPr>
                <w:p>
                  <w:pPr>
                    <w:pStyle w:val="32"/>
                    <w:spacing w:line="360" w:lineRule="exact"/>
                    <w:rPr>
                      <w:color w:val="000000" w:themeColor="text1"/>
                      <w:kern w:val="0"/>
                      <w:szCs w:val="21"/>
                    </w:rPr>
                  </w:pPr>
                  <w:r>
                    <w:rPr>
                      <w:color w:val="000000" w:themeColor="text1"/>
                      <w:kern w:val="0"/>
                      <w:szCs w:val="21"/>
                    </w:rPr>
                    <w:t>相对厂址方位</w:t>
                  </w:r>
                </w:p>
              </w:tc>
              <w:tc>
                <w:tcPr>
                  <w:tcW w:w="932" w:type="dxa"/>
                  <w:vMerge w:val="restart"/>
                  <w:vAlign w:val="center"/>
                </w:tcPr>
                <w:p>
                  <w:pPr>
                    <w:pStyle w:val="32"/>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32"/>
                    <w:spacing w:line="360" w:lineRule="exact"/>
                    <w:rPr>
                      <w:color w:val="000000" w:themeColor="text1"/>
                      <w:kern w:val="0"/>
                      <w:szCs w:val="21"/>
                    </w:rPr>
                  </w:pPr>
                </w:p>
              </w:tc>
              <w:tc>
                <w:tcPr>
                  <w:tcW w:w="1516" w:type="dxa"/>
                  <w:vAlign w:val="center"/>
                </w:tcPr>
                <w:p>
                  <w:pPr>
                    <w:pStyle w:val="32"/>
                    <w:spacing w:line="360" w:lineRule="exact"/>
                    <w:rPr>
                      <w:color w:val="000000" w:themeColor="text1"/>
                      <w:kern w:val="0"/>
                      <w:szCs w:val="21"/>
                    </w:rPr>
                  </w:pPr>
                  <w:r>
                    <w:rPr>
                      <w:color w:val="000000" w:themeColor="text1"/>
                      <w:kern w:val="0"/>
                      <w:szCs w:val="21"/>
                    </w:rPr>
                    <w:t>X</w:t>
                  </w:r>
                </w:p>
              </w:tc>
              <w:tc>
                <w:tcPr>
                  <w:tcW w:w="1393" w:type="dxa"/>
                  <w:vAlign w:val="center"/>
                </w:tcPr>
                <w:p>
                  <w:pPr>
                    <w:pStyle w:val="32"/>
                    <w:spacing w:line="360" w:lineRule="exact"/>
                    <w:rPr>
                      <w:color w:val="000000" w:themeColor="text1"/>
                      <w:kern w:val="0"/>
                      <w:szCs w:val="21"/>
                    </w:rPr>
                  </w:pPr>
                  <w:r>
                    <w:rPr>
                      <w:color w:val="000000" w:themeColor="text1"/>
                      <w:kern w:val="0"/>
                      <w:szCs w:val="21"/>
                    </w:rPr>
                    <w:t>Y</w:t>
                  </w:r>
                </w:p>
              </w:tc>
              <w:tc>
                <w:tcPr>
                  <w:tcW w:w="733" w:type="dxa"/>
                  <w:vMerge w:val="continue"/>
                  <w:vAlign w:val="center"/>
                </w:tcPr>
                <w:p>
                  <w:pPr>
                    <w:pStyle w:val="32"/>
                    <w:spacing w:line="360" w:lineRule="exact"/>
                    <w:rPr>
                      <w:color w:val="000000" w:themeColor="text1"/>
                      <w:kern w:val="0"/>
                      <w:szCs w:val="21"/>
                    </w:rPr>
                  </w:pPr>
                </w:p>
              </w:tc>
              <w:tc>
                <w:tcPr>
                  <w:tcW w:w="1012" w:type="dxa"/>
                  <w:vMerge w:val="continue"/>
                  <w:vAlign w:val="center"/>
                </w:tcPr>
                <w:p>
                  <w:pPr>
                    <w:pStyle w:val="32"/>
                    <w:spacing w:line="360" w:lineRule="exact"/>
                    <w:rPr>
                      <w:color w:val="000000" w:themeColor="text1"/>
                      <w:kern w:val="0"/>
                      <w:szCs w:val="21"/>
                    </w:rPr>
                  </w:pPr>
                </w:p>
              </w:tc>
              <w:tc>
                <w:tcPr>
                  <w:tcW w:w="1385" w:type="dxa"/>
                  <w:vMerge w:val="continue"/>
                  <w:vAlign w:val="center"/>
                </w:tcPr>
                <w:p>
                  <w:pPr>
                    <w:pStyle w:val="32"/>
                    <w:spacing w:line="360" w:lineRule="exact"/>
                    <w:rPr>
                      <w:color w:val="000000" w:themeColor="text1"/>
                      <w:kern w:val="0"/>
                      <w:szCs w:val="21"/>
                    </w:rPr>
                  </w:pPr>
                </w:p>
              </w:tc>
              <w:tc>
                <w:tcPr>
                  <w:tcW w:w="734" w:type="dxa"/>
                  <w:vMerge w:val="continue"/>
                  <w:vAlign w:val="center"/>
                </w:tcPr>
                <w:p>
                  <w:pPr>
                    <w:pStyle w:val="32"/>
                    <w:spacing w:line="360" w:lineRule="exact"/>
                    <w:rPr>
                      <w:color w:val="000000" w:themeColor="text1"/>
                      <w:kern w:val="0"/>
                      <w:szCs w:val="21"/>
                    </w:rPr>
                  </w:pPr>
                </w:p>
              </w:tc>
              <w:tc>
                <w:tcPr>
                  <w:tcW w:w="932" w:type="dxa"/>
                  <w:vMerge w:val="continue"/>
                  <w:vAlign w:val="center"/>
                </w:tcPr>
                <w:p>
                  <w:pPr>
                    <w:pStyle w:val="32"/>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2"/>
                    <w:spacing w:line="360" w:lineRule="exact"/>
                    <w:rPr>
                      <w:color w:val="000000" w:themeColor="text1"/>
                      <w:kern w:val="0"/>
                      <w:szCs w:val="21"/>
                    </w:rPr>
                  </w:pPr>
                  <w:r>
                    <w:rPr>
                      <w:rFonts w:hint="eastAsia"/>
                      <w:color w:val="000000" w:themeColor="text1"/>
                      <w:kern w:val="0"/>
                      <w:szCs w:val="21"/>
                    </w:rPr>
                    <w:t>散户居民</w:t>
                  </w:r>
                </w:p>
              </w:tc>
              <w:tc>
                <w:tcPr>
                  <w:tcW w:w="1516" w:type="dxa"/>
                  <w:vAlign w:val="center"/>
                </w:tcPr>
                <w:p>
                  <w:pPr>
                    <w:pStyle w:val="32"/>
                    <w:spacing w:line="360" w:lineRule="exact"/>
                    <w:rPr>
                      <w:color w:val="000000" w:themeColor="text1"/>
                      <w:kern w:val="0"/>
                      <w:szCs w:val="21"/>
                    </w:rPr>
                  </w:pPr>
                  <w:r>
                    <w:rPr>
                      <w:color w:val="000000" w:themeColor="text1"/>
                      <w:kern w:val="0"/>
                      <w:szCs w:val="21"/>
                    </w:rPr>
                    <w:t>103.244057°</w:t>
                  </w:r>
                </w:p>
              </w:tc>
              <w:tc>
                <w:tcPr>
                  <w:tcW w:w="1393" w:type="dxa"/>
                  <w:vAlign w:val="center"/>
                </w:tcPr>
                <w:p>
                  <w:pPr>
                    <w:pStyle w:val="32"/>
                    <w:spacing w:line="360" w:lineRule="exact"/>
                    <w:rPr>
                      <w:color w:val="000000" w:themeColor="text1"/>
                      <w:kern w:val="0"/>
                      <w:szCs w:val="21"/>
                    </w:rPr>
                  </w:pPr>
                  <w:r>
                    <w:rPr>
                      <w:color w:val="000000" w:themeColor="text1"/>
                      <w:kern w:val="0"/>
                      <w:szCs w:val="21"/>
                    </w:rPr>
                    <w:t>25.641035°</w:t>
                  </w:r>
                </w:p>
              </w:tc>
              <w:tc>
                <w:tcPr>
                  <w:tcW w:w="733"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1012" w:type="dxa"/>
                  <w:vAlign w:val="center"/>
                </w:tcPr>
                <w:p>
                  <w:pPr>
                    <w:pStyle w:val="32"/>
                    <w:spacing w:line="360" w:lineRule="exact"/>
                    <w:rPr>
                      <w:color w:val="000000" w:themeColor="text1"/>
                      <w:kern w:val="0"/>
                      <w:szCs w:val="21"/>
                    </w:rPr>
                  </w:pPr>
                  <w:r>
                    <w:rPr>
                      <w:rFonts w:hint="eastAsia"/>
                      <w:color w:val="000000" w:themeColor="text1"/>
                      <w:kern w:val="0"/>
                      <w:szCs w:val="21"/>
                    </w:rPr>
                    <w:t>3</w:t>
                  </w:r>
                  <w:r>
                    <w:rPr>
                      <w:color w:val="000000" w:themeColor="text1"/>
                      <w:kern w:val="0"/>
                      <w:szCs w:val="21"/>
                    </w:rPr>
                    <w:t>户/</w:t>
                  </w:r>
                  <w:r>
                    <w:rPr>
                      <w:rFonts w:hint="eastAsia"/>
                      <w:color w:val="000000" w:themeColor="text1"/>
                      <w:kern w:val="0"/>
                      <w:szCs w:val="21"/>
                    </w:rPr>
                    <w:t>13</w:t>
                  </w:r>
                  <w:r>
                    <w:rPr>
                      <w:color w:val="000000" w:themeColor="text1"/>
                      <w:kern w:val="0"/>
                      <w:szCs w:val="21"/>
                    </w:rPr>
                    <w:t>人</w:t>
                  </w:r>
                </w:p>
              </w:tc>
              <w:tc>
                <w:tcPr>
                  <w:tcW w:w="1385" w:type="dxa"/>
                  <w:vAlign w:val="center"/>
                </w:tcPr>
                <w:p>
                  <w:pPr>
                    <w:pStyle w:val="32"/>
                    <w:spacing w:line="360" w:lineRule="exact"/>
                    <w:rPr>
                      <w:color w:val="000000" w:themeColor="text1"/>
                      <w:kern w:val="0"/>
                      <w:szCs w:val="21"/>
                    </w:rPr>
                  </w:pPr>
                  <w:r>
                    <w:rPr>
                      <w:rFonts w:hint="eastAsia"/>
                      <w:color w:val="000000" w:themeColor="text1"/>
                      <w:kern w:val="0"/>
                      <w:szCs w:val="21"/>
                    </w:rPr>
                    <w:t>《环境空气质量标准》（</w:t>
                  </w:r>
                  <w:r>
                    <w:rPr>
                      <w:color w:val="000000" w:themeColor="text1"/>
                      <w:kern w:val="0"/>
                      <w:szCs w:val="21"/>
                    </w:rPr>
                    <w:t>GB3095- 2012）二级</w:t>
                  </w:r>
                </w:p>
              </w:tc>
              <w:tc>
                <w:tcPr>
                  <w:tcW w:w="734" w:type="dxa"/>
                  <w:vAlign w:val="center"/>
                </w:tcPr>
                <w:p>
                  <w:pPr>
                    <w:pStyle w:val="32"/>
                    <w:spacing w:line="360" w:lineRule="exact"/>
                    <w:rPr>
                      <w:color w:val="000000" w:themeColor="text1"/>
                      <w:kern w:val="0"/>
                      <w:szCs w:val="21"/>
                    </w:rPr>
                  </w:pPr>
                  <w:r>
                    <w:rPr>
                      <w:rFonts w:hint="eastAsia"/>
                      <w:color w:val="000000" w:themeColor="text1"/>
                      <w:kern w:val="0"/>
                      <w:szCs w:val="21"/>
                    </w:rPr>
                    <w:t>西</w:t>
                  </w:r>
                  <w:r>
                    <w:rPr>
                      <w:color w:val="000000" w:themeColor="text1"/>
                      <w:kern w:val="0"/>
                      <w:szCs w:val="21"/>
                    </w:rPr>
                    <w:t>侧</w:t>
                  </w:r>
                </w:p>
              </w:tc>
              <w:tc>
                <w:tcPr>
                  <w:tcW w:w="932" w:type="dxa"/>
                  <w:vAlign w:val="center"/>
                </w:tcPr>
                <w:p>
                  <w:pPr>
                    <w:pStyle w:val="32"/>
                    <w:spacing w:line="360" w:lineRule="exact"/>
                    <w:rPr>
                      <w:color w:val="000000" w:themeColor="text1"/>
                      <w:kern w:val="0"/>
                      <w:szCs w:val="21"/>
                    </w:rPr>
                  </w:pPr>
                  <w:r>
                    <w:rPr>
                      <w:rFonts w:hint="eastAsia"/>
                      <w:color w:val="000000" w:themeColor="text1"/>
                      <w:kern w:val="0"/>
                      <w:szCs w:val="21"/>
                    </w:rPr>
                    <w:t>412</w:t>
                  </w:r>
                  <w:r>
                    <w:rPr>
                      <w:color w:val="000000" w:themeColor="text1"/>
                      <w:kern w:val="0"/>
                      <w:szCs w:val="21"/>
                    </w:rPr>
                    <w:t>m</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本项目区属于黑泥沟的汇水范围，因此拟将黑泥沟列入本项目水环境保护目标。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.2.2-1</w:t>
            </w:r>
            <w:r>
              <w:rPr>
                <w:rFonts w:hAnsi="Times New Roman" w:eastAsia="宋体"/>
                <w:bCs/>
                <w:snapToGrid w:val="0"/>
                <w:color w:val="000000" w:themeColor="text1"/>
                <w:sz w:val="21"/>
                <w:szCs w:val="21"/>
              </w:rPr>
              <w:t xml:space="preserve"> 地表水环境保护目标及保护级别一览表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41"/>
              <w:gridCol w:w="2662"/>
              <w:gridCol w:w="1311"/>
              <w:gridCol w:w="81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类别</w:t>
                  </w:r>
                </w:p>
              </w:tc>
              <w:tc>
                <w:tcPr>
                  <w:tcW w:w="94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保护目标</w:t>
                  </w:r>
                </w:p>
              </w:tc>
              <w:tc>
                <w:tcPr>
                  <w:tcW w:w="2662"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坐标</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与项目区的方位及距离</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高差</w:t>
                  </w:r>
                </w:p>
              </w:tc>
              <w:tc>
                <w:tcPr>
                  <w:tcW w:w="213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0" w:type="dxa"/>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地表水</w:t>
                  </w:r>
                </w:p>
              </w:tc>
              <w:tc>
                <w:tcPr>
                  <w:tcW w:w="94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黑泥沟</w:t>
                  </w:r>
                  <w:r>
                    <w:rPr>
                      <w:rFonts w:hint="eastAsia"/>
                      <w:color w:val="000000" w:themeColor="text1"/>
                      <w:szCs w:val="21"/>
                    </w:rPr>
                    <w:t>、</w:t>
                  </w:r>
                  <w:r>
                    <w:rPr>
                      <w:color w:val="000000" w:themeColor="text1"/>
                      <w:szCs w:val="21"/>
                    </w:rPr>
                    <w:t>甸头大河</w:t>
                  </w:r>
                </w:p>
              </w:tc>
              <w:tc>
                <w:tcPr>
                  <w:tcW w:w="2662"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起点：东经103°15′10.21″，北纬25°38′46.98″</w:t>
                  </w:r>
                </w:p>
                <w:p>
                  <w:pPr>
                    <w:pStyle w:val="32"/>
                    <w:spacing w:line="360" w:lineRule="exact"/>
                    <w:ind w:firstLine="210" w:firstLineChars="100"/>
                    <w:jc w:val="left"/>
                    <w:rPr>
                      <w:color w:val="000000" w:themeColor="text1"/>
                      <w:szCs w:val="21"/>
                    </w:rPr>
                  </w:pPr>
                  <w:r>
                    <w:rPr>
                      <w:color w:val="000000" w:themeColor="text1"/>
                      <w:szCs w:val="21"/>
                    </w:rPr>
                    <w:t>终点：东经103°15′01.11″，北纬25°39′04.52″</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北侧486m</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29</w:t>
                  </w:r>
                  <w:r>
                    <w:rPr>
                      <w:color w:val="000000" w:themeColor="text1"/>
                      <w:szCs w:val="21"/>
                    </w:rPr>
                    <w:t>m</w:t>
                  </w:r>
                </w:p>
              </w:tc>
              <w:tc>
                <w:tcPr>
                  <w:tcW w:w="2130"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《地表水环境质量标准》（GB3838-2002）III类标准</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云南省东川再就业特区天生桥特色产业园区，本项目选址不涉及到地下水集中式饮用水水源和热水、矿泉水、温泉等特殊地下水资源。</w:t>
            </w:r>
          </w:p>
          <w:p>
            <w:pPr>
              <w:pStyle w:val="40"/>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根据《建设项目环境影响报告表编制技术指南》（污染影响类）（试行）的要求，本项目声环境评价范围为50m，根据现场调查，本项目50m范围内无声环境保护目标。</w:t>
            </w:r>
          </w:p>
          <w:p>
            <w:pPr>
              <w:pStyle w:val="40"/>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云南省东川再就业特区天生桥特色产业园，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w:t>
            </w:r>
            <w:r>
              <w:rPr>
                <w:rFonts w:hint="eastAsia" w:eastAsiaTheme="minorEastAsia"/>
                <w:color w:val="000000" w:themeColor="text1"/>
                <w:szCs w:val="24"/>
              </w:rPr>
              <w:t>仅</w:t>
            </w:r>
            <w:r>
              <w:rPr>
                <w:rFonts w:eastAsiaTheme="minorEastAsia"/>
                <w:color w:val="000000" w:themeColor="text1"/>
                <w:szCs w:val="24"/>
              </w:rPr>
              <w:t>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污染物排放控制标准</w:t>
            </w:r>
          </w:p>
          <w:p>
            <w:pPr>
              <w:pStyle w:val="40"/>
              <w:ind w:firstLine="482"/>
              <w:rPr>
                <w:rFonts w:eastAsiaTheme="minorEastAsia"/>
                <w:b/>
                <w:color w:val="000000" w:themeColor="text1"/>
                <w:szCs w:val="24"/>
              </w:rPr>
            </w:pPr>
            <w:r>
              <w:rPr>
                <w:rFonts w:eastAsiaTheme="minorEastAsia"/>
                <w:b/>
                <w:color w:val="000000" w:themeColor="text1"/>
                <w:szCs w:val="24"/>
              </w:rPr>
              <w:t>3.3.1 废气排放标准</w:t>
            </w:r>
          </w:p>
          <w:p>
            <w:pPr>
              <w:pStyle w:val="40"/>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32"/>
                    <w:spacing w:line="360" w:lineRule="exact"/>
                    <w:rPr>
                      <w:color w:val="000000" w:themeColor="text1"/>
                      <w:szCs w:val="21"/>
                    </w:rPr>
                  </w:pPr>
                  <w:r>
                    <w:rPr>
                      <w:color w:val="000000" w:themeColor="text1"/>
                      <w:szCs w:val="21"/>
                    </w:rPr>
                    <w:t>污染物</w:t>
                  </w:r>
                </w:p>
              </w:tc>
              <w:tc>
                <w:tcPr>
                  <w:tcW w:w="3387" w:type="dxa"/>
                </w:tcPr>
                <w:p>
                  <w:pPr>
                    <w:pStyle w:val="32"/>
                    <w:spacing w:line="360" w:lineRule="exact"/>
                    <w:rPr>
                      <w:color w:val="000000" w:themeColor="text1"/>
                      <w:szCs w:val="21"/>
                    </w:rPr>
                  </w:pPr>
                  <w:r>
                    <w:rPr>
                      <w:color w:val="000000" w:themeColor="text1"/>
                      <w:szCs w:val="21"/>
                    </w:rPr>
                    <w:t>最高允许排放浓度</w:t>
                  </w:r>
                </w:p>
              </w:tc>
              <w:tc>
                <w:tcPr>
                  <w:tcW w:w="3151" w:type="dxa"/>
                </w:tcPr>
                <w:p>
                  <w:pPr>
                    <w:pStyle w:val="32"/>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32"/>
                    <w:spacing w:line="360" w:lineRule="exact"/>
                    <w:rPr>
                      <w:color w:val="000000" w:themeColor="text1"/>
                      <w:szCs w:val="21"/>
                    </w:rPr>
                  </w:pPr>
                  <w:r>
                    <w:rPr>
                      <w:color w:val="000000" w:themeColor="text1"/>
                      <w:szCs w:val="21"/>
                    </w:rPr>
                    <w:t>颗粒物</w:t>
                  </w:r>
                </w:p>
              </w:tc>
              <w:tc>
                <w:tcPr>
                  <w:tcW w:w="3387" w:type="dxa"/>
                </w:tcPr>
                <w:p>
                  <w:pPr>
                    <w:pStyle w:val="32"/>
                    <w:spacing w:line="360" w:lineRule="exact"/>
                    <w:rPr>
                      <w:color w:val="000000" w:themeColor="text1"/>
                      <w:szCs w:val="21"/>
                    </w:rPr>
                  </w:pPr>
                  <w:r>
                    <w:rPr>
                      <w:color w:val="000000" w:themeColor="text1"/>
                      <w:szCs w:val="21"/>
                    </w:rPr>
                    <w:t>--</w:t>
                  </w:r>
                </w:p>
              </w:tc>
              <w:tc>
                <w:tcPr>
                  <w:tcW w:w="3151" w:type="dxa"/>
                </w:tcPr>
                <w:p>
                  <w:pPr>
                    <w:pStyle w:val="32"/>
                    <w:spacing w:line="360" w:lineRule="exact"/>
                    <w:rPr>
                      <w:color w:val="000000" w:themeColor="text1"/>
                      <w:szCs w:val="21"/>
                    </w:rPr>
                  </w:pPr>
                  <w:r>
                    <w:rPr>
                      <w:color w:val="000000" w:themeColor="text1"/>
                      <w:szCs w:val="21"/>
                    </w:rPr>
                    <w:t>1.0</w:t>
                  </w:r>
                </w:p>
              </w:tc>
            </w:tr>
          </w:tbl>
          <w:p>
            <w:pPr>
              <w:pStyle w:val="40"/>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①粉尘执行标准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中造粒和筛分工序会产生一定量的粉尘，执行</w:t>
            </w:r>
            <w:r>
              <w:rPr>
                <w:rFonts w:ascii="Times New Roman" w:hAnsi="Times New Roman" w:cs="Times New Roman"/>
                <w:color w:val="000000" w:themeColor="text1"/>
                <w:sz w:val="24"/>
                <w:szCs w:val="24"/>
              </w:rPr>
              <w:t>《大气污染物综合排放标准》（GB16297-1996）中表2标准。具体标准限值详见下表。</w:t>
            </w: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3.3.1-2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大气污染物</w:t>
            </w:r>
            <w:r>
              <w:rPr>
                <w:rFonts w:ascii="Times New Roman" w:hAnsi="Times New Roman" w:cs="Times New Roman"/>
                <w:b/>
                <w:color w:val="000000" w:themeColor="text1"/>
                <w:szCs w:val="24"/>
              </w:rPr>
              <w:t>排放限值  单位mg/Nm³</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92"/>
              <w:gridCol w:w="1276"/>
              <w:gridCol w:w="1418"/>
              <w:gridCol w:w="1104"/>
              <w:gridCol w:w="201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596" w:type="dxa"/>
                  <w:vMerge w:val="restart"/>
                  <w:vAlign w:val="center"/>
                </w:tcPr>
                <w:p>
                  <w:pPr>
                    <w:pStyle w:val="32"/>
                    <w:spacing w:line="360" w:lineRule="exact"/>
                    <w:rPr>
                      <w:color w:val="000000" w:themeColor="text1"/>
                      <w:szCs w:val="21"/>
                    </w:rPr>
                  </w:pPr>
                  <w:r>
                    <w:rPr>
                      <w:color w:val="000000" w:themeColor="text1"/>
                      <w:szCs w:val="21"/>
                    </w:rPr>
                    <w:t>序号</w:t>
                  </w:r>
                </w:p>
              </w:tc>
              <w:tc>
                <w:tcPr>
                  <w:tcW w:w="992" w:type="dxa"/>
                  <w:vMerge w:val="restart"/>
                  <w:vAlign w:val="center"/>
                </w:tcPr>
                <w:p>
                  <w:pPr>
                    <w:pStyle w:val="32"/>
                    <w:spacing w:line="360" w:lineRule="exact"/>
                    <w:rPr>
                      <w:color w:val="000000" w:themeColor="text1"/>
                      <w:szCs w:val="21"/>
                    </w:rPr>
                  </w:pPr>
                  <w:r>
                    <w:rPr>
                      <w:color w:val="000000" w:themeColor="text1"/>
                      <w:szCs w:val="21"/>
                    </w:rPr>
                    <w:t>项目</w:t>
                  </w:r>
                </w:p>
              </w:tc>
              <w:tc>
                <w:tcPr>
                  <w:tcW w:w="1276" w:type="dxa"/>
                  <w:vMerge w:val="restart"/>
                  <w:vAlign w:val="center"/>
                </w:tcPr>
                <w:p>
                  <w:pPr>
                    <w:pStyle w:val="32"/>
                    <w:spacing w:line="360" w:lineRule="exact"/>
                    <w:rPr>
                      <w:color w:val="000000" w:themeColor="text1"/>
                      <w:szCs w:val="21"/>
                    </w:rPr>
                  </w:pPr>
                  <w:r>
                    <w:rPr>
                      <w:color w:val="000000" w:themeColor="text1"/>
                      <w:szCs w:val="21"/>
                    </w:rPr>
                    <w:t>最高允许排放浓度mg/m³</w:t>
                  </w:r>
                </w:p>
              </w:tc>
              <w:tc>
                <w:tcPr>
                  <w:tcW w:w="2522" w:type="dxa"/>
                  <w:gridSpan w:val="2"/>
                  <w:vAlign w:val="center"/>
                </w:tcPr>
                <w:p>
                  <w:pPr>
                    <w:pStyle w:val="32"/>
                    <w:spacing w:line="360" w:lineRule="exact"/>
                    <w:rPr>
                      <w:color w:val="000000" w:themeColor="text1"/>
                      <w:szCs w:val="21"/>
                    </w:rPr>
                  </w:pPr>
                  <w:r>
                    <w:rPr>
                      <w:color w:val="000000" w:themeColor="text1"/>
                      <w:szCs w:val="21"/>
                    </w:rPr>
                    <w:t>最高允许排放速率，kg/h</w:t>
                  </w:r>
                </w:p>
              </w:tc>
              <w:tc>
                <w:tcPr>
                  <w:tcW w:w="3222" w:type="dxa"/>
                  <w:gridSpan w:val="2"/>
                  <w:vAlign w:val="center"/>
                </w:tcPr>
                <w:p>
                  <w:pPr>
                    <w:pStyle w:val="32"/>
                    <w:spacing w:line="360" w:lineRule="exact"/>
                    <w:rPr>
                      <w:color w:val="000000" w:themeColor="text1"/>
                      <w:szCs w:val="21"/>
                    </w:rPr>
                  </w:pP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6"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276" w:type="dxa"/>
                  <w:vMerge w:val="continue"/>
                  <w:vAlign w:val="center"/>
                </w:tcPr>
                <w:p>
                  <w:pPr>
                    <w:pStyle w:val="32"/>
                    <w:spacing w:line="360" w:lineRule="exact"/>
                    <w:rPr>
                      <w:color w:val="000000" w:themeColor="text1"/>
                      <w:szCs w:val="21"/>
                    </w:rPr>
                  </w:pPr>
                </w:p>
              </w:tc>
              <w:tc>
                <w:tcPr>
                  <w:tcW w:w="1418" w:type="dxa"/>
                  <w:vAlign w:val="center"/>
                </w:tcPr>
                <w:p>
                  <w:pPr>
                    <w:pStyle w:val="32"/>
                    <w:spacing w:line="360" w:lineRule="exact"/>
                    <w:rPr>
                      <w:color w:val="000000" w:themeColor="text1"/>
                      <w:szCs w:val="21"/>
                    </w:rPr>
                  </w:pPr>
                  <w:r>
                    <w:rPr>
                      <w:color w:val="000000" w:themeColor="text1"/>
                      <w:szCs w:val="21"/>
                    </w:rPr>
                    <w:t>排气筒高度</w:t>
                  </w:r>
                </w:p>
              </w:tc>
              <w:tc>
                <w:tcPr>
                  <w:tcW w:w="1104" w:type="dxa"/>
                  <w:vAlign w:val="center"/>
                </w:tcPr>
                <w:p>
                  <w:pPr>
                    <w:pStyle w:val="32"/>
                    <w:spacing w:line="360" w:lineRule="exact"/>
                    <w:rPr>
                      <w:color w:val="000000" w:themeColor="text1"/>
                      <w:szCs w:val="21"/>
                    </w:rPr>
                  </w:pPr>
                  <w:r>
                    <w:rPr>
                      <w:color w:val="000000" w:themeColor="text1"/>
                      <w:szCs w:val="21"/>
                    </w:rPr>
                    <w:t>二级</w:t>
                  </w:r>
                </w:p>
              </w:tc>
              <w:tc>
                <w:tcPr>
                  <w:tcW w:w="2014" w:type="dxa"/>
                  <w:vAlign w:val="center"/>
                </w:tcPr>
                <w:p>
                  <w:pPr>
                    <w:pStyle w:val="32"/>
                    <w:spacing w:line="360" w:lineRule="exact"/>
                    <w:rPr>
                      <w:color w:val="000000" w:themeColor="text1"/>
                      <w:szCs w:val="21"/>
                    </w:rPr>
                  </w:pPr>
                  <w:r>
                    <w:rPr>
                      <w:color w:val="000000" w:themeColor="text1"/>
                      <w:szCs w:val="21"/>
                    </w:rPr>
                    <w:t>监控点</w:t>
                  </w:r>
                </w:p>
              </w:tc>
              <w:tc>
                <w:tcPr>
                  <w:tcW w:w="1208" w:type="dxa"/>
                  <w:vAlign w:val="center"/>
                </w:tcPr>
                <w:p>
                  <w:pPr>
                    <w:pStyle w:val="32"/>
                    <w:spacing w:line="360" w:lineRule="exact"/>
                    <w:rPr>
                      <w:color w:val="000000" w:themeColor="text1"/>
                      <w:szCs w:val="21"/>
                    </w:rPr>
                  </w:pPr>
                  <w:r>
                    <w:rPr>
                      <w:color w:val="000000" w:themeColor="text1"/>
                      <w:szCs w:val="21"/>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596" w:type="dxa"/>
                  <w:vAlign w:val="center"/>
                </w:tcPr>
                <w:p>
                  <w:pPr>
                    <w:pStyle w:val="32"/>
                    <w:spacing w:line="360" w:lineRule="exact"/>
                    <w:rPr>
                      <w:color w:val="000000" w:themeColor="text1"/>
                      <w:szCs w:val="21"/>
                    </w:rPr>
                  </w:pPr>
                  <w:r>
                    <w:rPr>
                      <w:color w:val="000000" w:themeColor="text1"/>
                      <w:szCs w:val="21"/>
                    </w:rPr>
                    <w:t>1</w:t>
                  </w:r>
                </w:p>
              </w:tc>
              <w:tc>
                <w:tcPr>
                  <w:tcW w:w="992" w:type="dxa"/>
                  <w:vAlign w:val="center"/>
                </w:tcPr>
                <w:p>
                  <w:pPr>
                    <w:pStyle w:val="32"/>
                    <w:spacing w:line="360" w:lineRule="exact"/>
                    <w:rPr>
                      <w:color w:val="000000" w:themeColor="text1"/>
                      <w:szCs w:val="21"/>
                    </w:rPr>
                  </w:pPr>
                  <w:r>
                    <w:rPr>
                      <w:color w:val="000000" w:themeColor="text1"/>
                      <w:szCs w:val="21"/>
                    </w:rPr>
                    <w:t>颗粒物</w:t>
                  </w:r>
                </w:p>
              </w:tc>
              <w:tc>
                <w:tcPr>
                  <w:tcW w:w="1276" w:type="dxa"/>
                  <w:vAlign w:val="center"/>
                </w:tcPr>
                <w:p>
                  <w:pPr>
                    <w:pStyle w:val="32"/>
                    <w:spacing w:line="360" w:lineRule="exact"/>
                    <w:rPr>
                      <w:color w:val="000000" w:themeColor="text1"/>
                      <w:szCs w:val="21"/>
                    </w:rPr>
                  </w:pPr>
                  <w:r>
                    <w:rPr>
                      <w:color w:val="000000" w:themeColor="text1"/>
                      <w:szCs w:val="21"/>
                    </w:rPr>
                    <w:t>120</w:t>
                  </w:r>
                </w:p>
              </w:tc>
              <w:tc>
                <w:tcPr>
                  <w:tcW w:w="1418" w:type="dxa"/>
                  <w:vAlign w:val="center"/>
                </w:tcPr>
                <w:p>
                  <w:pPr>
                    <w:pStyle w:val="32"/>
                    <w:spacing w:line="360" w:lineRule="exact"/>
                    <w:rPr>
                      <w:color w:val="000000" w:themeColor="text1"/>
                      <w:szCs w:val="21"/>
                    </w:rPr>
                  </w:pPr>
                  <w:r>
                    <w:rPr>
                      <w:color w:val="000000" w:themeColor="text1"/>
                      <w:szCs w:val="21"/>
                    </w:rPr>
                    <w:t>15m</w:t>
                  </w:r>
                </w:p>
              </w:tc>
              <w:tc>
                <w:tcPr>
                  <w:tcW w:w="1104" w:type="dxa"/>
                  <w:vAlign w:val="center"/>
                </w:tcPr>
                <w:p>
                  <w:pPr>
                    <w:pStyle w:val="32"/>
                    <w:spacing w:line="360" w:lineRule="exact"/>
                    <w:rPr>
                      <w:color w:val="000000" w:themeColor="text1"/>
                      <w:szCs w:val="21"/>
                    </w:rPr>
                  </w:pPr>
                  <w:r>
                    <w:rPr>
                      <w:color w:val="000000" w:themeColor="text1"/>
                      <w:szCs w:val="21"/>
                    </w:rPr>
                    <w:t>3.5</w:t>
                  </w:r>
                </w:p>
              </w:tc>
              <w:tc>
                <w:tcPr>
                  <w:tcW w:w="2014" w:type="dxa"/>
                  <w:vAlign w:val="center"/>
                </w:tcPr>
                <w:p>
                  <w:pPr>
                    <w:pStyle w:val="32"/>
                    <w:spacing w:line="360" w:lineRule="exact"/>
                    <w:rPr>
                      <w:color w:val="000000" w:themeColor="text1"/>
                      <w:szCs w:val="21"/>
                    </w:rPr>
                  </w:pPr>
                  <w:r>
                    <w:rPr>
                      <w:color w:val="000000" w:themeColor="text1"/>
                      <w:szCs w:val="21"/>
                    </w:rPr>
                    <w:t>周界外浓度最高点</w:t>
                  </w:r>
                </w:p>
              </w:tc>
              <w:tc>
                <w:tcPr>
                  <w:tcW w:w="1208" w:type="dxa"/>
                  <w:vAlign w:val="center"/>
                </w:tcPr>
                <w:p>
                  <w:pPr>
                    <w:pStyle w:val="32"/>
                    <w:spacing w:line="360" w:lineRule="exact"/>
                    <w:rPr>
                      <w:color w:val="000000" w:themeColor="text1"/>
                      <w:szCs w:val="21"/>
                    </w:rPr>
                  </w:pPr>
                  <w:r>
                    <w:rPr>
                      <w:color w:val="000000" w:themeColor="text1"/>
                      <w:szCs w:val="21"/>
                    </w:rPr>
                    <w:t>1.0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②恶臭执行标准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w:t>
            </w:r>
            <w:r>
              <w:rPr>
                <w:rFonts w:ascii="Times New Roman" w:hAnsi="Times New Roman" w:cs="Times New Roman"/>
                <w:color w:val="000000" w:themeColor="text1"/>
                <w:sz w:val="24"/>
                <w:szCs w:val="24"/>
              </w:rPr>
              <w:t>含腐植酸液体水溶肥生产线</w:t>
            </w:r>
            <w:r>
              <w:rPr>
                <w:rFonts w:hint="eastAsia" w:ascii="Times New Roman" w:hAnsi="Times New Roman" w:cs="Times New Roman"/>
                <w:color w:val="000000" w:themeColor="text1"/>
                <w:sz w:val="24"/>
                <w:szCs w:val="24"/>
              </w:rPr>
              <w:t>原料会产生少量的异味，</w:t>
            </w:r>
            <w:r>
              <w:rPr>
                <w:rFonts w:ascii="Times New Roman" w:hAnsi="Times New Roman" w:cs="Times New Roman"/>
                <w:color w:val="000000" w:themeColor="text1"/>
                <w:sz w:val="24"/>
                <w:szCs w:val="24"/>
              </w:rPr>
              <w:t>执行《恶臭污染物排放标准》（GB14554-93）中无组织</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排放标准。标准值详见下表。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恶臭污染物排放标准排放限值</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单位mg/m³</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4"/>
              <w:gridCol w:w="3751"/>
              <w:gridCol w:w="3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23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序号</w:t>
                  </w:r>
                </w:p>
              </w:tc>
              <w:tc>
                <w:tcPr>
                  <w:tcW w:w="375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污染物</w:t>
                  </w:r>
                </w:p>
              </w:tc>
              <w:tc>
                <w:tcPr>
                  <w:tcW w:w="3623"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1</w:t>
                  </w:r>
                </w:p>
              </w:tc>
              <w:tc>
                <w:tcPr>
                  <w:tcW w:w="375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臭气浓度</w:t>
                  </w:r>
                </w:p>
              </w:tc>
              <w:tc>
                <w:tcPr>
                  <w:tcW w:w="3623"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20（无量纲）</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w:t>
            </w:r>
            <w:r>
              <w:rPr>
                <w:rFonts w:hint="eastAsia" w:ascii="Times New Roman" w:hAnsi="Times New Roman" w:cs="Times New Roman"/>
                <w:color w:val="000000" w:themeColor="text1"/>
                <w:sz w:val="24"/>
                <w:szCs w:val="24"/>
              </w:rPr>
              <w:t>设备清洗废水和生活污水。</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w:t>
            </w:r>
            <w:r>
              <w:rPr>
                <w:rFonts w:hint="eastAsia" w:ascii="Times New Roman" w:hAnsi="Times New Roman" w:cs="Times New Roman"/>
                <w:b/>
                <w:color w:val="000000" w:themeColor="text1"/>
                <w:sz w:val="24"/>
                <w:szCs w:val="24"/>
              </w:rPr>
              <w:t>设备清洗废水执行标准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项目产生的设备清洗废水收集后作为含腐植酸液体水溶肥生产原料使用，不外排；</w:t>
            </w:r>
            <w:r>
              <w:rPr>
                <w:rFonts w:ascii="Times New Roman" w:hAnsi="Times New Roman" w:cs="Times New Roman"/>
                <w:color w:val="000000" w:themeColor="text1"/>
                <w:sz w:val="24"/>
                <w:szCs w:val="24"/>
              </w:rPr>
              <w:t>不需执行废水排放标准。</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②生活污水</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项目产生的生活污水经昆明再生资源（集团）天生桥再生资源回收基地配套设置了2座设计规模均为15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/d的中水处理站处理后，回用于基地绿化、卫生间冲厕等，不外排。执行</w:t>
            </w:r>
            <w:r>
              <w:rPr>
                <w:rFonts w:ascii="Times New Roman" w:hAnsi="Times New Roman" w:cs="Times New Roman"/>
                <w:color w:val="000000" w:themeColor="text1"/>
                <w:sz w:val="24"/>
                <w:szCs w:val="24"/>
              </w:rPr>
              <w:t>《城市污水再生利用 城市杂用水水质》（GB/T18920-2020）中城市绿化标准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城市污水再生利用 城市杂用水标准</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395"/>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序号</w:t>
                  </w:r>
                </w:p>
              </w:tc>
              <w:tc>
                <w:tcPr>
                  <w:tcW w:w="4395" w:type="dxa"/>
                  <w:vAlign w:val="center"/>
                </w:tcPr>
                <w:p>
                  <w:pPr>
                    <w:pStyle w:val="32"/>
                    <w:spacing w:line="360" w:lineRule="exact"/>
                    <w:rPr>
                      <w:color w:val="000000" w:themeColor="text1"/>
                      <w:szCs w:val="21"/>
                    </w:rPr>
                  </w:pPr>
                  <w:r>
                    <w:rPr>
                      <w:color w:val="000000" w:themeColor="text1"/>
                      <w:szCs w:val="21"/>
                    </w:rPr>
                    <w:t>项目</w:t>
                  </w:r>
                </w:p>
              </w:tc>
              <w:tc>
                <w:tcPr>
                  <w:tcW w:w="3172" w:type="dxa"/>
                  <w:vAlign w:val="center"/>
                </w:tcPr>
                <w:p>
                  <w:pPr>
                    <w:pStyle w:val="32"/>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w:t>
                  </w:r>
                </w:p>
              </w:tc>
              <w:tc>
                <w:tcPr>
                  <w:tcW w:w="4395" w:type="dxa"/>
                  <w:vAlign w:val="center"/>
                </w:tcPr>
                <w:p>
                  <w:pPr>
                    <w:pStyle w:val="32"/>
                    <w:spacing w:line="360" w:lineRule="exact"/>
                    <w:rPr>
                      <w:color w:val="000000" w:themeColor="text1"/>
                      <w:szCs w:val="21"/>
                    </w:rPr>
                  </w:pPr>
                  <w:r>
                    <w:rPr>
                      <w:color w:val="000000" w:themeColor="text1"/>
                      <w:szCs w:val="21"/>
                    </w:rPr>
                    <w:t>pH</w:t>
                  </w:r>
                </w:p>
              </w:tc>
              <w:tc>
                <w:tcPr>
                  <w:tcW w:w="3172" w:type="dxa"/>
                  <w:vAlign w:val="center"/>
                </w:tcPr>
                <w:p>
                  <w:pPr>
                    <w:pStyle w:val="32"/>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2</w:t>
                  </w:r>
                </w:p>
              </w:tc>
              <w:tc>
                <w:tcPr>
                  <w:tcW w:w="4395" w:type="dxa"/>
                  <w:vAlign w:val="center"/>
                </w:tcPr>
                <w:p>
                  <w:pPr>
                    <w:pStyle w:val="32"/>
                    <w:spacing w:line="360" w:lineRule="exact"/>
                    <w:rPr>
                      <w:color w:val="000000" w:themeColor="text1"/>
                      <w:szCs w:val="21"/>
                    </w:rPr>
                  </w:pPr>
                  <w:r>
                    <w:rPr>
                      <w:color w:val="000000" w:themeColor="text1"/>
                      <w:szCs w:val="21"/>
                    </w:rPr>
                    <w:t>色（度）≤</w:t>
                  </w:r>
                </w:p>
              </w:tc>
              <w:tc>
                <w:tcPr>
                  <w:tcW w:w="3172" w:type="dxa"/>
                  <w:vAlign w:val="center"/>
                </w:tcPr>
                <w:p>
                  <w:pPr>
                    <w:pStyle w:val="32"/>
                    <w:spacing w:line="360" w:lineRule="exact"/>
                    <w:rPr>
                      <w:color w:val="000000" w:themeColor="text1"/>
                      <w:szCs w:val="21"/>
                    </w:rPr>
                  </w:pPr>
                  <w:r>
                    <w:rPr>
                      <w:rFonts w:hint="eastAsia"/>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3</w:t>
                  </w:r>
                </w:p>
              </w:tc>
              <w:tc>
                <w:tcPr>
                  <w:tcW w:w="4395" w:type="dxa"/>
                  <w:vAlign w:val="center"/>
                </w:tcPr>
                <w:p>
                  <w:pPr>
                    <w:pStyle w:val="32"/>
                    <w:spacing w:line="360" w:lineRule="exact"/>
                    <w:rPr>
                      <w:color w:val="000000" w:themeColor="text1"/>
                      <w:szCs w:val="21"/>
                    </w:rPr>
                  </w:pPr>
                  <w:r>
                    <w:rPr>
                      <w:color w:val="000000" w:themeColor="text1"/>
                      <w:szCs w:val="21"/>
                    </w:rPr>
                    <w:t>嗅</w:t>
                  </w:r>
                </w:p>
              </w:tc>
              <w:tc>
                <w:tcPr>
                  <w:tcW w:w="3172" w:type="dxa"/>
                  <w:vAlign w:val="center"/>
                </w:tcPr>
                <w:p>
                  <w:pPr>
                    <w:pStyle w:val="32"/>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4</w:t>
                  </w:r>
                </w:p>
              </w:tc>
              <w:tc>
                <w:tcPr>
                  <w:tcW w:w="4395" w:type="dxa"/>
                  <w:vAlign w:val="center"/>
                </w:tcPr>
                <w:p>
                  <w:pPr>
                    <w:pStyle w:val="32"/>
                    <w:spacing w:line="360" w:lineRule="exact"/>
                    <w:rPr>
                      <w:color w:val="000000" w:themeColor="text1"/>
                      <w:szCs w:val="21"/>
                    </w:rPr>
                  </w:pPr>
                  <w:r>
                    <w:rPr>
                      <w:color w:val="000000" w:themeColor="text1"/>
                      <w:szCs w:val="21"/>
                    </w:rPr>
                    <w:t>浊度（NTU）≤</w:t>
                  </w:r>
                </w:p>
              </w:tc>
              <w:tc>
                <w:tcPr>
                  <w:tcW w:w="3172"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5</w:t>
                  </w:r>
                </w:p>
              </w:tc>
              <w:tc>
                <w:tcPr>
                  <w:tcW w:w="4395" w:type="dxa"/>
                  <w:vAlign w:val="center"/>
                </w:tcPr>
                <w:p>
                  <w:pPr>
                    <w:pStyle w:val="32"/>
                    <w:spacing w:line="360" w:lineRule="exact"/>
                    <w:rPr>
                      <w:color w:val="000000" w:themeColor="text1"/>
                      <w:szCs w:val="21"/>
                    </w:rPr>
                  </w:pPr>
                  <w:r>
                    <w:rPr>
                      <w:color w:val="000000" w:themeColor="text1"/>
                      <w:szCs w:val="21"/>
                    </w:rPr>
                    <w:t>溶解性总固体（mg/L）≤</w:t>
                  </w:r>
                </w:p>
              </w:tc>
              <w:tc>
                <w:tcPr>
                  <w:tcW w:w="3172" w:type="dxa"/>
                  <w:vAlign w:val="center"/>
                </w:tcPr>
                <w:p>
                  <w:pPr>
                    <w:pStyle w:val="32"/>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6</w:t>
                  </w:r>
                </w:p>
              </w:tc>
              <w:tc>
                <w:tcPr>
                  <w:tcW w:w="4395" w:type="dxa"/>
                  <w:vAlign w:val="center"/>
                </w:tcPr>
                <w:p>
                  <w:pPr>
                    <w:pStyle w:val="32"/>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3172"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7</w:t>
                  </w:r>
                </w:p>
              </w:tc>
              <w:tc>
                <w:tcPr>
                  <w:tcW w:w="4395" w:type="dxa"/>
                  <w:vAlign w:val="center"/>
                </w:tcPr>
                <w:p>
                  <w:pPr>
                    <w:pStyle w:val="32"/>
                    <w:spacing w:line="360" w:lineRule="exact"/>
                    <w:rPr>
                      <w:color w:val="000000" w:themeColor="text1"/>
                      <w:szCs w:val="21"/>
                    </w:rPr>
                  </w:pPr>
                  <w:r>
                    <w:rPr>
                      <w:color w:val="000000" w:themeColor="text1"/>
                      <w:szCs w:val="21"/>
                    </w:rPr>
                    <w:t>氨氮（mg/L）≤</w:t>
                  </w:r>
                </w:p>
              </w:tc>
              <w:tc>
                <w:tcPr>
                  <w:tcW w:w="3172" w:type="dxa"/>
                  <w:vAlign w:val="center"/>
                </w:tcPr>
                <w:p>
                  <w:pPr>
                    <w:pStyle w:val="32"/>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8</w:t>
                  </w:r>
                </w:p>
              </w:tc>
              <w:tc>
                <w:tcPr>
                  <w:tcW w:w="4395" w:type="dxa"/>
                  <w:vAlign w:val="center"/>
                </w:tcPr>
                <w:p>
                  <w:pPr>
                    <w:pStyle w:val="32"/>
                    <w:spacing w:line="360" w:lineRule="exact"/>
                    <w:rPr>
                      <w:color w:val="000000" w:themeColor="text1"/>
                      <w:szCs w:val="21"/>
                    </w:rPr>
                  </w:pPr>
                  <w:r>
                    <w:rPr>
                      <w:color w:val="000000" w:themeColor="text1"/>
                      <w:szCs w:val="21"/>
                    </w:rPr>
                    <w:t>阴离子表面活性（mg/L）≤</w:t>
                  </w:r>
                </w:p>
              </w:tc>
              <w:tc>
                <w:tcPr>
                  <w:tcW w:w="3172"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9</w:t>
                  </w:r>
                </w:p>
              </w:tc>
              <w:tc>
                <w:tcPr>
                  <w:tcW w:w="4395" w:type="dxa"/>
                  <w:vAlign w:val="center"/>
                </w:tcPr>
                <w:p>
                  <w:pPr>
                    <w:pStyle w:val="32"/>
                    <w:spacing w:line="360" w:lineRule="exact"/>
                    <w:rPr>
                      <w:color w:val="000000" w:themeColor="text1"/>
                      <w:szCs w:val="21"/>
                    </w:rPr>
                  </w:pPr>
                  <w:r>
                    <w:rPr>
                      <w:color w:val="000000" w:themeColor="text1"/>
                      <w:szCs w:val="21"/>
                    </w:rPr>
                    <w:t>铁（mg/L）≤</w:t>
                  </w:r>
                </w:p>
              </w:tc>
              <w:tc>
                <w:tcPr>
                  <w:tcW w:w="3172"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10</w:t>
                  </w:r>
                </w:p>
              </w:tc>
              <w:tc>
                <w:tcPr>
                  <w:tcW w:w="4395" w:type="dxa"/>
                  <w:vAlign w:val="center"/>
                </w:tcPr>
                <w:p>
                  <w:pPr>
                    <w:pStyle w:val="32"/>
                    <w:spacing w:line="360" w:lineRule="exact"/>
                    <w:rPr>
                      <w:color w:val="000000" w:themeColor="text1"/>
                      <w:szCs w:val="21"/>
                    </w:rPr>
                  </w:pPr>
                  <w:r>
                    <w:rPr>
                      <w:color w:val="000000" w:themeColor="text1"/>
                      <w:szCs w:val="21"/>
                    </w:rPr>
                    <w:t>锰（mg/L）≤</w:t>
                  </w:r>
                </w:p>
              </w:tc>
              <w:tc>
                <w:tcPr>
                  <w:tcW w:w="3172"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11</w:t>
                  </w:r>
                </w:p>
              </w:tc>
              <w:tc>
                <w:tcPr>
                  <w:tcW w:w="4395" w:type="dxa"/>
                  <w:vAlign w:val="center"/>
                </w:tcPr>
                <w:p>
                  <w:pPr>
                    <w:pStyle w:val="32"/>
                    <w:spacing w:line="360" w:lineRule="exact"/>
                    <w:rPr>
                      <w:color w:val="000000" w:themeColor="text1"/>
                      <w:szCs w:val="21"/>
                    </w:rPr>
                  </w:pPr>
                  <w:r>
                    <w:rPr>
                      <w:color w:val="000000" w:themeColor="text1"/>
                      <w:szCs w:val="21"/>
                    </w:rPr>
                    <w:t>溶解氧（mg/L）≥</w:t>
                  </w:r>
                </w:p>
              </w:tc>
              <w:tc>
                <w:tcPr>
                  <w:tcW w:w="3172" w:type="dxa"/>
                  <w:vAlign w:val="center"/>
                </w:tcPr>
                <w:p>
                  <w:pPr>
                    <w:pStyle w:val="32"/>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12</w:t>
                  </w:r>
                </w:p>
              </w:tc>
              <w:tc>
                <w:tcPr>
                  <w:tcW w:w="4395" w:type="dxa"/>
                  <w:vAlign w:val="center"/>
                </w:tcPr>
                <w:p>
                  <w:pPr>
                    <w:pStyle w:val="32"/>
                    <w:spacing w:line="360" w:lineRule="exact"/>
                    <w:rPr>
                      <w:color w:val="000000" w:themeColor="text1"/>
                      <w:szCs w:val="21"/>
                    </w:rPr>
                  </w:pPr>
                  <w:r>
                    <w:rPr>
                      <w:color w:val="000000" w:themeColor="text1"/>
                      <w:szCs w:val="21"/>
                    </w:rPr>
                    <w:t>总余氯（mg/L）≤</w:t>
                  </w:r>
                </w:p>
              </w:tc>
              <w:tc>
                <w:tcPr>
                  <w:tcW w:w="3172" w:type="dxa"/>
                  <w:vAlign w:val="center"/>
                </w:tcPr>
                <w:p>
                  <w:pPr>
                    <w:pStyle w:val="32"/>
                    <w:spacing w:line="360" w:lineRule="exact"/>
                    <w:rPr>
                      <w:color w:val="000000" w:themeColor="text1"/>
                      <w:szCs w:val="21"/>
                    </w:rPr>
                  </w:pPr>
                  <w:r>
                    <w:rPr>
                      <w:rFonts w:hint="eastAsia"/>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13</w:t>
                  </w:r>
                </w:p>
              </w:tc>
              <w:tc>
                <w:tcPr>
                  <w:tcW w:w="4395" w:type="dxa"/>
                  <w:vAlign w:val="center"/>
                </w:tcPr>
                <w:p>
                  <w:pPr>
                    <w:pStyle w:val="32"/>
                    <w:spacing w:line="360" w:lineRule="exact"/>
                    <w:rPr>
                      <w:color w:val="000000" w:themeColor="text1"/>
                      <w:szCs w:val="21"/>
                    </w:rPr>
                  </w:pPr>
                  <w:r>
                    <w:rPr>
                      <w:color w:val="000000" w:themeColor="text1"/>
                      <w:szCs w:val="21"/>
                    </w:rPr>
                    <w:t>大肠埃氏菌/（MPN/100mL，或CFU/100 mL）</w:t>
                  </w:r>
                </w:p>
              </w:tc>
              <w:tc>
                <w:tcPr>
                  <w:tcW w:w="3172" w:type="dxa"/>
                  <w:vAlign w:val="center"/>
                </w:tcPr>
                <w:p>
                  <w:pPr>
                    <w:pStyle w:val="32"/>
                    <w:spacing w:line="360" w:lineRule="exact"/>
                    <w:rPr>
                      <w:color w:val="000000" w:themeColor="text1"/>
                      <w:szCs w:val="21"/>
                    </w:rPr>
                  </w:pPr>
                  <w:r>
                    <w:rPr>
                      <w:color w:val="000000" w:themeColor="text1"/>
                      <w:szCs w:val="21"/>
                    </w:rPr>
                    <w:t>无</w:t>
                  </w:r>
                </w:p>
              </w:tc>
            </w:tr>
          </w:tbl>
          <w:p>
            <w:pPr>
              <w:autoSpaceDE w:val="0"/>
              <w:autoSpaceDN w:val="0"/>
              <w:adjustRightInd w:val="0"/>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项目产生的生活污水纳入昆明再生资源（集团）天生桥再生资源回收基地管理。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9" w:type="dxa"/>
                  <w:gridSpan w:val="2"/>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32"/>
                    <w:spacing w:line="360" w:lineRule="exact"/>
                    <w:ind w:left="11"/>
                    <w:rPr>
                      <w:rFonts w:eastAsiaTheme="minorEastAsia"/>
                      <w:color w:val="000000" w:themeColor="text1"/>
                      <w:szCs w:val="21"/>
                    </w:rPr>
                  </w:pPr>
                </w:p>
              </w:tc>
              <w:tc>
                <w:tcPr>
                  <w:tcW w:w="282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项目位于云南省东川再就业特区天生桥特色产业园，本项目噪声执行《工业企业厂界环境噪声排放标准》（GB12348-2008）3类标准。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1"/>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32"/>
                    <w:spacing w:line="360" w:lineRule="exact"/>
                    <w:ind w:left="11"/>
                    <w:rPr>
                      <w:rFonts w:eastAsiaTheme="minorEastAsia"/>
                      <w:color w:val="000000" w:themeColor="text1"/>
                      <w:szCs w:val="21"/>
                    </w:rPr>
                  </w:pP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3类</w:t>
                  </w: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一般固体废物处置执行《一般工业固体废物贮存和填埋污染控制标准》（GB18599-2020）。</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pStyle w:val="40"/>
              <w:ind w:firstLine="480"/>
              <w:rPr>
                <w:color w:val="000000" w:themeColor="text1"/>
                <w:szCs w:val="24"/>
              </w:rPr>
            </w:pPr>
            <w:r>
              <w:rPr>
                <w:color w:val="000000" w:themeColor="text1"/>
                <w:szCs w:val="24"/>
              </w:rPr>
              <w:t>有组织排放废气：废气量</w:t>
            </w:r>
            <w:r>
              <w:rPr>
                <w:rFonts w:hint="eastAsia"/>
                <w:color w:val="000000" w:themeColor="text1"/>
                <w:szCs w:val="24"/>
              </w:rPr>
              <w:t>1800万m³/a</w:t>
            </w:r>
            <w:r>
              <w:rPr>
                <w:color w:val="000000" w:themeColor="text1"/>
                <w:szCs w:val="24"/>
              </w:rPr>
              <w:t>，</w:t>
            </w:r>
            <w:r>
              <w:rPr>
                <w:rFonts w:hint="eastAsia"/>
                <w:color w:val="000000" w:themeColor="text1"/>
                <w:szCs w:val="24"/>
              </w:rPr>
              <w:t>有组织颗粒物：0.78t</w:t>
            </w:r>
            <w:r>
              <w:rPr>
                <w:color w:val="000000" w:themeColor="text1"/>
                <w:szCs w:val="24"/>
              </w:rPr>
              <w:t>/a</w:t>
            </w:r>
            <w:r>
              <w:rPr>
                <w:rFonts w:hint="eastAsia"/>
                <w:color w:val="000000" w:themeColor="text1"/>
                <w:szCs w:val="24"/>
              </w:rPr>
              <w:t>，无组织颗粒物：3.78t</w:t>
            </w:r>
            <w:r>
              <w:rPr>
                <w:color w:val="000000" w:themeColor="text1"/>
                <w:szCs w:val="24"/>
              </w:rPr>
              <w:t>/a</w:t>
            </w:r>
            <w:r>
              <w:rPr>
                <w:rFonts w:hint="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w:t>
            </w:r>
            <w:r>
              <w:rPr>
                <w:rFonts w:ascii="Times New Roman" w:hAnsi="Times New Roman" w:cs="Times New Roman"/>
                <w:color w:val="000000" w:themeColor="text1"/>
                <w:sz w:val="24"/>
                <w:szCs w:val="24"/>
              </w:rPr>
              <w:t>设备清洗废水用于项目含腐植酸液体水溶肥生产线作为原料生产使用，不外排</w:t>
            </w:r>
            <w:r>
              <w:rPr>
                <w:rFonts w:hint="eastAsia" w:ascii="Times New Roman" w:hAnsi="Times New Roman" w:cs="Times New Roman"/>
                <w:color w:val="000000" w:themeColor="text1"/>
                <w:sz w:val="24"/>
                <w:szCs w:val="24"/>
              </w:rPr>
              <w:t>；项目产生的生活污水纳入昆明再生资源（集团）天生桥再生资源回收基地管理。本项目建成后，基地内新增生活废水量为：项目生活污水产生量为96</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CODcr</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0.03</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BOD</w:t>
            </w:r>
            <w:r>
              <w:rPr>
                <w:rFonts w:ascii="Times New Roman" w:hAnsi="Times New Roman" w:cs="Times New Roman"/>
                <w:color w:val="000000" w:themeColor="text1"/>
                <w:sz w:val="24"/>
                <w:szCs w:val="24"/>
                <w:vertAlign w:val="subscript"/>
              </w:rPr>
              <w:t>5</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0.02</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w:t>
            </w:r>
            <w:r>
              <w:rPr>
                <w:rFonts w:hint="eastAsia" w:ascii="Times New Roman" w:hAnsi="Times New Roman" w:cs="Times New Roman"/>
                <w:color w:val="000000" w:themeColor="text1"/>
                <w:sz w:val="24"/>
                <w:szCs w:val="24"/>
              </w:rPr>
              <w:t>4t/a、</w:t>
            </w:r>
            <w:r>
              <w:rPr>
                <w:rFonts w:ascii="Times New Roman" w:hAnsi="Times New Roman" w:cs="Times New Roman"/>
                <w:color w:val="000000" w:themeColor="text1"/>
                <w:sz w:val="24"/>
                <w:szCs w:val="24"/>
              </w:rPr>
              <w:t>SS</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w:t>
            </w:r>
            <w:r>
              <w:rPr>
                <w:rFonts w:hint="eastAsia" w:ascii="Times New Roman" w:hAnsi="Times New Roman" w:cs="Times New Roman"/>
                <w:color w:val="000000" w:themeColor="text1"/>
                <w:sz w:val="24"/>
                <w:szCs w:val="24"/>
              </w:rPr>
              <w:t>3t/a、</w:t>
            </w:r>
            <w:r>
              <w:rPr>
                <w:rFonts w:ascii="Times New Roman" w:hAnsi="Times New Roman" w:cs="Times New Roman"/>
                <w:color w:val="000000" w:themeColor="text1"/>
                <w:sz w:val="24"/>
                <w:szCs w:val="24"/>
              </w:rPr>
              <w:t>总磷</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0.000</w:t>
            </w:r>
            <w:r>
              <w:rPr>
                <w:rFonts w:hint="eastAsia" w:ascii="Times New Roman" w:hAnsi="Times New Roman" w:cs="Times New Roman"/>
                <w:color w:val="000000" w:themeColor="text1"/>
                <w:sz w:val="24"/>
                <w:szCs w:val="24"/>
              </w:rPr>
              <w:t>8t/a、</w:t>
            </w:r>
            <w:r>
              <w:rPr>
                <w:rFonts w:ascii="Times New Roman" w:hAnsi="Times New Roman" w:cs="Times New Roman"/>
                <w:color w:val="000000" w:themeColor="text1"/>
                <w:sz w:val="24"/>
                <w:szCs w:val="24"/>
              </w:rPr>
              <w:t>总氮</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0.004</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阴离子表面活性剂</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w:t>
            </w:r>
            <w:r>
              <w:rPr>
                <w:rFonts w:hint="eastAsia" w:ascii="Times New Roman" w:hAnsi="Times New Roman" w:cs="Times New Roman"/>
                <w:color w:val="000000" w:themeColor="text1"/>
                <w:sz w:val="24"/>
                <w:szCs w:val="24"/>
              </w:rPr>
              <w:t>2t/a。项目产生的生活污水经昆明再生资源（集团）天生桥再生资源回收基地配套设置了2座设计规模均为15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/d的中水处理站处理后，</w:t>
            </w:r>
            <w:r>
              <w:rPr>
                <w:rFonts w:ascii="Times New Roman" w:hAnsi="Times New Roman" w:cs="Times New Roman"/>
                <w:color w:val="000000" w:themeColor="text1"/>
                <w:sz w:val="24"/>
                <w:szCs w:val="24"/>
              </w:rPr>
              <w:t>可达到《城市污水再生利用 城市杂用水水质》（GB/T18920-2020）中城市绿化标准</w:t>
            </w:r>
            <w:r>
              <w:rPr>
                <w:rFonts w:hint="eastAsia" w:ascii="Times New Roman" w:hAnsi="Times New Roman" w:cs="Times New Roman"/>
                <w:color w:val="000000" w:themeColor="text1"/>
                <w:sz w:val="24"/>
                <w:szCs w:val="24"/>
              </w:rPr>
              <w:t>，回用于基地绿化、卫生间冲厕等，不外排。不设总量控制指标。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rFonts w:hint="eastAsia"/>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项目施工期仅为生产设备和环保设施建设。施工量较小。其主要污染防治措施如下。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4.1.1 施工期</w:t>
            </w:r>
            <w:r>
              <w:rPr>
                <w:rFonts w:ascii="Times New Roman" w:hAnsi="Times New Roman" w:cs="Times New Roman"/>
                <w:b/>
                <w:color w:val="000000" w:themeColor="text1"/>
                <w:sz w:val="24"/>
                <w:szCs w:val="24"/>
              </w:rPr>
              <w:t>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加强施工运输车辆管理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运输车辆严禁带泥上路，严禁超载。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4.1.2 施工期</w:t>
            </w:r>
            <w:r>
              <w:rPr>
                <w:rFonts w:ascii="Times New Roman" w:hAnsi="Times New Roman" w:cs="Times New Roman"/>
                <w:b/>
                <w:color w:val="000000" w:themeColor="text1"/>
                <w:sz w:val="24"/>
                <w:szCs w:val="24"/>
              </w:rPr>
              <w:t>废水污染防治措施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施工人员生活污水仅为洗手污水</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通过</w:t>
            </w:r>
            <w:r>
              <w:rPr>
                <w:rFonts w:hint="eastAsia" w:ascii="Times New Roman" w:hAnsi="Times New Roman" w:cs="Times New Roman"/>
                <w:color w:val="000000" w:themeColor="text1"/>
                <w:sz w:val="24"/>
                <w:szCs w:val="24"/>
              </w:rPr>
              <w:t>项目园区已建设的污水处理设施处理</w:t>
            </w:r>
            <w:r>
              <w:rPr>
                <w:rFonts w:ascii="Times New Roman" w:hAnsi="Times New Roman" w:cs="Times New Roman"/>
                <w:color w:val="000000" w:themeColor="text1"/>
                <w:sz w:val="24"/>
                <w:szCs w:val="24"/>
              </w:rPr>
              <w:t>后，回用于绿化，不外排。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4.1.3 施工期</w:t>
            </w:r>
            <w:r>
              <w:rPr>
                <w:rFonts w:ascii="Times New Roman" w:hAnsi="Times New Roman" w:cs="Times New Roman"/>
                <w:b/>
                <w:color w:val="000000" w:themeColor="text1"/>
                <w:sz w:val="24"/>
                <w:szCs w:val="24"/>
              </w:rPr>
              <w:t>噪声污染防治措施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w:t>
            </w:r>
            <w:r>
              <w:rPr>
                <w:rFonts w:hint="eastAsia" w:ascii="Times New Roman" w:hAnsi="Times New Roman" w:cs="Times New Roman"/>
                <w:color w:val="000000" w:themeColor="text1"/>
                <w:sz w:val="24"/>
                <w:szCs w:val="24"/>
              </w:rPr>
              <w:t>合理安排施工工序及时间，禁止夜间施工。</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4.1.4 施工期</w:t>
            </w:r>
            <w:r>
              <w:rPr>
                <w:rFonts w:ascii="Times New Roman" w:hAnsi="Times New Roman" w:cs="Times New Roman"/>
                <w:b/>
                <w:color w:val="000000" w:themeColor="text1"/>
                <w:sz w:val="24"/>
                <w:szCs w:val="24"/>
              </w:rPr>
              <w:t>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①建设垃圾包括设备包装材料、废木材、废钢材等，严格按照园区的要求，对其进行分类收集，其中废钢材收集后外售废品收购站，其他不能回收部分运至相关单位指定地点进行合理处置。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生产工艺为单纯性的物理混合</w:t>
            </w:r>
            <w:r>
              <w:rPr>
                <w:rFonts w:hint="eastAsia" w:ascii="Times New Roman" w:hAnsi="Times New Roman" w:cs="Times New Roman"/>
                <w:color w:val="000000" w:themeColor="text1"/>
                <w:sz w:val="24"/>
                <w:szCs w:val="24"/>
              </w:rPr>
              <w:t>，项目使用固体原料属于晶体性原料，因此在备料、投料和混合过程中基本无粉尘产生，主要粉尘来源于</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中造粒和筛分工序产生的粉尘和</w:t>
            </w:r>
            <w:r>
              <w:rPr>
                <w:rFonts w:ascii="Times New Roman" w:hAnsi="Times New Roman" w:cs="Times New Roman"/>
                <w:color w:val="000000" w:themeColor="text1"/>
                <w:sz w:val="24"/>
                <w:szCs w:val="24"/>
              </w:rPr>
              <w:t>含腐植酸液体水溶肥生产线</w:t>
            </w:r>
            <w:r>
              <w:rPr>
                <w:rFonts w:hint="eastAsia" w:ascii="Times New Roman" w:hAnsi="Times New Roman" w:cs="Times New Roman"/>
                <w:color w:val="000000" w:themeColor="text1"/>
                <w:sz w:val="24"/>
                <w:szCs w:val="24"/>
              </w:rPr>
              <w:t>原料产生的异味。具体核算如下。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可知，</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中造粒和筛分工序会产生一定量的粉尘，根据《排放源统计调查产排污核算方法和系数手册》中“</w:t>
            </w:r>
            <w:r>
              <w:rPr>
                <w:rFonts w:ascii="Times New Roman" w:hAnsi="Times New Roman" w:cs="Times New Roman"/>
                <w:color w:val="000000" w:themeColor="text1"/>
                <w:sz w:val="24"/>
                <w:szCs w:val="24"/>
              </w:rPr>
              <w:t>2624</w:t>
            </w:r>
            <w:r>
              <w:rPr>
                <w:rFonts w:hint="eastAsia" w:ascii="Times New Roman" w:hAnsi="Times New Roman" w:cs="Times New Roman"/>
                <w:color w:val="000000" w:themeColor="text1"/>
                <w:sz w:val="24"/>
                <w:szCs w:val="24"/>
              </w:rPr>
              <w:t>复混肥料制造行业系数表”。项目产污系数如下表所示。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表</w:t>
            </w: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4.2.1-1   复混肥料制造行业系数表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6"/>
              <w:gridCol w:w="804"/>
              <w:gridCol w:w="1498"/>
              <w:gridCol w:w="572"/>
              <w:gridCol w:w="715"/>
              <w:gridCol w:w="455"/>
              <w:gridCol w:w="805"/>
              <w:gridCol w:w="931"/>
              <w:gridCol w:w="707"/>
              <w:gridCol w:w="776"/>
              <w:gridCol w:w="8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6" w:type="dxa"/>
                  <w:vAlign w:val="center"/>
                </w:tcPr>
                <w:p>
                  <w:pPr>
                    <w:pStyle w:val="32"/>
                    <w:spacing w:line="360" w:lineRule="exact"/>
                    <w:rPr>
                      <w:color w:val="000000" w:themeColor="text1"/>
                      <w:szCs w:val="21"/>
                      <w:lang w:val="en-US"/>
                    </w:rPr>
                  </w:pPr>
                  <w:r>
                    <w:rPr>
                      <w:rFonts w:hint="eastAsia"/>
                      <w:color w:val="000000" w:themeColor="text1"/>
                      <w:szCs w:val="21"/>
                      <w:lang w:val="en-US"/>
                    </w:rPr>
                    <w:t>工段名称</w:t>
                  </w:r>
                </w:p>
              </w:tc>
              <w:tc>
                <w:tcPr>
                  <w:tcW w:w="804" w:type="dxa"/>
                  <w:vAlign w:val="center"/>
                </w:tcPr>
                <w:p>
                  <w:pPr>
                    <w:pStyle w:val="32"/>
                    <w:spacing w:line="360" w:lineRule="exact"/>
                    <w:rPr>
                      <w:color w:val="000000" w:themeColor="text1"/>
                      <w:szCs w:val="21"/>
                      <w:lang w:val="en-US"/>
                    </w:rPr>
                  </w:pPr>
                  <w:r>
                    <w:rPr>
                      <w:rFonts w:hint="eastAsia"/>
                      <w:color w:val="000000" w:themeColor="text1"/>
                      <w:szCs w:val="21"/>
                      <w:lang w:val="en-US"/>
                    </w:rPr>
                    <w:t>产品名称</w:t>
                  </w:r>
                </w:p>
              </w:tc>
              <w:tc>
                <w:tcPr>
                  <w:tcW w:w="1498" w:type="dxa"/>
                  <w:vAlign w:val="center"/>
                </w:tcPr>
                <w:p>
                  <w:pPr>
                    <w:pStyle w:val="32"/>
                    <w:spacing w:line="360" w:lineRule="exact"/>
                    <w:rPr>
                      <w:color w:val="000000" w:themeColor="text1"/>
                      <w:szCs w:val="21"/>
                      <w:lang w:val="en-US"/>
                    </w:rPr>
                  </w:pPr>
                  <w:r>
                    <w:rPr>
                      <w:rFonts w:hint="eastAsia"/>
                      <w:color w:val="000000" w:themeColor="text1"/>
                      <w:szCs w:val="21"/>
                      <w:lang w:val="en-US"/>
                    </w:rPr>
                    <w:t>原料名称</w:t>
                  </w:r>
                </w:p>
              </w:tc>
              <w:tc>
                <w:tcPr>
                  <w:tcW w:w="572" w:type="dxa"/>
                  <w:vAlign w:val="center"/>
                </w:tcPr>
                <w:p>
                  <w:pPr>
                    <w:pStyle w:val="32"/>
                    <w:spacing w:line="360" w:lineRule="exact"/>
                    <w:rPr>
                      <w:color w:val="000000" w:themeColor="text1"/>
                      <w:szCs w:val="21"/>
                      <w:lang w:val="en-US"/>
                    </w:rPr>
                  </w:pPr>
                  <w:r>
                    <w:rPr>
                      <w:rFonts w:hint="eastAsia"/>
                      <w:color w:val="000000" w:themeColor="text1"/>
                      <w:szCs w:val="21"/>
                      <w:lang w:val="en-US"/>
                    </w:rPr>
                    <w:t>工艺名称</w:t>
                  </w:r>
                </w:p>
              </w:tc>
              <w:tc>
                <w:tcPr>
                  <w:tcW w:w="715" w:type="dxa"/>
                  <w:vAlign w:val="center"/>
                </w:tcPr>
                <w:p>
                  <w:pPr>
                    <w:pStyle w:val="32"/>
                    <w:spacing w:line="360" w:lineRule="exact"/>
                    <w:rPr>
                      <w:color w:val="000000" w:themeColor="text1"/>
                      <w:szCs w:val="21"/>
                      <w:lang w:val="en-US"/>
                    </w:rPr>
                  </w:pPr>
                  <w:r>
                    <w:rPr>
                      <w:rFonts w:hint="eastAsia"/>
                      <w:color w:val="000000" w:themeColor="text1"/>
                      <w:szCs w:val="21"/>
                      <w:lang w:val="en-US"/>
                    </w:rPr>
                    <w:t>规模等级</w:t>
                  </w:r>
                </w:p>
              </w:tc>
              <w:tc>
                <w:tcPr>
                  <w:tcW w:w="1260" w:type="dxa"/>
                  <w:gridSpan w:val="2"/>
                  <w:vAlign w:val="center"/>
                </w:tcPr>
                <w:p>
                  <w:pPr>
                    <w:pStyle w:val="32"/>
                    <w:spacing w:line="360" w:lineRule="exact"/>
                    <w:rPr>
                      <w:color w:val="000000" w:themeColor="text1"/>
                      <w:szCs w:val="21"/>
                      <w:lang w:val="en-US"/>
                    </w:rPr>
                  </w:pPr>
                  <w:r>
                    <w:rPr>
                      <w:rFonts w:hint="eastAsia"/>
                      <w:color w:val="000000" w:themeColor="text1"/>
                      <w:szCs w:val="21"/>
                      <w:lang w:val="en-US"/>
                    </w:rPr>
                    <w:t>污染物指标</w:t>
                  </w:r>
                </w:p>
              </w:tc>
              <w:tc>
                <w:tcPr>
                  <w:tcW w:w="931" w:type="dxa"/>
                  <w:vAlign w:val="center"/>
                </w:tcPr>
                <w:p>
                  <w:pPr>
                    <w:pStyle w:val="32"/>
                    <w:spacing w:line="360" w:lineRule="exact"/>
                    <w:rPr>
                      <w:color w:val="000000" w:themeColor="text1"/>
                      <w:szCs w:val="21"/>
                      <w:lang w:val="en-US"/>
                    </w:rPr>
                  </w:pPr>
                  <w:r>
                    <w:rPr>
                      <w:rFonts w:hint="eastAsia"/>
                      <w:color w:val="000000" w:themeColor="text1"/>
                      <w:szCs w:val="21"/>
                      <w:lang w:val="en-US"/>
                    </w:rPr>
                    <w:t>系数单位</w:t>
                  </w:r>
                </w:p>
              </w:tc>
              <w:tc>
                <w:tcPr>
                  <w:tcW w:w="707" w:type="dxa"/>
                  <w:vAlign w:val="center"/>
                </w:tcPr>
                <w:p>
                  <w:pPr>
                    <w:pStyle w:val="32"/>
                    <w:spacing w:line="360" w:lineRule="exact"/>
                    <w:rPr>
                      <w:color w:val="000000" w:themeColor="text1"/>
                      <w:szCs w:val="21"/>
                      <w:lang w:val="en-US"/>
                    </w:rPr>
                  </w:pPr>
                  <w:r>
                    <w:rPr>
                      <w:rFonts w:hint="eastAsia"/>
                      <w:color w:val="000000" w:themeColor="text1"/>
                      <w:szCs w:val="21"/>
                      <w:lang w:val="en-US"/>
                    </w:rPr>
                    <w:t>产污系数</w:t>
                  </w:r>
                </w:p>
              </w:tc>
              <w:tc>
                <w:tcPr>
                  <w:tcW w:w="776" w:type="dxa"/>
                  <w:vAlign w:val="center"/>
                </w:tcPr>
                <w:p>
                  <w:pPr>
                    <w:pStyle w:val="32"/>
                    <w:spacing w:line="360" w:lineRule="exact"/>
                    <w:rPr>
                      <w:color w:val="000000" w:themeColor="text1"/>
                      <w:szCs w:val="21"/>
                      <w:lang w:val="en-US"/>
                    </w:rPr>
                  </w:pPr>
                  <w:r>
                    <w:rPr>
                      <w:rFonts w:hint="eastAsia"/>
                      <w:color w:val="000000" w:themeColor="text1"/>
                      <w:szCs w:val="21"/>
                      <w:lang w:val="en-US"/>
                    </w:rPr>
                    <w:t>末端治理技术</w:t>
                  </w:r>
                </w:p>
              </w:tc>
              <w:tc>
                <w:tcPr>
                  <w:tcW w:w="819" w:type="dxa"/>
                  <w:vAlign w:val="center"/>
                </w:tcPr>
                <w:p>
                  <w:pPr>
                    <w:pStyle w:val="59"/>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末端治理技术平均去除效率（</w:t>
                  </w:r>
                  <w:r>
                    <w:rPr>
                      <w:rFonts w:ascii="Times New Roman" w:hAnsi="Times New Roman" w:eastAsia="宋体" w:cs="Times New Roman"/>
                      <w:bCs/>
                      <w:snapToGrid w:val="0"/>
                      <w:color w:val="000000" w:themeColor="text1"/>
                      <w:kern w:val="32"/>
                      <w:sz w:val="21"/>
                      <w:szCs w:val="21"/>
                    </w:rPr>
                    <w:t>%</w:t>
                  </w:r>
                  <w:r>
                    <w:rPr>
                      <w:rFonts w:hint="eastAsia" w:ascii="Times New Roman" w:hAnsi="Times New Roman" w:eastAsia="宋体" w:cs="Times New Roman"/>
                      <w:bCs/>
                      <w:snapToGrid w:val="0"/>
                      <w:color w:val="000000" w:themeColor="text1"/>
                      <w:kern w:val="32"/>
                      <w:sz w:val="21"/>
                      <w:szCs w:val="21"/>
                    </w:rPr>
                    <w:t>）</w:t>
                  </w:r>
                  <w:r>
                    <w:rPr>
                      <w:rFonts w:ascii="Times New Roman" w:hAnsi="Times New Roman" w:eastAsia="宋体" w:cs="Times New Roman"/>
                      <w:bCs/>
                      <w:snapToGrid w:val="0"/>
                      <w:color w:val="000000" w:themeColor="text1"/>
                      <w:kern w:val="32"/>
                      <w:sz w:val="21"/>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6"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w:t>
                  </w:r>
                </w:p>
              </w:tc>
              <w:tc>
                <w:tcPr>
                  <w:tcW w:w="804"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复混肥料</w:t>
                  </w:r>
                </w:p>
              </w:tc>
              <w:tc>
                <w:tcPr>
                  <w:tcW w:w="1498" w:type="dxa"/>
                  <w:vMerge w:val="restart"/>
                  <w:vAlign w:val="center"/>
                </w:tcPr>
                <w:p>
                  <w:pPr>
                    <w:pStyle w:val="59"/>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尿素、硝酸铵</w:t>
                  </w:r>
                  <w:r>
                    <w:rPr>
                      <w:rFonts w:ascii="Times New Roman" w:hAnsi="Times New Roman" w:eastAsia="宋体" w:cs="Times New Roman"/>
                      <w:bCs/>
                      <w:snapToGrid w:val="0"/>
                      <w:color w:val="000000" w:themeColor="text1"/>
                      <w:kern w:val="32"/>
                      <w:sz w:val="21"/>
                      <w:szCs w:val="21"/>
                    </w:rPr>
                    <w:t>/</w:t>
                  </w:r>
                  <w:r>
                    <w:rPr>
                      <w:rFonts w:hint="eastAsia" w:ascii="Times New Roman" w:hAnsi="Times New Roman" w:eastAsia="宋体" w:cs="Times New Roman"/>
                      <w:bCs/>
                      <w:snapToGrid w:val="0"/>
                      <w:color w:val="000000" w:themeColor="text1"/>
                      <w:kern w:val="32"/>
                      <w:sz w:val="21"/>
                      <w:szCs w:val="21"/>
                    </w:rPr>
                    <w:t>硝铵磷、磷酸铵、氯化铵、硫酸铵、氯化钾、硫酸钾等</w:t>
                  </w:r>
                </w:p>
              </w:tc>
              <w:tc>
                <w:tcPr>
                  <w:tcW w:w="572"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混合法</w:t>
                  </w:r>
                </w:p>
              </w:tc>
              <w:tc>
                <w:tcPr>
                  <w:tcW w:w="715"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所有规模</w:t>
                  </w:r>
                </w:p>
              </w:tc>
              <w:tc>
                <w:tcPr>
                  <w:tcW w:w="455"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废气</w:t>
                  </w:r>
                </w:p>
              </w:tc>
              <w:tc>
                <w:tcPr>
                  <w:tcW w:w="805" w:type="dxa"/>
                  <w:vAlign w:val="center"/>
                </w:tcPr>
                <w:p>
                  <w:pPr>
                    <w:pStyle w:val="32"/>
                    <w:spacing w:line="360" w:lineRule="exact"/>
                    <w:rPr>
                      <w:color w:val="000000" w:themeColor="text1"/>
                      <w:szCs w:val="21"/>
                      <w:lang w:val="en-US"/>
                    </w:rPr>
                  </w:pPr>
                  <w:r>
                    <w:rPr>
                      <w:rFonts w:hint="eastAsia"/>
                      <w:color w:val="000000" w:themeColor="text1"/>
                      <w:szCs w:val="21"/>
                      <w:lang w:val="en-US"/>
                    </w:rPr>
                    <w:t>工业废气量</w:t>
                  </w:r>
                </w:p>
              </w:tc>
              <w:tc>
                <w:tcPr>
                  <w:tcW w:w="931" w:type="dxa"/>
                  <w:vAlign w:val="center"/>
                </w:tcPr>
                <w:p>
                  <w:pPr>
                    <w:pStyle w:val="32"/>
                    <w:spacing w:line="360" w:lineRule="exact"/>
                    <w:rPr>
                      <w:color w:val="000000" w:themeColor="text1"/>
                      <w:szCs w:val="21"/>
                      <w:lang w:val="en-US"/>
                    </w:rPr>
                  </w:pPr>
                  <w:r>
                    <w:rPr>
                      <w:rFonts w:hint="eastAsia"/>
                      <w:color w:val="000000" w:themeColor="text1"/>
                      <w:szCs w:val="21"/>
                      <w:lang w:val="en-US"/>
                    </w:rPr>
                    <w:t>标立方米/吨-产品</w:t>
                  </w:r>
                </w:p>
              </w:tc>
              <w:tc>
                <w:tcPr>
                  <w:tcW w:w="707" w:type="dxa"/>
                  <w:vAlign w:val="center"/>
                </w:tcPr>
                <w:p>
                  <w:pPr>
                    <w:pStyle w:val="32"/>
                    <w:spacing w:line="360" w:lineRule="exact"/>
                    <w:rPr>
                      <w:color w:val="000000" w:themeColor="text1"/>
                      <w:szCs w:val="21"/>
                      <w:lang w:val="en-US"/>
                    </w:rPr>
                  </w:pPr>
                  <w:r>
                    <w:rPr>
                      <w:rFonts w:hint="eastAsia"/>
                      <w:color w:val="000000" w:themeColor="text1"/>
                      <w:szCs w:val="21"/>
                      <w:lang w:val="en-US"/>
                    </w:rPr>
                    <w:t>2000</w:t>
                  </w:r>
                </w:p>
              </w:tc>
              <w:tc>
                <w:tcPr>
                  <w:tcW w:w="776"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袋式除尘</w:t>
                  </w:r>
                </w:p>
              </w:tc>
              <w:tc>
                <w:tcPr>
                  <w:tcW w:w="819"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6" w:type="dxa"/>
                  <w:vMerge w:val="continue"/>
                  <w:vAlign w:val="center"/>
                </w:tcPr>
                <w:p>
                  <w:pPr>
                    <w:pStyle w:val="32"/>
                    <w:spacing w:line="360" w:lineRule="exact"/>
                    <w:rPr>
                      <w:color w:val="000000" w:themeColor="text1"/>
                      <w:szCs w:val="21"/>
                      <w:lang w:val="en-US"/>
                    </w:rPr>
                  </w:pPr>
                </w:p>
              </w:tc>
              <w:tc>
                <w:tcPr>
                  <w:tcW w:w="804" w:type="dxa"/>
                  <w:vMerge w:val="continue"/>
                  <w:vAlign w:val="center"/>
                </w:tcPr>
                <w:p>
                  <w:pPr>
                    <w:pStyle w:val="32"/>
                    <w:spacing w:line="360" w:lineRule="exact"/>
                    <w:rPr>
                      <w:color w:val="000000" w:themeColor="text1"/>
                      <w:szCs w:val="21"/>
                      <w:lang w:val="en-US"/>
                    </w:rPr>
                  </w:pPr>
                </w:p>
              </w:tc>
              <w:tc>
                <w:tcPr>
                  <w:tcW w:w="1498" w:type="dxa"/>
                  <w:vMerge w:val="continue"/>
                  <w:vAlign w:val="center"/>
                </w:tcPr>
                <w:p>
                  <w:pPr>
                    <w:pStyle w:val="32"/>
                    <w:spacing w:line="360" w:lineRule="exact"/>
                    <w:rPr>
                      <w:color w:val="000000" w:themeColor="text1"/>
                      <w:szCs w:val="21"/>
                      <w:lang w:val="en-US"/>
                    </w:rPr>
                  </w:pPr>
                </w:p>
              </w:tc>
              <w:tc>
                <w:tcPr>
                  <w:tcW w:w="572" w:type="dxa"/>
                  <w:vMerge w:val="continue"/>
                  <w:vAlign w:val="center"/>
                </w:tcPr>
                <w:p>
                  <w:pPr>
                    <w:pStyle w:val="32"/>
                    <w:spacing w:line="360" w:lineRule="exact"/>
                    <w:rPr>
                      <w:color w:val="000000" w:themeColor="text1"/>
                      <w:szCs w:val="21"/>
                      <w:lang w:val="en-US"/>
                    </w:rPr>
                  </w:pPr>
                </w:p>
              </w:tc>
              <w:tc>
                <w:tcPr>
                  <w:tcW w:w="715" w:type="dxa"/>
                  <w:vMerge w:val="continue"/>
                  <w:vAlign w:val="center"/>
                </w:tcPr>
                <w:p>
                  <w:pPr>
                    <w:pStyle w:val="32"/>
                    <w:spacing w:line="360" w:lineRule="exact"/>
                    <w:rPr>
                      <w:color w:val="000000" w:themeColor="text1"/>
                      <w:szCs w:val="21"/>
                      <w:lang w:val="en-US"/>
                    </w:rPr>
                  </w:pPr>
                </w:p>
              </w:tc>
              <w:tc>
                <w:tcPr>
                  <w:tcW w:w="455" w:type="dxa"/>
                  <w:vMerge w:val="continue"/>
                  <w:vAlign w:val="center"/>
                </w:tcPr>
                <w:p>
                  <w:pPr>
                    <w:pStyle w:val="32"/>
                    <w:spacing w:line="360" w:lineRule="exact"/>
                    <w:rPr>
                      <w:color w:val="000000" w:themeColor="text1"/>
                      <w:szCs w:val="21"/>
                      <w:lang w:val="en-US"/>
                    </w:rPr>
                  </w:pPr>
                </w:p>
              </w:tc>
              <w:tc>
                <w:tcPr>
                  <w:tcW w:w="805" w:type="dxa"/>
                  <w:vAlign w:val="center"/>
                </w:tcPr>
                <w:p>
                  <w:pPr>
                    <w:pStyle w:val="32"/>
                    <w:spacing w:line="360" w:lineRule="exact"/>
                    <w:rPr>
                      <w:color w:val="000000" w:themeColor="text1"/>
                      <w:szCs w:val="21"/>
                      <w:lang w:val="en-US"/>
                    </w:rPr>
                  </w:pPr>
                  <w:r>
                    <w:rPr>
                      <w:rFonts w:hint="eastAsia"/>
                      <w:color w:val="000000" w:themeColor="text1"/>
                      <w:szCs w:val="21"/>
                      <w:lang w:val="en-US"/>
                    </w:rPr>
                    <w:t>颗粒物</w:t>
                  </w:r>
                </w:p>
              </w:tc>
              <w:tc>
                <w:tcPr>
                  <w:tcW w:w="931" w:type="dxa"/>
                  <w:vAlign w:val="center"/>
                </w:tcPr>
                <w:p>
                  <w:pPr>
                    <w:pStyle w:val="32"/>
                    <w:spacing w:line="360" w:lineRule="exact"/>
                    <w:rPr>
                      <w:color w:val="000000" w:themeColor="text1"/>
                      <w:szCs w:val="21"/>
                      <w:lang w:val="en-US"/>
                    </w:rPr>
                  </w:pPr>
                  <w:r>
                    <w:rPr>
                      <w:rFonts w:hint="eastAsia"/>
                      <w:color w:val="000000" w:themeColor="text1"/>
                      <w:szCs w:val="21"/>
                      <w:lang w:val="en-US"/>
                    </w:rPr>
                    <w:t>千克/吨-产品</w:t>
                  </w:r>
                </w:p>
              </w:tc>
              <w:tc>
                <w:tcPr>
                  <w:tcW w:w="707" w:type="dxa"/>
                  <w:vAlign w:val="center"/>
                </w:tcPr>
                <w:p>
                  <w:pPr>
                    <w:pStyle w:val="32"/>
                    <w:spacing w:line="360" w:lineRule="exact"/>
                    <w:rPr>
                      <w:color w:val="000000" w:themeColor="text1"/>
                      <w:szCs w:val="21"/>
                      <w:lang w:val="en-US"/>
                    </w:rPr>
                  </w:pPr>
                  <w:r>
                    <w:rPr>
                      <w:rFonts w:hint="eastAsia"/>
                      <w:color w:val="000000" w:themeColor="text1"/>
                      <w:szCs w:val="21"/>
                      <w:lang w:val="en-US"/>
                    </w:rPr>
                    <w:t>8.40</w:t>
                  </w:r>
                </w:p>
              </w:tc>
              <w:tc>
                <w:tcPr>
                  <w:tcW w:w="776" w:type="dxa"/>
                  <w:vMerge w:val="continue"/>
                  <w:vAlign w:val="center"/>
                </w:tcPr>
                <w:p>
                  <w:pPr>
                    <w:pStyle w:val="32"/>
                    <w:spacing w:line="360" w:lineRule="exact"/>
                    <w:rPr>
                      <w:color w:val="000000" w:themeColor="text1"/>
                      <w:szCs w:val="21"/>
                      <w:lang w:val="en-US"/>
                    </w:rPr>
                  </w:pPr>
                </w:p>
              </w:tc>
              <w:tc>
                <w:tcPr>
                  <w:tcW w:w="819" w:type="dxa"/>
                  <w:vMerge w:val="continue"/>
                  <w:vAlign w:val="center"/>
                </w:tcPr>
                <w:p>
                  <w:pPr>
                    <w:pStyle w:val="32"/>
                    <w:spacing w:line="360" w:lineRule="exact"/>
                    <w:rPr>
                      <w:color w:val="000000" w:themeColor="text1"/>
                      <w:szCs w:val="21"/>
                      <w:lang w:val="en-US"/>
                    </w:rPr>
                  </w:pP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由上表可知，项目</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w:t>
            </w:r>
            <w:r>
              <w:rPr>
                <w:rFonts w:hint="eastAsia" w:ascii="Times New Roman" w:hAnsi="Times New Roman" w:cs="Times New Roman"/>
                <w:color w:val="000000" w:themeColor="text1"/>
                <w:sz w:val="24"/>
                <w:szCs w:val="24"/>
              </w:rPr>
              <w:t>产量为9000t/a，则项目</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中造粒和筛分工序废气量为1800万m³/a，粉尘产生量为75.6t/a；项目针对</w:t>
            </w:r>
            <w:r>
              <w:rPr>
                <w:rFonts w:ascii="Times New Roman" w:hAnsi="Times New Roman" w:cs="Times New Roman"/>
                <w:color w:val="000000" w:themeColor="text1"/>
                <w:sz w:val="24"/>
                <w:szCs w:val="24"/>
              </w:rPr>
              <w:t>造粒</w:t>
            </w:r>
            <w:r>
              <w:rPr>
                <w:rFonts w:hint="eastAsia" w:ascii="Times New Roman" w:hAnsi="Times New Roman" w:cs="Times New Roman"/>
                <w:color w:val="000000" w:themeColor="text1"/>
                <w:sz w:val="24"/>
                <w:szCs w:val="24"/>
              </w:rPr>
              <w:t>和筛分</w:t>
            </w:r>
            <w:r>
              <w:rPr>
                <w:rFonts w:ascii="Times New Roman" w:hAnsi="Times New Roman" w:cs="Times New Roman"/>
                <w:color w:val="000000" w:themeColor="text1"/>
                <w:sz w:val="24"/>
                <w:szCs w:val="24"/>
              </w:rPr>
              <w:t>粉尘，项目拟对造粒</w:t>
            </w:r>
            <w:r>
              <w:rPr>
                <w:rFonts w:hint="eastAsia" w:ascii="Times New Roman" w:hAnsi="Times New Roman" w:cs="Times New Roman"/>
                <w:color w:val="000000" w:themeColor="text1"/>
                <w:sz w:val="24"/>
                <w:szCs w:val="24"/>
              </w:rPr>
              <w:t>和筛分</w:t>
            </w:r>
            <w:r>
              <w:rPr>
                <w:rFonts w:ascii="Times New Roman" w:hAnsi="Times New Roman" w:cs="Times New Roman"/>
                <w:color w:val="000000" w:themeColor="text1"/>
                <w:sz w:val="24"/>
                <w:szCs w:val="24"/>
              </w:rPr>
              <w:t>工序产尘点进行封闭，并设置集气罩，将粉尘进行统一收集后，通过1台布袋除尘器进行处理，并经过1根Φ0.35m、高15m的排气筒（DA001）外排</w:t>
            </w:r>
            <w:r>
              <w:rPr>
                <w:rFonts w:hint="eastAsia" w:ascii="Times New Roman" w:hAnsi="Times New Roman" w:cs="Times New Roman"/>
                <w:color w:val="000000" w:themeColor="text1"/>
                <w:sz w:val="24"/>
                <w:szCs w:val="24"/>
              </w:rPr>
              <w:t>；集气罩集气效率为95%，袋式除尘器平均除尘效率为99%，则项目粉尘有组织排放量为0.72t/a，无组织排放量为3.78t/a。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②异味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可知，</w:t>
            </w:r>
            <w:r>
              <w:rPr>
                <w:rFonts w:ascii="Times New Roman" w:hAnsi="Times New Roman" w:cs="Times New Roman"/>
                <w:color w:val="000000" w:themeColor="text1"/>
                <w:sz w:val="24"/>
                <w:szCs w:val="24"/>
              </w:rPr>
              <w:t>含腐植酸液体水溶肥生产线</w:t>
            </w:r>
            <w:r>
              <w:rPr>
                <w:rFonts w:hint="eastAsia" w:ascii="Times New Roman" w:hAnsi="Times New Roman" w:cs="Times New Roman"/>
                <w:color w:val="000000" w:themeColor="text1"/>
                <w:sz w:val="24"/>
                <w:szCs w:val="24"/>
              </w:rPr>
              <w:t>直接购入已发酵的含腐殖酸基液进行物理混合，厂区不进行发酵，但其原料会有异味产生。但产生量较小，在车间无组织排放。</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废气污染物治理措施及排放方式一览表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992"/>
              <w:gridCol w:w="1134"/>
              <w:gridCol w:w="2207"/>
              <w:gridCol w:w="746"/>
              <w:gridCol w:w="656"/>
              <w:gridCol w:w="1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55" w:type="dxa"/>
                  <w:gridSpan w:val="2"/>
                  <w:vAlign w:val="center"/>
                </w:tcPr>
                <w:p>
                  <w:pPr>
                    <w:pStyle w:val="32"/>
                    <w:spacing w:line="360" w:lineRule="exact"/>
                    <w:rPr>
                      <w:color w:val="000000" w:themeColor="text1"/>
                      <w:szCs w:val="21"/>
                    </w:rPr>
                  </w:pPr>
                  <w:r>
                    <w:rPr>
                      <w:color w:val="000000" w:themeColor="text1"/>
                      <w:szCs w:val="21"/>
                    </w:rPr>
                    <w:t>产排污环节</w:t>
                  </w:r>
                </w:p>
              </w:tc>
              <w:tc>
                <w:tcPr>
                  <w:tcW w:w="1134" w:type="dxa"/>
                  <w:vAlign w:val="center"/>
                </w:tcPr>
                <w:p>
                  <w:pPr>
                    <w:pStyle w:val="32"/>
                    <w:spacing w:line="360" w:lineRule="exact"/>
                    <w:rPr>
                      <w:color w:val="000000" w:themeColor="text1"/>
                      <w:szCs w:val="21"/>
                    </w:rPr>
                  </w:pPr>
                  <w:r>
                    <w:rPr>
                      <w:color w:val="000000" w:themeColor="text1"/>
                      <w:szCs w:val="21"/>
                    </w:rPr>
                    <w:t>污染物种类</w:t>
                  </w:r>
                </w:p>
              </w:tc>
              <w:tc>
                <w:tcPr>
                  <w:tcW w:w="2207" w:type="dxa"/>
                  <w:vAlign w:val="center"/>
                </w:tcPr>
                <w:p>
                  <w:pPr>
                    <w:pStyle w:val="32"/>
                    <w:spacing w:line="360" w:lineRule="exact"/>
                    <w:rPr>
                      <w:color w:val="000000" w:themeColor="text1"/>
                      <w:szCs w:val="21"/>
                    </w:rPr>
                  </w:pPr>
                  <w:r>
                    <w:rPr>
                      <w:color w:val="000000" w:themeColor="text1"/>
                      <w:szCs w:val="21"/>
                    </w:rPr>
                    <w:t>治理设施及效率</w:t>
                  </w:r>
                </w:p>
              </w:tc>
              <w:tc>
                <w:tcPr>
                  <w:tcW w:w="74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66" w:type="dxa"/>
                  <w:gridSpan w:val="2"/>
                  <w:vAlign w:val="center"/>
                </w:tcPr>
                <w:p>
                  <w:pPr>
                    <w:pStyle w:val="32"/>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restart"/>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992" w:type="dxa"/>
                  <w:vMerge w:val="restart"/>
                  <w:vAlign w:val="center"/>
                </w:tcPr>
                <w:p>
                  <w:pPr>
                    <w:pStyle w:val="32"/>
                    <w:spacing w:line="360" w:lineRule="exact"/>
                    <w:rPr>
                      <w:color w:val="000000" w:themeColor="text1"/>
                      <w:szCs w:val="21"/>
                    </w:rPr>
                  </w:pPr>
                  <w:r>
                    <w:rPr>
                      <w:rFonts w:hint="eastAsia"/>
                      <w:color w:val="000000" w:themeColor="text1"/>
                      <w:szCs w:val="21"/>
                    </w:rPr>
                    <w:t>造粒和筛分</w:t>
                  </w:r>
                </w:p>
              </w:tc>
              <w:tc>
                <w:tcPr>
                  <w:tcW w:w="1134" w:type="dxa"/>
                  <w:vMerge w:val="restart"/>
                  <w:vAlign w:val="center"/>
                </w:tcPr>
                <w:p>
                  <w:pPr>
                    <w:pStyle w:val="32"/>
                    <w:spacing w:line="360" w:lineRule="exact"/>
                    <w:rPr>
                      <w:color w:val="000000" w:themeColor="text1"/>
                      <w:szCs w:val="21"/>
                    </w:rPr>
                  </w:pPr>
                  <w:r>
                    <w:rPr>
                      <w:rFonts w:hint="eastAsia"/>
                      <w:color w:val="000000" w:themeColor="text1"/>
                      <w:szCs w:val="21"/>
                    </w:rPr>
                    <w:t>粉尘</w:t>
                  </w:r>
                </w:p>
              </w:tc>
              <w:tc>
                <w:tcPr>
                  <w:tcW w:w="2207"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项目针对</w:t>
                  </w:r>
                  <w:r>
                    <w:rPr>
                      <w:color w:val="000000" w:themeColor="text1"/>
                      <w:szCs w:val="21"/>
                    </w:rPr>
                    <w:t>造粒</w:t>
                  </w:r>
                  <w:r>
                    <w:rPr>
                      <w:rFonts w:hint="eastAsia"/>
                      <w:color w:val="000000" w:themeColor="text1"/>
                      <w:szCs w:val="21"/>
                    </w:rPr>
                    <w:t>和筛分</w:t>
                  </w:r>
                  <w:r>
                    <w:rPr>
                      <w:color w:val="000000" w:themeColor="text1"/>
                      <w:szCs w:val="21"/>
                    </w:rPr>
                    <w:t>粉尘，项目拟对造粒</w:t>
                  </w:r>
                  <w:r>
                    <w:rPr>
                      <w:rFonts w:hint="eastAsia"/>
                      <w:color w:val="000000" w:themeColor="text1"/>
                      <w:szCs w:val="21"/>
                    </w:rPr>
                    <w:t>和筛分</w:t>
                  </w:r>
                  <w:r>
                    <w:rPr>
                      <w:color w:val="000000" w:themeColor="text1"/>
                      <w:szCs w:val="21"/>
                    </w:rPr>
                    <w:t>工序产尘点进行封闭，并设置集气罩，将粉尘进行统一收集后，通过1台布袋除尘器进行处理，并经过1根Φ0.35m、高15m的排气筒（DA001）外排</w:t>
                  </w:r>
                  <w:r>
                    <w:rPr>
                      <w:rFonts w:hint="eastAsia"/>
                      <w:color w:val="000000" w:themeColor="text1"/>
                      <w:szCs w:val="21"/>
                    </w:rPr>
                    <w:t>；集气罩集气效率为95%，袋式除尘器平均除尘效率为99%。</w:t>
                  </w:r>
                </w:p>
              </w:tc>
              <w:tc>
                <w:tcPr>
                  <w:tcW w:w="746" w:type="dxa"/>
                  <w:vMerge w:val="restart"/>
                  <w:vAlign w:val="center"/>
                </w:tcPr>
                <w:p>
                  <w:pPr>
                    <w:pStyle w:val="32"/>
                    <w:spacing w:line="360" w:lineRule="exact"/>
                    <w:rPr>
                      <w:color w:val="000000" w:themeColor="text1"/>
                      <w:szCs w:val="21"/>
                    </w:rPr>
                  </w:pPr>
                  <w:r>
                    <w:rPr>
                      <w:color w:val="000000" w:themeColor="text1"/>
                      <w:szCs w:val="21"/>
                    </w:rPr>
                    <w:t>有组织</w:t>
                  </w:r>
                </w:p>
              </w:tc>
              <w:tc>
                <w:tcPr>
                  <w:tcW w:w="2366"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高度</w:t>
                  </w:r>
                </w:p>
              </w:tc>
              <w:tc>
                <w:tcPr>
                  <w:tcW w:w="1710" w:type="dxa"/>
                  <w:vAlign w:val="center"/>
                </w:tcPr>
                <w:p>
                  <w:pPr>
                    <w:pStyle w:val="32"/>
                    <w:spacing w:line="360" w:lineRule="exact"/>
                    <w:rPr>
                      <w:color w:val="000000" w:themeColor="text1"/>
                      <w:szCs w:val="21"/>
                    </w:rPr>
                  </w:pPr>
                  <w:r>
                    <w:rPr>
                      <w:rFonts w:hint="eastAsia"/>
                      <w:color w:val="000000" w:themeColor="text1"/>
                      <w:szCs w:val="21"/>
                    </w:rPr>
                    <w:t>15</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内径</w:t>
                  </w:r>
                </w:p>
              </w:tc>
              <w:tc>
                <w:tcPr>
                  <w:tcW w:w="1710" w:type="dxa"/>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35</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温度</w:t>
                  </w:r>
                </w:p>
              </w:tc>
              <w:tc>
                <w:tcPr>
                  <w:tcW w:w="1710" w:type="dxa"/>
                  <w:vAlign w:val="center"/>
                </w:tcPr>
                <w:p>
                  <w:pPr>
                    <w:pStyle w:val="32"/>
                    <w:spacing w:line="360" w:lineRule="exact"/>
                    <w:rPr>
                      <w:color w:val="000000" w:themeColor="text1"/>
                      <w:szCs w:val="21"/>
                    </w:rPr>
                  </w:pPr>
                  <w:r>
                    <w:rPr>
                      <w:rFonts w:hint="eastAsia"/>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编号</w:t>
                  </w:r>
                </w:p>
              </w:tc>
              <w:tc>
                <w:tcPr>
                  <w:tcW w:w="1710" w:type="dxa"/>
                  <w:vAlign w:val="center"/>
                </w:tcPr>
                <w:p>
                  <w:pPr>
                    <w:pStyle w:val="32"/>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类型</w:t>
                  </w:r>
                </w:p>
              </w:tc>
              <w:tc>
                <w:tcPr>
                  <w:tcW w:w="1710"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坐标</w:t>
                  </w:r>
                </w:p>
              </w:tc>
              <w:tc>
                <w:tcPr>
                  <w:tcW w:w="1710" w:type="dxa"/>
                  <w:vAlign w:val="center"/>
                </w:tcPr>
                <w:p>
                  <w:pPr>
                    <w:pStyle w:val="32"/>
                    <w:spacing w:line="360" w:lineRule="exact"/>
                    <w:rPr>
                      <w:color w:val="000000" w:themeColor="text1"/>
                      <w:szCs w:val="21"/>
                    </w:rPr>
                  </w:pPr>
                  <w:r>
                    <w:rPr>
                      <w:color w:val="000000" w:themeColor="text1"/>
                      <w:szCs w:val="21"/>
                    </w:rPr>
                    <w:t>E</w:t>
                  </w:r>
                  <w:r>
                    <w:rPr>
                      <w:color w:val="000000" w:themeColor="text1"/>
                    </w:rPr>
                    <w:t xml:space="preserve"> </w:t>
                  </w:r>
                  <w:r>
                    <w:rPr>
                      <w:color w:val="000000" w:themeColor="text1"/>
                      <w:szCs w:val="21"/>
                    </w:rPr>
                    <w:t>103.250191°、N</w:t>
                  </w:r>
                  <w:r>
                    <w:rPr>
                      <w:color w:val="000000" w:themeColor="text1"/>
                    </w:rPr>
                    <w:t xml:space="preserve"> </w:t>
                  </w:r>
                  <w:r>
                    <w:rPr>
                      <w:color w:val="000000" w:themeColor="text1"/>
                      <w:szCs w:val="21"/>
                    </w:rPr>
                    <w:t>25.642682°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含腐植酸液体水溶肥生产线</w:t>
                  </w:r>
                </w:p>
              </w:tc>
              <w:tc>
                <w:tcPr>
                  <w:tcW w:w="992"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1134" w:type="dxa"/>
                  <w:vAlign w:val="center"/>
                </w:tcPr>
                <w:p>
                  <w:pPr>
                    <w:pStyle w:val="32"/>
                    <w:spacing w:line="360" w:lineRule="exact"/>
                    <w:rPr>
                      <w:color w:val="000000" w:themeColor="text1"/>
                      <w:szCs w:val="21"/>
                    </w:rPr>
                  </w:pPr>
                  <w:r>
                    <w:rPr>
                      <w:rFonts w:hint="eastAsia"/>
                      <w:color w:val="000000" w:themeColor="text1"/>
                      <w:szCs w:val="21"/>
                    </w:rPr>
                    <w:t>臭气浓度</w:t>
                  </w:r>
                </w:p>
              </w:tc>
              <w:tc>
                <w:tcPr>
                  <w:tcW w:w="2207" w:type="dxa"/>
                  <w:vAlign w:val="center"/>
                </w:tcPr>
                <w:p>
                  <w:pPr>
                    <w:pStyle w:val="32"/>
                    <w:spacing w:line="360" w:lineRule="exact"/>
                    <w:rPr>
                      <w:color w:val="000000" w:themeColor="text1"/>
                      <w:szCs w:val="21"/>
                    </w:rPr>
                  </w:pPr>
                  <w:r>
                    <w:rPr>
                      <w:rFonts w:hint="eastAsia"/>
                      <w:color w:val="000000" w:themeColor="text1"/>
                      <w:szCs w:val="21"/>
                    </w:rPr>
                    <w:t>--</w:t>
                  </w:r>
                </w:p>
              </w:tc>
              <w:tc>
                <w:tcPr>
                  <w:tcW w:w="7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无组织</w:t>
                  </w:r>
                </w:p>
              </w:tc>
              <w:tc>
                <w:tcPr>
                  <w:tcW w:w="2366" w:type="dxa"/>
                  <w:gridSpan w:val="2"/>
                  <w:vAlign w:val="center"/>
                </w:tcPr>
                <w:p>
                  <w:pPr>
                    <w:pStyle w:val="32"/>
                    <w:spacing w:line="360" w:lineRule="exact"/>
                    <w:rPr>
                      <w:color w:val="000000" w:themeColor="text1"/>
                      <w:szCs w:val="21"/>
                    </w:rPr>
                  </w:pPr>
                  <w:r>
                    <w:rPr>
                      <w:rFonts w:hint="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废气污染物排放源产排量及达标情况一览表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0"/>
              <w:gridCol w:w="567"/>
              <w:gridCol w:w="992"/>
              <w:gridCol w:w="992"/>
              <w:gridCol w:w="851"/>
              <w:gridCol w:w="877"/>
              <w:gridCol w:w="824"/>
              <w:gridCol w:w="850"/>
              <w:gridCol w:w="1134"/>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gridSpan w:val="2"/>
                  <w:vMerge w:val="restart"/>
                  <w:vAlign w:val="center"/>
                </w:tcPr>
                <w:p>
                  <w:pPr>
                    <w:pStyle w:val="32"/>
                    <w:spacing w:line="360" w:lineRule="exact"/>
                    <w:rPr>
                      <w:color w:val="000000" w:themeColor="text1"/>
                      <w:szCs w:val="21"/>
                    </w:rPr>
                  </w:pPr>
                  <w:r>
                    <w:rPr>
                      <w:color w:val="000000" w:themeColor="text1"/>
                      <w:szCs w:val="21"/>
                    </w:rPr>
                    <w:t>产排污环节</w:t>
                  </w:r>
                </w:p>
              </w:tc>
              <w:tc>
                <w:tcPr>
                  <w:tcW w:w="992" w:type="dxa"/>
                  <w:vMerge w:val="restart"/>
                  <w:vAlign w:val="center"/>
                </w:tcPr>
                <w:p>
                  <w:pPr>
                    <w:pStyle w:val="32"/>
                    <w:spacing w:line="360" w:lineRule="exact"/>
                    <w:rPr>
                      <w:color w:val="000000" w:themeColor="text1"/>
                      <w:szCs w:val="21"/>
                    </w:rPr>
                  </w:pPr>
                  <w:r>
                    <w:rPr>
                      <w:color w:val="000000" w:themeColor="text1"/>
                      <w:szCs w:val="21"/>
                    </w:rPr>
                    <w:t>污染物种类</w:t>
                  </w:r>
                </w:p>
              </w:tc>
              <w:tc>
                <w:tcPr>
                  <w:tcW w:w="1843" w:type="dxa"/>
                  <w:gridSpan w:val="2"/>
                  <w:vAlign w:val="center"/>
                </w:tcPr>
                <w:p>
                  <w:pPr>
                    <w:pStyle w:val="32"/>
                    <w:spacing w:line="360" w:lineRule="exact"/>
                    <w:rPr>
                      <w:color w:val="000000" w:themeColor="text1"/>
                      <w:szCs w:val="21"/>
                    </w:rPr>
                  </w:pPr>
                  <w:r>
                    <w:rPr>
                      <w:color w:val="000000" w:themeColor="text1"/>
                      <w:szCs w:val="21"/>
                    </w:rPr>
                    <w:t>污染物产生情况</w:t>
                  </w:r>
                </w:p>
              </w:tc>
              <w:tc>
                <w:tcPr>
                  <w:tcW w:w="2551"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1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4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gridSpan w:val="2"/>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992" w:type="dxa"/>
                  <w:vAlign w:val="center"/>
                </w:tcPr>
                <w:p>
                  <w:pPr>
                    <w:pStyle w:val="32"/>
                    <w:spacing w:line="360" w:lineRule="exact"/>
                    <w:rPr>
                      <w:color w:val="000000" w:themeColor="text1"/>
                      <w:szCs w:val="21"/>
                    </w:rPr>
                  </w:pPr>
                  <w:r>
                    <w:rPr>
                      <w:color w:val="000000" w:themeColor="text1"/>
                      <w:szCs w:val="21"/>
                    </w:rPr>
                    <w:t>产生浓度mg/m³</w:t>
                  </w:r>
                </w:p>
              </w:tc>
              <w:tc>
                <w:tcPr>
                  <w:tcW w:w="851" w:type="dxa"/>
                  <w:vAlign w:val="center"/>
                </w:tcPr>
                <w:p>
                  <w:pPr>
                    <w:pStyle w:val="32"/>
                    <w:spacing w:line="360" w:lineRule="exact"/>
                    <w:rPr>
                      <w:color w:val="000000" w:themeColor="text1"/>
                      <w:szCs w:val="21"/>
                    </w:rPr>
                  </w:pPr>
                  <w:r>
                    <w:rPr>
                      <w:color w:val="000000" w:themeColor="text1"/>
                      <w:szCs w:val="21"/>
                    </w:rPr>
                    <w:t>产生量t/a</w:t>
                  </w:r>
                </w:p>
              </w:tc>
              <w:tc>
                <w:tcPr>
                  <w:tcW w:w="877" w:type="dxa"/>
                  <w:vAlign w:val="center"/>
                </w:tcPr>
                <w:p>
                  <w:pPr>
                    <w:pStyle w:val="32"/>
                    <w:spacing w:line="360" w:lineRule="exact"/>
                    <w:rPr>
                      <w:color w:val="000000" w:themeColor="text1"/>
                      <w:szCs w:val="21"/>
                    </w:rPr>
                  </w:pPr>
                  <w:r>
                    <w:rPr>
                      <w:color w:val="000000" w:themeColor="text1"/>
                      <w:szCs w:val="21"/>
                    </w:rPr>
                    <w:t>排放浓度mg/m³</w:t>
                  </w:r>
                </w:p>
              </w:tc>
              <w:tc>
                <w:tcPr>
                  <w:tcW w:w="824"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排放量t/a</w:t>
                  </w:r>
                </w:p>
              </w:tc>
              <w:tc>
                <w:tcPr>
                  <w:tcW w:w="850"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排放速率kg/h</w:t>
                  </w:r>
                </w:p>
              </w:tc>
              <w:tc>
                <w:tcPr>
                  <w:tcW w:w="1134" w:type="dxa"/>
                  <w:vMerge w:val="continue"/>
                  <w:vAlign w:val="center"/>
                </w:tcPr>
                <w:p>
                  <w:pPr>
                    <w:pStyle w:val="32"/>
                    <w:spacing w:line="360" w:lineRule="exact"/>
                    <w:rPr>
                      <w:color w:val="000000" w:themeColor="text1"/>
                      <w:szCs w:val="21"/>
                    </w:rPr>
                  </w:pPr>
                </w:p>
              </w:tc>
              <w:tc>
                <w:tcPr>
                  <w:tcW w:w="64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567" w:type="dxa"/>
                  <w:vMerge w:val="restart"/>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造粒和筛分</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粉尘</w:t>
                  </w:r>
                </w:p>
              </w:tc>
              <w:tc>
                <w:tcPr>
                  <w:tcW w:w="1843"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1800万m³/a</w:t>
                  </w:r>
                </w:p>
              </w:tc>
              <w:tc>
                <w:tcPr>
                  <w:tcW w:w="2551" w:type="dxa"/>
                  <w:gridSpan w:val="3"/>
                  <w:vAlign w:val="center"/>
                </w:tcPr>
                <w:p>
                  <w:pPr>
                    <w:pStyle w:val="32"/>
                    <w:spacing w:line="360" w:lineRule="exact"/>
                    <w:rPr>
                      <w:color w:val="000000" w:themeColor="text1"/>
                      <w:szCs w:val="21"/>
                    </w:rPr>
                  </w:pPr>
                  <w:r>
                    <w:rPr>
                      <w:rFonts w:hint="eastAsia"/>
                      <w:color w:val="000000" w:themeColor="text1"/>
                      <w:szCs w:val="21"/>
                    </w:rPr>
                    <w:t>1800万m³/a</w:t>
                  </w: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颗粒物</w:t>
                  </w:r>
                  <w:r>
                    <w:rPr>
                      <w:rFonts w:hint="eastAsia"/>
                      <w:color w:val="000000" w:themeColor="text1"/>
                      <w:szCs w:val="21"/>
                    </w:rPr>
                    <w:t>（有组织）</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4200</w:t>
                  </w:r>
                </w:p>
              </w:tc>
              <w:tc>
                <w:tcPr>
                  <w:tcW w:w="851" w:type="dxa"/>
                  <w:vMerge w:val="restart"/>
                  <w:vAlign w:val="center"/>
                </w:tcPr>
                <w:p>
                  <w:pPr>
                    <w:pStyle w:val="32"/>
                    <w:spacing w:line="360" w:lineRule="exact"/>
                    <w:rPr>
                      <w:color w:val="000000" w:themeColor="text1"/>
                      <w:szCs w:val="21"/>
                    </w:rPr>
                  </w:pPr>
                  <w:r>
                    <w:rPr>
                      <w:rFonts w:hint="eastAsia"/>
                      <w:color w:val="000000" w:themeColor="text1"/>
                      <w:szCs w:val="21"/>
                    </w:rPr>
                    <w:t>75.6</w:t>
                  </w:r>
                </w:p>
              </w:tc>
              <w:tc>
                <w:tcPr>
                  <w:tcW w:w="877" w:type="dxa"/>
                  <w:vAlign w:val="center"/>
                </w:tcPr>
                <w:p>
                  <w:pPr>
                    <w:pStyle w:val="32"/>
                    <w:spacing w:line="360" w:lineRule="exact"/>
                    <w:rPr>
                      <w:color w:val="000000" w:themeColor="text1"/>
                      <w:szCs w:val="21"/>
                    </w:rPr>
                  </w:pPr>
                  <w:r>
                    <w:rPr>
                      <w:rFonts w:hint="eastAsia"/>
                      <w:color w:val="000000" w:themeColor="text1"/>
                      <w:szCs w:val="21"/>
                    </w:rPr>
                    <w:t>40</w:t>
                  </w:r>
                </w:p>
              </w:tc>
              <w:tc>
                <w:tcPr>
                  <w:tcW w:w="824" w:type="dxa"/>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0.72</w:t>
                  </w:r>
                </w:p>
              </w:tc>
              <w:tc>
                <w:tcPr>
                  <w:tcW w:w="850"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0.1</w:t>
                  </w: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120</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颗粒物</w:t>
                  </w:r>
                  <w:r>
                    <w:rPr>
                      <w:rFonts w:hint="eastAsia"/>
                      <w:color w:val="000000" w:themeColor="text1"/>
                      <w:szCs w:val="21"/>
                    </w:rPr>
                    <w:t>（无组织）</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851" w:type="dxa"/>
                  <w:vMerge w:val="continue"/>
                  <w:tcBorders>
                    <w:bottom w:val="single" w:color="auto" w:sz="4" w:space="0"/>
                  </w:tcBorders>
                  <w:vAlign w:val="center"/>
                </w:tcPr>
                <w:p>
                  <w:pPr>
                    <w:pStyle w:val="32"/>
                    <w:spacing w:line="360" w:lineRule="exact"/>
                    <w:rPr>
                      <w:color w:val="000000" w:themeColor="text1"/>
                      <w:szCs w:val="21"/>
                    </w:rPr>
                  </w:pPr>
                </w:p>
              </w:tc>
              <w:tc>
                <w:tcPr>
                  <w:tcW w:w="877" w:type="dxa"/>
                  <w:vAlign w:val="center"/>
                </w:tcPr>
                <w:p>
                  <w:pPr>
                    <w:pStyle w:val="32"/>
                    <w:spacing w:line="360" w:lineRule="exact"/>
                    <w:rPr>
                      <w:color w:val="000000" w:themeColor="text1"/>
                      <w:szCs w:val="21"/>
                    </w:rPr>
                  </w:pPr>
                  <w:r>
                    <w:rPr>
                      <w:rFonts w:hint="eastAsia"/>
                      <w:color w:val="000000" w:themeColor="text1"/>
                      <w:szCs w:val="21"/>
                    </w:rPr>
                    <w:t>0.82</w:t>
                  </w:r>
                </w:p>
              </w:tc>
              <w:tc>
                <w:tcPr>
                  <w:tcW w:w="824" w:type="dxa"/>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3.78</w:t>
                  </w:r>
                </w:p>
              </w:tc>
              <w:tc>
                <w:tcPr>
                  <w:tcW w:w="850"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0.53</w:t>
                  </w: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含腐植酸液体水溶肥生产线</w:t>
                  </w:r>
                </w:p>
              </w:tc>
              <w:tc>
                <w:tcPr>
                  <w:tcW w:w="56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臭气浓度</w:t>
                  </w:r>
                </w:p>
              </w:tc>
              <w:tc>
                <w:tcPr>
                  <w:tcW w:w="1843"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2551" w:type="dxa"/>
                  <w:gridSpan w:val="3"/>
                  <w:vAlign w:val="center"/>
                </w:tcPr>
                <w:p>
                  <w:pPr>
                    <w:pStyle w:val="32"/>
                    <w:spacing w:line="360" w:lineRule="exact"/>
                    <w:rPr>
                      <w:color w:val="000000" w:themeColor="text1"/>
                      <w:szCs w:val="21"/>
                    </w:rPr>
                  </w:pPr>
                  <w:r>
                    <w:rPr>
                      <w:rFonts w:hint="eastAsia"/>
                      <w:color w:val="000000" w:themeColor="text1"/>
                      <w:szCs w:val="21"/>
                    </w:rPr>
                    <w:t>--</w:t>
                  </w: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20（无量纲）</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bl>
          <w:p>
            <w:pPr>
              <w:pStyle w:val="40"/>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项目无组织排放的颗粒物，环评按照</w:t>
            </w:r>
            <w:r>
              <w:rPr>
                <w:rFonts w:ascii="Times New Roman" w:hAnsi="Times New Roman" w:cs="Times New Roman"/>
                <w:color w:val="000000" w:themeColor="text1"/>
                <w:sz w:val="24"/>
                <w:szCs w:val="24"/>
              </w:rPr>
              <w:t>《环境影响评价技术导则-大气环境》（HJ2.2-2018）附录A推荐模型中的AERSCREEN模式</w:t>
            </w:r>
            <w:r>
              <w:rPr>
                <w:rFonts w:hint="eastAsia" w:ascii="Times New Roman" w:hAnsi="Times New Roman" w:cs="Times New Roman"/>
                <w:color w:val="000000" w:themeColor="text1"/>
                <w:sz w:val="24"/>
                <w:szCs w:val="24"/>
              </w:rPr>
              <w:t>进行预测，最大落地浓度为0.82</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，有组织排放废气浓度为40</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《大气污染物综合排放标准》（GB16297-1996）中表2标准。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含腐植酸液体水溶肥生产线产生的异味主要为臭气浓度</w:t>
            </w:r>
            <w:r>
              <w:rPr>
                <w:rFonts w:hint="eastAsia" w:ascii="Times New Roman" w:hAnsi="Times New Roman" w:cs="Times New Roman"/>
                <w:color w:val="000000" w:themeColor="text1"/>
                <w:sz w:val="24"/>
                <w:szCs w:val="24"/>
              </w:rPr>
              <w:t>；产生及排放量较小，可达到</w:t>
            </w:r>
            <w:r>
              <w:rPr>
                <w:rFonts w:ascii="Times New Roman" w:hAnsi="Times New Roman" w:cs="Times New Roman"/>
                <w:color w:val="000000" w:themeColor="text1"/>
                <w:sz w:val="24"/>
                <w:szCs w:val="24"/>
              </w:rPr>
              <w:t>《恶臭污染物排放标准》（GB14554-93）中无组织</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排放标准</w:t>
            </w:r>
            <w:r>
              <w:rPr>
                <w:rFonts w:hint="eastAsia" w:ascii="Times New Roman" w:hAnsi="Times New Roman" w:cs="Times New Roman"/>
                <w:color w:val="000000" w:themeColor="text1"/>
                <w:sz w:val="24"/>
                <w:szCs w:val="24"/>
              </w:rPr>
              <w:t>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项目拟设置的袋式除尘器，属于《</w:t>
            </w:r>
            <w:r>
              <w:rPr>
                <w:rFonts w:ascii="Times New Roman" w:hAnsi="Times New Roman" w:cs="Times New Roman"/>
                <w:color w:val="000000" w:themeColor="text1"/>
                <w:sz w:val="24"/>
                <w:szCs w:val="24"/>
              </w:rPr>
              <w:t>排污许可证申请与核发技术规范磷肥、钾肥、复混肥料、有机肥料及微生物肥料工业</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HJ 864.2-2018</w:t>
            </w:r>
            <w:r>
              <w:rPr>
                <w:rFonts w:hint="eastAsia" w:ascii="Times New Roman" w:hAnsi="Times New Roman" w:cs="Times New Roman"/>
                <w:color w:val="000000" w:themeColor="text1"/>
                <w:sz w:val="24"/>
                <w:szCs w:val="24"/>
              </w:rPr>
              <w:t>）明确的可行技术，因此其污染治理设施技术可行。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磷肥、钾肥、复混肥料、有机肥料和微生物肥料》（HJ1088-2020）的要求，项目废气自行监测要求如下表所示。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项目运营期废气自行监测计划一览表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56"/>
              <w:gridCol w:w="1559"/>
              <w:gridCol w:w="1701"/>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25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333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25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DA001</w:t>
                  </w:r>
                </w:p>
              </w:tc>
              <w:tc>
                <w:tcPr>
                  <w:tcW w:w="1559"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半</w:t>
                  </w:r>
                  <w:r>
                    <w:rPr>
                      <w:rFonts w:eastAsiaTheme="minorEastAsia"/>
                      <w:color w:val="000000" w:themeColor="text1"/>
                      <w:szCs w:val="21"/>
                    </w:rPr>
                    <w:t>年</w:t>
                  </w:r>
                </w:p>
              </w:tc>
              <w:tc>
                <w:tcPr>
                  <w:tcW w:w="3334" w:type="dxa"/>
                  <w:vAlign w:val="center"/>
                </w:tcPr>
                <w:p>
                  <w:pPr>
                    <w:pStyle w:val="32"/>
                    <w:spacing w:line="360" w:lineRule="exact"/>
                    <w:ind w:firstLine="210" w:firstLineChars="100"/>
                    <w:jc w:val="both"/>
                    <w:rPr>
                      <w:color w:val="000000" w:themeColor="text1"/>
                      <w:szCs w:val="21"/>
                    </w:rPr>
                  </w:pPr>
                  <w:r>
                    <w:rPr>
                      <w:color w:val="000000" w:themeColor="text1"/>
                      <w:szCs w:val="21"/>
                    </w:rPr>
                    <w:t>《大气污染物综合排放标准》（GB16297-1996）中表2标准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2"/>
                    <w:spacing w:line="360" w:lineRule="exact"/>
                    <w:rPr>
                      <w:rFonts w:eastAsiaTheme="minorEastAsia"/>
                      <w:color w:val="000000" w:themeColor="text1"/>
                      <w:szCs w:val="21"/>
                    </w:rPr>
                  </w:pPr>
                </w:p>
              </w:tc>
              <w:tc>
                <w:tcPr>
                  <w:tcW w:w="1256"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厂界</w:t>
                  </w:r>
                </w:p>
              </w:tc>
              <w:tc>
                <w:tcPr>
                  <w:tcW w:w="1559" w:type="dxa"/>
                  <w:vAlign w:val="center"/>
                </w:tcPr>
                <w:p>
                  <w:pPr>
                    <w:pStyle w:val="32"/>
                    <w:spacing w:line="360" w:lineRule="exact"/>
                    <w:rPr>
                      <w:rFonts w:eastAsiaTheme="minorEastAsia"/>
                      <w:color w:val="000000" w:themeColor="text1"/>
                      <w:szCs w:val="21"/>
                    </w:rPr>
                  </w:pPr>
                  <w:r>
                    <w:rPr>
                      <w:color w:val="000000" w:themeColor="text1"/>
                      <w:szCs w:val="21"/>
                    </w:rPr>
                    <w:t>颗粒物</w:t>
                  </w:r>
                  <w:r>
                    <w:rPr>
                      <w:rFonts w:hint="eastAsia"/>
                      <w:color w:val="000000" w:themeColor="text1"/>
                      <w:szCs w:val="21"/>
                    </w:rPr>
                    <w:t>、</w:t>
                  </w:r>
                  <w:r>
                    <w:rPr>
                      <w:rFonts w:hint="eastAsia" w:eastAsiaTheme="minorEastAsia"/>
                      <w:color w:val="000000" w:themeColor="text1"/>
                      <w:szCs w:val="21"/>
                    </w:rPr>
                    <w:t>氨</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季度</w:t>
                  </w:r>
                </w:p>
              </w:tc>
              <w:tc>
                <w:tcPr>
                  <w:tcW w:w="3334"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2"/>
                    <w:spacing w:line="360" w:lineRule="exact"/>
                    <w:rPr>
                      <w:rFonts w:eastAsiaTheme="minorEastAsia"/>
                      <w:color w:val="000000" w:themeColor="text1"/>
                      <w:szCs w:val="21"/>
                    </w:rPr>
                  </w:pPr>
                </w:p>
              </w:tc>
              <w:tc>
                <w:tcPr>
                  <w:tcW w:w="1256" w:type="dxa"/>
                  <w:vMerge w:val="continue"/>
                  <w:vAlign w:val="center"/>
                </w:tcPr>
                <w:p>
                  <w:pPr>
                    <w:pStyle w:val="32"/>
                    <w:spacing w:line="360" w:lineRule="exact"/>
                    <w:rPr>
                      <w:rFonts w:eastAsiaTheme="minorEastAsia"/>
                      <w:color w:val="000000" w:themeColor="text1"/>
                      <w:szCs w:val="21"/>
                    </w:rPr>
                  </w:pPr>
                </w:p>
              </w:tc>
              <w:tc>
                <w:tcPr>
                  <w:tcW w:w="1559" w:type="dxa"/>
                  <w:vAlign w:val="center"/>
                </w:tcPr>
                <w:p>
                  <w:pPr>
                    <w:pStyle w:val="32"/>
                    <w:spacing w:line="360" w:lineRule="exact"/>
                    <w:rPr>
                      <w:color w:val="000000" w:themeColor="text1"/>
                      <w:szCs w:val="21"/>
                    </w:rPr>
                  </w:pPr>
                  <w:r>
                    <w:rPr>
                      <w:rFonts w:hint="eastAsia" w:eastAsiaTheme="minorEastAsia"/>
                      <w:color w:val="000000" w:themeColor="text1"/>
                      <w:szCs w:val="21"/>
                    </w:rPr>
                    <w:t>臭气浓度</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3334" w:type="dxa"/>
                  <w:vMerge w:val="continue"/>
                  <w:vAlign w:val="center"/>
                </w:tcPr>
                <w:p>
                  <w:pPr>
                    <w:pStyle w:val="32"/>
                    <w:spacing w:line="360" w:lineRule="exact"/>
                    <w:ind w:firstLine="210" w:firstLineChars="100"/>
                    <w:jc w:val="both"/>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本项目非正常情形为布袋除尘器</w:t>
            </w:r>
            <w:r>
              <w:rPr>
                <w:rFonts w:ascii="Times New Roman" w:hAnsi="Times New Roman" w:cs="Times New Roman"/>
                <w:color w:val="000000" w:themeColor="text1"/>
                <w:sz w:val="24"/>
                <w:szCs w:val="24"/>
              </w:rPr>
              <w:t>全部失效，</w:t>
            </w:r>
            <w:r>
              <w:rPr>
                <w:rFonts w:hint="eastAsia" w:ascii="Times New Roman" w:hAnsi="Times New Roman" w:cs="Times New Roman"/>
                <w:color w:val="000000" w:themeColor="text1"/>
                <w:sz w:val="24"/>
                <w:szCs w:val="24"/>
              </w:rPr>
              <w:t>造粒和筛分产生的经收集后的粉尘未经处理通过排气筒有组织排放</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布袋除尘器失效非正常情形下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 非正常情形下</w:t>
            </w:r>
            <w:r>
              <w:rPr>
                <w:rFonts w:ascii="Times New Roman" w:hAnsi="Times New Roman" w:cs="Times New Roman"/>
                <w:b/>
                <w:color w:val="000000" w:themeColor="text1"/>
                <w:szCs w:val="24"/>
              </w:rPr>
              <w:t>废气污染物排放源产排量及达标情况一览表</w:t>
            </w:r>
          </w:p>
          <w:tbl>
            <w:tblPr>
              <w:tblStyle w:val="21"/>
              <w:tblW w:w="8598" w:type="dxa"/>
              <w:tblInd w:w="0" w:type="dxa"/>
              <w:tblLayout w:type="fixed"/>
              <w:tblCellMar>
                <w:top w:w="0" w:type="dxa"/>
                <w:left w:w="108" w:type="dxa"/>
                <w:bottom w:w="0" w:type="dxa"/>
                <w:right w:w="108" w:type="dxa"/>
              </w:tblCellMar>
            </w:tblPr>
            <w:tblGrid>
              <w:gridCol w:w="1396"/>
              <w:gridCol w:w="1290"/>
              <w:gridCol w:w="1287"/>
              <w:gridCol w:w="969"/>
              <w:gridCol w:w="884"/>
              <w:gridCol w:w="746"/>
              <w:gridCol w:w="2026"/>
            </w:tblGrid>
            <w:tr>
              <w:tblPrEx>
                <w:tblLayout w:type="fixed"/>
                <w:tblCellMar>
                  <w:top w:w="0" w:type="dxa"/>
                  <w:left w:w="108" w:type="dxa"/>
                  <w:bottom w:w="0" w:type="dxa"/>
                  <w:right w:w="108" w:type="dxa"/>
                </w:tblCellMar>
              </w:tblPrEx>
              <w:trPr>
                <w:trHeight w:val="576" w:hRule="atLeast"/>
              </w:trPr>
              <w:tc>
                <w:tcPr>
                  <w:tcW w:w="13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2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5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884"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746"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202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措施</w:t>
                  </w:r>
                </w:p>
              </w:tc>
            </w:tr>
            <w:tr>
              <w:tblPrEx>
                <w:tblLayout w:type="fixed"/>
                <w:tblCellMar>
                  <w:top w:w="0" w:type="dxa"/>
                  <w:left w:w="108" w:type="dxa"/>
                  <w:bottom w:w="0" w:type="dxa"/>
                  <w:right w:w="108" w:type="dxa"/>
                </w:tblCellMar>
              </w:tblPrEx>
              <w:trPr>
                <w:trHeight w:val="588" w:hRule="atLeast"/>
              </w:trPr>
              <w:tc>
                <w:tcPr>
                  <w:tcW w:w="139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9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8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969"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884"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center"/>
                    <w:rPr>
                      <w:rFonts w:ascii="Times New Roman" w:hAnsi="Times New Roman" w:eastAsia="宋体" w:cs="Times New Roman"/>
                      <w:color w:val="000000" w:themeColor="text1"/>
                      <w:kern w:val="0"/>
                    </w:rPr>
                  </w:pPr>
                </w:p>
              </w:tc>
              <w:tc>
                <w:tcPr>
                  <w:tcW w:w="746" w:type="dxa"/>
                  <w:vMerge w:val="continue"/>
                  <w:tcBorders>
                    <w:top w:val="single" w:color="000000" w:sz="8" w:space="0"/>
                    <w:left w:val="single" w:color="auto" w:sz="4"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202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00" w:hRule="atLeast"/>
              </w:trPr>
              <w:tc>
                <w:tcPr>
                  <w:tcW w:w="1396" w:type="dxa"/>
                  <w:tcBorders>
                    <w:top w:val="nil"/>
                    <w:left w:val="single" w:color="000000" w:sz="8"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造粒和筛分</w:t>
                  </w:r>
                </w:p>
              </w:tc>
              <w:tc>
                <w:tcPr>
                  <w:tcW w:w="1290"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粉尘（有组织）</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4200</w:t>
                  </w:r>
                </w:p>
              </w:tc>
              <w:tc>
                <w:tcPr>
                  <w:tcW w:w="96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0.1</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1次</w:t>
                  </w:r>
                  <w:r>
                    <w:rPr>
                      <w:rFonts w:ascii="Times New Roman" w:hAnsi="Times New Roman" w:eastAsia="宋体" w:cs="Times New Roman"/>
                      <w:color w:val="000000" w:themeColor="text1"/>
                      <w:kern w:val="0"/>
                    </w:rPr>
                    <w:t>/a</w:t>
                  </w:r>
                </w:p>
              </w:tc>
              <w:tc>
                <w:tcPr>
                  <w:tcW w:w="746" w:type="dxa"/>
                  <w:tcBorders>
                    <w:top w:val="nil"/>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1h</w:t>
                  </w:r>
                  <w:r>
                    <w:rPr>
                      <w:rFonts w:ascii="Times New Roman" w:hAnsi="Times New Roman" w:eastAsia="宋体" w:cs="Times New Roman"/>
                      <w:color w:val="000000" w:themeColor="text1"/>
                      <w:kern w:val="0"/>
                    </w:rPr>
                    <w:t>/次</w:t>
                  </w:r>
                </w:p>
              </w:tc>
              <w:tc>
                <w:tcPr>
                  <w:tcW w:w="2026"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立即</w:t>
                  </w:r>
                  <w:r>
                    <w:rPr>
                      <w:rFonts w:ascii="Times New Roman" w:hAnsi="Times New Roman" w:eastAsia="宋体" w:cs="Times New Roman"/>
                      <w:color w:val="000000" w:themeColor="text1"/>
                      <w:kern w:val="0"/>
                    </w:rPr>
                    <w:t>停机检修</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w:t>
            </w:r>
            <w:r>
              <w:rPr>
                <w:rFonts w:hint="eastAsia" w:ascii="Times New Roman" w:hAnsi="Times New Roman" w:cs="Times New Roman"/>
                <w:color w:val="000000" w:themeColor="text1"/>
                <w:sz w:val="24"/>
                <w:szCs w:val="24"/>
              </w:rPr>
              <w:t>项目废气主要粉尘来源于</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中造粒和筛分工序产生的粉尘和</w:t>
            </w:r>
            <w:r>
              <w:rPr>
                <w:rFonts w:ascii="Times New Roman" w:hAnsi="Times New Roman" w:cs="Times New Roman"/>
                <w:color w:val="000000" w:themeColor="text1"/>
                <w:sz w:val="24"/>
                <w:szCs w:val="24"/>
              </w:rPr>
              <w:t>含腐植酸液体水溶肥生产线</w:t>
            </w:r>
            <w:r>
              <w:rPr>
                <w:rFonts w:hint="eastAsia" w:ascii="Times New Roman" w:hAnsi="Times New Roman" w:cs="Times New Roman"/>
                <w:color w:val="000000" w:themeColor="text1"/>
                <w:sz w:val="24"/>
                <w:szCs w:val="24"/>
              </w:rPr>
              <w:t>原料产生的异味。采取相应措施后，项目有组织和无组织排放粉尘可达到</w:t>
            </w:r>
            <w:r>
              <w:rPr>
                <w:rFonts w:ascii="Times New Roman" w:hAnsi="Times New Roman" w:cs="Times New Roman"/>
                <w:color w:val="000000" w:themeColor="text1"/>
                <w:sz w:val="24"/>
                <w:szCs w:val="24"/>
              </w:rPr>
              <w:t>《大气污染物综合排放标准》（GB16297-1996）中表2标准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含腐植酸液体水溶肥生产线产生的异味主要为臭气浓度</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《恶臭污染物排放标准》（GB14554-93）中无组织</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排放标准</w:t>
            </w:r>
            <w:r>
              <w:rPr>
                <w:rFonts w:hint="eastAsia" w:ascii="Times New Roman" w:hAnsi="Times New Roman" w:cs="Times New Roman"/>
                <w:color w:val="000000" w:themeColor="text1"/>
                <w:sz w:val="24"/>
                <w:szCs w:val="24"/>
              </w:rPr>
              <w:t>要求</w:t>
            </w:r>
            <w:r>
              <w:rPr>
                <w:rFonts w:ascii="Times New Roman" w:hAnsi="Times New Roman" w:cs="Times New Roman"/>
                <w:color w:val="000000" w:themeColor="text1"/>
                <w:sz w:val="24"/>
                <w:szCs w:val="24"/>
              </w:rPr>
              <w:t>。且项目位于环境空气质量达标区，项目所在区域基本污染因子环境质量现状达到《环境空气质量标准》（GB3095-2012）二级标准；</w:t>
            </w:r>
            <w:r>
              <w:rPr>
                <w:rFonts w:hint="eastAsia" w:ascii="Times New Roman" w:hAnsi="Times New Roman" w:cs="Times New Roman"/>
                <w:color w:val="000000" w:themeColor="text1"/>
                <w:sz w:val="24"/>
                <w:szCs w:val="24"/>
              </w:rPr>
              <w:t>项目环境保护目标西</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412</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的散户居民，位于项目区上风向</w:t>
            </w:r>
            <w:r>
              <w:rPr>
                <w:rFonts w:ascii="Times New Roman" w:hAnsi="Times New Roman" w:cs="Times New Roman"/>
                <w:color w:val="000000" w:themeColor="text1"/>
                <w:sz w:val="24"/>
                <w:szCs w:val="24"/>
              </w:rPr>
              <w:t>，因此项目废气对环境保护目标影响较小。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根据项目水平衡计算可知，本项目</w:t>
            </w:r>
            <w:r>
              <w:rPr>
                <w:rFonts w:ascii="Times New Roman" w:hAnsi="Times New Roman" w:cs="Times New Roman"/>
                <w:color w:val="000000" w:themeColor="text1"/>
                <w:sz w:val="24"/>
                <w:szCs w:val="24"/>
              </w:rPr>
              <w:t>供排水统计情况详见下表。</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cs="Times New Roman" w:hAnsiTheme="minorEastAsia"/>
                <w:b/>
                <w:bCs/>
                <w:color w:val="000000" w:themeColor="text1"/>
                <w:kern w:val="0"/>
              </w:rPr>
            </w:pP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4.2</w:t>
            </w:r>
            <w:r>
              <w:rPr>
                <w:rFonts w:ascii="Times New Roman" w:cs="Times New Roman" w:hAnsiTheme="minorEastAsia"/>
                <w:b/>
                <w:bCs/>
                <w:color w:val="000000" w:themeColor="text1"/>
                <w:kern w:val="0"/>
              </w:rPr>
              <w:t>.2-</w:t>
            </w:r>
            <w:r>
              <w:rPr>
                <w:rFonts w:hint="eastAsia" w:ascii="Times New Roman" w:cs="Times New Roman" w:hAnsiTheme="minorEastAsia"/>
                <w:b/>
                <w:bCs/>
                <w:color w:val="000000" w:themeColor="text1"/>
                <w:kern w:val="0"/>
              </w:rPr>
              <w:t>1</w:t>
            </w:r>
            <w:r>
              <w:rPr>
                <w:rFonts w:ascii="Times New Roman" w:cs="Times New Roman" w:hAnsiTheme="minorEastAsia"/>
                <w:b/>
                <w:bCs/>
                <w:color w:val="000000" w:themeColor="text1"/>
                <w:kern w:val="0"/>
              </w:rPr>
              <w:t xml:space="preserve">  </w:t>
            </w:r>
            <w:r>
              <w:rPr>
                <w:rFonts w:hint="eastAsia" w:ascii="Times New Roman" w:cs="Times New Roman" w:hAnsiTheme="minorEastAsia"/>
                <w:b/>
                <w:bCs/>
                <w:color w:val="000000" w:themeColor="text1"/>
                <w:kern w:val="0"/>
              </w:rPr>
              <w:t>项目</w:t>
            </w:r>
            <w:r>
              <w:rPr>
                <w:rFonts w:ascii="Times New Roman" w:cs="Times New Roman" w:hAnsiTheme="minorEastAsia"/>
                <w:b/>
                <w:bCs/>
                <w:color w:val="000000" w:themeColor="text1"/>
                <w:kern w:val="0"/>
              </w:rPr>
              <w:t>供排水情况一览表</w:t>
            </w:r>
          </w:p>
          <w:tbl>
            <w:tblPr>
              <w:tblStyle w:val="21"/>
              <w:tblW w:w="8598" w:type="dxa"/>
              <w:jc w:val="center"/>
              <w:tblInd w:w="0" w:type="dxa"/>
              <w:tblLayout w:type="fixed"/>
              <w:tblCellMar>
                <w:top w:w="0" w:type="dxa"/>
                <w:left w:w="108" w:type="dxa"/>
                <w:bottom w:w="0" w:type="dxa"/>
                <w:right w:w="108" w:type="dxa"/>
              </w:tblCellMar>
            </w:tblPr>
            <w:tblGrid>
              <w:gridCol w:w="1427"/>
              <w:gridCol w:w="1277"/>
              <w:gridCol w:w="1604"/>
              <w:gridCol w:w="1064"/>
              <w:gridCol w:w="1078"/>
              <w:gridCol w:w="1081"/>
              <w:gridCol w:w="1067"/>
            </w:tblGrid>
            <w:tr>
              <w:tblPrEx>
                <w:tblLayout w:type="fixed"/>
                <w:tblCellMar>
                  <w:top w:w="0" w:type="dxa"/>
                  <w:left w:w="108" w:type="dxa"/>
                  <w:bottom w:w="0" w:type="dxa"/>
                  <w:right w:w="108" w:type="dxa"/>
                </w:tblCellMar>
              </w:tblPrEx>
              <w:trPr>
                <w:trHeight w:val="67" w:hRule="atLeast"/>
                <w:jc w:val="center"/>
              </w:trPr>
              <w:tc>
                <w:tcPr>
                  <w:tcW w:w="1427"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本用水单元</w:t>
                  </w:r>
                </w:p>
              </w:tc>
              <w:tc>
                <w:tcPr>
                  <w:tcW w:w="127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规模</w:t>
                  </w:r>
                </w:p>
              </w:tc>
              <w:tc>
                <w:tcPr>
                  <w:tcW w:w="160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用水定额</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用水量</w:t>
                  </w:r>
                </w:p>
              </w:tc>
              <w:tc>
                <w:tcPr>
                  <w:tcW w:w="214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27"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lang w:val="en-US"/>
                    </w:rPr>
                  </w:pPr>
                </w:p>
              </w:tc>
              <w:tc>
                <w:tcPr>
                  <w:tcW w:w="1277"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p>
              </w:tc>
              <w:tc>
                <w:tcPr>
                  <w:tcW w:w="160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m³/d</w:t>
                  </w:r>
                </w:p>
              </w:tc>
              <w:tc>
                <w:tcPr>
                  <w:tcW w:w="107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m³/a</w:t>
                  </w:r>
                </w:p>
              </w:tc>
              <w:tc>
                <w:tcPr>
                  <w:tcW w:w="108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m³/d</w:t>
                  </w:r>
                </w:p>
              </w:tc>
              <w:tc>
                <w:tcPr>
                  <w:tcW w:w="106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m³/a</w:t>
                  </w:r>
                </w:p>
              </w:tc>
            </w:tr>
            <w:tr>
              <w:tblPrEx>
                <w:tblLayout w:type="fixed"/>
                <w:tblCellMar>
                  <w:top w:w="0" w:type="dxa"/>
                  <w:left w:w="108" w:type="dxa"/>
                  <w:bottom w:w="0" w:type="dxa"/>
                  <w:right w:w="108" w:type="dxa"/>
                </w:tblCellMar>
              </w:tblPrEx>
              <w:trPr>
                <w:trHeight w:val="285" w:hRule="atLeast"/>
                <w:jc w:val="center"/>
              </w:trPr>
              <w:tc>
                <w:tcPr>
                  <w:tcW w:w="1427"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设备清洗</w:t>
                  </w:r>
                </w:p>
              </w:tc>
              <w:tc>
                <w:tcPr>
                  <w:tcW w:w="127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60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r>
                    <w:rPr>
                      <w:rFonts w:eastAsiaTheme="minorEastAsia"/>
                      <w:color w:val="000000" w:themeColor="text1"/>
                      <w:lang w:val="en-US"/>
                    </w:rPr>
                    <w:t>m³/</w:t>
                  </w:r>
                  <w:r>
                    <w:rPr>
                      <w:rFonts w:hint="eastAsia" w:eastAsiaTheme="minorEastAsia"/>
                      <w:color w:val="000000" w:themeColor="text1"/>
                    </w:rPr>
                    <w:t>次</w:t>
                  </w: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p>
              </w:tc>
              <w:tc>
                <w:tcPr>
                  <w:tcW w:w="107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14.4</w:t>
                  </w:r>
                </w:p>
              </w:tc>
              <w:tc>
                <w:tcPr>
                  <w:tcW w:w="108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p>
              </w:tc>
              <w:tc>
                <w:tcPr>
                  <w:tcW w:w="106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14.4</w:t>
                  </w:r>
                </w:p>
              </w:tc>
            </w:tr>
            <w:tr>
              <w:tblPrEx>
                <w:tblLayout w:type="fixed"/>
                <w:tblCellMar>
                  <w:top w:w="0" w:type="dxa"/>
                  <w:left w:w="108" w:type="dxa"/>
                  <w:bottom w:w="0" w:type="dxa"/>
                  <w:right w:w="108" w:type="dxa"/>
                </w:tblCellMar>
              </w:tblPrEx>
              <w:trPr>
                <w:trHeight w:val="285" w:hRule="atLeast"/>
                <w:jc w:val="center"/>
              </w:trPr>
              <w:tc>
                <w:tcPr>
                  <w:tcW w:w="1427"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生活用水</w:t>
                  </w:r>
                </w:p>
              </w:tc>
              <w:tc>
                <w:tcPr>
                  <w:tcW w:w="127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w:t>
                  </w:r>
                  <w:r>
                    <w:rPr>
                      <w:rFonts w:eastAsiaTheme="minorEastAsia"/>
                      <w:color w:val="000000" w:themeColor="text1"/>
                      <w:lang w:val="en-US"/>
                    </w:rPr>
                    <w:t>0</w:t>
                  </w:r>
                  <w:r>
                    <w:rPr>
                      <w:rFonts w:eastAsiaTheme="minorEastAsia"/>
                      <w:color w:val="000000" w:themeColor="text1"/>
                    </w:rPr>
                    <w:t>人</w:t>
                  </w:r>
                </w:p>
              </w:tc>
              <w:tc>
                <w:tcPr>
                  <w:tcW w:w="160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4</w:t>
                  </w:r>
                  <w:r>
                    <w:rPr>
                      <w:rFonts w:eastAsiaTheme="minorEastAsia"/>
                      <w:color w:val="000000" w:themeColor="text1"/>
                      <w:lang w:val="en-US"/>
                    </w:rPr>
                    <w:t>0L/d·</w:t>
                  </w:r>
                  <w:r>
                    <w:rPr>
                      <w:rFonts w:eastAsiaTheme="minorEastAsia"/>
                      <w:color w:val="000000" w:themeColor="text1"/>
                    </w:rPr>
                    <w:t>人</w:t>
                  </w:r>
                </w:p>
              </w:tc>
              <w:tc>
                <w:tcPr>
                  <w:tcW w:w="1064"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0.4</w:t>
                  </w:r>
                </w:p>
              </w:tc>
              <w:tc>
                <w:tcPr>
                  <w:tcW w:w="1078"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120</w:t>
                  </w:r>
                </w:p>
              </w:tc>
              <w:tc>
                <w:tcPr>
                  <w:tcW w:w="108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0.32</w:t>
                  </w:r>
                </w:p>
              </w:tc>
              <w:tc>
                <w:tcPr>
                  <w:tcW w:w="1067"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96</w:t>
                  </w:r>
                </w:p>
              </w:tc>
            </w:tr>
            <w:tr>
              <w:tblPrEx>
                <w:tblLayout w:type="fixed"/>
                <w:tblCellMar>
                  <w:top w:w="0" w:type="dxa"/>
                  <w:left w:w="108" w:type="dxa"/>
                  <w:bottom w:w="0" w:type="dxa"/>
                  <w:right w:w="108" w:type="dxa"/>
                </w:tblCellMar>
              </w:tblPrEx>
              <w:trPr>
                <w:trHeight w:val="330" w:hRule="atLeast"/>
                <w:jc w:val="center"/>
              </w:trPr>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合计</w:t>
                  </w:r>
                </w:p>
              </w:tc>
              <w:tc>
                <w:tcPr>
                  <w:tcW w:w="1277"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w:t>
                  </w:r>
                </w:p>
              </w:tc>
              <w:tc>
                <w:tcPr>
                  <w:tcW w:w="160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1.6</w:t>
                  </w:r>
                </w:p>
              </w:tc>
              <w:tc>
                <w:tcPr>
                  <w:tcW w:w="1078"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134.4</w:t>
                  </w:r>
                </w:p>
              </w:tc>
              <w:tc>
                <w:tcPr>
                  <w:tcW w:w="1081"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1.52</w:t>
                  </w:r>
                </w:p>
              </w:tc>
              <w:tc>
                <w:tcPr>
                  <w:tcW w:w="1067"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110.4</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869"/>
              <w:gridCol w:w="1574"/>
              <w:gridCol w:w="3292"/>
              <w:gridCol w:w="1134"/>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3" w:type="dxa"/>
                  <w:vAlign w:val="center"/>
                </w:tcPr>
                <w:p>
                  <w:pPr>
                    <w:pStyle w:val="32"/>
                    <w:spacing w:line="360" w:lineRule="exact"/>
                    <w:rPr>
                      <w:rFonts w:eastAsiaTheme="minorEastAsia"/>
                      <w:color w:val="000000" w:themeColor="text1"/>
                    </w:rPr>
                  </w:pPr>
                  <w:r>
                    <w:rPr>
                      <w:rFonts w:eastAsiaTheme="minorEastAsia"/>
                      <w:color w:val="000000" w:themeColor="text1"/>
                    </w:rPr>
                    <w:t>产排污环节</w:t>
                  </w:r>
                </w:p>
              </w:tc>
              <w:tc>
                <w:tcPr>
                  <w:tcW w:w="869" w:type="dxa"/>
                  <w:vAlign w:val="center"/>
                </w:tcPr>
                <w:p>
                  <w:pPr>
                    <w:pStyle w:val="32"/>
                    <w:spacing w:line="360" w:lineRule="exact"/>
                    <w:rPr>
                      <w:rFonts w:eastAsiaTheme="minorEastAsia"/>
                      <w:color w:val="000000" w:themeColor="text1"/>
                    </w:rPr>
                  </w:pPr>
                  <w:r>
                    <w:rPr>
                      <w:rFonts w:eastAsiaTheme="minorEastAsia"/>
                      <w:color w:val="000000" w:themeColor="text1"/>
                    </w:rPr>
                    <w:t>类别</w:t>
                  </w:r>
                </w:p>
              </w:tc>
              <w:tc>
                <w:tcPr>
                  <w:tcW w:w="1574" w:type="dxa"/>
                  <w:vAlign w:val="center"/>
                </w:tcPr>
                <w:p>
                  <w:pPr>
                    <w:pStyle w:val="32"/>
                    <w:spacing w:line="360" w:lineRule="exact"/>
                    <w:rPr>
                      <w:rFonts w:eastAsiaTheme="minorEastAsia"/>
                      <w:color w:val="000000" w:themeColor="text1"/>
                    </w:rPr>
                  </w:pPr>
                  <w:r>
                    <w:rPr>
                      <w:rFonts w:eastAsiaTheme="minorEastAsia"/>
                      <w:color w:val="000000" w:themeColor="text1"/>
                    </w:rPr>
                    <w:t>污染物种类</w:t>
                  </w:r>
                </w:p>
              </w:tc>
              <w:tc>
                <w:tcPr>
                  <w:tcW w:w="3292" w:type="dxa"/>
                  <w:vAlign w:val="center"/>
                </w:tcPr>
                <w:p>
                  <w:pPr>
                    <w:pStyle w:val="32"/>
                    <w:spacing w:line="360" w:lineRule="exact"/>
                    <w:rPr>
                      <w:rFonts w:eastAsiaTheme="minorEastAsia"/>
                      <w:color w:val="000000" w:themeColor="text1"/>
                    </w:rPr>
                  </w:pPr>
                  <w:r>
                    <w:rPr>
                      <w:rFonts w:eastAsiaTheme="minorEastAsia"/>
                      <w:color w:val="000000" w:themeColor="text1"/>
                    </w:rPr>
                    <w:t>治理设施、效率及去向</w:t>
                  </w:r>
                </w:p>
              </w:tc>
              <w:tc>
                <w:tcPr>
                  <w:tcW w:w="1134" w:type="dxa"/>
                  <w:vAlign w:val="center"/>
                </w:tcPr>
                <w:p>
                  <w:pPr>
                    <w:spacing w:line="360" w:lineRule="exact"/>
                    <w:jc w:val="center"/>
                    <w:rPr>
                      <w:rFonts w:ascii="Times New Roman" w:hAnsi="Times New Roman" w:cs="Times New Roman"/>
                      <w:bCs/>
                      <w:snapToGrid w:val="0"/>
                      <w:color w:val="000000" w:themeColor="text1"/>
                      <w:kern w:val="32"/>
                      <w:szCs w:val="20"/>
                      <w:lang w:val="zh-CN"/>
                    </w:rPr>
                  </w:pPr>
                  <w:r>
                    <w:rPr>
                      <w:rFonts w:ascii="Times New Roman" w:hAnsi="Times New Roman" w:cs="Times New Roman"/>
                      <w:bCs/>
                      <w:snapToGrid w:val="0"/>
                      <w:color w:val="000000" w:themeColor="text1"/>
                      <w:kern w:val="32"/>
                      <w:szCs w:val="20"/>
                      <w:lang w:val="zh-CN"/>
                    </w:rPr>
                    <w:t>排放形式及规律</w:t>
                  </w:r>
                </w:p>
              </w:tc>
              <w:tc>
                <w:tcPr>
                  <w:tcW w:w="1066" w:type="dxa"/>
                  <w:vAlign w:val="center"/>
                </w:tcPr>
                <w:p>
                  <w:pPr>
                    <w:spacing w:line="360" w:lineRule="exact"/>
                    <w:jc w:val="center"/>
                    <w:rPr>
                      <w:rFonts w:ascii="Times New Roman" w:hAnsi="Times New Roman" w:cs="Times New Roman"/>
                      <w:bCs/>
                      <w:snapToGrid w:val="0"/>
                      <w:color w:val="000000" w:themeColor="text1"/>
                      <w:kern w:val="32"/>
                      <w:szCs w:val="20"/>
                      <w:lang w:val="zh-CN"/>
                    </w:rPr>
                  </w:pPr>
                  <w:r>
                    <w:rPr>
                      <w:rFonts w:ascii="Times New Roman" w:hAnsi="Times New Roman" w:cs="Times New Roman"/>
                      <w:bCs/>
                      <w:snapToGrid w:val="0"/>
                      <w:color w:val="000000" w:themeColor="text1"/>
                      <w:kern w:val="32"/>
                      <w:szCs w:val="20"/>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3" w:type="dxa"/>
                  <w:vAlign w:val="center"/>
                </w:tcPr>
                <w:p>
                  <w:pPr>
                    <w:pStyle w:val="32"/>
                    <w:spacing w:line="360" w:lineRule="exact"/>
                    <w:rPr>
                      <w:rFonts w:eastAsiaTheme="minorEastAsia"/>
                      <w:color w:val="000000" w:themeColor="text1"/>
                    </w:rPr>
                  </w:pPr>
                  <w:r>
                    <w:rPr>
                      <w:rFonts w:eastAsiaTheme="minorEastAsia"/>
                      <w:color w:val="000000" w:themeColor="text1"/>
                    </w:rPr>
                    <w:t>设备清洗</w:t>
                  </w:r>
                </w:p>
              </w:tc>
              <w:tc>
                <w:tcPr>
                  <w:tcW w:w="869" w:type="dxa"/>
                  <w:vAlign w:val="center"/>
                </w:tcPr>
                <w:p>
                  <w:pPr>
                    <w:pStyle w:val="32"/>
                    <w:spacing w:line="360" w:lineRule="exact"/>
                    <w:rPr>
                      <w:rFonts w:eastAsiaTheme="minorEastAsia"/>
                      <w:color w:val="000000" w:themeColor="text1"/>
                    </w:rPr>
                  </w:pPr>
                  <w:r>
                    <w:rPr>
                      <w:rFonts w:eastAsiaTheme="minorEastAsia"/>
                      <w:color w:val="000000" w:themeColor="text1"/>
                    </w:rPr>
                    <w:t>设备清洗废水</w:t>
                  </w:r>
                </w:p>
              </w:tc>
              <w:tc>
                <w:tcPr>
                  <w:tcW w:w="1574" w:type="dxa"/>
                  <w:vAlign w:val="center"/>
                </w:tcPr>
                <w:p>
                  <w:pPr>
                    <w:pStyle w:val="32"/>
                    <w:spacing w:line="360" w:lineRule="exact"/>
                    <w:rPr>
                      <w:rFonts w:eastAsiaTheme="minorEastAsia"/>
                      <w:color w:val="000000" w:themeColor="text1"/>
                    </w:rPr>
                  </w:pPr>
                  <w:r>
                    <w:rPr>
                      <w:rFonts w:eastAsiaTheme="minorEastAsia"/>
                      <w:color w:val="000000" w:themeColor="text1"/>
                    </w:rPr>
                    <w:t>pH、CODcr、BOD</w:t>
                  </w:r>
                  <w:r>
                    <w:rPr>
                      <w:rFonts w:eastAsiaTheme="minorEastAsia"/>
                      <w:color w:val="000000" w:themeColor="text1"/>
                      <w:vertAlign w:val="subscript"/>
                    </w:rPr>
                    <w:t>5</w:t>
                  </w:r>
                  <w:r>
                    <w:rPr>
                      <w:rFonts w:eastAsiaTheme="minorEastAsia"/>
                      <w:color w:val="000000" w:themeColor="text1"/>
                    </w:rPr>
                    <w:t>、SS、NH</w:t>
                  </w:r>
                  <w:r>
                    <w:rPr>
                      <w:rFonts w:eastAsiaTheme="minorEastAsia"/>
                      <w:color w:val="000000" w:themeColor="text1"/>
                      <w:vertAlign w:val="subscript"/>
                    </w:rPr>
                    <w:t>3</w:t>
                  </w:r>
                  <w:r>
                    <w:rPr>
                      <w:rFonts w:eastAsiaTheme="minorEastAsia"/>
                      <w:color w:val="000000" w:themeColor="text1"/>
                    </w:rPr>
                    <w:t>-N、TN、TP、阴离子表面活性剂</w:t>
                  </w:r>
                </w:p>
              </w:tc>
              <w:tc>
                <w:tcPr>
                  <w:tcW w:w="3292"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设备清洗废水含有大量的有益元素，经两个有效容积合计不低于2m³的沉淀池收集后，用于项目含腐植酸液体水溶肥生产线作为原料生产使用，不外排。</w:t>
                  </w:r>
                </w:p>
              </w:tc>
              <w:tc>
                <w:tcPr>
                  <w:tcW w:w="1134"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066"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20" w:hRule="atLeast"/>
              </w:trPr>
              <w:tc>
                <w:tcPr>
                  <w:tcW w:w="673" w:type="dxa"/>
                  <w:vAlign w:val="center"/>
                </w:tcPr>
                <w:p>
                  <w:pPr>
                    <w:pStyle w:val="32"/>
                    <w:spacing w:line="360" w:lineRule="exact"/>
                    <w:rPr>
                      <w:rFonts w:eastAsiaTheme="minorEastAsia"/>
                      <w:color w:val="000000" w:themeColor="text1"/>
                    </w:rPr>
                  </w:pPr>
                  <w:r>
                    <w:rPr>
                      <w:rFonts w:eastAsiaTheme="minorEastAsia"/>
                      <w:color w:val="000000" w:themeColor="text1"/>
                    </w:rPr>
                    <w:t>员工生活</w:t>
                  </w:r>
                </w:p>
              </w:tc>
              <w:tc>
                <w:tcPr>
                  <w:tcW w:w="869" w:type="dxa"/>
                  <w:vAlign w:val="center"/>
                </w:tcPr>
                <w:p>
                  <w:pPr>
                    <w:pStyle w:val="32"/>
                    <w:spacing w:line="360" w:lineRule="exact"/>
                    <w:rPr>
                      <w:rFonts w:eastAsiaTheme="minorEastAsia"/>
                      <w:color w:val="000000" w:themeColor="text1"/>
                    </w:rPr>
                  </w:pPr>
                  <w:r>
                    <w:rPr>
                      <w:rFonts w:eastAsiaTheme="minorEastAsia"/>
                      <w:color w:val="000000" w:themeColor="text1"/>
                    </w:rPr>
                    <w:t>生活污水</w:t>
                  </w:r>
                </w:p>
              </w:tc>
              <w:tc>
                <w:tcPr>
                  <w:tcW w:w="1574" w:type="dxa"/>
                  <w:vAlign w:val="center"/>
                </w:tcPr>
                <w:p>
                  <w:pPr>
                    <w:pStyle w:val="32"/>
                    <w:spacing w:line="360" w:lineRule="exact"/>
                    <w:rPr>
                      <w:rFonts w:eastAsiaTheme="minorEastAsia"/>
                      <w:color w:val="000000" w:themeColor="text1"/>
                    </w:rPr>
                  </w:pPr>
                  <w:r>
                    <w:rPr>
                      <w:rFonts w:eastAsiaTheme="minorEastAsia"/>
                      <w:color w:val="000000" w:themeColor="text1"/>
                    </w:rPr>
                    <w:t>pH</w:t>
                  </w:r>
                  <w:r>
                    <w:rPr>
                      <w:rFonts w:hint="eastAsia" w:eastAsiaTheme="minorEastAsia"/>
                      <w:color w:val="000000" w:themeColor="text1"/>
                    </w:rPr>
                    <w:t>、</w:t>
                  </w:r>
                  <w:r>
                    <w:rPr>
                      <w:rFonts w:eastAsiaTheme="minorEastAsia"/>
                      <w:color w:val="000000" w:themeColor="text1"/>
                    </w:rPr>
                    <w:t>CODcr</w:t>
                  </w:r>
                  <w:r>
                    <w:rPr>
                      <w:rFonts w:hint="eastAsia" w:eastAsiaTheme="minorEastAsia"/>
                      <w:color w:val="000000" w:themeColor="text1"/>
                    </w:rPr>
                    <w:t>、</w:t>
                  </w:r>
                  <w:r>
                    <w:rPr>
                      <w:rFonts w:eastAsiaTheme="minorEastAsia"/>
                      <w:color w:val="000000" w:themeColor="text1"/>
                    </w:rPr>
                    <w:t>BOD</w:t>
                  </w:r>
                  <w:r>
                    <w:rPr>
                      <w:rFonts w:eastAsiaTheme="minorEastAsia"/>
                      <w:color w:val="000000" w:themeColor="text1"/>
                      <w:vertAlign w:val="subscript"/>
                    </w:rPr>
                    <w:t>5</w:t>
                  </w:r>
                  <w:r>
                    <w:rPr>
                      <w:rFonts w:hint="eastAsia" w:eastAsiaTheme="minorEastAsia"/>
                      <w:color w:val="000000" w:themeColor="text1"/>
                    </w:rPr>
                    <w:t>、</w:t>
                  </w:r>
                  <w:r>
                    <w:rPr>
                      <w:rFonts w:eastAsiaTheme="minorEastAsia"/>
                      <w:color w:val="000000" w:themeColor="text1"/>
                    </w:rPr>
                    <w:t>NH</w:t>
                  </w:r>
                  <w:r>
                    <w:rPr>
                      <w:rFonts w:eastAsiaTheme="minorEastAsia"/>
                      <w:color w:val="000000" w:themeColor="text1"/>
                      <w:vertAlign w:val="subscript"/>
                    </w:rPr>
                    <w:t>3</w:t>
                  </w:r>
                  <w:r>
                    <w:rPr>
                      <w:rFonts w:eastAsiaTheme="minorEastAsia"/>
                      <w:color w:val="000000" w:themeColor="text1"/>
                    </w:rPr>
                    <w:t>-N</w:t>
                  </w:r>
                  <w:r>
                    <w:rPr>
                      <w:rFonts w:hint="eastAsia" w:eastAsiaTheme="minorEastAsia"/>
                      <w:color w:val="000000" w:themeColor="text1"/>
                    </w:rPr>
                    <w:t>、</w:t>
                  </w:r>
                  <w:r>
                    <w:rPr>
                      <w:rFonts w:eastAsiaTheme="minorEastAsia"/>
                      <w:color w:val="000000" w:themeColor="text1"/>
                    </w:rPr>
                    <w:t>SS</w:t>
                  </w:r>
                  <w:r>
                    <w:rPr>
                      <w:rFonts w:hint="eastAsia" w:eastAsiaTheme="minorEastAsia"/>
                      <w:color w:val="000000" w:themeColor="text1"/>
                    </w:rPr>
                    <w:t>、</w:t>
                  </w:r>
                  <w:r>
                    <w:rPr>
                      <w:rFonts w:eastAsiaTheme="minorEastAsia"/>
                      <w:color w:val="000000" w:themeColor="text1"/>
                    </w:rPr>
                    <w:t>总磷</w:t>
                  </w:r>
                  <w:r>
                    <w:rPr>
                      <w:rFonts w:hint="eastAsia" w:eastAsiaTheme="minorEastAsia"/>
                      <w:color w:val="000000" w:themeColor="text1"/>
                    </w:rPr>
                    <w:t>、</w:t>
                  </w:r>
                  <w:r>
                    <w:rPr>
                      <w:rFonts w:eastAsiaTheme="minorEastAsia"/>
                      <w:color w:val="000000" w:themeColor="text1"/>
                    </w:rPr>
                    <w:t>总氮</w:t>
                  </w:r>
                  <w:r>
                    <w:rPr>
                      <w:rFonts w:hint="eastAsia" w:eastAsiaTheme="minorEastAsia"/>
                      <w:color w:val="000000" w:themeColor="text1"/>
                    </w:rPr>
                    <w:t>、</w:t>
                  </w:r>
                  <w:r>
                    <w:rPr>
                      <w:rFonts w:eastAsiaTheme="minorEastAsia"/>
                      <w:color w:val="000000" w:themeColor="text1"/>
                    </w:rPr>
                    <w:t>阴离子表面活性剂</w:t>
                  </w:r>
                  <w:r>
                    <w:rPr>
                      <w:rFonts w:hint="eastAsia" w:eastAsiaTheme="minorEastAsia"/>
                      <w:color w:val="000000" w:themeColor="text1"/>
                    </w:rPr>
                    <w:t>、</w:t>
                  </w:r>
                  <w:r>
                    <w:rPr>
                      <w:rFonts w:eastAsiaTheme="minorEastAsia"/>
                      <w:color w:val="000000" w:themeColor="text1"/>
                    </w:rPr>
                    <w:t>粪大肠菌群数（MPN/L）</w:t>
                  </w:r>
                </w:p>
              </w:tc>
              <w:tc>
                <w:tcPr>
                  <w:tcW w:w="3292"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产生的生活污水纳入昆明再生资源（集团）天生桥再生资源回收基地管理。根据调查，昆明再生资源（集团）天生桥再生资源回收基地设置的办公生活设施，已配套设置了2座设计规模均为15m³/d的中水处理站，对基地内的生活污水进行处理达到《城市污水再生利用 城市杂用水水质》（GB/T18920-2020）中城市绿化标准后，回用于基地绿化、卫生间冲厕等，不外排。</w:t>
                  </w:r>
                </w:p>
              </w:tc>
              <w:tc>
                <w:tcPr>
                  <w:tcW w:w="1134"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不排放</w:t>
                  </w:r>
                </w:p>
              </w:tc>
              <w:tc>
                <w:tcPr>
                  <w:tcW w:w="1066" w:type="dxa"/>
                  <w:vAlign w:val="center"/>
                </w:tcPr>
                <w:p>
                  <w:pPr>
                    <w:pStyle w:val="32"/>
                    <w:spacing w:before="78" w:line="360" w:lineRule="exact"/>
                    <w:ind w:firstLine="210" w:firstLineChars="100"/>
                    <w:jc w:val="left"/>
                    <w:rPr>
                      <w:rFonts w:eastAsiaTheme="minorEastAsia"/>
                      <w:color w:val="000000" w:themeColor="text1"/>
                      <w:szCs w:val="21"/>
                    </w:rPr>
                  </w:pPr>
                  <w:r>
                    <w:rPr>
                      <w:rFonts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pStyle w:val="40"/>
              <w:ind w:firstLine="482"/>
              <w:rPr>
                <w:b/>
                <w:color w:val="000000" w:themeColor="text1"/>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b/>
                <w:color w:val="000000" w:themeColor="text1"/>
                <w:szCs w:val="24"/>
              </w:rPr>
              <w:t>⑴</w:t>
            </w:r>
            <w:r>
              <w:rPr>
                <w:b/>
                <w:color w:val="000000" w:themeColor="text1"/>
                <w:szCs w:val="24"/>
              </w:rPr>
              <w:fldChar w:fldCharType="end"/>
            </w:r>
            <w:r>
              <w:rPr>
                <w:rFonts w:hint="eastAsia"/>
                <w:b/>
                <w:color w:val="000000" w:themeColor="text1"/>
              </w:rPr>
              <w:t>清洗废水</w:t>
            </w:r>
            <w:r>
              <w:rPr>
                <w:b/>
                <w:color w:val="000000" w:themeColor="text1"/>
                <w:szCs w:val="24"/>
              </w:rPr>
              <w:t>产排量及达标情况</w:t>
            </w:r>
          </w:p>
          <w:p>
            <w:pPr>
              <w:spacing w:line="360" w:lineRule="auto"/>
              <w:ind w:firstLine="480" w:firstLineChars="200"/>
              <w:rPr>
                <w:rFonts w:ascii="Times New Roman" w:hAnsi="Times New Roman" w:cs="Times New Roman"/>
                <w:b/>
                <w:color w:val="000000" w:themeColor="text1"/>
                <w:sz w:val="24"/>
                <w:szCs w:val="24"/>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设备清洗废水含有大量的有益元素，经两个有效容积合计不低于2m³的沉淀池收集后，用于项目含腐植酸液体水溶肥生产线作为原料生产使用，不外排。</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2 \* GB2</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⑵</w:t>
            </w:r>
            <w:r>
              <w:rPr>
                <w:b/>
                <w:color w:val="000000" w:themeColor="text1"/>
                <w:szCs w:val="24"/>
              </w:rPr>
              <w:fldChar w:fldCharType="end"/>
            </w:r>
            <w:r>
              <w:rPr>
                <w:rFonts w:hint="eastAsia"/>
                <w:b/>
                <w:color w:val="000000" w:themeColor="text1"/>
                <w:szCs w:val="24"/>
              </w:rPr>
              <w:t>生活污水</w:t>
            </w:r>
            <w:r>
              <w:rPr>
                <w:b/>
                <w:color w:val="000000" w:themeColor="text1"/>
                <w:szCs w:val="24"/>
              </w:rPr>
              <w:t>产排量及达标情况</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项目产生的生活污水经昆明再生资源（集团）天生桥再生资源回收基地配套设置了2座设计规模均为15</w:t>
            </w:r>
            <w:r>
              <w:rPr>
                <w:rFonts w:ascii="Times New Roman" w:cs="Times New Roman" w:hAnsiTheme="minorEastAsia"/>
                <w:color w:val="000000" w:themeColor="text1"/>
                <w:sz w:val="24"/>
                <w:szCs w:val="24"/>
              </w:rPr>
              <w:t>m³</w:t>
            </w:r>
            <w:r>
              <w:rPr>
                <w:rFonts w:hint="eastAsia" w:ascii="Times New Roman" w:cs="Times New Roman" w:hAnsiTheme="minorEastAsia"/>
                <w:color w:val="000000" w:themeColor="text1"/>
                <w:sz w:val="24"/>
                <w:szCs w:val="24"/>
              </w:rPr>
              <w:t>/d的中水处理站处理后，其项目</w:t>
            </w:r>
            <w:r>
              <w:rPr>
                <w:rFonts w:ascii="Times New Roman" w:cs="Times New Roman" w:hAnsiTheme="minorEastAsia"/>
                <w:color w:val="000000" w:themeColor="text1"/>
                <w:sz w:val="24"/>
                <w:szCs w:val="24"/>
              </w:rPr>
              <w:t>生活污水经处理后其污染产排及达标情况如下表所示。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生活污水</w:t>
            </w:r>
            <w:r>
              <w:rPr>
                <w:rFonts w:ascii="Times New Roman" w:hAnsi="Times New Roman" w:cs="Times New Roman"/>
                <w:b/>
                <w:color w:val="000000" w:themeColor="text1"/>
                <w:szCs w:val="24"/>
              </w:rPr>
              <w:t>污染物排放源产排量及达标情况一览表</w:t>
            </w:r>
          </w:p>
          <w:tbl>
            <w:tblPr>
              <w:tblStyle w:val="21"/>
              <w:tblW w:w="8598" w:type="dxa"/>
              <w:jc w:val="center"/>
              <w:tblInd w:w="0" w:type="dxa"/>
              <w:tblLayout w:type="fixed"/>
              <w:tblCellMar>
                <w:top w:w="0" w:type="dxa"/>
                <w:left w:w="108" w:type="dxa"/>
                <w:bottom w:w="0" w:type="dxa"/>
                <w:right w:w="108" w:type="dxa"/>
              </w:tblCellMar>
            </w:tblPr>
            <w:tblGrid>
              <w:gridCol w:w="737"/>
              <w:gridCol w:w="739"/>
              <w:gridCol w:w="1239"/>
              <w:gridCol w:w="966"/>
              <w:gridCol w:w="170"/>
              <w:gridCol w:w="993"/>
              <w:gridCol w:w="1027"/>
              <w:gridCol w:w="957"/>
              <w:gridCol w:w="934"/>
              <w:gridCol w:w="836"/>
            </w:tblGrid>
            <w:tr>
              <w:tblPrEx>
                <w:tblLayout w:type="fixed"/>
                <w:tblCellMar>
                  <w:top w:w="0" w:type="dxa"/>
                  <w:left w:w="108" w:type="dxa"/>
                  <w:bottom w:w="0" w:type="dxa"/>
                  <w:right w:w="108" w:type="dxa"/>
                </w:tblCellMar>
              </w:tblPrEx>
              <w:trPr>
                <w:jc w:val="center"/>
              </w:trPr>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73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3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2129" w:type="dxa"/>
                  <w:gridSpan w:val="3"/>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1984"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934" w:type="dxa"/>
                  <w:vMerge w:val="restart"/>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回用标准</w:t>
                  </w:r>
                </w:p>
              </w:tc>
              <w:tc>
                <w:tcPr>
                  <w:tcW w:w="8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Layout w:type="fixed"/>
                <w:tblCellMar>
                  <w:top w:w="0" w:type="dxa"/>
                  <w:left w:w="108" w:type="dxa"/>
                  <w:bottom w:w="0" w:type="dxa"/>
                  <w:right w:w="108" w:type="dxa"/>
                </w:tblCellMar>
              </w:tblPrEx>
              <w:trPr>
                <w:jc w:val="center"/>
              </w:trPr>
              <w:tc>
                <w:tcPr>
                  <w:tcW w:w="737"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136"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993"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产生量t</w:t>
                  </w:r>
                  <w:r>
                    <w:rPr>
                      <w:rFonts w:eastAsiaTheme="minorEastAsia"/>
                      <w:color w:val="000000" w:themeColor="text1"/>
                      <w:szCs w:val="21"/>
                    </w:rPr>
                    <w:t>/a</w:t>
                  </w:r>
                </w:p>
              </w:tc>
              <w:tc>
                <w:tcPr>
                  <w:tcW w:w="102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回用浓度</w:t>
                  </w:r>
                  <w:r>
                    <w:rPr>
                      <w:rFonts w:eastAsiaTheme="minorEastAsia"/>
                      <w:color w:val="000000" w:themeColor="text1"/>
                      <w:szCs w:val="21"/>
                    </w:rPr>
                    <w:t>mg/m³</w:t>
                  </w:r>
                </w:p>
              </w:tc>
              <w:tc>
                <w:tcPr>
                  <w:tcW w:w="957" w:type="dxa"/>
                  <w:tcBorders>
                    <w:top w:val="single" w:color="000000"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回用量t</w:t>
                  </w:r>
                  <w:r>
                    <w:rPr>
                      <w:rFonts w:eastAsiaTheme="minorEastAsia"/>
                      <w:color w:val="000000" w:themeColor="text1"/>
                      <w:szCs w:val="21"/>
                    </w:rPr>
                    <w:t>/a</w:t>
                  </w:r>
                </w:p>
              </w:tc>
              <w:tc>
                <w:tcPr>
                  <w:tcW w:w="934" w:type="dxa"/>
                  <w:vMerge w:val="continue"/>
                  <w:tcBorders>
                    <w:top w:val="single" w:color="000000" w:sz="8" w:space="0"/>
                    <w:left w:val="nil"/>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836"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37"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员工生活</w:t>
                  </w:r>
                </w:p>
              </w:tc>
              <w:tc>
                <w:tcPr>
                  <w:tcW w:w="739"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2129" w:type="dxa"/>
                  <w:gridSpan w:val="3"/>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96</w:t>
                  </w:r>
                  <w:r>
                    <w:rPr>
                      <w:rFonts w:eastAsiaTheme="minorEastAsia"/>
                      <w:color w:val="000000" w:themeColor="text1"/>
                      <w:szCs w:val="21"/>
                    </w:rPr>
                    <w:t>m³/a</w:t>
                  </w:r>
                </w:p>
              </w:tc>
              <w:tc>
                <w:tcPr>
                  <w:tcW w:w="1984"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96</w:t>
                  </w:r>
                  <w:r>
                    <w:rPr>
                      <w:rFonts w:eastAsiaTheme="minorEastAsia"/>
                      <w:color w:val="000000" w:themeColor="text1"/>
                      <w:szCs w:val="21"/>
                    </w:rPr>
                    <w:t>m³/a</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95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6.0-9.0</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26</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0.002</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8</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≤10</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4</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7</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≤8</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3</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3</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8</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2</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0.004</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2</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2</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0.00002</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≤0.5</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16000</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8000</w:t>
                  </w:r>
                </w:p>
              </w:tc>
              <w:tc>
                <w:tcPr>
                  <w:tcW w:w="957" w:type="dxa"/>
                  <w:tcBorders>
                    <w:top w:val="nil"/>
                    <w:left w:val="nil"/>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bl>
          <w:p>
            <w:pPr>
              <w:pStyle w:val="40"/>
              <w:spacing w:beforeLines="50"/>
              <w:ind w:firstLine="480"/>
              <w:rPr>
                <w:color w:val="000000" w:themeColor="text1"/>
              </w:rPr>
            </w:pPr>
            <w:r>
              <w:rPr>
                <w:color w:val="000000" w:themeColor="text1"/>
              </w:rPr>
              <w:t>由上表可知，经</w:t>
            </w:r>
            <w:r>
              <w:rPr>
                <w:rFonts w:hint="eastAsia"/>
                <w:color w:val="000000" w:themeColor="text1"/>
              </w:rPr>
              <w:t>中水处理站</w:t>
            </w:r>
            <w:r>
              <w:rPr>
                <w:color w:val="000000" w:themeColor="text1"/>
              </w:rPr>
              <w:t>处理后的生活污水可达到《城市污水再生利用 城市杂用水水质》（GB/T18920-2020）中城市绿化标准。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①清洗废水</w:t>
            </w:r>
            <w:r>
              <w:rPr>
                <w:rFonts w:ascii="Times New Roman" w:hAnsi="Times New Roman" w:cs="Times New Roman"/>
                <w:b/>
                <w:color w:val="000000" w:themeColor="text1"/>
                <w:sz w:val="24"/>
                <w:szCs w:val="24"/>
              </w:rPr>
              <w:t>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本项目清洗废水产生量为1.2</w:t>
            </w:r>
            <w:r>
              <w:rPr>
                <w:rFonts w:eastAsiaTheme="minorEastAsia"/>
                <w:color w:val="000000" w:themeColor="text1"/>
                <w:szCs w:val="24"/>
              </w:rPr>
              <w:t>m³/次</w:t>
            </w:r>
            <w:r>
              <w:rPr>
                <w:rFonts w:hint="eastAsia" w:eastAsiaTheme="minorEastAsia"/>
                <w:color w:val="000000" w:themeColor="text1"/>
                <w:szCs w:val="24"/>
              </w:rPr>
              <w:t>，设备清洗废水含有大量的有益元素，经两个有效容积合计不低于2m³的沉淀池收集后，用于项目含腐植酸液体水溶肥生产线作为原料生产使用，不外排。措施可行。</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②项目生活设施依托可行性分析</w:t>
            </w:r>
          </w:p>
          <w:p>
            <w:pPr>
              <w:pStyle w:val="40"/>
              <w:ind w:firstLine="480"/>
              <w:rPr>
                <w:rFonts w:eastAsiaTheme="minorEastAsia"/>
                <w:color w:val="000000" w:themeColor="text1"/>
                <w:szCs w:val="24"/>
              </w:rPr>
            </w:pPr>
            <w:r>
              <w:rPr>
                <w:rFonts w:hint="eastAsia" w:eastAsiaTheme="minorEastAsia"/>
                <w:color w:val="000000" w:themeColor="text1"/>
                <w:szCs w:val="24"/>
              </w:rPr>
              <w:t>根据调查，目前昆明再生资源（集团）天生桥再生资源回收基地内已引进并正在营业的企业有10余家，依托使用基地内设施的员工不超过200人，其生活污水产生量不超过20</w:t>
            </w:r>
            <w:r>
              <w:rPr>
                <w:rFonts w:eastAsiaTheme="minorEastAsia"/>
                <w:color w:val="000000" w:themeColor="text1"/>
                <w:szCs w:val="24"/>
              </w:rPr>
              <w:t>m³/</w:t>
            </w:r>
            <w:r>
              <w:rPr>
                <w:rFonts w:hint="eastAsia" w:eastAsiaTheme="minorEastAsia"/>
                <w:color w:val="000000" w:themeColor="text1"/>
                <w:szCs w:val="24"/>
              </w:rPr>
              <w:t>d，而昆明再生资源（集团）天生桥再生资源回收基地已配套设施的设置的2座设计规模均为15</w:t>
            </w:r>
            <w:r>
              <w:rPr>
                <w:rFonts w:eastAsiaTheme="minorEastAsia"/>
                <w:color w:val="000000" w:themeColor="text1"/>
                <w:szCs w:val="24"/>
              </w:rPr>
              <w:t>m³</w:t>
            </w:r>
            <w:r>
              <w:rPr>
                <w:rFonts w:hint="eastAsia" w:eastAsiaTheme="minorEastAsia"/>
                <w:color w:val="000000" w:themeColor="text1"/>
                <w:szCs w:val="24"/>
              </w:rPr>
              <w:t>/d的中水处理站可处置30</w:t>
            </w:r>
            <w:r>
              <w:rPr>
                <w:rFonts w:eastAsiaTheme="minorEastAsia"/>
                <w:color w:val="000000" w:themeColor="text1"/>
                <w:szCs w:val="24"/>
              </w:rPr>
              <w:t>m³</w:t>
            </w:r>
            <w:r>
              <w:rPr>
                <w:rFonts w:hint="eastAsia" w:eastAsiaTheme="minorEastAsia"/>
                <w:color w:val="000000" w:themeColor="text1"/>
                <w:szCs w:val="24"/>
              </w:rPr>
              <w:t>/d的生活污水量，余量为10</w:t>
            </w:r>
            <w:r>
              <w:rPr>
                <w:rFonts w:eastAsiaTheme="minorEastAsia"/>
                <w:color w:val="000000" w:themeColor="text1"/>
                <w:szCs w:val="24"/>
              </w:rPr>
              <w:t>m³</w:t>
            </w:r>
            <w:r>
              <w:rPr>
                <w:rFonts w:hint="eastAsia" w:eastAsiaTheme="minorEastAsia"/>
                <w:color w:val="000000" w:themeColor="text1"/>
                <w:szCs w:val="24"/>
              </w:rPr>
              <w:t>/d，而本项目建成后，基地新增生活污水量为0.32m³/d，则昆明再生资源（集团）天生桥再生资源回收基地生活污水处理设施余量可满足本项目依托使用。因此依托措施可行。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磷肥、钾肥、复混肥料、有机肥料和微生物肥料》（HJ1088-2020）的要求，项目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807"/>
              <w:gridCol w:w="2384"/>
              <w:gridCol w:w="982"/>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对象</w:t>
                  </w:r>
                </w:p>
              </w:tc>
              <w:tc>
                <w:tcPr>
                  <w:tcW w:w="1807"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监测点位</w:t>
                  </w:r>
                </w:p>
              </w:tc>
              <w:tc>
                <w:tcPr>
                  <w:tcW w:w="2384"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监测因子</w:t>
                  </w:r>
                </w:p>
              </w:tc>
              <w:tc>
                <w:tcPr>
                  <w:tcW w:w="982"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最低监测频率</w:t>
                  </w:r>
                </w:p>
              </w:tc>
              <w:tc>
                <w:tcPr>
                  <w:tcW w:w="256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7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雨水</w:t>
                  </w:r>
                </w:p>
              </w:tc>
              <w:tc>
                <w:tcPr>
                  <w:tcW w:w="1807" w:type="dxa"/>
                  <w:vAlign w:val="center"/>
                </w:tcPr>
                <w:p>
                  <w:pPr>
                    <w:pStyle w:val="32"/>
                    <w:spacing w:line="360" w:lineRule="exact"/>
                    <w:ind w:firstLine="210" w:firstLineChars="100"/>
                    <w:jc w:val="left"/>
                    <w:rPr>
                      <w:rFonts w:hAnsiTheme="minorEastAsia" w:eastAsiaTheme="minorEastAsia"/>
                      <w:color w:val="000000" w:themeColor="text1"/>
                      <w:szCs w:val="21"/>
                    </w:rPr>
                  </w:pPr>
                  <w:r>
                    <w:rPr>
                      <w:rFonts w:hint="eastAsia" w:hAnsiTheme="minorEastAsia" w:eastAsiaTheme="minorEastAsia"/>
                      <w:color w:val="000000" w:themeColor="text1"/>
                      <w:szCs w:val="21"/>
                    </w:rPr>
                    <w:t>雨水排放口</w:t>
                  </w:r>
                </w:p>
              </w:tc>
              <w:tc>
                <w:tcPr>
                  <w:tcW w:w="2384" w:type="dxa"/>
                  <w:vAlign w:val="center"/>
                </w:tcPr>
                <w:p>
                  <w:pPr>
                    <w:pStyle w:val="32"/>
                    <w:spacing w:line="360" w:lineRule="exact"/>
                    <w:ind w:firstLine="210" w:firstLineChars="100"/>
                    <w:jc w:val="left"/>
                    <w:rPr>
                      <w:bCs w:val="0"/>
                      <w:snapToGrid/>
                      <w:color w:val="000000" w:themeColor="text1"/>
                      <w:kern w:val="0"/>
                      <w:szCs w:val="21"/>
                      <w:lang w:val="en-US"/>
                    </w:rPr>
                  </w:pPr>
                  <w:r>
                    <w:rPr>
                      <w:rFonts w:hint="eastAsia"/>
                      <w:bCs w:val="0"/>
                      <w:snapToGrid/>
                      <w:color w:val="000000" w:themeColor="text1"/>
                      <w:kern w:val="0"/>
                      <w:szCs w:val="21"/>
                      <w:lang w:val="en-US"/>
                    </w:rPr>
                    <w:t>CODcr、氨氮、悬浮物</w:t>
                  </w:r>
                </w:p>
              </w:tc>
              <w:tc>
                <w:tcPr>
                  <w:tcW w:w="98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w:t>
                  </w:r>
                  <w:r>
                    <w:rPr>
                      <w:rFonts w:hAnsiTheme="minorEastAsia" w:eastAsiaTheme="minorEastAsia"/>
                      <w:color w:val="000000" w:themeColor="text1"/>
                      <w:szCs w:val="21"/>
                    </w:rPr>
                    <w:t>次</w:t>
                  </w:r>
                  <w:r>
                    <w:rPr>
                      <w:rFonts w:eastAsiaTheme="minorEastAsia"/>
                      <w:color w:val="000000" w:themeColor="text1"/>
                      <w:szCs w:val="21"/>
                    </w:rPr>
                    <w:t>/</w:t>
                  </w:r>
                  <w:r>
                    <w:rPr>
                      <w:rFonts w:hint="eastAsia" w:hAnsiTheme="minorEastAsia" w:eastAsiaTheme="minorEastAsia"/>
                      <w:color w:val="000000" w:themeColor="text1"/>
                      <w:szCs w:val="21"/>
                    </w:rPr>
                    <w:t>月</w:t>
                  </w:r>
                </w:p>
              </w:tc>
              <w:tc>
                <w:tcPr>
                  <w:tcW w:w="2563" w:type="dxa"/>
                  <w:vAlign w:val="center"/>
                </w:tcPr>
                <w:p>
                  <w:pPr>
                    <w:pStyle w:val="32"/>
                    <w:spacing w:line="360" w:lineRule="exact"/>
                    <w:ind w:firstLine="210" w:firstLineChars="100"/>
                    <w:jc w:val="both"/>
                    <w:rPr>
                      <w:color w:val="000000" w:themeColor="text1"/>
                    </w:rPr>
                  </w:pP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608" w:type="dxa"/>
                  <w:gridSpan w:val="5"/>
                  <w:vAlign w:val="center"/>
                </w:tcPr>
                <w:p>
                  <w:pPr>
                    <w:pStyle w:val="32"/>
                    <w:spacing w:line="360" w:lineRule="exact"/>
                    <w:ind w:firstLine="210" w:firstLineChars="100"/>
                    <w:jc w:val="both"/>
                    <w:rPr>
                      <w:color w:val="000000" w:themeColor="text1"/>
                    </w:rPr>
                  </w:pPr>
                  <w:r>
                    <w:rPr>
                      <w:rFonts w:hint="eastAsia"/>
                      <w:color w:val="000000" w:themeColor="text1"/>
                    </w:rPr>
                    <w:t>备注：雨水排水期间按月监测，如监测一年无异常情况，可放宽至每季度监测一次。</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w:t>
            </w:r>
            <w:r>
              <w:rPr>
                <w:rFonts w:hint="eastAsia" w:ascii="Times New Roman" w:hAnsi="Times New Roman" w:cs="Times New Roman"/>
                <w:color w:val="000000" w:themeColor="text1"/>
                <w:sz w:val="24"/>
              </w:rPr>
              <w:t>设备清洗废水含有大量的有益元素，经两个有效容积合计不低于2m³的沉淀池收集后，用于项目含腐植酸液体水溶肥生产线作为原料生产使用，不外排。项目不设置办公生活区，管理人员租用昆明再生资源（集团）天生桥再生资源回收基地办公设施进行办公，厂区内不提供食宿，工作期间员工如厕等依托使用昆明再生资源（集团）天生桥再生资源回收基地内的公共卫生间。昆明再生资源（集团）天生桥再生资源回收基地生活污水处理设施余量可满足本项目依托使用。项目产生的生活污水经昆明再生资源（集团）天生桥再生资源回收基地配套设置了2座设计规模均为15</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/d的中水处理站处理后，</w:t>
            </w:r>
            <w:r>
              <w:rPr>
                <w:rFonts w:ascii="Times New Roman" w:hAnsi="Times New Roman" w:cs="Times New Roman"/>
                <w:color w:val="000000" w:themeColor="text1"/>
                <w:sz w:val="24"/>
              </w:rPr>
              <w:t>可达到《城市污水再生利用 城市杂用水水质》（GB/T18920-2020）中城市绿化标准</w:t>
            </w:r>
            <w:r>
              <w:rPr>
                <w:rFonts w:hint="eastAsia" w:ascii="Times New Roman" w:hAnsi="Times New Roman" w:cs="Times New Roman"/>
                <w:color w:val="000000" w:themeColor="text1"/>
                <w:sz w:val="24"/>
              </w:rPr>
              <w:t>，回用于基地绿化、卫生间冲厕等，不外排。对地表水环境影响较小。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860"/>
              <w:gridCol w:w="1289"/>
              <w:gridCol w:w="1288"/>
              <w:gridCol w:w="1145"/>
              <w:gridCol w:w="1145"/>
              <w:gridCol w:w="1008"/>
              <w:gridCol w:w="11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Align w:val="center"/>
                </w:tcPr>
                <w:p>
                  <w:pPr>
                    <w:pStyle w:val="32"/>
                    <w:spacing w:line="360" w:lineRule="exact"/>
                    <w:rPr>
                      <w:color w:val="000000" w:themeColor="text1"/>
                      <w:szCs w:val="21"/>
                    </w:rPr>
                  </w:pPr>
                  <w:r>
                    <w:rPr>
                      <w:color w:val="000000" w:themeColor="text1"/>
                      <w:szCs w:val="21"/>
                    </w:rPr>
                    <w:t>主要生产单元</w:t>
                  </w:r>
                </w:p>
              </w:tc>
              <w:tc>
                <w:tcPr>
                  <w:tcW w:w="860" w:type="dxa"/>
                  <w:vAlign w:val="center"/>
                </w:tcPr>
                <w:p>
                  <w:pPr>
                    <w:pStyle w:val="32"/>
                    <w:spacing w:line="360" w:lineRule="exact"/>
                    <w:rPr>
                      <w:color w:val="000000" w:themeColor="text1"/>
                      <w:szCs w:val="21"/>
                    </w:rPr>
                  </w:pPr>
                  <w:r>
                    <w:rPr>
                      <w:color w:val="000000" w:themeColor="text1"/>
                      <w:szCs w:val="21"/>
                    </w:rPr>
                    <w:t>主要工艺</w:t>
                  </w: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生产设施</w:t>
                  </w:r>
                </w:p>
              </w:tc>
              <w:tc>
                <w:tcPr>
                  <w:tcW w:w="1288" w:type="dxa"/>
                  <w:vAlign w:val="center"/>
                </w:tcPr>
                <w:p>
                  <w:pPr>
                    <w:pStyle w:val="32"/>
                    <w:spacing w:line="360" w:lineRule="exact"/>
                    <w:rPr>
                      <w:color w:val="000000" w:themeColor="text1"/>
                      <w:szCs w:val="21"/>
                    </w:rPr>
                  </w:pPr>
                  <w:r>
                    <w:rPr>
                      <w:rFonts w:hint="eastAsia"/>
                      <w:color w:val="000000" w:themeColor="text1"/>
                      <w:szCs w:val="21"/>
                    </w:rPr>
                    <w:t>型号</w:t>
                  </w:r>
                </w:p>
              </w:tc>
              <w:tc>
                <w:tcPr>
                  <w:tcW w:w="1145" w:type="dxa"/>
                  <w:vAlign w:val="center"/>
                </w:tcPr>
                <w:p>
                  <w:pPr>
                    <w:pStyle w:val="32"/>
                    <w:spacing w:line="360" w:lineRule="exact"/>
                    <w:rPr>
                      <w:color w:val="000000" w:themeColor="text1"/>
                      <w:szCs w:val="21"/>
                    </w:rPr>
                  </w:pPr>
                  <w:r>
                    <w:rPr>
                      <w:color w:val="000000" w:themeColor="text1"/>
                      <w:szCs w:val="21"/>
                    </w:rPr>
                    <w:t>产生强度〔dB（A）〕</w:t>
                  </w:r>
                </w:p>
              </w:tc>
              <w:tc>
                <w:tcPr>
                  <w:tcW w:w="1145"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降噪措施</w:t>
                  </w: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排放强度〔dB（A）〕</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restart"/>
                  <w:vAlign w:val="center"/>
                </w:tcPr>
                <w:p>
                  <w:pPr>
                    <w:pStyle w:val="32"/>
                    <w:spacing w:line="360" w:lineRule="exact"/>
                    <w:rPr>
                      <w:color w:val="000000" w:themeColor="text1"/>
                      <w:szCs w:val="21"/>
                    </w:rPr>
                  </w:pPr>
                  <w:r>
                    <w:rPr>
                      <w:color w:val="000000" w:themeColor="text1"/>
                      <w:szCs w:val="21"/>
                    </w:rPr>
                    <w:t>主体工程</w:t>
                  </w:r>
                </w:p>
              </w:tc>
              <w:tc>
                <w:tcPr>
                  <w:tcW w:w="860" w:type="dxa"/>
                  <w:vMerge w:val="restart"/>
                  <w:vAlign w:val="center"/>
                </w:tcPr>
                <w:p>
                  <w:pPr>
                    <w:pStyle w:val="32"/>
                    <w:spacing w:line="360" w:lineRule="exact"/>
                    <w:rPr>
                      <w:color w:val="000000" w:themeColor="text1"/>
                      <w:szCs w:val="21"/>
                    </w:rPr>
                  </w:pPr>
                  <w:r>
                    <w:rPr>
                      <w:rFonts w:hint="eastAsia"/>
                      <w:color w:val="000000" w:themeColor="text1"/>
                      <w:szCs w:val="21"/>
                    </w:rPr>
                    <w:t>颗粒</w:t>
                  </w:r>
                  <w:r>
                    <w:rPr>
                      <w:color w:val="000000" w:themeColor="text1"/>
                      <w:szCs w:val="21"/>
                    </w:rPr>
                    <w:t>水溶肥生产线</w:t>
                  </w: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提升机</w:t>
                  </w:r>
                </w:p>
              </w:tc>
              <w:tc>
                <w:tcPr>
                  <w:tcW w:w="128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斗式提升机</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减震垫、消声器、墙体阻隔等</w:t>
                  </w: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带式输送机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混合搅拌机</w:t>
                  </w:r>
                </w:p>
              </w:tc>
              <w:tc>
                <w:tcPr>
                  <w:tcW w:w="128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封闭式</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挤压造粒机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85-95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75-85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筛分机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85-95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75-85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热压封口机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70-80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60-70</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打包机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82" w:type="dxa"/>
                  <w:vMerge w:val="continue"/>
                  <w:vAlign w:val="center"/>
                </w:tcPr>
                <w:p>
                  <w:pPr>
                    <w:pStyle w:val="32"/>
                    <w:spacing w:line="360" w:lineRule="exact"/>
                    <w:rPr>
                      <w:color w:val="000000" w:themeColor="text1"/>
                      <w:szCs w:val="21"/>
                    </w:rPr>
                  </w:pPr>
                </w:p>
              </w:tc>
              <w:tc>
                <w:tcPr>
                  <w:tcW w:w="860" w:type="dxa"/>
                  <w:vMerge w:val="restart"/>
                  <w:vAlign w:val="center"/>
                </w:tcPr>
                <w:p>
                  <w:pPr>
                    <w:pStyle w:val="32"/>
                    <w:spacing w:line="360" w:lineRule="exact"/>
                    <w:rPr>
                      <w:color w:val="000000" w:themeColor="text1"/>
                      <w:szCs w:val="21"/>
                    </w:rPr>
                  </w:pPr>
                  <w:r>
                    <w:rPr>
                      <w:rFonts w:hint="eastAsia"/>
                      <w:color w:val="000000" w:themeColor="text1"/>
                      <w:szCs w:val="21"/>
                    </w:rPr>
                    <w:t>粉状</w:t>
                  </w:r>
                  <w:r>
                    <w:rPr>
                      <w:color w:val="000000" w:themeColor="text1"/>
                      <w:szCs w:val="21"/>
                    </w:rPr>
                    <w:t>水溶肥生产线</w:t>
                  </w: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混合搅拌机</w:t>
                  </w:r>
                </w:p>
              </w:tc>
              <w:tc>
                <w:tcPr>
                  <w:tcW w:w="128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封闭式</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热压封口机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70-80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60-70</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打包机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restart"/>
                  <w:vAlign w:val="center"/>
                </w:tcPr>
                <w:p>
                  <w:pPr>
                    <w:pStyle w:val="32"/>
                    <w:spacing w:line="360" w:lineRule="exact"/>
                    <w:rPr>
                      <w:color w:val="000000" w:themeColor="text1"/>
                      <w:szCs w:val="21"/>
                    </w:rPr>
                  </w:pPr>
                  <w:r>
                    <w:rPr>
                      <w:color w:val="000000" w:themeColor="text1"/>
                      <w:szCs w:val="21"/>
                    </w:rPr>
                    <w:t>含腐植酸液体水溶肥</w:t>
                  </w: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搅拌罐</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不锈钢</w:t>
                  </w:r>
                </w:p>
              </w:tc>
              <w:tc>
                <w:tcPr>
                  <w:tcW w:w="1145" w:type="dxa"/>
                  <w:vAlign w:val="center"/>
                </w:tcPr>
                <w:p>
                  <w:pPr>
                    <w:pStyle w:val="32"/>
                    <w:spacing w:line="360" w:lineRule="exact"/>
                    <w:rPr>
                      <w:color w:val="000000" w:themeColor="text1"/>
                      <w:szCs w:val="21"/>
                    </w:rPr>
                  </w:pPr>
                  <w:r>
                    <w:rPr>
                      <w:rFonts w:hint="eastAsia"/>
                      <w:color w:val="000000" w:themeColor="text1"/>
                      <w:szCs w:val="21"/>
                    </w:rPr>
                    <w:t>70-80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75-85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喷码机</w:t>
                  </w:r>
                </w:p>
              </w:tc>
              <w:tc>
                <w:tcPr>
                  <w:tcW w:w="128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MAC32+B</w:t>
                  </w:r>
                </w:p>
              </w:tc>
              <w:tc>
                <w:tcPr>
                  <w:tcW w:w="1145" w:type="dxa"/>
                  <w:vAlign w:val="center"/>
                </w:tcPr>
                <w:p>
                  <w:pPr>
                    <w:pStyle w:val="32"/>
                    <w:spacing w:line="360" w:lineRule="exact"/>
                    <w:rPr>
                      <w:color w:val="000000" w:themeColor="text1"/>
                      <w:szCs w:val="21"/>
                    </w:rPr>
                  </w:pPr>
                  <w:r>
                    <w:rPr>
                      <w:rFonts w:hint="eastAsia"/>
                      <w:color w:val="000000" w:themeColor="text1"/>
                      <w:szCs w:val="21"/>
                    </w:rPr>
                    <w:t>70-80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60-70</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Align w:val="center"/>
                </w:tcPr>
                <w:p>
                  <w:pPr>
                    <w:pStyle w:val="32"/>
                    <w:spacing w:line="360" w:lineRule="exact"/>
                    <w:rPr>
                      <w:color w:val="000000" w:themeColor="text1"/>
                      <w:szCs w:val="21"/>
                    </w:rPr>
                  </w:pPr>
                  <w:r>
                    <w:rPr>
                      <w:color w:val="000000" w:themeColor="text1"/>
                      <w:szCs w:val="21"/>
                    </w:rPr>
                    <w:t>储运工程</w:t>
                  </w:r>
                </w:p>
              </w:tc>
              <w:tc>
                <w:tcPr>
                  <w:tcW w:w="860" w:type="dxa"/>
                  <w:vAlign w:val="center"/>
                </w:tcPr>
                <w:p>
                  <w:pPr>
                    <w:pStyle w:val="32"/>
                    <w:spacing w:line="360" w:lineRule="exact"/>
                    <w:rPr>
                      <w:color w:val="000000" w:themeColor="text1"/>
                      <w:szCs w:val="21"/>
                    </w:rPr>
                  </w:pPr>
                  <w:r>
                    <w:rPr>
                      <w:rFonts w:hint="eastAsia"/>
                      <w:color w:val="000000" w:themeColor="text1"/>
                      <w:szCs w:val="21"/>
                    </w:rPr>
                    <w:t>储运</w:t>
                  </w:r>
                </w:p>
              </w:tc>
              <w:tc>
                <w:tcPr>
                  <w:tcW w:w="128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叉车</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80-90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70-80</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本环评采用环安科技有限公司根据《环境影响评价技术导则 声环境》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HJ2.4-2009</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开发的</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环境噪声影响评价系统Noisesystem1.1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噪声预测软件，对项目设备</w:t>
            </w:r>
            <w:r>
              <w:rPr>
                <w:rFonts w:hint="eastAsia" w:ascii="Times New Roman" w:hAnsi="Times New Roman" w:cs="Times New Roman"/>
                <w:color w:val="000000" w:themeColor="text1"/>
                <w:sz w:val="24"/>
                <w:szCs w:val="24"/>
              </w:rPr>
              <w:t>厂界</w:t>
            </w:r>
            <w:r>
              <w:rPr>
                <w:rFonts w:ascii="Times New Roman" w:hAnsi="Times New Roman" w:cs="Times New Roman"/>
                <w:color w:val="000000" w:themeColor="text1"/>
                <w:sz w:val="24"/>
                <w:szCs w:val="24"/>
              </w:rPr>
              <w:t>噪声</w:t>
            </w:r>
            <w:r>
              <w:rPr>
                <w:rFonts w:hint="eastAsia" w:ascii="Times New Roman" w:hAnsi="Times New Roman" w:cs="Times New Roman"/>
                <w:color w:val="000000" w:themeColor="text1"/>
                <w:sz w:val="24"/>
                <w:szCs w:val="24"/>
              </w:rPr>
              <w:t>进行预测</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bookmarkStart w:id="3" w:name="_Toc9337268"/>
            <w:bookmarkStart w:id="4" w:name="_Toc13390404"/>
            <w:r>
              <w:rPr>
                <w:rFonts w:hint="eastAsia" w:ascii="Times New Roman" w:hAnsi="Times New Roman" w:cs="Times New Roman"/>
                <w:b/>
                <w:color w:val="000000" w:themeColor="text1"/>
                <w:sz w:val="24"/>
                <w:szCs w:val="24"/>
              </w:rPr>
              <w:t>①声级计算</w:t>
            </w:r>
            <w:bookmarkEnd w:id="3"/>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建设项目声源在预测点产生的等效声级贡献值</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Leq 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29" o:spt="75" type="#_x0000_t75" style="height:33.9pt;width:132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建设项目声源在预测点的等效声级贡献值，dB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i声源在预测点产生的A 声级，dB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预测计算的时间段，s；</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 声源在T 时段内的运行时间，s。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预测点的预测等效声级(L eq )计算公式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0" o:spt="75" type="#_x0000_t75" style="height:20.45pt;width:141.9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 eq 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建设项目声源在预测点的等效声级贡献值，dB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 eqb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预测点的背景值，dB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②户外声传播衰减计算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预测模式如下：</w:t>
            </w:r>
          </w:p>
          <w:p>
            <w:pPr>
              <w:spacing w:line="360" w:lineRule="auto"/>
              <w:jc w:val="center"/>
              <w:rPr>
                <w:rFonts w:ascii="Times New Roman" w:hAnsi="Times New Roman" w:cs="Times New Roman"/>
                <w:color w:val="000000" w:themeColor="text1"/>
                <w:sz w:val="24"/>
                <w:szCs w:val="24"/>
              </w:rPr>
            </w:pPr>
            <w:bookmarkStart w:id="5" w:name="_Toc9337269"/>
            <w:bookmarkStart w:id="6" w:name="_Toc13390405"/>
            <w:r>
              <w:rPr>
                <w:rFonts w:ascii="Times New Roman" w:hAnsi="Times New Roman" w:cs="Times New Roman"/>
                <w:color w:val="000000" w:themeColor="text1"/>
                <w:sz w:val="24"/>
                <w:szCs w:val="24"/>
              </w:rPr>
              <w:t>LA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-20g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w:t>
            </w:r>
            <w:bookmarkEnd w:id="5"/>
            <w:bookmarkEnd w:id="6"/>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距声源r米处受声点的A声级；</w:t>
            </w:r>
          </w:p>
          <w:p>
            <w:pPr>
              <w:spacing w:line="360" w:lineRule="auto"/>
              <w:ind w:firstLine="480" w:firstLineChars="200"/>
              <w:rPr>
                <w:rFonts w:ascii="Times New Roman" w:hAnsi="Times New Roman" w:cs="Times New Roman"/>
                <w:color w:val="000000" w:themeColor="text1"/>
                <w:sz w:val="24"/>
                <w:szCs w:val="24"/>
              </w:rPr>
            </w:pPr>
            <w:bookmarkStart w:id="7" w:name="_Toc9337270"/>
            <w:bookmarkStart w:id="8" w:name="_Toc13390406"/>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参考点声源强度；</w:t>
            </w:r>
            <w:bookmarkEnd w:id="7"/>
            <w:bookmarkEnd w:id="8"/>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预测受声点与源之间的距离（m）；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参考点与源之间的距离（m）。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其它衰减因素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各受声点的声源叠加按下列公式计算：</w:t>
            </w:r>
          </w:p>
          <w:p>
            <w:pPr>
              <w:spacing w:line="360" w:lineRule="auto"/>
              <w:jc w:val="center"/>
              <w:rPr>
                <w:rFonts w:ascii="Times New Roman" w:hAnsi="Times New Roman" w:cs="Times New Roman"/>
                <w:color w:val="000000" w:themeColor="text1"/>
                <w:sz w:val="24"/>
                <w:szCs w:val="24"/>
              </w:rPr>
            </w:pPr>
            <w:bookmarkStart w:id="9" w:name="_Toc13390407"/>
            <w:bookmarkStart w:id="10" w:name="_Toc9337271"/>
            <w:r>
              <w:rPr>
                <w:rFonts w:ascii="Times New Roman" w:hAnsi="Times New Roman" w:cs="Times New Roman"/>
                <w:color w:val="000000" w:themeColor="text1"/>
                <w:sz w:val="24"/>
                <w:szCs w:val="24"/>
              </w:rPr>
              <w:t>LA=10g［</w:t>
            </w:r>
            <w:r>
              <w:rPr>
                <w:rFonts w:ascii="Times New Roman" w:hAnsi="Times New Roman" w:cs="Times New Roman"/>
                <w:color w:val="000000" w:themeColor="text1"/>
                <w:sz w:val="24"/>
                <w:szCs w:val="24"/>
              </w:rPr>
              <w:object>
                <v:shape id="_x0000_i1031" o:spt="75" type="#_x0000_t75" style="height:41.65pt;width:50.1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ascii="Times New Roman" w:hAnsi="Times New Roman" w:cs="Times New Roman"/>
                <w:color w:val="000000" w:themeColor="text1"/>
                <w:sz w:val="24"/>
                <w:szCs w:val="24"/>
              </w:rPr>
              <w:t>］</w:t>
            </w:r>
            <w:bookmarkEnd w:id="9"/>
            <w:bookmarkEnd w:id="10"/>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式中：Li--第i个声源声值；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LA--某点噪声总叠加值；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n--声源个数。</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设置为东、南、西、北四个</w:t>
            </w:r>
            <w:r>
              <w:rPr>
                <w:rFonts w:hint="eastAsia" w:ascii="Times New Roman" w:hAnsi="Times New Roman" w:cs="Times New Roman"/>
                <w:color w:val="000000" w:themeColor="text1"/>
                <w:sz w:val="24"/>
                <w:szCs w:val="24"/>
              </w:rPr>
              <w:t>厂界</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w:t>
            </w:r>
            <w:r>
              <w:rPr>
                <w:rFonts w:hint="eastAsia" w:ascii="Times New Roman" w:hAnsi="Times New Roman" w:cs="Times New Roman"/>
                <w:color w:val="000000" w:themeColor="text1"/>
                <w:sz w:val="24"/>
                <w:szCs w:val="24"/>
              </w:rPr>
              <w:t>项目厂界东、南、西、北</w:t>
            </w:r>
            <w:r>
              <w:rPr>
                <w:rFonts w:ascii="Times New Roman" w:hAnsi="Times New Roman" w:cs="Times New Roman"/>
                <w:color w:val="000000" w:themeColor="text1"/>
                <w:sz w:val="24"/>
                <w:szCs w:val="24"/>
              </w:rPr>
              <w:t>预测点的噪声预测结果</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4.2.3-2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项目建成后</w:t>
            </w:r>
            <w:r>
              <w:rPr>
                <w:rFonts w:ascii="Times New Roman" w:hAnsi="Times New Roman" w:cs="Times New Roman"/>
                <w:b/>
                <w:color w:val="000000" w:themeColor="text1"/>
                <w:szCs w:val="24"/>
              </w:rPr>
              <w:t>预测点的噪声</w:t>
            </w:r>
            <w:r>
              <w:rPr>
                <w:rFonts w:hint="eastAsia" w:ascii="Times New Roman" w:hAnsi="Times New Roman" w:cs="Times New Roman"/>
                <w:b/>
                <w:color w:val="000000" w:themeColor="text1"/>
                <w:szCs w:val="24"/>
              </w:rPr>
              <w:t>预测值</w:t>
            </w:r>
            <w:r>
              <w:rPr>
                <w:rFonts w:ascii="Times New Roman" w:hAnsi="Times New Roman" w:cs="Times New Roman"/>
                <w:b/>
                <w:color w:val="000000" w:themeColor="text1"/>
                <w:szCs w:val="24"/>
              </w:rPr>
              <w:t xml:space="preserve">  单位：dB</w:t>
            </w:r>
            <w:r>
              <w:rPr>
                <w:rFonts w:hint="eastAsia" w:ascii="Times New Roman" w:hAnsi="Times New Roman" w:cs="Times New Roman"/>
                <w:b/>
                <w:color w:val="000000" w:themeColor="text1"/>
                <w:szCs w:val="24"/>
              </w:rPr>
              <w:t>（</w:t>
            </w:r>
            <w:r>
              <w:rPr>
                <w:rFonts w:ascii="Times New Roman" w:hAnsi="Times New Roman" w:cs="Times New Roman"/>
                <w:b/>
                <w:color w:val="000000" w:themeColor="text1"/>
                <w:szCs w:val="24"/>
              </w:rPr>
              <w:t>A</w:t>
            </w:r>
            <w:r>
              <w:rPr>
                <w:rFonts w:hint="eastAsia" w:ascii="Times New Roman" w:hAnsi="Times New Roman" w:cs="Times New Roman"/>
                <w:b/>
                <w:color w:val="000000" w:themeColor="text1"/>
                <w:szCs w:val="24"/>
              </w:rPr>
              <w:t>）</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预测值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厂界东</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厂界南</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厂界西</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3.6</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7.2</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8.4</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3.6</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7.2</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8.4</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7.5</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w:t>
            </w:r>
            <w:r>
              <w:rPr>
                <w:rFonts w:ascii="Times New Roman" w:hAnsi="Times New Roman" w:cs="Times New Roman"/>
                <w:color w:val="000000" w:themeColor="text1"/>
                <w:sz w:val="24"/>
                <w:szCs w:val="24"/>
              </w:rPr>
              <w:t>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0"/>
              <w:ind w:firstLine="480"/>
              <w:rPr>
                <w:rFonts w:eastAsiaTheme="minorEastAsia"/>
                <w:color w:val="000000" w:themeColor="text1"/>
                <w:szCs w:val="24"/>
              </w:rPr>
            </w:pPr>
            <w:r>
              <w:rPr>
                <w:rFonts w:eastAsiaTheme="minorEastAsia"/>
                <w:color w:val="000000" w:themeColor="text1"/>
                <w:szCs w:val="24"/>
              </w:rPr>
              <w:t>根据项目环境保护目标分布，项目区声环境</w:t>
            </w:r>
            <w:r>
              <w:rPr>
                <w:rFonts w:hint="eastAsia" w:eastAsiaTheme="minorEastAsia"/>
                <w:color w:val="000000" w:themeColor="text1"/>
                <w:szCs w:val="24"/>
              </w:rPr>
              <w:t>50m</w:t>
            </w:r>
            <w:r>
              <w:rPr>
                <w:rFonts w:eastAsiaTheme="minorEastAsia"/>
                <w:color w:val="000000" w:themeColor="text1"/>
                <w:szCs w:val="24"/>
              </w:rPr>
              <w:t>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40"/>
              <w:ind w:firstLine="480"/>
              <w:rPr>
                <w:rFonts w:eastAsiaTheme="minorEastAsia"/>
                <w:color w:val="000000" w:themeColor="text1"/>
                <w:szCs w:val="24"/>
              </w:rPr>
            </w:pPr>
            <w:r>
              <w:rPr>
                <w:rFonts w:eastAsiaTheme="minorEastAsia"/>
                <w:color w:val="000000" w:themeColor="text1"/>
                <w:szCs w:val="24"/>
              </w:rPr>
              <w:t>根据</w:t>
            </w:r>
            <w:r>
              <w:rPr>
                <w:rFonts w:hint="eastAsia" w:eastAsiaTheme="minorEastAsia"/>
                <w:color w:val="000000" w:themeColor="text1"/>
                <w:szCs w:val="24"/>
              </w:rPr>
              <w:t>《排污单位自行监测技术指南 磷肥、钾肥、复混肥料、有机肥料和微生物肥料》（HJ1088-2020）</w:t>
            </w:r>
            <w:r>
              <w:rPr>
                <w:rFonts w:eastAsiaTheme="minorEastAsia"/>
                <w:color w:val="000000" w:themeColor="text1"/>
                <w:szCs w:val="24"/>
              </w:rPr>
              <w:t>的要求，项目噪声自行监测要求如下表所示。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2"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最低监测频率</w:t>
                  </w:r>
                </w:p>
              </w:tc>
              <w:tc>
                <w:tcPr>
                  <w:tcW w:w="3477"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2"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1次/季</w:t>
                  </w:r>
                  <w:r>
                    <w:rPr>
                      <w:rFonts w:hint="eastAsia" w:eastAsiaTheme="minorEastAsia"/>
                      <w:color w:val="000000" w:themeColor="text1"/>
                    </w:rPr>
                    <w:t>度</w:t>
                  </w:r>
                </w:p>
              </w:tc>
              <w:tc>
                <w:tcPr>
                  <w:tcW w:w="3477"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w:t>
            </w:r>
            <w:r>
              <w:rPr>
                <w:rFonts w:hint="eastAsia" w:eastAsiaTheme="minorEastAsia"/>
                <w:color w:val="000000" w:themeColor="text1"/>
                <w:szCs w:val="24"/>
              </w:rPr>
              <w:t>：废包装材料、收集粉尘、</w:t>
            </w:r>
            <w:r>
              <w:rPr>
                <w:rFonts w:eastAsiaTheme="minorEastAsia"/>
                <w:color w:val="000000" w:themeColor="text1"/>
                <w:szCs w:val="24"/>
              </w:rPr>
              <w:t>设备维修产生的废机油及废弃沾油抹布</w:t>
            </w:r>
            <w:r>
              <w:rPr>
                <w:rFonts w:hint="eastAsia" w:eastAsiaTheme="minorEastAsia"/>
                <w:color w:val="000000" w:themeColor="text1"/>
                <w:szCs w:val="24"/>
              </w:rPr>
              <w:t>和</w:t>
            </w:r>
            <w:r>
              <w:rPr>
                <w:rFonts w:eastAsiaTheme="minorEastAsia"/>
                <w:color w:val="000000" w:themeColor="text1"/>
                <w:szCs w:val="24"/>
              </w:rPr>
              <w:t>生活垃圾</w:t>
            </w:r>
            <w:r>
              <w:rPr>
                <w:rFonts w:hint="eastAsia" w:eastAsiaTheme="minorEastAsia"/>
                <w:color w:val="000000" w:themeColor="text1"/>
                <w:szCs w:val="24"/>
              </w:rPr>
              <w:t>。</w:t>
            </w:r>
          </w:p>
          <w:p>
            <w:pPr>
              <w:pStyle w:val="40"/>
              <w:ind w:firstLine="482"/>
              <w:rPr>
                <w:b/>
                <w:color w:val="000000" w:themeColor="text1"/>
              </w:rPr>
            </w:pPr>
            <w:r>
              <w:rPr>
                <w:rFonts w:hint="eastAsia"/>
                <w:b/>
                <w:color w:val="000000" w:themeColor="text1"/>
              </w:rPr>
              <w:t>①废包装材料</w:t>
            </w:r>
          </w:p>
          <w:p>
            <w:pPr>
              <w:pStyle w:val="40"/>
              <w:ind w:firstLine="480"/>
              <w:rPr>
                <w:rFonts w:eastAsiaTheme="minorEastAsia"/>
                <w:color w:val="000000" w:themeColor="text1"/>
                <w:szCs w:val="24"/>
              </w:rPr>
            </w:pPr>
            <w:r>
              <w:rPr>
                <w:rFonts w:eastAsiaTheme="minorEastAsia"/>
                <w:color w:val="000000" w:themeColor="text1"/>
                <w:szCs w:val="24"/>
              </w:rPr>
              <w:t>根据项目原辅料种类可知，本项目</w:t>
            </w:r>
            <w:r>
              <w:rPr>
                <w:rFonts w:hint="eastAsia" w:eastAsiaTheme="minorEastAsia"/>
                <w:color w:val="000000" w:themeColor="text1"/>
                <w:szCs w:val="24"/>
              </w:rPr>
              <w:t>使用的原辅料</w:t>
            </w:r>
            <w:r>
              <w:rPr>
                <w:rFonts w:eastAsiaTheme="minorEastAsia"/>
                <w:color w:val="000000" w:themeColor="text1"/>
                <w:szCs w:val="24"/>
              </w:rPr>
              <w:t>均为袋装</w:t>
            </w:r>
            <w:r>
              <w:rPr>
                <w:rFonts w:hint="eastAsia" w:eastAsiaTheme="minorEastAsia"/>
                <w:color w:val="000000" w:themeColor="text1"/>
                <w:szCs w:val="24"/>
              </w:rPr>
              <w:t>或罐装</w:t>
            </w:r>
            <w:r>
              <w:rPr>
                <w:rFonts w:eastAsiaTheme="minorEastAsia"/>
                <w:color w:val="000000" w:themeColor="text1"/>
                <w:szCs w:val="24"/>
              </w:rPr>
              <w:t>，使用过程会产生废包装材料，预计废包装材料产生量约为</w:t>
            </w:r>
            <w:r>
              <w:rPr>
                <w:rFonts w:hint="eastAsia" w:eastAsiaTheme="minorEastAsia"/>
                <w:color w:val="000000" w:themeColor="text1"/>
                <w:szCs w:val="24"/>
              </w:rPr>
              <w:t>1.5</w:t>
            </w:r>
            <w:r>
              <w:rPr>
                <w:rFonts w:eastAsiaTheme="minorEastAsia"/>
                <w:color w:val="000000" w:themeColor="text1"/>
                <w:szCs w:val="24"/>
              </w:rPr>
              <w:t>t/a。收集后定时外售相关回收单位处理</w:t>
            </w:r>
            <w:r>
              <w:rPr>
                <w:rFonts w:hint="eastAsia" w:eastAsiaTheme="minorEastAsia"/>
                <w:color w:val="000000" w:themeColor="text1"/>
                <w:szCs w:val="24"/>
              </w:rPr>
              <w:t>；</w:t>
            </w:r>
            <w:r>
              <w:rPr>
                <w:rFonts w:eastAsiaTheme="minorEastAsia"/>
                <w:color w:val="000000" w:themeColor="text1"/>
                <w:szCs w:val="24"/>
              </w:rPr>
              <w:t>处置率为100%</w:t>
            </w:r>
            <w:r>
              <w:rPr>
                <w:rFonts w:hint="eastAsia" w:eastAsiaTheme="minorEastAsia"/>
                <w:color w:val="000000" w:themeColor="text1"/>
                <w:szCs w:val="24"/>
              </w:rPr>
              <w:t>。</w:t>
            </w:r>
          </w:p>
          <w:p>
            <w:pPr>
              <w:pStyle w:val="40"/>
              <w:ind w:firstLine="482"/>
              <w:rPr>
                <w:b/>
                <w:color w:val="000000" w:themeColor="text1"/>
              </w:rPr>
            </w:pPr>
            <w:r>
              <w:rPr>
                <w:rFonts w:hint="eastAsia"/>
                <w:b/>
                <w:color w:val="000000" w:themeColor="text1"/>
              </w:rPr>
              <w:t>②收集粉尘</w:t>
            </w:r>
          </w:p>
          <w:p>
            <w:pPr>
              <w:pStyle w:val="40"/>
              <w:ind w:firstLine="480"/>
              <w:rPr>
                <w:rFonts w:eastAsiaTheme="minorEastAsia"/>
                <w:color w:val="000000" w:themeColor="text1"/>
                <w:szCs w:val="24"/>
              </w:rPr>
            </w:pPr>
            <w:r>
              <w:rPr>
                <w:rFonts w:hint="eastAsia" w:eastAsiaTheme="minorEastAsia"/>
                <w:color w:val="000000" w:themeColor="text1"/>
                <w:szCs w:val="24"/>
              </w:rPr>
              <w:t>根据设计，项目</w:t>
            </w:r>
            <w:r>
              <w:rPr>
                <w:rFonts w:eastAsiaTheme="minorEastAsia"/>
                <w:color w:val="000000" w:themeColor="text1"/>
                <w:szCs w:val="24"/>
              </w:rPr>
              <w:t>项目拟</w:t>
            </w:r>
            <w:r>
              <w:rPr>
                <w:rFonts w:hint="eastAsia" w:eastAsiaTheme="minorEastAsia"/>
                <w:color w:val="000000" w:themeColor="text1"/>
                <w:szCs w:val="24"/>
              </w:rPr>
              <w:t>设置</w:t>
            </w:r>
            <w:r>
              <w:rPr>
                <w:rFonts w:eastAsiaTheme="minorEastAsia"/>
                <w:color w:val="000000" w:themeColor="text1"/>
                <w:szCs w:val="24"/>
              </w:rPr>
              <w:t>1台布袋除尘器</w:t>
            </w:r>
            <w:r>
              <w:rPr>
                <w:rFonts w:hint="eastAsia" w:eastAsiaTheme="minorEastAsia"/>
                <w:color w:val="000000" w:themeColor="text1"/>
                <w:szCs w:val="24"/>
              </w:rPr>
              <w:t>对</w:t>
            </w:r>
            <w:r>
              <w:rPr>
                <w:rFonts w:eastAsiaTheme="minorEastAsia"/>
                <w:color w:val="000000" w:themeColor="text1"/>
                <w:szCs w:val="24"/>
              </w:rPr>
              <w:t>造粒</w:t>
            </w:r>
            <w:r>
              <w:rPr>
                <w:rFonts w:hint="eastAsia" w:eastAsiaTheme="minorEastAsia"/>
                <w:color w:val="000000" w:themeColor="text1"/>
                <w:szCs w:val="24"/>
              </w:rPr>
              <w:t>和筛分</w:t>
            </w:r>
            <w:r>
              <w:rPr>
                <w:rFonts w:eastAsiaTheme="minorEastAsia"/>
                <w:color w:val="000000" w:themeColor="text1"/>
                <w:szCs w:val="24"/>
              </w:rPr>
              <w:t>工序</w:t>
            </w:r>
            <w:r>
              <w:rPr>
                <w:rFonts w:hint="eastAsia" w:eastAsiaTheme="minorEastAsia"/>
                <w:color w:val="000000" w:themeColor="text1"/>
                <w:szCs w:val="24"/>
              </w:rPr>
              <w:t>产生的粉尘进行处理，根据“</w:t>
            </w:r>
            <w:r>
              <w:rPr>
                <w:rFonts w:eastAsiaTheme="minorEastAsia"/>
                <w:color w:val="000000" w:themeColor="text1"/>
                <w:szCs w:val="24"/>
              </w:rPr>
              <w:t>废气污染源强核算</w:t>
            </w:r>
            <w:r>
              <w:rPr>
                <w:rFonts w:hint="eastAsia" w:eastAsiaTheme="minorEastAsia"/>
                <w:color w:val="000000" w:themeColor="text1"/>
                <w:szCs w:val="24"/>
              </w:rPr>
              <w:t>”可知，收集粉尘量为71.1t/a；收集粉尘可直接返回</w:t>
            </w:r>
            <w:r>
              <w:rPr>
                <w:rFonts w:eastAsiaTheme="minorEastAsia"/>
                <w:color w:val="000000" w:themeColor="text1"/>
                <w:szCs w:val="24"/>
              </w:rPr>
              <w:t>大量元素固体</w:t>
            </w:r>
            <w:r>
              <w:rPr>
                <w:rFonts w:hint="eastAsia" w:eastAsiaTheme="minorEastAsia"/>
                <w:color w:val="000000" w:themeColor="text1"/>
                <w:szCs w:val="24"/>
              </w:rPr>
              <w:t>（颗粒）</w:t>
            </w:r>
            <w:r>
              <w:rPr>
                <w:rFonts w:eastAsiaTheme="minorEastAsia"/>
                <w:color w:val="000000" w:themeColor="text1"/>
                <w:szCs w:val="24"/>
              </w:rPr>
              <w:t>水溶肥</w:t>
            </w:r>
            <w:r>
              <w:rPr>
                <w:rFonts w:hint="eastAsia" w:eastAsiaTheme="minorEastAsia"/>
                <w:color w:val="000000" w:themeColor="text1"/>
                <w:szCs w:val="24"/>
              </w:rPr>
              <w:t>生产线造粒工序作为原料利用，处置率为100%。</w:t>
            </w:r>
          </w:p>
          <w:p>
            <w:pPr>
              <w:pStyle w:val="40"/>
              <w:ind w:firstLine="482"/>
              <w:rPr>
                <w:color w:val="000000" w:themeColor="text1"/>
                <w:szCs w:val="24"/>
              </w:rPr>
            </w:pPr>
            <w:r>
              <w:rPr>
                <w:rFonts w:hint="eastAsia"/>
                <w:b/>
                <w:color w:val="000000" w:themeColor="text1"/>
              </w:rPr>
              <w:t>③</w:t>
            </w:r>
            <w:r>
              <w:rPr>
                <w:b/>
                <w:color w:val="000000" w:themeColor="text1"/>
              </w:rPr>
              <w:t>废机油及废弃沾油抹布</w:t>
            </w:r>
          </w:p>
          <w:p>
            <w:pPr>
              <w:pStyle w:val="40"/>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2"/>
              <w:gridCol w:w="863"/>
              <w:gridCol w:w="1052"/>
              <w:gridCol w:w="301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项目危废</w:t>
                  </w:r>
                </w:p>
              </w:tc>
              <w:tc>
                <w:tcPr>
                  <w:tcW w:w="1302" w:type="dxa"/>
                  <w:vAlign w:val="center"/>
                </w:tcPr>
                <w:p>
                  <w:pPr>
                    <w:pStyle w:val="32"/>
                    <w:spacing w:line="360" w:lineRule="exact"/>
                    <w:rPr>
                      <w:color w:val="000000" w:themeColor="text1"/>
                      <w:szCs w:val="21"/>
                    </w:rPr>
                  </w:pPr>
                  <w:r>
                    <w:rPr>
                      <w:color w:val="000000" w:themeColor="text1"/>
                      <w:szCs w:val="21"/>
                    </w:rPr>
                    <w:t>废物类别</w:t>
                  </w:r>
                </w:p>
              </w:tc>
              <w:tc>
                <w:tcPr>
                  <w:tcW w:w="863" w:type="dxa"/>
                  <w:vAlign w:val="center"/>
                </w:tcPr>
                <w:p>
                  <w:pPr>
                    <w:pStyle w:val="32"/>
                    <w:spacing w:line="360" w:lineRule="exact"/>
                    <w:rPr>
                      <w:color w:val="000000" w:themeColor="text1"/>
                      <w:szCs w:val="21"/>
                    </w:rPr>
                  </w:pPr>
                  <w:r>
                    <w:rPr>
                      <w:color w:val="000000" w:themeColor="text1"/>
                      <w:szCs w:val="21"/>
                    </w:rPr>
                    <w:t>行业来源</w:t>
                  </w:r>
                </w:p>
              </w:tc>
              <w:tc>
                <w:tcPr>
                  <w:tcW w:w="1052" w:type="dxa"/>
                  <w:vAlign w:val="center"/>
                </w:tcPr>
                <w:p>
                  <w:pPr>
                    <w:pStyle w:val="32"/>
                    <w:spacing w:line="360" w:lineRule="exact"/>
                    <w:rPr>
                      <w:color w:val="000000" w:themeColor="text1"/>
                      <w:szCs w:val="21"/>
                    </w:rPr>
                  </w:pPr>
                  <w:r>
                    <w:rPr>
                      <w:color w:val="000000" w:themeColor="text1"/>
                      <w:szCs w:val="21"/>
                    </w:rPr>
                    <w:t>废物代码</w:t>
                  </w:r>
                </w:p>
              </w:tc>
              <w:tc>
                <w:tcPr>
                  <w:tcW w:w="3011" w:type="dxa"/>
                  <w:vAlign w:val="center"/>
                </w:tcPr>
                <w:p>
                  <w:pPr>
                    <w:pStyle w:val="32"/>
                    <w:spacing w:line="360" w:lineRule="exact"/>
                    <w:rPr>
                      <w:color w:val="000000" w:themeColor="text1"/>
                      <w:szCs w:val="21"/>
                    </w:rPr>
                  </w:pPr>
                  <w:r>
                    <w:rPr>
                      <w:color w:val="000000" w:themeColor="text1"/>
                      <w:szCs w:val="21"/>
                    </w:rPr>
                    <w:t>危险废物</w:t>
                  </w:r>
                </w:p>
              </w:tc>
              <w:tc>
                <w:tcPr>
                  <w:tcW w:w="1033" w:type="dxa"/>
                  <w:vAlign w:val="center"/>
                </w:tcPr>
                <w:p>
                  <w:pPr>
                    <w:pStyle w:val="32"/>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废机油</w:t>
                  </w:r>
                </w:p>
              </w:tc>
              <w:tc>
                <w:tcPr>
                  <w:tcW w:w="1302" w:type="dxa"/>
                  <w:vAlign w:val="center"/>
                </w:tcPr>
                <w:p>
                  <w:pPr>
                    <w:pStyle w:val="32"/>
                    <w:spacing w:line="360" w:lineRule="exact"/>
                    <w:rPr>
                      <w:color w:val="000000" w:themeColor="text1"/>
                      <w:szCs w:val="21"/>
                    </w:rPr>
                  </w:pPr>
                  <w:r>
                    <w:rPr>
                      <w:color w:val="000000" w:themeColor="text1"/>
                      <w:szCs w:val="21"/>
                    </w:rPr>
                    <w:t>HW08废矿物油与含矿物油废物</w:t>
                  </w:r>
                </w:p>
              </w:tc>
              <w:tc>
                <w:tcPr>
                  <w:tcW w:w="863" w:type="dxa"/>
                  <w:vAlign w:val="center"/>
                </w:tcPr>
                <w:p>
                  <w:pPr>
                    <w:pStyle w:val="32"/>
                    <w:spacing w:line="360" w:lineRule="exact"/>
                    <w:rPr>
                      <w:color w:val="000000" w:themeColor="text1"/>
                      <w:szCs w:val="21"/>
                    </w:rPr>
                  </w:pPr>
                  <w:r>
                    <w:rPr>
                      <w:color w:val="000000" w:themeColor="text1"/>
                      <w:szCs w:val="21"/>
                    </w:rPr>
                    <w:t>非特定行业</w:t>
                  </w:r>
                </w:p>
              </w:tc>
              <w:tc>
                <w:tcPr>
                  <w:tcW w:w="1052" w:type="dxa"/>
                  <w:vAlign w:val="center"/>
                </w:tcPr>
                <w:p>
                  <w:pPr>
                    <w:pStyle w:val="32"/>
                    <w:spacing w:line="360" w:lineRule="exact"/>
                    <w:rPr>
                      <w:color w:val="000000" w:themeColor="text1"/>
                      <w:szCs w:val="21"/>
                    </w:rPr>
                  </w:pPr>
                  <w:r>
                    <w:rPr>
                      <w:color w:val="000000" w:themeColor="text1"/>
                      <w:szCs w:val="21"/>
                    </w:rPr>
                    <w:t>900-214-08</w:t>
                  </w:r>
                </w:p>
              </w:tc>
              <w:tc>
                <w:tcPr>
                  <w:tcW w:w="3011" w:type="dxa"/>
                  <w:vAlign w:val="center"/>
                </w:tcPr>
                <w:p>
                  <w:pPr>
                    <w:pStyle w:val="32"/>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3" w:type="dxa"/>
                  <w:vAlign w:val="center"/>
                </w:tcPr>
                <w:p>
                  <w:pPr>
                    <w:pStyle w:val="32"/>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沾油的抹布</w:t>
                  </w:r>
                </w:p>
              </w:tc>
              <w:tc>
                <w:tcPr>
                  <w:tcW w:w="1302" w:type="dxa"/>
                  <w:vAlign w:val="center"/>
                </w:tcPr>
                <w:p>
                  <w:pPr>
                    <w:pStyle w:val="32"/>
                    <w:spacing w:line="360" w:lineRule="exact"/>
                    <w:rPr>
                      <w:color w:val="000000" w:themeColor="text1"/>
                      <w:szCs w:val="21"/>
                    </w:rPr>
                  </w:pPr>
                  <w:r>
                    <w:rPr>
                      <w:color w:val="000000" w:themeColor="text1"/>
                      <w:szCs w:val="21"/>
                    </w:rPr>
                    <w:t>HW49其他废物</w:t>
                  </w:r>
                </w:p>
              </w:tc>
              <w:tc>
                <w:tcPr>
                  <w:tcW w:w="863" w:type="dxa"/>
                  <w:vAlign w:val="center"/>
                </w:tcPr>
                <w:p>
                  <w:pPr>
                    <w:pStyle w:val="32"/>
                    <w:spacing w:line="360" w:lineRule="exact"/>
                    <w:rPr>
                      <w:color w:val="000000" w:themeColor="text1"/>
                      <w:szCs w:val="21"/>
                    </w:rPr>
                  </w:pPr>
                  <w:r>
                    <w:rPr>
                      <w:color w:val="000000" w:themeColor="text1"/>
                      <w:szCs w:val="21"/>
                    </w:rPr>
                    <w:t>非特定行业</w:t>
                  </w:r>
                </w:p>
              </w:tc>
              <w:tc>
                <w:tcPr>
                  <w:tcW w:w="1052" w:type="dxa"/>
                  <w:vAlign w:val="center"/>
                </w:tcPr>
                <w:p>
                  <w:pPr>
                    <w:pStyle w:val="32"/>
                    <w:spacing w:line="360" w:lineRule="exact"/>
                    <w:rPr>
                      <w:color w:val="000000" w:themeColor="text1"/>
                      <w:szCs w:val="21"/>
                    </w:rPr>
                  </w:pPr>
                  <w:r>
                    <w:rPr>
                      <w:color w:val="000000" w:themeColor="text1"/>
                      <w:szCs w:val="21"/>
                    </w:rPr>
                    <w:t>900-041-49</w:t>
                  </w:r>
                </w:p>
              </w:tc>
              <w:tc>
                <w:tcPr>
                  <w:tcW w:w="3011" w:type="dxa"/>
                  <w:vAlign w:val="center"/>
                </w:tcPr>
                <w:p>
                  <w:pPr>
                    <w:pStyle w:val="32"/>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1033" w:type="dxa"/>
                  <w:vAlign w:val="center"/>
                </w:tcPr>
                <w:p>
                  <w:pPr>
                    <w:pStyle w:val="32"/>
                    <w:spacing w:line="360" w:lineRule="exact"/>
                    <w:rPr>
                      <w:color w:val="000000" w:themeColor="text1"/>
                      <w:szCs w:val="21"/>
                    </w:rPr>
                  </w:pPr>
                  <w:r>
                    <w:rPr>
                      <w:color w:val="000000" w:themeColor="text1"/>
                      <w:szCs w:val="21"/>
                    </w:rPr>
                    <w:t>T/In</w:t>
                  </w:r>
                </w:p>
              </w:tc>
            </w:tr>
          </w:tbl>
          <w:p>
            <w:pPr>
              <w:pStyle w:val="40"/>
              <w:ind w:firstLine="480"/>
              <w:rPr>
                <w:rFonts w:eastAsiaTheme="minorEastAsia"/>
                <w:color w:val="000000" w:themeColor="text1"/>
                <w:szCs w:val="24"/>
              </w:rPr>
            </w:pPr>
            <w:r>
              <w:rPr>
                <w:rFonts w:eastAsiaTheme="minorEastAsia"/>
                <w:color w:val="000000" w:themeColor="text1"/>
                <w:szCs w:val="24"/>
              </w:rPr>
              <w:t>根据设计，项目区每年废机油产生量约为80kg，废弃沾油抹布产生量为10kg。针对项目产生的废机油</w:t>
            </w:r>
            <w:r>
              <w:rPr>
                <w:rFonts w:hint="eastAsia" w:eastAsiaTheme="minorEastAsia"/>
                <w:color w:val="000000" w:themeColor="text1"/>
                <w:szCs w:val="24"/>
              </w:rPr>
              <w:t>和</w:t>
            </w:r>
            <w:r>
              <w:rPr>
                <w:rFonts w:eastAsiaTheme="minorEastAsia"/>
                <w:color w:val="000000" w:themeColor="text1"/>
                <w:szCs w:val="24"/>
              </w:rPr>
              <w:t>沾油的抹布，厂区拟建设了1个5m²的危险废物贮存间对项目区危险废物进行分类暂存。委托有资质的单位处置，处置率为100%。</w:t>
            </w:r>
          </w:p>
          <w:p>
            <w:pPr>
              <w:pStyle w:val="40"/>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生活垃圾</w:t>
            </w:r>
          </w:p>
          <w:p>
            <w:pPr>
              <w:pStyle w:val="40"/>
              <w:ind w:firstLine="480"/>
              <w:rPr>
                <w:rFonts w:eastAsiaTheme="minorEastAsia"/>
                <w:color w:val="000000" w:themeColor="text1"/>
                <w:szCs w:val="24"/>
              </w:rPr>
            </w:pPr>
            <w:r>
              <w:rPr>
                <w:rFonts w:eastAsiaTheme="minorEastAsia"/>
                <w:color w:val="000000" w:themeColor="text1"/>
                <w:szCs w:val="24"/>
              </w:rPr>
              <w:t>根据项目特点可知，本项目拟定员工</w:t>
            </w:r>
            <w:r>
              <w:rPr>
                <w:rFonts w:hint="eastAsia" w:eastAsiaTheme="minorEastAsia"/>
                <w:color w:val="000000" w:themeColor="text1"/>
                <w:szCs w:val="24"/>
              </w:rPr>
              <w:t>10</w:t>
            </w:r>
            <w:r>
              <w:rPr>
                <w:rFonts w:eastAsiaTheme="minorEastAsia"/>
                <w:color w:val="000000" w:themeColor="text1"/>
                <w:szCs w:val="24"/>
              </w:rPr>
              <w:t>人，生活产生量按1kg/（人·d）计，则生活垃圾产生量为</w:t>
            </w:r>
            <w:r>
              <w:rPr>
                <w:rFonts w:hint="eastAsia" w:eastAsiaTheme="minorEastAsia"/>
                <w:color w:val="000000" w:themeColor="text1"/>
                <w:szCs w:val="24"/>
              </w:rPr>
              <w:t>10kg/d</w:t>
            </w:r>
            <w:r>
              <w:rPr>
                <w:rFonts w:eastAsiaTheme="minorEastAsia"/>
                <w:color w:val="000000" w:themeColor="text1"/>
                <w:szCs w:val="24"/>
              </w:rPr>
              <w:t>（</w:t>
            </w:r>
            <w:r>
              <w:rPr>
                <w:rFonts w:hint="eastAsia" w:eastAsiaTheme="minorEastAsia"/>
                <w:color w:val="000000" w:themeColor="text1"/>
                <w:szCs w:val="24"/>
              </w:rPr>
              <w:t>3.0t/a</w:t>
            </w:r>
            <w:r>
              <w:rPr>
                <w:rFonts w:eastAsiaTheme="minorEastAsia"/>
                <w:color w:val="000000" w:themeColor="text1"/>
                <w:szCs w:val="24"/>
              </w:rPr>
              <w:t>）。生活垃圾集中收集后，委托环卫部门定期清运处置，处置率为100%。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0"/>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2</w:t>
            </w:r>
            <w:r>
              <w:rPr>
                <w:rFonts w:hAnsi="Times New Roman" w:eastAsiaTheme="minorEastAsia"/>
                <w:color w:val="000000" w:themeColor="text1"/>
                <w:sz w:val="21"/>
                <w:szCs w:val="21"/>
              </w:rPr>
              <w:t xml:space="preserve">  固体废物环境影响和保护措施分析一览表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3"/>
              <w:gridCol w:w="777"/>
              <w:gridCol w:w="974"/>
              <w:gridCol w:w="838"/>
              <w:gridCol w:w="909"/>
              <w:gridCol w:w="1759"/>
              <w:gridCol w:w="1743"/>
              <w:gridCol w:w="9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序号</w:t>
                  </w:r>
                </w:p>
              </w:tc>
              <w:tc>
                <w:tcPr>
                  <w:tcW w:w="77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产生环节</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17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贮存方式</w:t>
                  </w:r>
                </w:p>
              </w:tc>
              <w:tc>
                <w:tcPr>
                  <w:tcW w:w="174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w:t>
                  </w:r>
                </w:p>
              </w:tc>
              <w:tc>
                <w:tcPr>
                  <w:tcW w:w="777"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原料堆存区</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废包装材料</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在原料堆存区临时暂存。</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收集后定时外售相关回收单位处理。</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p>
              </w:tc>
              <w:tc>
                <w:tcPr>
                  <w:tcW w:w="777"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布袋除尘器</w:t>
                  </w:r>
                </w:p>
              </w:tc>
              <w:tc>
                <w:tcPr>
                  <w:tcW w:w="97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收集粉尘</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9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直接利用，</w:t>
                  </w:r>
                  <w:r>
                    <w:rPr>
                      <w:rFonts w:eastAsiaTheme="minorEastAsia"/>
                      <w:color w:val="000000" w:themeColor="text1"/>
                      <w:szCs w:val="21"/>
                    </w:rPr>
                    <w:t>不贮存</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直接返回</w:t>
                  </w:r>
                  <w:r>
                    <w:rPr>
                      <w:rFonts w:eastAsiaTheme="minorEastAsia"/>
                      <w:color w:val="000000" w:themeColor="text1"/>
                      <w:szCs w:val="21"/>
                    </w:rPr>
                    <w:t>大量元素固体</w:t>
                  </w:r>
                  <w:r>
                    <w:rPr>
                      <w:rFonts w:hint="eastAsia" w:eastAsiaTheme="minorEastAsia"/>
                      <w:color w:val="000000" w:themeColor="text1"/>
                      <w:szCs w:val="21"/>
                    </w:rPr>
                    <w:t>（颗粒）</w:t>
                  </w:r>
                  <w:r>
                    <w:rPr>
                      <w:rFonts w:eastAsiaTheme="minorEastAsia"/>
                      <w:color w:val="000000" w:themeColor="text1"/>
                      <w:szCs w:val="21"/>
                    </w:rPr>
                    <w:t>水溶肥</w:t>
                  </w:r>
                  <w:r>
                    <w:rPr>
                      <w:rFonts w:hint="eastAsia" w:eastAsiaTheme="minorEastAsia"/>
                      <w:color w:val="000000" w:themeColor="text1"/>
                      <w:szCs w:val="21"/>
                    </w:rPr>
                    <w:t>生产线造粒工序作为原料利用。</w:t>
                  </w:r>
                </w:p>
              </w:tc>
              <w:tc>
                <w:tcPr>
                  <w:tcW w:w="9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trPr>
              <w:tc>
                <w:tcPr>
                  <w:tcW w:w="633"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777"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设备维护</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83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759"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厂区拟建设了1个5m²的危险废物贮存间对项目区危险废物进行分类暂存。</w:t>
                  </w:r>
                </w:p>
              </w:tc>
              <w:tc>
                <w:tcPr>
                  <w:tcW w:w="174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委托有资质的单位处置。</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2"/>
                    <w:spacing w:line="360" w:lineRule="exact"/>
                    <w:rPr>
                      <w:rFonts w:eastAsiaTheme="minorEastAsia"/>
                      <w:color w:val="000000" w:themeColor="text1"/>
                      <w:szCs w:val="21"/>
                    </w:rPr>
                  </w:pPr>
                </w:p>
              </w:tc>
              <w:tc>
                <w:tcPr>
                  <w:tcW w:w="777" w:type="dxa"/>
                  <w:vMerge w:val="continue"/>
                  <w:vAlign w:val="center"/>
                </w:tcPr>
                <w:p>
                  <w:pPr>
                    <w:pStyle w:val="32"/>
                    <w:spacing w:line="360" w:lineRule="exact"/>
                    <w:rPr>
                      <w:rFonts w:eastAsiaTheme="minorEastAsia"/>
                      <w:color w:val="000000" w:themeColor="text1"/>
                      <w:szCs w:val="21"/>
                    </w:rPr>
                  </w:pP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38" w:type="dxa"/>
                  <w:vMerge w:val="continue"/>
                  <w:vAlign w:val="center"/>
                </w:tcPr>
                <w:p>
                  <w:pPr>
                    <w:pStyle w:val="32"/>
                    <w:spacing w:line="360" w:lineRule="exact"/>
                    <w:rPr>
                      <w:rFonts w:eastAsiaTheme="minorEastAsia"/>
                      <w:color w:val="000000" w:themeColor="text1"/>
                      <w:szCs w:val="21"/>
                    </w:rPr>
                  </w:pP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759"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4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w:t>
                  </w:r>
                </w:p>
              </w:tc>
              <w:tc>
                <w:tcPr>
                  <w:tcW w:w="77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生活固废</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3.0t/a</w:t>
                  </w:r>
                </w:p>
              </w:tc>
            </w:tr>
          </w:tbl>
          <w:p>
            <w:pPr>
              <w:pStyle w:val="40"/>
              <w:spacing w:beforeLines="50"/>
              <w:ind w:firstLine="480"/>
              <w:rPr>
                <w:color w:val="000000" w:themeColor="text1"/>
                <w:szCs w:val="24"/>
              </w:rPr>
            </w:pPr>
            <w:r>
              <w:rPr>
                <w:color w:val="000000" w:themeColor="text1"/>
                <w:szCs w:val="24"/>
              </w:rPr>
              <w:t>由上表可知，项目针对固废废物采取的保护措施具体实施如下：</w:t>
            </w:r>
          </w:p>
          <w:p>
            <w:pPr>
              <w:pStyle w:val="40"/>
              <w:ind w:firstLine="480"/>
              <w:rPr>
                <w:color w:val="000000" w:themeColor="text1"/>
                <w:szCs w:val="24"/>
              </w:rPr>
            </w:pPr>
            <w:r>
              <w:rPr>
                <w:color w:val="000000" w:themeColor="text1"/>
                <w:szCs w:val="24"/>
              </w:rPr>
              <w:t>①项目产生的废包装材料、收集粉尘</w:t>
            </w:r>
            <w:r>
              <w:rPr>
                <w:rFonts w:hint="eastAsia"/>
                <w:color w:val="000000" w:themeColor="text1"/>
                <w:szCs w:val="24"/>
              </w:rPr>
              <w:t>等一般工业固废均可得到合理处置。</w:t>
            </w:r>
          </w:p>
          <w:p>
            <w:pPr>
              <w:pStyle w:val="40"/>
              <w:ind w:firstLine="480"/>
              <w:rPr>
                <w:color w:val="000000" w:themeColor="text1"/>
                <w:szCs w:val="24"/>
              </w:rPr>
            </w:pPr>
            <w:r>
              <w:rPr>
                <w:rFonts w:hint="eastAsia"/>
                <w:color w:val="000000" w:themeColor="text1"/>
                <w:szCs w:val="24"/>
              </w:rPr>
              <w:t>②</w:t>
            </w:r>
            <w:r>
              <w:rPr>
                <w:color w:val="000000" w:themeColor="text1"/>
                <w:szCs w:val="24"/>
              </w:rPr>
              <w:t>针对项目产生的</w:t>
            </w:r>
            <w:r>
              <w:rPr>
                <w:rFonts w:hint="eastAsia"/>
                <w:color w:val="000000" w:themeColor="text1"/>
                <w:szCs w:val="24"/>
              </w:rPr>
              <w:t>废机油和废弃沾油抹布</w:t>
            </w:r>
            <w:r>
              <w:rPr>
                <w:color w:val="000000" w:themeColor="text1"/>
                <w:szCs w:val="24"/>
              </w:rPr>
              <w:t>，厂区拟建设了1个5m²的危险废物贮存间对项目区危险废物进行分类暂存。委托有资质的单位处置，要求项目危险废物贮存间严格进行地面和裙墙防腐防渗，内部设置导流渠和收集池，规范设置标识标牌等。</w:t>
            </w:r>
          </w:p>
          <w:p>
            <w:pPr>
              <w:pStyle w:val="40"/>
              <w:ind w:firstLine="480"/>
              <w:rPr>
                <w:color w:val="000000" w:themeColor="text1"/>
                <w:szCs w:val="24"/>
              </w:rPr>
            </w:pPr>
            <w:r>
              <w:rPr>
                <w:color w:val="000000" w:themeColor="text1"/>
                <w:szCs w:val="24"/>
              </w:rPr>
              <w:t>③生活垃圾委托环卫部门定期清运处置。</w:t>
            </w:r>
          </w:p>
          <w:p>
            <w:pPr>
              <w:pStyle w:val="40"/>
              <w:ind w:firstLine="480"/>
              <w:rPr>
                <w:color w:val="000000" w:themeColor="text1"/>
                <w:szCs w:val="24"/>
              </w:rPr>
            </w:pPr>
            <w:r>
              <w:rPr>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）环境管理要求</w:t>
            </w:r>
          </w:p>
          <w:p>
            <w:pPr>
              <w:pStyle w:val="40"/>
              <w:ind w:firstLine="482"/>
              <w:rPr>
                <w:rFonts w:eastAsiaTheme="minorEastAsia"/>
                <w:b/>
                <w:color w:val="000000" w:themeColor="text1"/>
                <w:szCs w:val="24"/>
              </w:rPr>
            </w:pPr>
            <w:r>
              <w:rPr>
                <w:b/>
                <w:color w:val="000000" w:themeColor="text1"/>
                <w:szCs w:val="24"/>
              </w:rPr>
              <w:t>①</w:t>
            </w:r>
            <w:r>
              <w:rPr>
                <w:rFonts w:eastAsiaTheme="minorEastAsia"/>
                <w:b/>
                <w:color w:val="000000" w:themeColor="text1"/>
                <w:szCs w:val="24"/>
              </w:rPr>
              <w:t>危险废物管理要求</w:t>
            </w:r>
          </w:p>
          <w:p>
            <w:pPr>
              <w:pStyle w:val="40"/>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项目危险废物管理要求一览表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705"/>
              <w:gridCol w:w="7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序号</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环节</w:t>
                  </w:r>
                </w:p>
              </w:tc>
              <w:tc>
                <w:tcPr>
                  <w:tcW w:w="7275" w:type="dxa"/>
                  <w:vAlign w:val="center"/>
                </w:tcPr>
                <w:p>
                  <w:pPr>
                    <w:pStyle w:val="32"/>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1</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收集过程</w:t>
                  </w:r>
                </w:p>
              </w:tc>
              <w:tc>
                <w:tcPr>
                  <w:tcW w:w="7275"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2</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贮存过程</w:t>
                  </w:r>
                </w:p>
              </w:tc>
              <w:tc>
                <w:tcPr>
                  <w:tcW w:w="7275" w:type="dxa"/>
                  <w:vAlign w:val="center"/>
                </w:tcPr>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①要做好危险废物贮存间的防渗、防泄漏工作。</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②危险废物堆场必须封顶，并做好防雨工作，场内须做好防渗措施。</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③危险废物需用符合标准的容器盛装，容器上需粘贴符合《危险废物贮存污染控制标准》（GB18597-2001）附录A所示的标签。</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④危险废物贮存间必须按GB15562.2《环境保护图形标志—固体废物贮存（处置）场》的规定设置警示标志。</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⑤装载危险废物的容器要满足相应的强度要求，必须完好无损。</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⑥盛装危险废物的容器材质和衬里要与危险废物性质相容（不相互反应）。</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⑦盛装危险废物容器都应有防漏裙脚或储漏盘，防漏裙脚或储漏盘的材料要与危险废物相容。</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3</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委托转移</w:t>
                  </w:r>
                </w:p>
              </w:tc>
              <w:tc>
                <w:tcPr>
                  <w:tcW w:w="7275" w:type="dxa"/>
                  <w:vAlign w:val="center"/>
                </w:tcPr>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4</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危险废物贮存间的建设及管理</w:t>
                  </w:r>
                </w:p>
              </w:tc>
              <w:tc>
                <w:tcPr>
                  <w:tcW w:w="7275" w:type="dxa"/>
                  <w:vAlign w:val="center"/>
                </w:tcPr>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①危险废物贮存间必须要密闭建设，门口内侧设立围堰，地面应做好硬化及“三防”措施；</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②危险废物贮存间门口需张贴标准规范的危险废物标识和危险信息版，屋内张贴企业《危险废物管理制度》；</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③危险废物贮存间需按照“双人双锁”制度管理；</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⑤建立台账并悬挂于危险废物贮存间内；</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⑥危险废物贮存间内禁止存放除危险废物及应急工具及其他物品；</w:t>
                  </w:r>
                </w:p>
              </w:tc>
            </w:tr>
          </w:tbl>
          <w:p>
            <w:pPr>
              <w:pStyle w:val="40"/>
              <w:spacing w:beforeLines="50"/>
              <w:ind w:firstLine="482"/>
              <w:rPr>
                <w:rFonts w:eastAsiaTheme="minorEastAsia"/>
                <w:b/>
                <w:color w:val="000000" w:themeColor="text1"/>
                <w:szCs w:val="24"/>
              </w:rPr>
            </w:pPr>
            <w:bookmarkStart w:id="11" w:name="_Toc484976361"/>
            <w:r>
              <w:rPr>
                <w:b/>
                <w:color w:val="000000" w:themeColor="text1"/>
                <w:szCs w:val="24"/>
              </w:rPr>
              <w:t>②</w:t>
            </w:r>
            <w:r>
              <w:rPr>
                <w:rFonts w:eastAsiaTheme="minorEastAsia"/>
                <w:b/>
                <w:color w:val="000000" w:themeColor="text1"/>
                <w:szCs w:val="24"/>
              </w:rPr>
              <w:t>生活垃圾管理要求</w:t>
            </w:r>
          </w:p>
          <w:p>
            <w:pPr>
              <w:pStyle w:val="40"/>
              <w:ind w:firstLine="480"/>
              <w:rPr>
                <w:color w:val="000000" w:themeColor="text1"/>
                <w:szCs w:val="24"/>
              </w:rPr>
            </w:pPr>
            <w:r>
              <w:rPr>
                <w:color w:val="000000" w:themeColor="text1"/>
                <w:szCs w:val="24"/>
              </w:rPr>
              <w:t>项目产生的生活垃圾应做到日产日清。</w:t>
            </w:r>
          </w:p>
          <w:bookmarkEnd w:id="11"/>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40"/>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污染物从污染源进入地下水、土壤所经过的路径称为地下水、土壤污染途径，地下水、土壤污染途径是多种多样的。根据项目的特点，本项目可能对地下水、土壤造成污染的途径主要有：</w:t>
            </w:r>
            <w:r>
              <w:rPr>
                <w:rFonts w:hint="eastAsia"/>
                <w:color w:val="000000" w:themeColor="text1"/>
                <w:szCs w:val="24"/>
              </w:rPr>
              <w:t>液体原料及肥料、</w:t>
            </w:r>
            <w:r>
              <w:rPr>
                <w:color w:val="000000" w:themeColor="text1"/>
                <w:szCs w:val="24"/>
              </w:rPr>
              <w:t>废机油等在地面防渗层发生破损的情况下会发生渗漏，对地下水、土壤造成污染，其污染物类型包括</w:t>
            </w:r>
            <w:r>
              <w:rPr>
                <w:rFonts w:hint="eastAsia"/>
                <w:color w:val="000000" w:themeColor="text1"/>
                <w:szCs w:val="24"/>
              </w:rPr>
              <w:t>磷、氨、钾和</w:t>
            </w:r>
            <w:r>
              <w:rPr>
                <w:color w:val="000000" w:themeColor="text1"/>
                <w:szCs w:val="24"/>
              </w:rPr>
              <w:t>石油类</w:t>
            </w:r>
            <w:r>
              <w:rPr>
                <w:rFonts w:hint="eastAsia"/>
                <w:color w:val="000000" w:themeColor="text1"/>
                <w:szCs w:val="24"/>
              </w:rPr>
              <w:t>等因子</w:t>
            </w:r>
            <w:r>
              <w:rPr>
                <w:color w:val="000000" w:themeColor="text1"/>
                <w:szCs w:val="24"/>
              </w:rPr>
              <w:t>。</w:t>
            </w:r>
          </w:p>
          <w:p>
            <w:pPr>
              <w:pStyle w:val="40"/>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40"/>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污染物从污染源进入地下水所经过的路径称为地下水污染途径，地下水污染途径是多种多样的。根据项目的特点，本项目可能对地下水、土壤造成污染的途径主要有：</w:t>
            </w:r>
            <w:r>
              <w:rPr>
                <w:rFonts w:hint="eastAsia"/>
                <w:color w:val="000000" w:themeColor="text1"/>
                <w:szCs w:val="24"/>
              </w:rPr>
              <w:t>液体原料及肥料、</w:t>
            </w:r>
            <w:r>
              <w:rPr>
                <w:color w:val="000000" w:themeColor="text1"/>
                <w:szCs w:val="24"/>
              </w:rPr>
              <w:t>废机油在地面防渗层发生破损的情况下会发生渗漏，对地下水、土壤造成污染。</w:t>
            </w:r>
          </w:p>
          <w:p>
            <w:pPr>
              <w:pStyle w:val="40"/>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40"/>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40"/>
              <w:ind w:firstLine="482"/>
              <w:rPr>
                <w:b/>
                <w:color w:val="000000" w:themeColor="text1"/>
                <w:szCs w:val="24"/>
              </w:rPr>
            </w:pPr>
            <w:r>
              <w:rPr>
                <w:b/>
                <w:color w:val="000000" w:themeColor="text1"/>
                <w:szCs w:val="24"/>
              </w:rPr>
              <w:t>①源头控制措施</w:t>
            </w:r>
          </w:p>
          <w:p>
            <w:pPr>
              <w:pStyle w:val="40"/>
              <w:ind w:firstLine="480"/>
              <w:rPr>
                <w:color w:val="000000" w:themeColor="text1"/>
                <w:szCs w:val="24"/>
              </w:rPr>
            </w:pPr>
            <w:r>
              <w:rPr>
                <w:color w:val="000000" w:themeColor="text1"/>
                <w:szCs w:val="24"/>
              </w:rPr>
              <w:t>严格按照公司制定的规范管理要求进行危险废物的管理。</w:t>
            </w:r>
          </w:p>
          <w:p>
            <w:pPr>
              <w:pStyle w:val="40"/>
              <w:ind w:firstLine="482"/>
              <w:rPr>
                <w:b/>
                <w:color w:val="000000" w:themeColor="text1"/>
                <w:szCs w:val="24"/>
              </w:rPr>
            </w:pPr>
            <w:r>
              <w:rPr>
                <w:b/>
                <w:color w:val="000000" w:themeColor="text1"/>
                <w:szCs w:val="24"/>
              </w:rPr>
              <w:t>②分区控制措施</w:t>
            </w:r>
          </w:p>
          <w:p>
            <w:pPr>
              <w:pStyle w:val="40"/>
              <w:ind w:firstLine="480"/>
              <w:rPr>
                <w:color w:val="000000" w:themeColor="text1"/>
                <w:szCs w:val="24"/>
              </w:rPr>
            </w:pPr>
            <w:r>
              <w:rPr>
                <w:color w:val="000000" w:themeColor="text1"/>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根据分区防渗规范要求，项目生产车间划定为一般防渗区，</w:t>
            </w:r>
            <w:r>
              <w:rPr>
                <w:rFonts w:hint="eastAsia" w:ascii="Times New Roman" w:hAnsi="Times New Roman" w:cs="Times New Roman"/>
                <w:color w:val="000000" w:themeColor="text1"/>
                <w:sz w:val="24"/>
                <w:szCs w:val="24"/>
              </w:rPr>
              <w:t>根据调查，项目</w:t>
            </w:r>
            <w:r>
              <w:rPr>
                <w:rFonts w:ascii="Times New Roman" w:hAnsi="Times New Roman" w:cs="Times New Roman"/>
                <w:color w:val="000000" w:themeColor="text1"/>
                <w:sz w:val="24"/>
                <w:szCs w:val="24"/>
              </w:rPr>
              <w:t>一般防渗区措施在地面采取粘土铺底，并在上层铺30cm的混凝土进行硬化。确保防渗性能，使其渗透系数≤1.0×10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①地下水</w:t>
            </w:r>
            <w:r>
              <w:rPr>
                <w:rFonts w:ascii="Times New Roman" w:hAnsi="Times New Roman" w:cs="Times New Roman"/>
                <w:b/>
                <w:color w:val="000000" w:themeColor="text1"/>
                <w:sz w:val="24"/>
                <w:szCs w:val="24"/>
              </w:rPr>
              <w:t>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由于项目地下水影响较小，因此本项目不设置地下水环境影响跟踪监测计划。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②土壤</w:t>
            </w:r>
            <w:r>
              <w:rPr>
                <w:rFonts w:ascii="Times New Roman" w:hAnsi="Times New Roman" w:cs="Times New Roman"/>
                <w:b/>
                <w:color w:val="000000" w:themeColor="text1"/>
                <w:sz w:val="24"/>
                <w:szCs w:val="24"/>
              </w:rPr>
              <w:t>环境影响跟踪监测计划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由于项目50m范围内无土壤环境敏感目标，</w:t>
            </w:r>
            <w:r>
              <w:rPr>
                <w:rFonts w:ascii="Times New Roman" w:hAnsi="Times New Roman" w:cs="Times New Roman"/>
                <w:color w:val="000000" w:themeColor="text1"/>
                <w:sz w:val="24"/>
                <w:szCs w:val="24"/>
              </w:rPr>
              <w:t>因此本项目不设置</w:t>
            </w:r>
            <w:r>
              <w:rPr>
                <w:rFonts w:hint="eastAsia" w:ascii="Times New Roman" w:hAnsi="Times New Roman" w:cs="Times New Roman"/>
                <w:color w:val="000000" w:themeColor="text1"/>
                <w:sz w:val="24"/>
                <w:szCs w:val="24"/>
              </w:rPr>
              <w:t>土壤</w:t>
            </w:r>
            <w:r>
              <w:rPr>
                <w:rFonts w:ascii="Times New Roman" w:hAnsi="Times New Roman" w:cs="Times New Roman"/>
                <w:color w:val="000000" w:themeColor="text1"/>
                <w:sz w:val="24"/>
                <w:szCs w:val="24"/>
              </w:rPr>
              <w:t>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本项目位于云南省东川再就业特区天生桥特色产业园，属于工业园区，且不新增用地，生态环境影响较小。</w:t>
            </w:r>
          </w:p>
          <w:p>
            <w:pPr>
              <w:spacing w:line="360" w:lineRule="auto"/>
              <w:ind w:firstLine="482" w:firstLineChars="200"/>
              <w:rPr>
                <w:rFonts w:hint="eastAsia"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本项目涉及的危险物质包括</w:t>
            </w:r>
            <w:r>
              <w:rPr>
                <w:rFonts w:hint="eastAsia" w:ascii="Times New Roman" w:hAnsi="Times New Roman" w:cs="Times New Roman"/>
                <w:color w:val="000000" w:themeColor="text1"/>
                <w:sz w:val="24"/>
                <w:szCs w:val="24"/>
              </w:rPr>
              <w:t>原料硫酸铵和</w:t>
            </w:r>
            <w:r>
              <w:rPr>
                <w:rFonts w:ascii="Times New Roman" w:hAnsi="Times New Roman" w:cs="Times New Roman"/>
                <w:color w:val="000000" w:themeColor="text1"/>
                <w:sz w:val="24"/>
                <w:szCs w:val="24"/>
              </w:rPr>
              <w:t>暂存的废机油，</w:t>
            </w:r>
            <w:r>
              <w:rPr>
                <w:rFonts w:hint="eastAsia" w:ascii="Times New Roman" w:hAnsi="Times New Roman" w:cs="Times New Roman"/>
                <w:color w:val="000000" w:themeColor="text1"/>
                <w:sz w:val="24"/>
                <w:szCs w:val="24"/>
              </w:rPr>
              <w:t>硫酸铵最大储存量为38.7t</w:t>
            </w:r>
            <w:r>
              <w:rPr>
                <w:rFonts w:ascii="Times New Roman" w:hAnsi="Times New Roman" w:cs="Times New Roman"/>
                <w:color w:val="000000" w:themeColor="text1"/>
                <w:sz w:val="24"/>
                <w:szCs w:val="24"/>
              </w:rPr>
              <w:t>（临界量为</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超过临界量，因此</w:t>
            </w:r>
            <w:r>
              <w:rPr>
                <w:rFonts w:hint="eastAsia" w:ascii="Times New Roman" w:hAnsi="Times New Roman" w:cs="Times New Roman"/>
                <w:color w:val="000000" w:themeColor="text1"/>
                <w:sz w:val="24"/>
                <w:szCs w:val="24"/>
              </w:rPr>
              <w:t>，应</w:t>
            </w:r>
            <w:r>
              <w:rPr>
                <w:rFonts w:ascii="Times New Roman" w:hAnsi="Times New Roman" w:cs="Times New Roman"/>
                <w:color w:val="000000" w:themeColor="text1"/>
                <w:sz w:val="24"/>
                <w:szCs w:val="24"/>
              </w:rPr>
              <w:t>设置环境风险评价等级。</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w:t>
            </w:r>
            <w:r>
              <w:rPr>
                <w:rFonts w:ascii="Times New Roman" w:hAnsi="Times New Roman" w:cs="Times New Roman"/>
                <w:color w:val="000000" w:themeColor="text1"/>
                <w:sz w:val="24"/>
                <w:szCs w:val="24"/>
              </w:rPr>
              <w:t>环境风险</w:t>
            </w:r>
            <w:r>
              <w:rPr>
                <w:rFonts w:hint="eastAsia" w:ascii="Times New Roman" w:hAnsi="Times New Roman" w:cs="Times New Roman"/>
                <w:color w:val="000000" w:themeColor="text1"/>
                <w:sz w:val="24"/>
                <w:szCs w:val="24"/>
              </w:rPr>
              <w:t>专项评价可知，项目</w:t>
            </w:r>
            <w:r>
              <w:rPr>
                <w:rFonts w:ascii="Times New Roman" w:hAnsi="Times New Roman" w:cs="Times New Roman"/>
                <w:color w:val="000000" w:themeColor="text1"/>
                <w:sz w:val="24"/>
                <w:szCs w:val="24"/>
              </w:rPr>
              <w:t>环境风险影响和防治措施</w:t>
            </w:r>
            <w:r>
              <w:rPr>
                <w:rFonts w:hint="eastAsia" w:ascii="Times New Roman" w:hAnsi="Times New Roman" w:cs="Times New Roman"/>
                <w:color w:val="000000" w:themeColor="text1"/>
                <w:sz w:val="24"/>
                <w:szCs w:val="24"/>
              </w:rPr>
              <w:t>如下。</w:t>
            </w:r>
          </w:p>
          <w:p>
            <w:pPr>
              <w:pStyle w:val="40"/>
              <w:ind w:firstLine="361" w:firstLineChars="150"/>
              <w:rPr>
                <w:rFonts w:hint="eastAsia" w:eastAsiaTheme="minorEastAsia"/>
                <w:b/>
                <w:color w:val="000000" w:themeColor="text1"/>
                <w:szCs w:val="24"/>
              </w:rPr>
            </w:pPr>
            <w:r>
              <w:rPr>
                <w:rFonts w:hint="eastAsia" w:eastAsiaTheme="minorEastAsia"/>
                <w:b/>
                <w:color w:val="000000" w:themeColor="text1"/>
                <w:szCs w:val="24"/>
              </w:rPr>
              <w:t>（1）</w:t>
            </w:r>
            <w:r>
              <w:rPr>
                <w:rFonts w:eastAsiaTheme="minorEastAsia"/>
                <w:b/>
                <w:color w:val="000000" w:themeColor="text1"/>
                <w:szCs w:val="24"/>
              </w:rPr>
              <w:t>环境风险影响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该项目运营期环境风险主要为危险物质储存过程中存在火灾、</w:t>
            </w:r>
            <w:r>
              <w:rPr>
                <w:rFonts w:hint="eastAsia" w:ascii="Times New Roman" w:hAnsi="Times New Roman" w:cs="Times New Roman"/>
                <w:color w:val="000000" w:themeColor="text1"/>
                <w:sz w:val="24"/>
                <w:szCs w:val="24"/>
              </w:rPr>
              <w:t>爆炸、泄露</w:t>
            </w:r>
            <w:r>
              <w:rPr>
                <w:rFonts w:ascii="Times New Roman" w:hAnsi="Times New Roman" w:cs="Times New Roman"/>
                <w:color w:val="000000" w:themeColor="text1"/>
                <w:sz w:val="24"/>
                <w:szCs w:val="24"/>
              </w:rPr>
              <w:t>和劳动职业安全卫生的风险，建设单位严格采取本环评提出的风险防范措施，项目环境风险在可接受范围内。</w:t>
            </w:r>
          </w:p>
          <w:p>
            <w:pPr>
              <w:pStyle w:val="40"/>
              <w:ind w:firstLine="361" w:firstLineChars="150"/>
              <w:rPr>
                <w:rFonts w:hint="eastAsia" w:eastAsiaTheme="minorEastAsia"/>
                <w:b/>
                <w:color w:val="000000" w:themeColor="text1"/>
                <w:szCs w:val="24"/>
              </w:rPr>
            </w:pPr>
            <w:r>
              <w:rPr>
                <w:rFonts w:hint="eastAsia" w:eastAsiaTheme="minorEastAsia"/>
                <w:b/>
                <w:color w:val="000000" w:themeColor="text1"/>
                <w:szCs w:val="24"/>
              </w:rPr>
              <w:t>（2）</w:t>
            </w:r>
            <w:r>
              <w:rPr>
                <w:rFonts w:eastAsiaTheme="minorEastAsia"/>
                <w:b/>
                <w:color w:val="000000" w:themeColor="text1"/>
                <w:szCs w:val="24"/>
              </w:rPr>
              <w:t>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①生产车间</w:t>
            </w:r>
            <w:r>
              <w:rPr>
                <w:rFonts w:ascii="Times New Roman" w:hAnsi="Times New Roman" w:cs="Times New Roman"/>
                <w:color w:val="000000" w:themeColor="text1"/>
                <w:sz w:val="24"/>
                <w:szCs w:val="24"/>
              </w:rPr>
              <w:t>严禁烟火</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t>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③加强车间原辅材料暂存管理，各种材料应分别存放，应有专人管理，加强防火。</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④</w:t>
            </w:r>
            <w:r>
              <w:rPr>
                <w:rFonts w:ascii="Times New Roman" w:hAnsi="Times New Roman" w:cs="Times New Roman"/>
                <w:color w:val="000000" w:themeColor="text1"/>
                <w:sz w:val="24"/>
                <w:szCs w:val="24"/>
              </w:rPr>
              <w:t>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5 \* GB3</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加强危险物质存储管理，确保其安全；同时规范操作，在取用运输过程，防止其跑冒滴漏。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⑥</w:t>
            </w:r>
            <w:r>
              <w:rPr>
                <w:rFonts w:ascii="Times New Roman" w:hAnsi="Times New Roman" w:cs="Times New Roman"/>
                <w:color w:val="000000" w:themeColor="text1"/>
                <w:sz w:val="24"/>
                <w:szCs w:val="24"/>
              </w:rPr>
              <w:t>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⑦</w:t>
            </w:r>
            <w:bookmarkStart w:id="12" w:name="_Toc88466811"/>
            <w:bookmarkStart w:id="13" w:name="_Toc82857308"/>
            <w:bookmarkStart w:id="14" w:name="_Toc114997846"/>
            <w:bookmarkStart w:id="15" w:name="_Toc56427845"/>
            <w:bookmarkStart w:id="16" w:name="_Toc116622310"/>
            <w:bookmarkStart w:id="17" w:name="_Toc57516383"/>
            <w:bookmarkStart w:id="18" w:name="_Toc115259923"/>
            <w:bookmarkStart w:id="19" w:name="_Toc67822189"/>
            <w:bookmarkStart w:id="20" w:name="_Toc76139457"/>
            <w:bookmarkStart w:id="21" w:name="_Toc57516232"/>
            <w:r>
              <w:rPr>
                <w:rFonts w:hint="eastAsia" w:ascii="Times New Roman" w:hAnsi="Times New Roman" w:cs="Times New Roman"/>
                <w:color w:val="000000" w:themeColor="text1"/>
                <w:sz w:val="24"/>
                <w:szCs w:val="24"/>
              </w:rPr>
              <w:t>严格按照</w:t>
            </w:r>
            <w:r>
              <w:rPr>
                <w:rFonts w:ascii="Times New Roman" w:hAnsi="Times New Roman" w:cs="Times New Roman"/>
                <w:color w:val="000000" w:themeColor="text1"/>
                <w:sz w:val="24"/>
                <w:szCs w:val="24"/>
              </w:rPr>
              <w:t>安全、消防部门</w:t>
            </w:r>
            <w:r>
              <w:rPr>
                <w:rFonts w:hint="eastAsia" w:ascii="Times New Roman" w:hAnsi="Times New Roman" w:cs="Times New Roman"/>
                <w:color w:val="000000" w:themeColor="text1"/>
                <w:sz w:val="24"/>
                <w:szCs w:val="24"/>
              </w:rPr>
              <w:t>以及安全预评价的要求</w:t>
            </w:r>
            <w:r>
              <w:rPr>
                <w:rFonts w:ascii="Times New Roman" w:hAnsi="Times New Roman" w:cs="Times New Roman"/>
                <w:color w:val="000000" w:themeColor="text1"/>
                <w:sz w:val="24"/>
                <w:szCs w:val="24"/>
              </w:rPr>
              <w:t>在仓库和存储区出入口处设置</w:t>
            </w:r>
            <w:r>
              <w:rPr>
                <w:rFonts w:hint="eastAsia" w:ascii="Times New Roman" w:hAnsi="Times New Roman" w:cs="Times New Roman"/>
                <w:color w:val="000000" w:themeColor="text1"/>
                <w:sz w:val="24"/>
                <w:szCs w:val="24"/>
              </w:rPr>
              <w:t>消防设备。</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⑧</w:t>
            </w:r>
            <w:bookmarkEnd w:id="12"/>
            <w:bookmarkEnd w:id="13"/>
            <w:bookmarkEnd w:id="14"/>
            <w:bookmarkEnd w:id="15"/>
            <w:bookmarkEnd w:id="16"/>
            <w:bookmarkEnd w:id="17"/>
            <w:bookmarkEnd w:id="18"/>
            <w:bookmarkEnd w:id="19"/>
            <w:bookmarkEnd w:id="20"/>
            <w:bookmarkEnd w:id="21"/>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2" w:firstLineChars="200"/>
              <w:rPr>
                <w:rFonts w:ascii="Times New Roman" w:hAnsi="Times New Roman" w:cs="Times New Roman"/>
                <w:b/>
                <w:color w:val="000000" w:themeColor="text1"/>
                <w:sz w:val="24"/>
                <w:szCs w:val="24"/>
              </w:rPr>
            </w:pPr>
            <w:bookmarkStart w:id="22" w:name="_Toc72228649"/>
            <w:r>
              <w:rPr>
                <w:rFonts w:ascii="Times New Roman" w:hAnsi="Times New Roman" w:cs="Times New Roman"/>
                <w:b/>
                <w:color w:val="000000" w:themeColor="text1"/>
                <w:sz w:val="24"/>
                <w:szCs w:val="24"/>
              </w:rPr>
              <w:t>4.3 环保投资估算</w:t>
            </w:r>
            <w:bookmarkEnd w:id="22"/>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项目总投资1000万元，其中基建环保投资为</w:t>
            </w:r>
            <w:r>
              <w:rPr>
                <w:rFonts w:hint="eastAsia" w:ascii="Times New Roman" w:hAnsi="Times New Roman" w:cs="Times New Roman"/>
                <w:color w:val="000000" w:themeColor="text1"/>
                <w:sz w:val="24"/>
                <w:szCs w:val="24"/>
              </w:rPr>
              <w:t>27.31</w:t>
            </w:r>
            <w:r>
              <w:rPr>
                <w:rFonts w:ascii="Times New Roman" w:hAnsi="Times New Roman" w:cs="Times New Roman"/>
                <w:color w:val="000000" w:themeColor="text1"/>
                <w:sz w:val="24"/>
                <w:szCs w:val="24"/>
              </w:rPr>
              <w:t>万元，占总投资的2.73%。年环保投资运行费用约为9.7万元，项目拟采取措施的具体内容、责任主体、实施时段及环境保护投入资金如下表所示。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59"/>
              <w:gridCol w:w="811"/>
              <w:gridCol w:w="1383"/>
              <w:gridCol w:w="2496"/>
              <w:gridCol w:w="804"/>
              <w:gridCol w:w="683"/>
              <w:gridCol w:w="75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32"/>
                    <w:spacing w:line="360" w:lineRule="exact"/>
                    <w:rPr>
                      <w:color w:val="000000" w:themeColor="text1"/>
                      <w:szCs w:val="21"/>
                    </w:rPr>
                  </w:pPr>
                  <w:r>
                    <w:rPr>
                      <w:color w:val="000000" w:themeColor="text1"/>
                      <w:szCs w:val="21"/>
                    </w:rPr>
                    <w:t>时期</w:t>
                  </w:r>
                </w:p>
              </w:tc>
              <w:tc>
                <w:tcPr>
                  <w:tcW w:w="1370" w:type="dxa"/>
                  <w:gridSpan w:val="2"/>
                  <w:vMerge w:val="restart"/>
                  <w:vAlign w:val="center"/>
                </w:tcPr>
                <w:p>
                  <w:pPr>
                    <w:pStyle w:val="32"/>
                    <w:spacing w:line="360" w:lineRule="exact"/>
                    <w:rPr>
                      <w:color w:val="000000" w:themeColor="text1"/>
                      <w:szCs w:val="21"/>
                    </w:rPr>
                  </w:pPr>
                  <w:r>
                    <w:rPr>
                      <w:color w:val="000000" w:themeColor="text1"/>
                      <w:szCs w:val="21"/>
                    </w:rPr>
                    <w:t>类型</w:t>
                  </w:r>
                </w:p>
              </w:tc>
              <w:tc>
                <w:tcPr>
                  <w:tcW w:w="3879" w:type="dxa"/>
                  <w:gridSpan w:val="2"/>
                  <w:vAlign w:val="center"/>
                </w:tcPr>
                <w:p>
                  <w:pPr>
                    <w:pStyle w:val="32"/>
                    <w:spacing w:line="360" w:lineRule="exact"/>
                    <w:rPr>
                      <w:color w:val="000000" w:themeColor="text1"/>
                      <w:szCs w:val="21"/>
                    </w:rPr>
                  </w:pPr>
                  <w:r>
                    <w:rPr>
                      <w:color w:val="000000" w:themeColor="text1"/>
                      <w:szCs w:val="21"/>
                    </w:rPr>
                    <w:t>环保措施</w:t>
                  </w:r>
                </w:p>
              </w:tc>
              <w:tc>
                <w:tcPr>
                  <w:tcW w:w="1487" w:type="dxa"/>
                  <w:gridSpan w:val="2"/>
                  <w:vAlign w:val="center"/>
                </w:tcPr>
                <w:p>
                  <w:pPr>
                    <w:pStyle w:val="32"/>
                    <w:spacing w:line="360" w:lineRule="exact"/>
                    <w:rPr>
                      <w:color w:val="000000" w:themeColor="text1"/>
                      <w:szCs w:val="21"/>
                    </w:rPr>
                  </w:pPr>
                  <w:r>
                    <w:rPr>
                      <w:color w:val="000000" w:themeColor="text1"/>
                      <w:szCs w:val="21"/>
                    </w:rPr>
                    <w:t>建设期资金投入（万元）</w:t>
                  </w:r>
                </w:p>
              </w:tc>
              <w:tc>
                <w:tcPr>
                  <w:tcW w:w="1432" w:type="dxa"/>
                  <w:gridSpan w:val="2"/>
                  <w:vAlign w:val="center"/>
                </w:tcPr>
                <w:p>
                  <w:pPr>
                    <w:pStyle w:val="32"/>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color w:val="000000" w:themeColor="text1"/>
                      <w:szCs w:val="21"/>
                    </w:rPr>
                    <w:t>环保项目</w:t>
                  </w:r>
                </w:p>
              </w:tc>
              <w:tc>
                <w:tcPr>
                  <w:tcW w:w="2496" w:type="dxa"/>
                  <w:vAlign w:val="center"/>
                </w:tcPr>
                <w:p>
                  <w:pPr>
                    <w:pStyle w:val="32"/>
                    <w:spacing w:line="360" w:lineRule="exact"/>
                    <w:rPr>
                      <w:color w:val="000000" w:themeColor="text1"/>
                      <w:szCs w:val="21"/>
                    </w:rPr>
                  </w:pPr>
                  <w:r>
                    <w:rPr>
                      <w:color w:val="000000" w:themeColor="text1"/>
                      <w:szCs w:val="21"/>
                    </w:rPr>
                    <w:t>数量</w:t>
                  </w:r>
                </w:p>
              </w:tc>
              <w:tc>
                <w:tcPr>
                  <w:tcW w:w="804" w:type="dxa"/>
                  <w:vAlign w:val="center"/>
                </w:tcPr>
                <w:p>
                  <w:pPr>
                    <w:pStyle w:val="32"/>
                    <w:spacing w:line="360" w:lineRule="exact"/>
                    <w:rPr>
                      <w:color w:val="000000" w:themeColor="text1"/>
                      <w:szCs w:val="21"/>
                    </w:rPr>
                  </w:pPr>
                  <w:r>
                    <w:rPr>
                      <w:color w:val="000000" w:themeColor="text1"/>
                      <w:szCs w:val="21"/>
                    </w:rPr>
                    <w:t>建设费用</w:t>
                  </w:r>
                </w:p>
              </w:tc>
              <w:tc>
                <w:tcPr>
                  <w:tcW w:w="683" w:type="dxa"/>
                  <w:vAlign w:val="center"/>
                </w:tcPr>
                <w:p>
                  <w:pPr>
                    <w:pStyle w:val="32"/>
                    <w:spacing w:line="360" w:lineRule="exact"/>
                    <w:rPr>
                      <w:color w:val="000000" w:themeColor="text1"/>
                      <w:szCs w:val="21"/>
                    </w:rPr>
                  </w:pPr>
                  <w:r>
                    <w:rPr>
                      <w:color w:val="000000" w:themeColor="text1"/>
                      <w:szCs w:val="21"/>
                    </w:rPr>
                    <w:t>责任主体</w:t>
                  </w:r>
                </w:p>
              </w:tc>
              <w:tc>
                <w:tcPr>
                  <w:tcW w:w="753" w:type="dxa"/>
                  <w:vAlign w:val="center"/>
                </w:tcPr>
                <w:p>
                  <w:pPr>
                    <w:pStyle w:val="32"/>
                    <w:spacing w:line="360" w:lineRule="exact"/>
                    <w:rPr>
                      <w:color w:val="000000" w:themeColor="text1"/>
                      <w:szCs w:val="21"/>
                    </w:rPr>
                  </w:pPr>
                  <w:r>
                    <w:rPr>
                      <w:color w:val="000000" w:themeColor="text1"/>
                      <w:szCs w:val="21"/>
                    </w:rPr>
                    <w:t>运行维护费用</w:t>
                  </w:r>
                </w:p>
              </w:tc>
              <w:tc>
                <w:tcPr>
                  <w:tcW w:w="679"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59" w:type="dxa"/>
                  <w:vMerge w:val="restart"/>
                  <w:vAlign w:val="center"/>
                </w:tcPr>
                <w:p>
                  <w:pPr>
                    <w:pStyle w:val="32"/>
                    <w:spacing w:line="360" w:lineRule="exact"/>
                    <w:rPr>
                      <w:color w:val="000000" w:themeColor="text1"/>
                      <w:szCs w:val="21"/>
                    </w:rPr>
                  </w:pPr>
                  <w:r>
                    <w:rPr>
                      <w:color w:val="000000" w:themeColor="text1"/>
                      <w:szCs w:val="21"/>
                    </w:rPr>
                    <w:t>废气</w:t>
                  </w:r>
                </w:p>
              </w:tc>
              <w:tc>
                <w:tcPr>
                  <w:tcW w:w="811" w:type="dxa"/>
                  <w:vMerge w:val="restart"/>
                  <w:vAlign w:val="center"/>
                </w:tcPr>
                <w:p>
                  <w:pPr>
                    <w:pStyle w:val="32"/>
                    <w:spacing w:line="360" w:lineRule="exact"/>
                    <w:rPr>
                      <w:color w:val="000000" w:themeColor="text1"/>
                      <w:szCs w:val="21"/>
                    </w:rPr>
                  </w:pPr>
                  <w:r>
                    <w:rPr>
                      <w:rFonts w:hint="eastAsia"/>
                      <w:color w:val="000000" w:themeColor="text1"/>
                      <w:szCs w:val="21"/>
                    </w:rPr>
                    <w:t>粉尘</w:t>
                  </w:r>
                </w:p>
              </w:tc>
              <w:tc>
                <w:tcPr>
                  <w:tcW w:w="1383" w:type="dxa"/>
                  <w:vAlign w:val="center"/>
                </w:tcPr>
                <w:p>
                  <w:pPr>
                    <w:pStyle w:val="32"/>
                    <w:spacing w:line="360" w:lineRule="exact"/>
                    <w:rPr>
                      <w:color w:val="000000" w:themeColor="text1"/>
                      <w:szCs w:val="21"/>
                    </w:rPr>
                  </w:pPr>
                  <w:r>
                    <w:rPr>
                      <w:rFonts w:hint="eastAsia"/>
                      <w:color w:val="000000" w:themeColor="text1"/>
                      <w:szCs w:val="21"/>
                    </w:rPr>
                    <w:t>集气罩</w:t>
                  </w:r>
                </w:p>
              </w:tc>
              <w:tc>
                <w:tcPr>
                  <w:tcW w:w="2496" w:type="dxa"/>
                  <w:vAlign w:val="center"/>
                </w:tcPr>
                <w:p>
                  <w:pPr>
                    <w:pStyle w:val="32"/>
                    <w:spacing w:line="360" w:lineRule="exact"/>
                    <w:ind w:firstLine="210" w:firstLineChars="100"/>
                    <w:jc w:val="both"/>
                    <w:rPr>
                      <w:color w:val="000000" w:themeColor="text1"/>
                      <w:szCs w:val="21"/>
                    </w:rPr>
                  </w:pPr>
                  <w:r>
                    <w:rPr>
                      <w:color w:val="000000" w:themeColor="text1"/>
                      <w:szCs w:val="21"/>
                    </w:rPr>
                    <w:t>共设置</w:t>
                  </w:r>
                  <w:r>
                    <w:rPr>
                      <w:rFonts w:hint="eastAsia"/>
                      <w:color w:val="000000" w:themeColor="text1"/>
                      <w:szCs w:val="21"/>
                    </w:rPr>
                    <w:t>3</w:t>
                  </w:r>
                  <w:r>
                    <w:rPr>
                      <w:color w:val="000000" w:themeColor="text1"/>
                      <w:szCs w:val="21"/>
                    </w:rPr>
                    <w:t>个集气罩，集气效率不低于9</w:t>
                  </w:r>
                  <w:r>
                    <w:rPr>
                      <w:rFonts w:hint="eastAsia"/>
                      <w:color w:val="000000" w:themeColor="text1"/>
                      <w:szCs w:val="21"/>
                    </w:rPr>
                    <w:t>5</w:t>
                  </w:r>
                  <w:r>
                    <w:rPr>
                      <w:color w:val="000000" w:themeColor="text1"/>
                      <w:szCs w:val="21"/>
                    </w:rPr>
                    <w:t>%</w:t>
                  </w:r>
                </w:p>
              </w:tc>
              <w:tc>
                <w:tcPr>
                  <w:tcW w:w="804" w:type="dxa"/>
                  <w:vAlign w:val="center"/>
                </w:tcPr>
                <w:p>
                  <w:pPr>
                    <w:pStyle w:val="32"/>
                    <w:spacing w:line="360" w:lineRule="exact"/>
                    <w:rPr>
                      <w:color w:val="000000" w:themeColor="text1"/>
                      <w:szCs w:val="21"/>
                    </w:rPr>
                  </w:pPr>
                  <w:r>
                    <w:rPr>
                      <w:rFonts w:hint="eastAsia"/>
                      <w:color w:val="000000" w:themeColor="text1"/>
                      <w:szCs w:val="21"/>
                    </w:rPr>
                    <w:t>3</w:t>
                  </w:r>
                </w:p>
              </w:tc>
              <w:tc>
                <w:tcPr>
                  <w:tcW w:w="683" w:type="dxa"/>
                  <w:vMerge w:val="restart"/>
                  <w:vAlign w:val="center"/>
                </w:tcPr>
                <w:p>
                  <w:pPr>
                    <w:pStyle w:val="32"/>
                    <w:spacing w:line="360" w:lineRule="exact"/>
                    <w:rPr>
                      <w:color w:val="000000" w:themeColor="text1"/>
                      <w:szCs w:val="21"/>
                    </w:rPr>
                  </w:pPr>
                  <w:r>
                    <w:rPr>
                      <w:color w:val="000000" w:themeColor="text1"/>
                      <w:szCs w:val="21"/>
                    </w:rPr>
                    <w:t>施工单位</w:t>
                  </w:r>
                </w:p>
              </w:tc>
              <w:tc>
                <w:tcPr>
                  <w:tcW w:w="753" w:type="dxa"/>
                  <w:vAlign w:val="center"/>
                </w:tcPr>
                <w:p>
                  <w:pPr>
                    <w:pStyle w:val="32"/>
                    <w:spacing w:line="360" w:lineRule="exact"/>
                    <w:rPr>
                      <w:color w:val="000000" w:themeColor="text1"/>
                      <w:szCs w:val="21"/>
                    </w:rPr>
                  </w:pPr>
                  <w:r>
                    <w:rPr>
                      <w:rFonts w:hint="eastAsia"/>
                      <w:color w:val="000000" w:themeColor="text1"/>
                      <w:szCs w:val="21"/>
                    </w:rPr>
                    <w:t>0.2</w:t>
                  </w:r>
                </w:p>
              </w:tc>
              <w:tc>
                <w:tcPr>
                  <w:tcW w:w="679"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rFonts w:hint="eastAsia"/>
                      <w:color w:val="000000" w:themeColor="text1"/>
                      <w:szCs w:val="21"/>
                    </w:rPr>
                    <w:t>布袋除尘器</w:t>
                  </w:r>
                </w:p>
              </w:tc>
              <w:tc>
                <w:tcPr>
                  <w:tcW w:w="249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1台，除尘效率不低于99%</w:t>
                  </w:r>
                </w:p>
              </w:tc>
              <w:tc>
                <w:tcPr>
                  <w:tcW w:w="804" w:type="dxa"/>
                  <w:vAlign w:val="center"/>
                </w:tcPr>
                <w:p>
                  <w:pPr>
                    <w:pStyle w:val="32"/>
                    <w:spacing w:line="360" w:lineRule="exact"/>
                    <w:rPr>
                      <w:color w:val="000000" w:themeColor="text1"/>
                      <w:szCs w:val="21"/>
                    </w:rPr>
                  </w:pPr>
                  <w:r>
                    <w:rPr>
                      <w:rFonts w:hint="eastAsia"/>
                      <w:color w:val="000000" w:themeColor="text1"/>
                      <w:szCs w:val="21"/>
                    </w:rPr>
                    <w:t>10</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1.3</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rFonts w:hint="eastAsia"/>
                      <w:color w:val="000000" w:themeColor="text1"/>
                      <w:szCs w:val="21"/>
                    </w:rPr>
                    <w:t>排气筒</w:t>
                  </w:r>
                </w:p>
              </w:tc>
              <w:tc>
                <w:tcPr>
                  <w:tcW w:w="249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1根，Φ0.35m、高15m的排气筒（DA001）</w:t>
                  </w:r>
                </w:p>
              </w:tc>
              <w:tc>
                <w:tcPr>
                  <w:tcW w:w="804" w:type="dxa"/>
                  <w:vAlign w:val="center"/>
                </w:tcPr>
                <w:p>
                  <w:pPr>
                    <w:pStyle w:val="32"/>
                    <w:spacing w:line="360" w:lineRule="exact"/>
                    <w:rPr>
                      <w:color w:val="000000" w:themeColor="text1"/>
                      <w:szCs w:val="21"/>
                    </w:rPr>
                  </w:pPr>
                  <w:r>
                    <w:rPr>
                      <w:rFonts w:hint="eastAsia"/>
                      <w:color w:val="000000" w:themeColor="text1"/>
                      <w:szCs w:val="21"/>
                    </w:rPr>
                    <w:t>0.5</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restart"/>
                  <w:vAlign w:val="center"/>
                </w:tcPr>
                <w:p>
                  <w:pPr>
                    <w:pStyle w:val="32"/>
                    <w:spacing w:line="360" w:lineRule="exact"/>
                    <w:rPr>
                      <w:color w:val="000000" w:themeColor="text1"/>
                      <w:szCs w:val="21"/>
                    </w:rPr>
                  </w:pPr>
                  <w:r>
                    <w:rPr>
                      <w:color w:val="000000" w:themeColor="text1"/>
                      <w:szCs w:val="21"/>
                    </w:rPr>
                    <w:t>废水</w:t>
                  </w:r>
                </w:p>
              </w:tc>
              <w:tc>
                <w:tcPr>
                  <w:tcW w:w="2194" w:type="dxa"/>
                  <w:gridSpan w:val="2"/>
                  <w:vAlign w:val="center"/>
                </w:tcPr>
                <w:p>
                  <w:pPr>
                    <w:pStyle w:val="32"/>
                    <w:spacing w:line="360" w:lineRule="exact"/>
                    <w:rPr>
                      <w:color w:val="000000" w:themeColor="text1"/>
                      <w:szCs w:val="21"/>
                    </w:rPr>
                  </w:pPr>
                  <w:r>
                    <w:rPr>
                      <w:color w:val="000000" w:themeColor="text1"/>
                      <w:szCs w:val="21"/>
                    </w:rPr>
                    <w:t>雨污分流</w:t>
                  </w:r>
                </w:p>
              </w:tc>
              <w:tc>
                <w:tcPr>
                  <w:tcW w:w="2496" w:type="dxa"/>
                  <w:vAlign w:val="center"/>
                </w:tcPr>
                <w:p>
                  <w:pPr>
                    <w:pStyle w:val="32"/>
                    <w:spacing w:line="360" w:lineRule="exact"/>
                    <w:ind w:firstLine="210" w:firstLineChars="100"/>
                    <w:jc w:val="both"/>
                    <w:rPr>
                      <w:color w:val="000000" w:themeColor="text1"/>
                      <w:szCs w:val="24"/>
                    </w:rPr>
                  </w:pPr>
                  <w:r>
                    <w:rPr>
                      <w:color w:val="000000" w:themeColor="text1"/>
                      <w:szCs w:val="24"/>
                    </w:rPr>
                    <w:t>雨水管网</w:t>
                  </w:r>
                </w:p>
              </w:tc>
              <w:tc>
                <w:tcPr>
                  <w:tcW w:w="804" w:type="dxa"/>
                  <w:vAlign w:val="center"/>
                </w:tcPr>
                <w:p>
                  <w:pPr>
                    <w:pStyle w:val="32"/>
                    <w:spacing w:line="360" w:lineRule="exact"/>
                    <w:rPr>
                      <w:color w:val="000000" w:themeColor="text1"/>
                      <w:szCs w:val="21"/>
                    </w:rPr>
                  </w:pPr>
                  <w:r>
                    <w:rPr>
                      <w:color w:val="000000" w:themeColor="text1"/>
                      <w:szCs w:val="21"/>
                    </w:rPr>
                    <w:t>--</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Align w:val="center"/>
                </w:tcPr>
                <w:p>
                  <w:pPr>
                    <w:pStyle w:val="32"/>
                    <w:spacing w:line="360" w:lineRule="exact"/>
                    <w:rPr>
                      <w:color w:val="000000" w:themeColor="text1"/>
                      <w:szCs w:val="21"/>
                    </w:rPr>
                  </w:pPr>
                  <w:r>
                    <w:rPr>
                      <w:rFonts w:hint="eastAsia"/>
                      <w:color w:val="000000" w:themeColor="text1"/>
                      <w:szCs w:val="21"/>
                    </w:rPr>
                    <w:t>设备清洗废水</w:t>
                  </w:r>
                </w:p>
              </w:tc>
              <w:tc>
                <w:tcPr>
                  <w:tcW w:w="1383" w:type="dxa"/>
                  <w:vAlign w:val="center"/>
                </w:tcPr>
                <w:p>
                  <w:pPr>
                    <w:pStyle w:val="32"/>
                    <w:spacing w:line="360" w:lineRule="exact"/>
                    <w:rPr>
                      <w:color w:val="000000" w:themeColor="text1"/>
                      <w:szCs w:val="21"/>
                    </w:rPr>
                  </w:pPr>
                  <w:r>
                    <w:rPr>
                      <w:rFonts w:hint="eastAsia"/>
                      <w:color w:val="000000" w:themeColor="text1"/>
                      <w:szCs w:val="21"/>
                    </w:rPr>
                    <w:t>设备清洗废水收集池</w:t>
                  </w:r>
                </w:p>
              </w:tc>
              <w:tc>
                <w:tcPr>
                  <w:tcW w:w="2496" w:type="dxa"/>
                  <w:vAlign w:val="center"/>
                </w:tcPr>
                <w:p>
                  <w:pPr>
                    <w:pStyle w:val="32"/>
                    <w:spacing w:line="360" w:lineRule="exact"/>
                    <w:ind w:firstLine="210" w:firstLineChars="100"/>
                    <w:jc w:val="both"/>
                    <w:rPr>
                      <w:color w:val="000000" w:themeColor="text1"/>
                      <w:szCs w:val="24"/>
                    </w:rPr>
                  </w:pPr>
                  <w:r>
                    <w:rPr>
                      <w:rFonts w:hint="eastAsia"/>
                      <w:color w:val="000000" w:themeColor="text1"/>
                      <w:szCs w:val="24"/>
                    </w:rPr>
                    <w:t>2</w:t>
                  </w:r>
                  <w:r>
                    <w:rPr>
                      <w:color w:val="000000" w:themeColor="text1"/>
                      <w:szCs w:val="24"/>
                    </w:rPr>
                    <w:t>个</w:t>
                  </w:r>
                  <w:r>
                    <w:rPr>
                      <w:rFonts w:hint="eastAsia"/>
                      <w:color w:val="000000" w:themeColor="text1"/>
                      <w:szCs w:val="24"/>
                    </w:rPr>
                    <w:t>，1</w:t>
                  </w:r>
                  <w:r>
                    <w:rPr>
                      <w:color w:val="000000" w:themeColor="text1"/>
                      <w:szCs w:val="24"/>
                    </w:rPr>
                    <w:t>m³</w:t>
                  </w:r>
                  <w:r>
                    <w:rPr>
                      <w:rFonts w:hint="eastAsia"/>
                      <w:color w:val="000000" w:themeColor="text1"/>
                      <w:szCs w:val="24"/>
                    </w:rPr>
                    <w:t>/个</w:t>
                  </w:r>
                </w:p>
              </w:tc>
              <w:tc>
                <w:tcPr>
                  <w:tcW w:w="804" w:type="dxa"/>
                  <w:vAlign w:val="center"/>
                </w:tcPr>
                <w:p>
                  <w:pPr>
                    <w:pStyle w:val="32"/>
                    <w:spacing w:line="360" w:lineRule="exact"/>
                    <w:rPr>
                      <w:color w:val="000000" w:themeColor="text1"/>
                      <w:szCs w:val="21"/>
                    </w:rPr>
                  </w:pPr>
                  <w:r>
                    <w:rPr>
                      <w:rFonts w:hint="eastAsia"/>
                      <w:color w:val="000000" w:themeColor="text1"/>
                      <w:szCs w:val="21"/>
                    </w:rPr>
                    <w:t>1.2</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0.2</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rFonts w:hint="eastAsia"/>
                      <w:color w:val="000000" w:themeColor="text1"/>
                      <w:szCs w:val="21"/>
                    </w:rPr>
                    <w:t>雨水</w:t>
                  </w:r>
                </w:p>
              </w:tc>
              <w:tc>
                <w:tcPr>
                  <w:tcW w:w="811" w:type="dxa"/>
                  <w:vAlign w:val="center"/>
                </w:tcPr>
                <w:p>
                  <w:pPr>
                    <w:pStyle w:val="32"/>
                    <w:spacing w:line="360" w:lineRule="exact"/>
                    <w:rPr>
                      <w:color w:val="000000" w:themeColor="text1"/>
                      <w:szCs w:val="21"/>
                    </w:rPr>
                  </w:pPr>
                  <w:r>
                    <w:rPr>
                      <w:rFonts w:hint="eastAsia"/>
                      <w:color w:val="000000" w:themeColor="text1"/>
                      <w:szCs w:val="21"/>
                    </w:rPr>
                    <w:t>--</w:t>
                  </w:r>
                </w:p>
              </w:tc>
              <w:tc>
                <w:tcPr>
                  <w:tcW w:w="1383" w:type="dxa"/>
                  <w:vAlign w:val="center"/>
                </w:tcPr>
                <w:p>
                  <w:pPr>
                    <w:pStyle w:val="32"/>
                    <w:spacing w:line="360" w:lineRule="exact"/>
                    <w:rPr>
                      <w:color w:val="000000" w:themeColor="text1"/>
                      <w:szCs w:val="21"/>
                    </w:rPr>
                  </w:pPr>
                  <w:r>
                    <w:rPr>
                      <w:rFonts w:hint="eastAsia"/>
                      <w:color w:val="000000" w:themeColor="text1"/>
                      <w:szCs w:val="21"/>
                    </w:rPr>
                    <w:t>雨水沟及围挡</w:t>
                  </w:r>
                </w:p>
              </w:tc>
              <w:tc>
                <w:tcPr>
                  <w:tcW w:w="2496" w:type="dxa"/>
                  <w:vAlign w:val="center"/>
                </w:tcPr>
                <w:p>
                  <w:pPr>
                    <w:pStyle w:val="32"/>
                    <w:spacing w:line="360" w:lineRule="exact"/>
                    <w:ind w:firstLine="210" w:firstLineChars="100"/>
                    <w:jc w:val="both"/>
                    <w:rPr>
                      <w:color w:val="000000" w:themeColor="text1"/>
                      <w:szCs w:val="24"/>
                    </w:rPr>
                  </w:pPr>
                  <w:r>
                    <w:rPr>
                      <w:rFonts w:hint="eastAsia"/>
                      <w:color w:val="000000" w:themeColor="text1"/>
                      <w:szCs w:val="21"/>
                    </w:rPr>
                    <w:t>拟在项目区入口处设置15cm高的围挡，并在外围建设雨水沟</w:t>
                  </w:r>
                </w:p>
              </w:tc>
              <w:tc>
                <w:tcPr>
                  <w:tcW w:w="804" w:type="dxa"/>
                  <w:vAlign w:val="center"/>
                </w:tcPr>
                <w:p>
                  <w:pPr>
                    <w:pStyle w:val="32"/>
                    <w:spacing w:line="360" w:lineRule="exact"/>
                    <w:rPr>
                      <w:color w:val="000000" w:themeColor="text1"/>
                      <w:szCs w:val="21"/>
                    </w:rPr>
                  </w:pPr>
                  <w:r>
                    <w:rPr>
                      <w:rFonts w:hint="eastAsia"/>
                      <w:color w:val="000000" w:themeColor="text1"/>
                      <w:szCs w:val="21"/>
                    </w:rPr>
                    <w:t>3</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restart"/>
                  <w:vAlign w:val="center"/>
                </w:tcPr>
                <w:p>
                  <w:pPr>
                    <w:pStyle w:val="32"/>
                    <w:spacing w:line="360" w:lineRule="exact"/>
                    <w:rPr>
                      <w:color w:val="000000" w:themeColor="text1"/>
                      <w:szCs w:val="21"/>
                    </w:rPr>
                  </w:pPr>
                  <w:r>
                    <w:rPr>
                      <w:color w:val="000000" w:themeColor="text1"/>
                      <w:szCs w:val="21"/>
                    </w:rPr>
                    <w:t>地下水防渗</w:t>
                  </w:r>
                </w:p>
              </w:tc>
              <w:tc>
                <w:tcPr>
                  <w:tcW w:w="1383" w:type="dxa"/>
                  <w:vAlign w:val="center"/>
                </w:tcPr>
                <w:p>
                  <w:pPr>
                    <w:pStyle w:val="32"/>
                    <w:spacing w:line="360" w:lineRule="exact"/>
                    <w:rPr>
                      <w:color w:val="000000" w:themeColor="text1"/>
                      <w:szCs w:val="21"/>
                    </w:rPr>
                  </w:pPr>
                  <w:r>
                    <w:rPr>
                      <w:color w:val="000000" w:themeColor="text1"/>
                      <w:szCs w:val="21"/>
                    </w:rPr>
                    <w:t>重点防渗区</w:t>
                  </w:r>
                </w:p>
              </w:tc>
              <w:tc>
                <w:tcPr>
                  <w:tcW w:w="2496" w:type="dxa"/>
                  <w:vAlign w:val="center"/>
                </w:tcPr>
                <w:p>
                  <w:pPr>
                    <w:pStyle w:val="32"/>
                    <w:spacing w:line="360" w:lineRule="exact"/>
                    <w:ind w:firstLine="210" w:firstLineChars="100"/>
                    <w:jc w:val="both"/>
                    <w:rPr>
                      <w:color w:val="000000" w:themeColor="text1"/>
                      <w:szCs w:val="21"/>
                      <w:lang w:val="en-US"/>
                    </w:rPr>
                  </w:pPr>
                  <w:r>
                    <w:rPr>
                      <w:color w:val="000000" w:themeColor="text1"/>
                      <w:szCs w:val="21"/>
                    </w:rPr>
                    <w:t>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804" w:type="dxa"/>
                  <w:vAlign w:val="center"/>
                </w:tcPr>
                <w:p>
                  <w:pPr>
                    <w:pStyle w:val="32"/>
                    <w:spacing w:line="360" w:lineRule="exact"/>
                    <w:rPr>
                      <w:color w:val="000000" w:themeColor="text1"/>
                      <w:szCs w:val="21"/>
                    </w:rPr>
                  </w:pPr>
                  <w:r>
                    <w:rPr>
                      <w:color w:val="000000" w:themeColor="text1"/>
                      <w:szCs w:val="21"/>
                    </w:rPr>
                    <w:t>0.5</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color w:val="000000" w:themeColor="text1"/>
                      <w:szCs w:val="21"/>
                    </w:rPr>
                    <w:t>一般防渗区</w:t>
                  </w:r>
                </w:p>
              </w:tc>
              <w:tc>
                <w:tcPr>
                  <w:tcW w:w="2496" w:type="dxa"/>
                  <w:vAlign w:val="center"/>
                </w:tcPr>
                <w:p>
                  <w:pPr>
                    <w:pStyle w:val="32"/>
                    <w:spacing w:line="360" w:lineRule="exact"/>
                    <w:ind w:firstLine="210" w:firstLineChars="100"/>
                    <w:jc w:val="both"/>
                    <w:rPr>
                      <w:color w:val="000000" w:themeColor="text1"/>
                      <w:sz w:val="24"/>
                      <w:szCs w:val="24"/>
                    </w:rPr>
                  </w:pPr>
                  <w:r>
                    <w:rPr>
                      <w:rFonts w:hint="eastAsia"/>
                      <w:color w:val="000000" w:themeColor="text1"/>
                      <w:szCs w:val="21"/>
                    </w:rPr>
                    <w:t>项目</w:t>
                  </w:r>
                  <w:r>
                    <w:rPr>
                      <w:color w:val="000000" w:themeColor="text1"/>
                      <w:szCs w:val="21"/>
                    </w:rPr>
                    <w:t>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804" w:type="dxa"/>
                  <w:vAlign w:val="center"/>
                </w:tcPr>
                <w:p>
                  <w:pPr>
                    <w:pStyle w:val="32"/>
                    <w:spacing w:line="360" w:lineRule="exact"/>
                    <w:rPr>
                      <w:color w:val="000000" w:themeColor="text1"/>
                      <w:szCs w:val="21"/>
                    </w:rPr>
                  </w:pPr>
                  <w:r>
                    <w:rPr>
                      <w:rFonts w:hint="eastAsia"/>
                      <w:color w:val="000000" w:themeColor="text1"/>
                      <w:szCs w:val="21"/>
                    </w:rPr>
                    <w:t>6</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color w:val="000000" w:themeColor="text1"/>
                      <w:szCs w:val="21"/>
                    </w:rPr>
                    <w:t>噪声</w:t>
                  </w:r>
                </w:p>
              </w:tc>
              <w:tc>
                <w:tcPr>
                  <w:tcW w:w="811" w:type="dxa"/>
                  <w:vAlign w:val="center"/>
                </w:tcPr>
                <w:p>
                  <w:pPr>
                    <w:pStyle w:val="32"/>
                    <w:spacing w:line="360" w:lineRule="exact"/>
                    <w:rPr>
                      <w:color w:val="000000" w:themeColor="text1"/>
                      <w:szCs w:val="21"/>
                    </w:rPr>
                  </w:pPr>
                  <w:r>
                    <w:rPr>
                      <w:color w:val="000000" w:themeColor="text1"/>
                      <w:szCs w:val="21"/>
                    </w:rPr>
                    <w:t>设备噪声</w:t>
                  </w:r>
                </w:p>
              </w:tc>
              <w:tc>
                <w:tcPr>
                  <w:tcW w:w="1383" w:type="dxa"/>
                  <w:vAlign w:val="center"/>
                </w:tcPr>
                <w:p>
                  <w:pPr>
                    <w:pStyle w:val="32"/>
                    <w:spacing w:line="360" w:lineRule="exact"/>
                    <w:rPr>
                      <w:color w:val="000000" w:themeColor="text1"/>
                      <w:szCs w:val="21"/>
                    </w:rPr>
                  </w:pPr>
                  <w:r>
                    <w:rPr>
                      <w:color w:val="000000" w:themeColor="text1"/>
                      <w:szCs w:val="21"/>
                    </w:rPr>
                    <w:t>减震垫、消声器等</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804" w:type="dxa"/>
                  <w:vAlign w:val="center"/>
                </w:tcPr>
                <w:p>
                  <w:pPr>
                    <w:pStyle w:val="32"/>
                    <w:spacing w:line="360" w:lineRule="exact"/>
                    <w:rPr>
                      <w:color w:val="000000" w:themeColor="text1"/>
                      <w:szCs w:val="21"/>
                    </w:rPr>
                  </w:pPr>
                  <w:r>
                    <w:rPr>
                      <w:color w:val="000000" w:themeColor="text1"/>
                      <w:szCs w:val="21"/>
                    </w:rPr>
                    <w:t>2</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restart"/>
                  <w:vAlign w:val="center"/>
                </w:tcPr>
                <w:p>
                  <w:pPr>
                    <w:pStyle w:val="32"/>
                    <w:spacing w:line="360" w:lineRule="exact"/>
                    <w:rPr>
                      <w:color w:val="000000" w:themeColor="text1"/>
                      <w:szCs w:val="21"/>
                    </w:rPr>
                  </w:pPr>
                  <w:r>
                    <w:rPr>
                      <w:color w:val="000000" w:themeColor="text1"/>
                      <w:szCs w:val="21"/>
                    </w:rPr>
                    <w:t>固废</w:t>
                  </w:r>
                </w:p>
              </w:tc>
              <w:tc>
                <w:tcPr>
                  <w:tcW w:w="811" w:type="dxa"/>
                  <w:vAlign w:val="center"/>
                </w:tcPr>
                <w:p>
                  <w:pPr>
                    <w:pStyle w:val="32"/>
                    <w:spacing w:line="360" w:lineRule="exact"/>
                    <w:rPr>
                      <w:color w:val="000000" w:themeColor="text1"/>
                      <w:szCs w:val="21"/>
                    </w:rPr>
                  </w:pPr>
                  <w:r>
                    <w:rPr>
                      <w:color w:val="000000" w:themeColor="text1"/>
                      <w:szCs w:val="21"/>
                    </w:rPr>
                    <w:t>危险废物</w:t>
                  </w:r>
                </w:p>
              </w:tc>
              <w:tc>
                <w:tcPr>
                  <w:tcW w:w="1383" w:type="dxa"/>
                  <w:vAlign w:val="center"/>
                </w:tcPr>
                <w:p>
                  <w:pPr>
                    <w:pStyle w:val="32"/>
                    <w:spacing w:line="360" w:lineRule="exact"/>
                    <w:rPr>
                      <w:color w:val="000000" w:themeColor="text1"/>
                      <w:szCs w:val="21"/>
                    </w:rPr>
                  </w:pPr>
                  <w:r>
                    <w:rPr>
                      <w:color w:val="000000" w:themeColor="text1"/>
                      <w:szCs w:val="21"/>
                    </w:rPr>
                    <w:t>危险废物贮存间</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5</w:t>
                  </w:r>
                  <w:r>
                    <w:rPr>
                      <w:color w:val="000000" w:themeColor="text1"/>
                      <w:szCs w:val="21"/>
                    </w:rPr>
                    <w:t>m²</w:t>
                  </w:r>
                </w:p>
              </w:tc>
              <w:tc>
                <w:tcPr>
                  <w:tcW w:w="804" w:type="dxa"/>
                  <w:vAlign w:val="center"/>
                </w:tcPr>
                <w:p>
                  <w:pPr>
                    <w:pStyle w:val="32"/>
                    <w:spacing w:line="360" w:lineRule="exact"/>
                    <w:rPr>
                      <w:color w:val="000000" w:themeColor="text1"/>
                      <w:szCs w:val="21"/>
                    </w:rPr>
                  </w:pPr>
                  <w:r>
                    <w:rPr>
                      <w:color w:val="000000" w:themeColor="text1"/>
                      <w:szCs w:val="21"/>
                    </w:rPr>
                    <w:t>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6</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Align w:val="center"/>
                </w:tcPr>
                <w:p>
                  <w:pPr>
                    <w:pStyle w:val="32"/>
                    <w:spacing w:line="360" w:lineRule="exact"/>
                    <w:rPr>
                      <w:color w:val="000000" w:themeColor="text1"/>
                      <w:szCs w:val="21"/>
                    </w:rPr>
                  </w:pPr>
                  <w:r>
                    <w:rPr>
                      <w:color w:val="000000" w:themeColor="text1"/>
                      <w:szCs w:val="21"/>
                    </w:rPr>
                    <w:t>生活垃圾</w:t>
                  </w:r>
                </w:p>
              </w:tc>
              <w:tc>
                <w:tcPr>
                  <w:tcW w:w="1383" w:type="dxa"/>
                  <w:vAlign w:val="center"/>
                </w:tcPr>
                <w:p>
                  <w:pPr>
                    <w:pStyle w:val="32"/>
                    <w:spacing w:line="360" w:lineRule="exact"/>
                    <w:rPr>
                      <w:color w:val="000000" w:themeColor="text1"/>
                      <w:szCs w:val="21"/>
                    </w:rPr>
                  </w:pPr>
                  <w:r>
                    <w:rPr>
                      <w:color w:val="000000" w:themeColor="text1"/>
                      <w:szCs w:val="21"/>
                    </w:rPr>
                    <w:t>生活垃圾桶</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804" w:type="dxa"/>
                  <w:vAlign w:val="center"/>
                </w:tcPr>
                <w:p>
                  <w:pPr>
                    <w:pStyle w:val="32"/>
                    <w:spacing w:line="360" w:lineRule="exact"/>
                    <w:rPr>
                      <w:color w:val="000000" w:themeColor="text1"/>
                      <w:szCs w:val="21"/>
                    </w:rPr>
                  </w:pPr>
                  <w:r>
                    <w:rPr>
                      <w:color w:val="000000" w:themeColor="text1"/>
                      <w:szCs w:val="21"/>
                    </w:rPr>
                    <w:t>0.01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2</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color w:val="000000" w:themeColor="text1"/>
                      <w:szCs w:val="21"/>
                    </w:rPr>
                    <w:t>其他</w:t>
                  </w:r>
                </w:p>
              </w:tc>
              <w:tc>
                <w:tcPr>
                  <w:tcW w:w="2194" w:type="dxa"/>
                  <w:gridSpan w:val="2"/>
                  <w:vAlign w:val="center"/>
                </w:tcPr>
                <w:p>
                  <w:pPr>
                    <w:pStyle w:val="32"/>
                    <w:spacing w:line="360" w:lineRule="exact"/>
                    <w:rPr>
                      <w:color w:val="000000" w:themeColor="text1"/>
                      <w:szCs w:val="21"/>
                    </w:rPr>
                  </w:pPr>
                  <w:r>
                    <w:rPr>
                      <w:color w:val="000000" w:themeColor="text1"/>
                      <w:szCs w:val="21"/>
                    </w:rPr>
                    <w:t>标识牌</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804" w:type="dxa"/>
                  <w:vAlign w:val="center"/>
                </w:tcPr>
                <w:p>
                  <w:pPr>
                    <w:pStyle w:val="32"/>
                    <w:spacing w:line="360" w:lineRule="exact"/>
                    <w:rPr>
                      <w:color w:val="000000" w:themeColor="text1"/>
                      <w:szCs w:val="21"/>
                    </w:rPr>
                  </w:pPr>
                  <w:r>
                    <w:rPr>
                      <w:color w:val="000000" w:themeColor="text1"/>
                      <w:szCs w:val="21"/>
                    </w:rPr>
                    <w:t>0.1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9" w:type="dxa"/>
                  <w:gridSpan w:val="5"/>
                  <w:vAlign w:val="center"/>
                </w:tcPr>
                <w:p>
                  <w:pPr>
                    <w:pStyle w:val="32"/>
                    <w:spacing w:line="360" w:lineRule="exact"/>
                    <w:rPr>
                      <w:color w:val="000000" w:themeColor="text1"/>
                      <w:szCs w:val="21"/>
                    </w:rPr>
                  </w:pPr>
                  <w:r>
                    <w:rPr>
                      <w:color w:val="000000" w:themeColor="text1"/>
                      <w:szCs w:val="21"/>
                    </w:rPr>
                    <w:t>管理相关费用</w:t>
                  </w:r>
                </w:p>
              </w:tc>
              <w:tc>
                <w:tcPr>
                  <w:tcW w:w="2919" w:type="dxa"/>
                  <w:gridSpan w:val="4"/>
                  <w:vAlign w:val="center"/>
                </w:tcPr>
                <w:p>
                  <w:pPr>
                    <w:pStyle w:val="32"/>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9" w:type="dxa"/>
                  <w:gridSpan w:val="5"/>
                  <w:vAlign w:val="center"/>
                </w:tcPr>
                <w:p>
                  <w:pPr>
                    <w:pStyle w:val="32"/>
                    <w:spacing w:line="360" w:lineRule="exact"/>
                    <w:rPr>
                      <w:color w:val="000000" w:themeColor="text1"/>
                      <w:szCs w:val="21"/>
                    </w:rPr>
                  </w:pPr>
                  <w:r>
                    <w:rPr>
                      <w:color w:val="000000" w:themeColor="text1"/>
                      <w:szCs w:val="21"/>
                    </w:rPr>
                    <w:t>合计</w:t>
                  </w:r>
                </w:p>
              </w:tc>
              <w:tc>
                <w:tcPr>
                  <w:tcW w:w="804" w:type="dxa"/>
                  <w:vAlign w:val="center"/>
                </w:tcPr>
                <w:p>
                  <w:pPr>
                    <w:pStyle w:val="32"/>
                    <w:spacing w:line="360" w:lineRule="exact"/>
                    <w:rPr>
                      <w:color w:val="000000" w:themeColor="text1"/>
                      <w:szCs w:val="21"/>
                    </w:rPr>
                  </w:pPr>
                  <w:r>
                    <w:rPr>
                      <w:rFonts w:hint="eastAsia"/>
                      <w:color w:val="000000" w:themeColor="text1"/>
                      <w:szCs w:val="21"/>
                    </w:rPr>
                    <w:t>27.31</w:t>
                  </w:r>
                </w:p>
              </w:tc>
              <w:tc>
                <w:tcPr>
                  <w:tcW w:w="683" w:type="dxa"/>
                  <w:vAlign w:val="center"/>
                </w:tcPr>
                <w:p>
                  <w:pPr>
                    <w:pStyle w:val="32"/>
                    <w:spacing w:line="360" w:lineRule="exact"/>
                    <w:rPr>
                      <w:color w:val="000000" w:themeColor="text1"/>
                      <w:szCs w:val="21"/>
                    </w:rPr>
                  </w:pPr>
                  <w:r>
                    <w:rPr>
                      <w:color w:val="000000" w:themeColor="text1"/>
                      <w:szCs w:val="21"/>
                    </w:rPr>
                    <w:t>--</w:t>
                  </w:r>
                </w:p>
              </w:tc>
              <w:tc>
                <w:tcPr>
                  <w:tcW w:w="753" w:type="dxa"/>
                  <w:vAlign w:val="center"/>
                </w:tcPr>
                <w:p>
                  <w:pPr>
                    <w:pStyle w:val="32"/>
                    <w:spacing w:line="360" w:lineRule="exact"/>
                    <w:rPr>
                      <w:color w:val="000000" w:themeColor="text1"/>
                      <w:szCs w:val="21"/>
                    </w:rPr>
                  </w:pPr>
                  <w:r>
                    <w:rPr>
                      <w:color w:val="000000" w:themeColor="text1"/>
                      <w:szCs w:val="21"/>
                    </w:rPr>
                    <w:t>9.7</w:t>
                  </w:r>
                </w:p>
              </w:tc>
              <w:tc>
                <w:tcPr>
                  <w:tcW w:w="679" w:type="dxa"/>
                  <w:vAlign w:val="center"/>
                </w:tcPr>
                <w:p>
                  <w:pPr>
                    <w:pStyle w:val="32"/>
                    <w:spacing w:line="360" w:lineRule="exact"/>
                    <w:rPr>
                      <w:color w:val="000000" w:themeColor="text1"/>
                      <w:szCs w:val="21"/>
                    </w:rPr>
                  </w:pPr>
                  <w:r>
                    <w:rPr>
                      <w:color w:val="000000" w:themeColor="text1"/>
                      <w:szCs w:val="21"/>
                    </w:rPr>
                    <w:t>--</w:t>
                  </w:r>
                </w:p>
              </w:tc>
            </w:tr>
          </w:tbl>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567"/>
        <w:gridCol w:w="851"/>
        <w:gridCol w:w="1580"/>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268"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58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0" w:type="dxa"/>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567" w:type="dxa"/>
            <w:vAlign w:val="center"/>
          </w:tcPr>
          <w:p>
            <w:pPr>
              <w:pStyle w:val="32"/>
              <w:spacing w:line="360" w:lineRule="exact"/>
              <w:rPr>
                <w:color w:val="000000" w:themeColor="text1"/>
                <w:szCs w:val="21"/>
              </w:rPr>
            </w:pPr>
            <w:r>
              <w:rPr>
                <w:rFonts w:hint="eastAsia"/>
                <w:color w:val="000000" w:themeColor="text1"/>
                <w:szCs w:val="21"/>
              </w:rPr>
              <w:t>造粒和筛分</w:t>
            </w:r>
          </w:p>
        </w:tc>
        <w:tc>
          <w:tcPr>
            <w:tcW w:w="851" w:type="dxa"/>
            <w:vAlign w:val="center"/>
          </w:tcPr>
          <w:p>
            <w:pPr>
              <w:pStyle w:val="32"/>
              <w:spacing w:line="360" w:lineRule="exact"/>
              <w:rPr>
                <w:color w:val="000000" w:themeColor="text1"/>
                <w:szCs w:val="21"/>
              </w:rPr>
            </w:pPr>
            <w:r>
              <w:rPr>
                <w:color w:val="000000" w:themeColor="text1"/>
                <w:szCs w:val="21"/>
              </w:rPr>
              <w:t>有组织</w:t>
            </w:r>
          </w:p>
        </w:tc>
        <w:tc>
          <w:tcPr>
            <w:tcW w:w="1580" w:type="dxa"/>
            <w:vAlign w:val="center"/>
          </w:tcPr>
          <w:p>
            <w:pPr>
              <w:pStyle w:val="32"/>
              <w:spacing w:line="360" w:lineRule="exact"/>
              <w:rPr>
                <w:color w:val="000000" w:themeColor="text1"/>
                <w:szCs w:val="21"/>
              </w:rPr>
            </w:pPr>
            <w:r>
              <w:rPr>
                <w:rFonts w:hint="eastAsia"/>
                <w:color w:val="000000" w:themeColor="text1"/>
                <w:szCs w:val="21"/>
              </w:rPr>
              <w:t>粉尘</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项目针对</w:t>
            </w:r>
            <w:r>
              <w:rPr>
                <w:color w:val="000000" w:themeColor="text1"/>
                <w:szCs w:val="21"/>
              </w:rPr>
              <w:t>造粒</w:t>
            </w:r>
            <w:r>
              <w:rPr>
                <w:rFonts w:hint="eastAsia"/>
                <w:color w:val="000000" w:themeColor="text1"/>
                <w:szCs w:val="21"/>
              </w:rPr>
              <w:t>和筛分</w:t>
            </w:r>
            <w:r>
              <w:rPr>
                <w:color w:val="000000" w:themeColor="text1"/>
                <w:szCs w:val="21"/>
              </w:rPr>
              <w:t>粉尘，项目拟对造粒</w:t>
            </w:r>
            <w:r>
              <w:rPr>
                <w:rFonts w:hint="eastAsia"/>
                <w:color w:val="000000" w:themeColor="text1"/>
                <w:szCs w:val="21"/>
              </w:rPr>
              <w:t>和筛分</w:t>
            </w:r>
            <w:r>
              <w:rPr>
                <w:color w:val="000000" w:themeColor="text1"/>
                <w:szCs w:val="21"/>
              </w:rPr>
              <w:t>工序产尘点进行封闭，并设置集气罩，将粉尘进行统一收集后，通过1台布袋除尘器进行处理，并经过1根Φ0.35m、高15m的排气筒（DA001）外排</w:t>
            </w:r>
            <w:r>
              <w:rPr>
                <w:rFonts w:hint="eastAsia"/>
                <w:color w:val="000000" w:themeColor="text1"/>
                <w:szCs w:val="21"/>
              </w:rPr>
              <w:t>；集气罩集气效率为95%，袋式除尘器平均除尘效率为99%。</w:t>
            </w:r>
          </w:p>
        </w:tc>
        <w:tc>
          <w:tcPr>
            <w:tcW w:w="1719"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《大气污染物综合排放标准》（GB16297-1996）中表2标准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2"/>
              <w:spacing w:line="360" w:lineRule="exact"/>
              <w:rPr>
                <w:color w:val="000000" w:themeColor="text1"/>
                <w:szCs w:val="21"/>
              </w:rPr>
            </w:pPr>
            <w:r>
              <w:rPr>
                <w:color w:val="000000" w:themeColor="text1"/>
                <w:szCs w:val="21"/>
              </w:rPr>
              <w:t>含腐植酸液体水溶肥生产线</w:t>
            </w:r>
          </w:p>
        </w:tc>
        <w:tc>
          <w:tcPr>
            <w:tcW w:w="567" w:type="dxa"/>
            <w:vAlign w:val="center"/>
          </w:tcPr>
          <w:p>
            <w:pPr>
              <w:pStyle w:val="32"/>
              <w:spacing w:line="360" w:lineRule="exact"/>
              <w:rPr>
                <w:color w:val="000000" w:themeColor="text1"/>
                <w:szCs w:val="21"/>
              </w:rPr>
            </w:pPr>
            <w:r>
              <w:rPr>
                <w:rFonts w:hint="eastAsia"/>
                <w:color w:val="000000" w:themeColor="text1"/>
                <w:szCs w:val="21"/>
              </w:rPr>
              <w:t>原料异味</w:t>
            </w:r>
          </w:p>
        </w:tc>
        <w:tc>
          <w:tcPr>
            <w:tcW w:w="851" w:type="dxa"/>
            <w:vAlign w:val="center"/>
          </w:tcPr>
          <w:p>
            <w:pPr>
              <w:pStyle w:val="32"/>
              <w:spacing w:line="360" w:lineRule="exact"/>
              <w:rPr>
                <w:color w:val="000000" w:themeColor="text1"/>
                <w:szCs w:val="21"/>
              </w:rPr>
            </w:pPr>
            <w:r>
              <w:rPr>
                <w:rFonts w:hint="eastAsia"/>
                <w:color w:val="000000" w:themeColor="text1"/>
                <w:szCs w:val="21"/>
              </w:rPr>
              <w:t>无组织</w:t>
            </w:r>
          </w:p>
        </w:tc>
        <w:tc>
          <w:tcPr>
            <w:tcW w:w="1580" w:type="dxa"/>
            <w:vAlign w:val="center"/>
          </w:tcPr>
          <w:p>
            <w:pPr>
              <w:pStyle w:val="32"/>
              <w:rPr>
                <w:color w:val="000000" w:themeColor="text1"/>
                <w:szCs w:val="21"/>
              </w:rPr>
            </w:pPr>
            <w:r>
              <w:rPr>
                <w:rFonts w:hint="eastAsia"/>
                <w:color w:val="000000" w:themeColor="text1"/>
                <w:szCs w:val="21"/>
              </w:rPr>
              <w:t>臭气浓度</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w:t>
            </w:r>
          </w:p>
        </w:tc>
        <w:tc>
          <w:tcPr>
            <w:tcW w:w="1719"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《恶臭污染物排放标准》（GB14554-93）中无组织</w:t>
            </w:r>
            <w:r>
              <w:rPr>
                <w:rFonts w:hint="eastAsia"/>
                <w:color w:val="000000" w:themeColor="text1"/>
                <w:szCs w:val="21"/>
              </w:rPr>
              <w:t>二级</w:t>
            </w:r>
            <w:r>
              <w:rPr>
                <w:color w:val="000000" w:themeColor="text1"/>
                <w:szCs w:val="21"/>
              </w:rPr>
              <w:t>排放标准</w:t>
            </w:r>
            <w:r>
              <w:rPr>
                <w:rFonts w:hint="eastAsia"/>
                <w:color w:val="000000" w:themeColor="text1"/>
                <w:szCs w:val="21"/>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417" w:type="dxa"/>
            <w:gridSpan w:val="2"/>
            <w:vAlign w:val="center"/>
          </w:tcPr>
          <w:p>
            <w:pPr>
              <w:pStyle w:val="32"/>
              <w:spacing w:line="360" w:lineRule="exact"/>
              <w:rPr>
                <w:color w:val="000000" w:themeColor="text1"/>
                <w:szCs w:val="21"/>
              </w:rPr>
            </w:pPr>
            <w:r>
              <w:rPr>
                <w:color w:val="000000" w:themeColor="text1"/>
                <w:szCs w:val="21"/>
              </w:rPr>
              <w:t>设备清洗</w:t>
            </w:r>
          </w:p>
        </w:tc>
        <w:tc>
          <w:tcPr>
            <w:tcW w:w="851" w:type="dxa"/>
            <w:vAlign w:val="center"/>
          </w:tcPr>
          <w:p>
            <w:pPr>
              <w:pStyle w:val="32"/>
              <w:spacing w:line="360" w:lineRule="exact"/>
              <w:rPr>
                <w:color w:val="000000" w:themeColor="text1"/>
                <w:szCs w:val="21"/>
              </w:rPr>
            </w:pPr>
            <w:r>
              <w:rPr>
                <w:color w:val="000000" w:themeColor="text1"/>
                <w:szCs w:val="21"/>
              </w:rPr>
              <w:t>不外排</w:t>
            </w:r>
          </w:p>
        </w:tc>
        <w:tc>
          <w:tcPr>
            <w:tcW w:w="1580" w:type="dxa"/>
            <w:vAlign w:val="center"/>
          </w:tcPr>
          <w:p>
            <w:pPr>
              <w:pStyle w:val="32"/>
              <w:spacing w:line="360" w:lineRule="exact"/>
              <w:rPr>
                <w:color w:val="000000" w:themeColor="text1"/>
                <w:szCs w:val="21"/>
              </w:rPr>
            </w:pPr>
            <w:r>
              <w:rPr>
                <w:rFonts w:hint="eastAsia"/>
                <w:color w:val="000000" w:themeColor="text1"/>
                <w:szCs w:val="21"/>
              </w:rPr>
              <w:t>设备清洗废水（</w:t>
            </w:r>
            <w:r>
              <w:rPr>
                <w:color w:val="000000" w:themeColor="text1"/>
                <w:szCs w:val="21"/>
              </w:rPr>
              <w:t>pH</w:t>
            </w:r>
            <w:r>
              <w:rPr>
                <w:rFonts w:hint="eastAsia"/>
                <w:color w:val="000000" w:themeColor="text1"/>
                <w:szCs w:val="21"/>
              </w:rPr>
              <w:t>、</w:t>
            </w:r>
            <w:r>
              <w:rPr>
                <w:color w:val="000000" w:themeColor="text1"/>
                <w:szCs w:val="21"/>
              </w:rPr>
              <w:t>CODcr</w:t>
            </w:r>
            <w:r>
              <w:rPr>
                <w:rFonts w:hint="eastAsia"/>
                <w:color w:val="000000" w:themeColor="text1"/>
                <w:szCs w:val="21"/>
              </w:rPr>
              <w:t>、</w:t>
            </w:r>
            <w:r>
              <w:rPr>
                <w:color w:val="000000" w:themeColor="text1"/>
                <w:szCs w:val="21"/>
              </w:rPr>
              <w:t>BOD</w:t>
            </w:r>
            <w:r>
              <w:rPr>
                <w:color w:val="000000" w:themeColor="text1"/>
                <w:szCs w:val="21"/>
                <w:vertAlign w:val="subscript"/>
              </w:rPr>
              <w:t>5</w:t>
            </w:r>
            <w:r>
              <w:rPr>
                <w:rFonts w:hint="eastAsia"/>
                <w:color w:val="000000" w:themeColor="text1"/>
                <w:szCs w:val="21"/>
              </w:rPr>
              <w:t>、</w:t>
            </w:r>
            <w:r>
              <w:rPr>
                <w:color w:val="000000" w:themeColor="text1"/>
                <w:szCs w:val="21"/>
              </w:rPr>
              <w:t>SS</w:t>
            </w:r>
            <w:r>
              <w:rPr>
                <w:rFonts w:hint="eastAsia"/>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w:t>
            </w:r>
            <w:r>
              <w:rPr>
                <w:rFonts w:hint="eastAsia"/>
                <w:color w:val="000000" w:themeColor="text1"/>
                <w:szCs w:val="21"/>
              </w:rPr>
              <w:t>、</w:t>
            </w:r>
            <w:r>
              <w:rPr>
                <w:color w:val="000000" w:themeColor="text1"/>
                <w:szCs w:val="21"/>
              </w:rPr>
              <w:t>TN</w:t>
            </w:r>
            <w:r>
              <w:rPr>
                <w:rFonts w:hint="eastAsia"/>
                <w:color w:val="000000" w:themeColor="text1"/>
                <w:szCs w:val="21"/>
              </w:rPr>
              <w:t>、</w:t>
            </w:r>
            <w:r>
              <w:rPr>
                <w:color w:val="000000" w:themeColor="text1"/>
                <w:szCs w:val="21"/>
              </w:rPr>
              <w:t>TP</w:t>
            </w:r>
            <w:r>
              <w:rPr>
                <w:rFonts w:hint="eastAsia"/>
                <w:color w:val="000000" w:themeColor="text1"/>
                <w:szCs w:val="21"/>
              </w:rPr>
              <w:t>、</w:t>
            </w:r>
            <w:r>
              <w:rPr>
                <w:color w:val="000000" w:themeColor="text1"/>
                <w:szCs w:val="21"/>
              </w:rPr>
              <w:t>阴离子表面活性剂</w:t>
            </w:r>
            <w:r>
              <w:rPr>
                <w:rFonts w:hint="eastAsia"/>
                <w:color w:val="000000" w:themeColor="text1"/>
                <w:szCs w:val="21"/>
              </w:rPr>
              <w:t>）</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设备清洗废水含有大量的有益元素，经两个有效容积合计不低于2m³的沉淀池收集后，用于项目含腐植酸液体水溶肥生产线作为原料生产使用，不外排。</w:t>
            </w:r>
          </w:p>
        </w:tc>
        <w:tc>
          <w:tcPr>
            <w:tcW w:w="1719"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2"/>
              <w:spacing w:line="360" w:lineRule="exact"/>
              <w:rPr>
                <w:color w:val="000000" w:themeColor="text1"/>
                <w:szCs w:val="21"/>
              </w:rPr>
            </w:pPr>
            <w:r>
              <w:rPr>
                <w:rFonts w:hint="eastAsia"/>
                <w:color w:val="000000" w:themeColor="text1"/>
                <w:szCs w:val="21"/>
              </w:rPr>
              <w:t>员工生活</w:t>
            </w:r>
          </w:p>
        </w:tc>
        <w:tc>
          <w:tcPr>
            <w:tcW w:w="851" w:type="dxa"/>
            <w:vAlign w:val="center"/>
          </w:tcPr>
          <w:p>
            <w:pPr>
              <w:pStyle w:val="32"/>
              <w:spacing w:line="360" w:lineRule="exact"/>
              <w:rPr>
                <w:color w:val="000000" w:themeColor="text1"/>
                <w:szCs w:val="21"/>
              </w:rPr>
            </w:pPr>
            <w:r>
              <w:rPr>
                <w:rFonts w:hint="eastAsia"/>
                <w:color w:val="000000" w:themeColor="text1"/>
                <w:szCs w:val="21"/>
              </w:rPr>
              <w:t>不外排</w:t>
            </w:r>
          </w:p>
        </w:tc>
        <w:tc>
          <w:tcPr>
            <w:tcW w:w="1580" w:type="dxa"/>
            <w:vAlign w:val="center"/>
          </w:tcPr>
          <w:p>
            <w:pPr>
              <w:pStyle w:val="32"/>
              <w:spacing w:line="360" w:lineRule="exact"/>
              <w:rPr>
                <w:color w:val="000000" w:themeColor="text1"/>
                <w:szCs w:val="21"/>
              </w:rPr>
            </w:pPr>
            <w:r>
              <w:rPr>
                <w:rFonts w:hint="eastAsia"/>
                <w:color w:val="000000" w:themeColor="text1"/>
                <w:szCs w:val="21"/>
              </w:rPr>
              <w:t>生活污水</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项目产生的生活污水纳入昆明再生资源（集团）天生桥再生资源回收基地管理。</w:t>
            </w:r>
          </w:p>
        </w:tc>
        <w:tc>
          <w:tcPr>
            <w:tcW w:w="1719" w:type="dxa"/>
            <w:tcBorders>
              <w:top w:val="single" w:color="auto" w:sz="4" w:space="0"/>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《城市污水再生利用 城市杂用水水质》（GB/T18920 -2020）城市绿化标准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2"/>
              <w:spacing w:line="360" w:lineRule="exact"/>
              <w:rPr>
                <w:color w:val="000000" w:themeColor="text1"/>
                <w:szCs w:val="21"/>
                <w:lang w:val="en-US"/>
              </w:rPr>
            </w:pPr>
            <w:r>
              <w:rPr>
                <w:rFonts w:hint="eastAsia"/>
                <w:color w:val="000000" w:themeColor="text1"/>
                <w:szCs w:val="21"/>
                <w:lang w:val="en-US"/>
              </w:rPr>
              <w:t>厂区范围</w:t>
            </w:r>
          </w:p>
        </w:tc>
        <w:tc>
          <w:tcPr>
            <w:tcW w:w="851" w:type="dxa"/>
            <w:vAlign w:val="center"/>
          </w:tcPr>
          <w:p>
            <w:pPr>
              <w:pStyle w:val="32"/>
              <w:spacing w:line="360" w:lineRule="exact"/>
              <w:rPr>
                <w:color w:val="000000" w:themeColor="text1"/>
                <w:szCs w:val="21"/>
              </w:rPr>
            </w:pPr>
            <w:r>
              <w:rPr>
                <w:color w:val="000000" w:themeColor="text1"/>
                <w:szCs w:val="21"/>
              </w:rPr>
              <w:t>雨水口</w:t>
            </w:r>
          </w:p>
        </w:tc>
        <w:tc>
          <w:tcPr>
            <w:tcW w:w="1580" w:type="dxa"/>
            <w:vAlign w:val="center"/>
          </w:tcPr>
          <w:p>
            <w:pPr>
              <w:pStyle w:val="32"/>
              <w:spacing w:line="360" w:lineRule="exact"/>
              <w:rPr>
                <w:color w:val="000000" w:themeColor="text1"/>
                <w:szCs w:val="21"/>
              </w:rPr>
            </w:pPr>
            <w:r>
              <w:rPr>
                <w:color w:val="000000" w:themeColor="text1"/>
                <w:szCs w:val="21"/>
              </w:rPr>
              <w:t>雨水</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19"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0" w:type="dxa"/>
            <w:vMerge w:val="restart"/>
            <w:vAlign w:val="center"/>
          </w:tcPr>
          <w:p>
            <w:pPr>
              <w:pStyle w:val="32"/>
              <w:spacing w:line="360" w:lineRule="exact"/>
              <w:rPr>
                <w:color w:val="000000" w:themeColor="text1"/>
                <w:szCs w:val="21"/>
              </w:rPr>
            </w:pPr>
            <w:r>
              <w:rPr>
                <w:rFonts w:hint="eastAsia"/>
                <w:color w:val="000000" w:themeColor="text1"/>
                <w:szCs w:val="21"/>
              </w:rPr>
              <w:t>颗粒</w:t>
            </w:r>
            <w:r>
              <w:rPr>
                <w:color w:val="000000" w:themeColor="text1"/>
                <w:szCs w:val="21"/>
              </w:rPr>
              <w:t>水溶肥生产线</w:t>
            </w:r>
          </w:p>
        </w:tc>
        <w:tc>
          <w:tcPr>
            <w:tcW w:w="1418" w:type="dxa"/>
            <w:gridSpan w:val="2"/>
            <w:vAlign w:val="center"/>
          </w:tcPr>
          <w:p>
            <w:pPr>
              <w:pStyle w:val="32"/>
              <w:spacing w:line="360" w:lineRule="exact"/>
              <w:rPr>
                <w:color w:val="000000" w:themeColor="text1"/>
                <w:szCs w:val="21"/>
              </w:rPr>
            </w:pPr>
            <w:r>
              <w:rPr>
                <w:color w:val="000000" w:themeColor="text1"/>
                <w:szCs w:val="21"/>
              </w:rPr>
              <w:t>提升机</w:t>
            </w:r>
          </w:p>
        </w:tc>
        <w:tc>
          <w:tcPr>
            <w:tcW w:w="1580"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带式输送机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混合搅拌机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挤压造粒机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rFonts w:hint="eastAsia"/>
                <w:color w:val="000000" w:themeColor="text1"/>
                <w:szCs w:val="21"/>
              </w:rPr>
              <w:t>筛分机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热压封口机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打包机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粉状</w:t>
            </w:r>
            <w:r>
              <w:rPr>
                <w:color w:val="000000" w:themeColor="text1"/>
                <w:szCs w:val="21"/>
              </w:rPr>
              <w:t>水溶肥生产线</w:t>
            </w:r>
          </w:p>
        </w:tc>
        <w:tc>
          <w:tcPr>
            <w:tcW w:w="1418" w:type="dxa"/>
            <w:gridSpan w:val="2"/>
            <w:vAlign w:val="center"/>
          </w:tcPr>
          <w:p>
            <w:pPr>
              <w:pStyle w:val="32"/>
              <w:spacing w:line="360" w:lineRule="exact"/>
              <w:rPr>
                <w:color w:val="000000" w:themeColor="text1"/>
                <w:szCs w:val="21"/>
              </w:rPr>
            </w:pPr>
            <w:r>
              <w:rPr>
                <w:color w:val="000000" w:themeColor="text1"/>
                <w:szCs w:val="21"/>
              </w:rPr>
              <w:t>混合搅拌机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热压封口机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打包机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含腐植酸液体水溶肥</w:t>
            </w:r>
          </w:p>
        </w:tc>
        <w:tc>
          <w:tcPr>
            <w:tcW w:w="1418" w:type="dxa"/>
            <w:gridSpan w:val="2"/>
            <w:tcBorders>
              <w:bottom w:val="single" w:color="auto" w:sz="4" w:space="0"/>
            </w:tcBorders>
            <w:vAlign w:val="center"/>
          </w:tcPr>
          <w:p>
            <w:pPr>
              <w:pStyle w:val="32"/>
              <w:spacing w:line="360" w:lineRule="exact"/>
              <w:rPr>
                <w:color w:val="000000" w:themeColor="text1"/>
                <w:szCs w:val="21"/>
              </w:rPr>
            </w:pPr>
            <w:r>
              <w:rPr>
                <w:color w:val="000000" w:themeColor="text1"/>
                <w:szCs w:val="21"/>
              </w:rPr>
              <w:t>搅拌罐</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tcBorders>
              <w:top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喷码机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2"/>
              <w:spacing w:line="360" w:lineRule="exact"/>
              <w:rPr>
                <w:color w:val="000000" w:themeColor="text1"/>
                <w:szCs w:val="21"/>
              </w:rPr>
            </w:pPr>
            <w:r>
              <w:rPr>
                <w:rFonts w:hint="eastAsia"/>
                <w:color w:val="000000" w:themeColor="text1"/>
                <w:szCs w:val="21"/>
              </w:rPr>
              <w:t>储运</w:t>
            </w:r>
          </w:p>
        </w:tc>
        <w:tc>
          <w:tcPr>
            <w:tcW w:w="1418" w:type="dxa"/>
            <w:gridSpan w:val="2"/>
            <w:vAlign w:val="center"/>
          </w:tcPr>
          <w:p>
            <w:pPr>
              <w:pStyle w:val="32"/>
              <w:spacing w:line="360" w:lineRule="exact"/>
              <w:rPr>
                <w:color w:val="000000" w:themeColor="text1"/>
                <w:szCs w:val="21"/>
              </w:rPr>
            </w:pPr>
            <w:r>
              <w:rPr>
                <w:rFonts w:hint="eastAsia"/>
                <w:color w:val="000000" w:themeColor="text1"/>
                <w:szCs w:val="21"/>
              </w:rPr>
              <w:t>叉车</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268" w:type="dxa"/>
            <w:gridSpan w:val="3"/>
            <w:vAlign w:val="center"/>
          </w:tcPr>
          <w:p>
            <w:pPr>
              <w:pStyle w:val="32"/>
              <w:spacing w:line="360" w:lineRule="exact"/>
              <w:rPr>
                <w:color w:val="000000" w:themeColor="text1"/>
                <w:szCs w:val="21"/>
              </w:rPr>
            </w:pPr>
            <w:r>
              <w:rPr>
                <w:color w:val="000000" w:themeColor="text1"/>
                <w:szCs w:val="21"/>
              </w:rPr>
              <w:t>原料堆存区</w:t>
            </w:r>
          </w:p>
        </w:tc>
        <w:tc>
          <w:tcPr>
            <w:tcW w:w="1580"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废包装材料</w:t>
            </w:r>
          </w:p>
        </w:tc>
        <w:tc>
          <w:tcPr>
            <w:tcW w:w="298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收集后定时外售相关回收单位处理。</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tcBorders>
              <w:top w:val="single" w:color="auto" w:sz="4" w:space="0"/>
            </w:tcBorders>
            <w:vAlign w:val="center"/>
          </w:tcPr>
          <w:p>
            <w:pPr>
              <w:pStyle w:val="32"/>
              <w:spacing w:line="360" w:lineRule="exact"/>
              <w:rPr>
                <w:color w:val="000000" w:themeColor="text1"/>
                <w:szCs w:val="21"/>
              </w:rPr>
            </w:pPr>
            <w:r>
              <w:rPr>
                <w:color w:val="000000" w:themeColor="text1"/>
                <w:szCs w:val="21"/>
              </w:rPr>
              <w:t>布袋除尘器</w:t>
            </w:r>
          </w:p>
        </w:tc>
        <w:tc>
          <w:tcPr>
            <w:tcW w:w="1580"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收集粉尘</w:t>
            </w:r>
          </w:p>
        </w:tc>
        <w:tc>
          <w:tcPr>
            <w:tcW w:w="298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直接返回</w:t>
            </w:r>
            <w:r>
              <w:rPr>
                <w:rFonts w:eastAsiaTheme="minorEastAsia"/>
                <w:color w:val="000000" w:themeColor="text1"/>
                <w:szCs w:val="24"/>
              </w:rPr>
              <w:t>大量元素固体</w:t>
            </w:r>
            <w:r>
              <w:rPr>
                <w:rFonts w:hint="eastAsia" w:eastAsiaTheme="minorEastAsia"/>
                <w:color w:val="000000" w:themeColor="text1"/>
                <w:szCs w:val="24"/>
              </w:rPr>
              <w:t>（颗粒）</w:t>
            </w:r>
            <w:r>
              <w:rPr>
                <w:rFonts w:eastAsiaTheme="minorEastAsia"/>
                <w:color w:val="000000" w:themeColor="text1"/>
                <w:szCs w:val="24"/>
              </w:rPr>
              <w:t>水溶肥</w:t>
            </w:r>
            <w:r>
              <w:rPr>
                <w:rFonts w:hint="eastAsia" w:eastAsiaTheme="minorEastAsia"/>
                <w:color w:val="000000" w:themeColor="text1"/>
                <w:szCs w:val="24"/>
              </w:rPr>
              <w:t>生产线造粒工序作为原料利用。</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6" w:hRule="atLeast"/>
          <w:jc w:val="center"/>
        </w:trPr>
        <w:tc>
          <w:tcPr>
            <w:tcW w:w="806" w:type="dxa"/>
            <w:vMerge w:val="continue"/>
            <w:tcBorders>
              <w:bottom w:val="single" w:color="000000" w:themeColor="text1" w:sz="4" w:space="0"/>
            </w:tcBorders>
            <w:vAlign w:val="center"/>
          </w:tcPr>
          <w:p>
            <w:pPr>
              <w:spacing w:line="360" w:lineRule="exact"/>
              <w:jc w:val="center"/>
              <w:rPr>
                <w:rFonts w:ascii="Times New Roman" w:hAnsi="Times New Roman" w:cs="Times New Roman"/>
                <w:color w:val="000000" w:themeColor="text1"/>
              </w:rPr>
            </w:pPr>
          </w:p>
        </w:tc>
        <w:tc>
          <w:tcPr>
            <w:tcW w:w="2268" w:type="dxa"/>
            <w:gridSpan w:val="3"/>
            <w:vMerge w:val="restart"/>
            <w:tcBorders>
              <w:bottom w:val="single" w:color="000000" w:themeColor="text1" w:sz="4" w:space="0"/>
            </w:tcBorders>
            <w:vAlign w:val="center"/>
          </w:tcPr>
          <w:p>
            <w:pPr>
              <w:pStyle w:val="32"/>
              <w:spacing w:line="360" w:lineRule="exact"/>
              <w:rPr>
                <w:color w:val="000000" w:themeColor="text1"/>
                <w:szCs w:val="21"/>
              </w:rPr>
            </w:pPr>
            <w:r>
              <w:rPr>
                <w:color w:val="000000" w:themeColor="text1"/>
                <w:szCs w:val="21"/>
              </w:rPr>
              <w:t>设备维护</w:t>
            </w:r>
          </w:p>
        </w:tc>
        <w:tc>
          <w:tcPr>
            <w:tcW w:w="1580" w:type="dxa"/>
            <w:tcBorders>
              <w:bottom w:val="single" w:color="000000" w:themeColor="text1" w:sz="4" w:space="0"/>
            </w:tcBorders>
            <w:vAlign w:val="center"/>
          </w:tcPr>
          <w:p>
            <w:pPr>
              <w:pStyle w:val="32"/>
              <w:spacing w:line="360" w:lineRule="exact"/>
              <w:rPr>
                <w:color w:val="000000" w:themeColor="text1"/>
                <w:szCs w:val="21"/>
              </w:rPr>
            </w:pPr>
            <w:r>
              <w:rPr>
                <w:color w:val="000000" w:themeColor="text1"/>
                <w:szCs w:val="21"/>
              </w:rPr>
              <w:t>废机油</w:t>
            </w:r>
          </w:p>
        </w:tc>
        <w:tc>
          <w:tcPr>
            <w:tcW w:w="2983" w:type="dxa"/>
            <w:vMerge w:val="restart"/>
            <w:tcBorders>
              <w:top w:val="single" w:color="auto" w:sz="4" w:space="0"/>
              <w:bottom w:val="single" w:color="000000" w:themeColor="text1"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厂区拟建设了1个5m²的危险废物贮存间对项目区危险废物进行分类暂存；委托有资质的单位处置。</w:t>
            </w:r>
          </w:p>
        </w:tc>
        <w:tc>
          <w:tcPr>
            <w:tcW w:w="1719" w:type="dxa"/>
            <w:vMerge w:val="restart"/>
            <w:tcBorders>
              <w:top w:val="single" w:color="auto" w:sz="4" w:space="0"/>
              <w:bottom w:val="single" w:color="000000" w:themeColor="text1"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pStyle w:val="32"/>
              <w:spacing w:line="360" w:lineRule="exact"/>
              <w:rPr>
                <w:color w:val="000000" w:themeColor="text1"/>
                <w:szCs w:val="21"/>
              </w:rPr>
            </w:pPr>
          </w:p>
        </w:tc>
        <w:tc>
          <w:tcPr>
            <w:tcW w:w="1580" w:type="dxa"/>
            <w:vAlign w:val="center"/>
          </w:tcPr>
          <w:p>
            <w:pPr>
              <w:pStyle w:val="32"/>
              <w:spacing w:line="360" w:lineRule="exact"/>
              <w:rPr>
                <w:color w:val="000000" w:themeColor="text1"/>
                <w:szCs w:val="21"/>
              </w:rPr>
            </w:pPr>
            <w:r>
              <w:rPr>
                <w:color w:val="000000" w:themeColor="text1"/>
                <w:szCs w:val="21"/>
              </w:rPr>
              <w:t>废弃沾油抹布</w:t>
            </w: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Align w:val="center"/>
          </w:tcPr>
          <w:p>
            <w:pPr>
              <w:pStyle w:val="32"/>
              <w:spacing w:line="360" w:lineRule="exact"/>
              <w:rPr>
                <w:color w:val="000000" w:themeColor="text1"/>
                <w:szCs w:val="21"/>
              </w:rPr>
            </w:pPr>
            <w:r>
              <w:rPr>
                <w:color w:val="000000" w:themeColor="text1"/>
                <w:szCs w:val="21"/>
              </w:rPr>
              <w:t>员工生活</w:t>
            </w:r>
          </w:p>
        </w:tc>
        <w:tc>
          <w:tcPr>
            <w:tcW w:w="1580" w:type="dxa"/>
            <w:vAlign w:val="center"/>
          </w:tcPr>
          <w:p>
            <w:pPr>
              <w:pStyle w:val="32"/>
              <w:spacing w:line="360" w:lineRule="exact"/>
              <w:rPr>
                <w:color w:val="000000" w:themeColor="text1"/>
                <w:szCs w:val="21"/>
              </w:rPr>
            </w:pPr>
            <w:r>
              <w:rPr>
                <w:color w:val="000000" w:themeColor="text1"/>
                <w:szCs w:val="21"/>
              </w:rPr>
              <w:t>生活垃圾</w:t>
            </w:r>
          </w:p>
        </w:tc>
        <w:tc>
          <w:tcPr>
            <w:tcW w:w="298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危险废物贮存间地面和裙墙应采用不低于2mm厚的HDPE膜或其他人工防渗材料进行防渗，使其渗透系数≤10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根据调查，项目</w:t>
            </w:r>
            <w:r>
              <w:rPr>
                <w:rFonts w:eastAsiaTheme="minorEastAsia"/>
                <w:color w:val="000000" w:themeColor="text1"/>
                <w:sz w:val="24"/>
                <w:szCs w:val="21"/>
              </w:rPr>
              <w:t>一般防渗区措施在地面采取粘土铺底，并在上层铺30cm的混凝土进行硬化。确保防渗性能，使其渗透系数≤1.0×10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eastAsiaTheme="minorEastAsia"/>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2"/>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根据该项目环境影响途经，提出以下风险防范措施：</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①生产车间</w:t>
            </w:r>
            <w:r>
              <w:rPr>
                <w:rFonts w:eastAsiaTheme="minorEastAsia"/>
                <w:color w:val="000000" w:themeColor="text1"/>
                <w:sz w:val="24"/>
                <w:szCs w:val="21"/>
              </w:rPr>
              <w:t>严禁烟火</w:t>
            </w:r>
            <w:r>
              <w:rPr>
                <w:rFonts w:hint="eastAsia" w:eastAsiaTheme="minorEastAsia"/>
                <w:color w:val="000000" w:themeColor="text1"/>
                <w:sz w:val="24"/>
                <w:szCs w:val="21"/>
              </w:rPr>
              <w:t>。</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②</w:t>
            </w:r>
            <w:r>
              <w:rPr>
                <w:rFonts w:eastAsiaTheme="minorEastAsia"/>
                <w:color w:val="000000" w:themeColor="text1"/>
                <w:sz w:val="24"/>
                <w:szCs w:val="21"/>
              </w:rPr>
              <w:t>项目区配备相应品种的消防器材；</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③加强车间原辅材料暂存管理，各种材料应分别存放，应有专人管理，加强防火。</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④</w:t>
            </w:r>
            <w:r>
              <w:rPr>
                <w:rFonts w:eastAsiaTheme="minorEastAsia"/>
                <w:color w:val="000000" w:themeColor="text1"/>
                <w:sz w:val="24"/>
                <w:szCs w:val="21"/>
              </w:rPr>
              <w:t>严格按照安全、消防部门以及安全预评价的要求存储区出入口处设置消防设备。</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w:instrText>
            </w:r>
            <w:r>
              <w:rPr>
                <w:rFonts w:hint="eastAsia" w:eastAsiaTheme="minorEastAsia"/>
                <w:color w:val="000000" w:themeColor="text1"/>
                <w:sz w:val="24"/>
                <w:szCs w:val="21"/>
              </w:rPr>
              <w:instrText xml:space="preserve">= 5 \* GB3</w:instrText>
            </w:r>
            <w:r>
              <w:rPr>
                <w:rFonts w:eastAsiaTheme="minorEastAsia"/>
                <w:color w:val="000000" w:themeColor="text1"/>
                <w:sz w:val="24"/>
                <w:szCs w:val="21"/>
              </w:rPr>
              <w:instrText xml:space="preserve">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⑤</w:t>
            </w:r>
            <w:r>
              <w:rPr>
                <w:rFonts w:eastAsiaTheme="minorEastAsia"/>
                <w:color w:val="000000" w:themeColor="text1"/>
                <w:sz w:val="24"/>
                <w:szCs w:val="21"/>
              </w:rPr>
              <w:fldChar w:fldCharType="end"/>
            </w:r>
            <w:r>
              <w:rPr>
                <w:rFonts w:hint="eastAsia" w:eastAsiaTheme="minorEastAsia"/>
                <w:color w:val="000000" w:themeColor="text1"/>
                <w:sz w:val="24"/>
                <w:szCs w:val="21"/>
              </w:rPr>
              <w:t>加强危险物质存储管理，确保其安全；同时规范操作，在取用运输过程，防止其跑冒滴漏。</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⑥</w:t>
            </w:r>
            <w:r>
              <w:rPr>
                <w:rFonts w:eastAsiaTheme="minorEastAsia"/>
                <w:color w:val="000000" w:themeColor="text1"/>
                <w:sz w:val="24"/>
                <w:szCs w:val="21"/>
              </w:rPr>
              <w:t>强化禁火区域安全管理，严禁烟火，将生产、储存装置区域列为禁火区，区内加强火源管理，严禁吸烟。</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⑦严格按照</w:t>
            </w:r>
            <w:r>
              <w:rPr>
                <w:rFonts w:eastAsiaTheme="minorEastAsia"/>
                <w:color w:val="000000" w:themeColor="text1"/>
                <w:sz w:val="24"/>
                <w:szCs w:val="21"/>
              </w:rPr>
              <w:t>安全、消防部门</w:t>
            </w:r>
            <w:r>
              <w:rPr>
                <w:rFonts w:hint="eastAsia" w:eastAsiaTheme="minorEastAsia"/>
                <w:color w:val="000000" w:themeColor="text1"/>
                <w:sz w:val="24"/>
                <w:szCs w:val="21"/>
              </w:rPr>
              <w:t>以及安全预评价的要求</w:t>
            </w:r>
            <w:r>
              <w:rPr>
                <w:rFonts w:eastAsiaTheme="minorEastAsia"/>
                <w:color w:val="000000" w:themeColor="text1"/>
                <w:sz w:val="24"/>
                <w:szCs w:val="21"/>
              </w:rPr>
              <w:t>在仓库和存储区出入口处设置</w:t>
            </w:r>
            <w:r>
              <w:rPr>
                <w:rFonts w:hint="eastAsia" w:eastAsiaTheme="minorEastAsia"/>
                <w:color w:val="000000" w:themeColor="text1"/>
                <w:sz w:val="24"/>
                <w:szCs w:val="21"/>
              </w:rPr>
              <w:t>消防设备。</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⑧</w:t>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①建设单位按照危险废物管理的规范要求，设置危险废物识别标志、环境保护图形标志。</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jc w:val="both"/>
              <w:rPr>
                <w:rFonts w:eastAsiaTheme="minorEastAsia"/>
                <w:color w:val="000000" w:themeColor="text1"/>
                <w:szCs w:val="21"/>
              </w:rPr>
            </w:pPr>
            <w:r>
              <w:rPr>
                <w:rFonts w:hint="eastAsia" w:eastAsiaTheme="minorEastAsia"/>
                <w:color w:val="000000" w:themeColor="text1"/>
                <w:sz w:val="24"/>
                <w:szCs w:val="21"/>
              </w:rPr>
              <w:t xml:space="preserve">  </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禾欧农业科技有限公司拟建设的新建年产2.5万吨水溶肥生产线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2"/>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w:t>
            </w:r>
            <w:r>
              <w:rPr>
                <w:rFonts w:hint="eastAsia" w:eastAsiaTheme="minorEastAsia"/>
                <w:color w:val="000000" w:themeColor="text1"/>
                <w:szCs w:val="21"/>
              </w:rPr>
              <w:t>（有组织）</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0.72t</w:t>
            </w:r>
            <w:r>
              <w:rPr>
                <w:rFonts w:eastAsiaTheme="minorEastAsia"/>
                <w:color w:val="000000" w:themeColor="text1"/>
                <w:szCs w:val="21"/>
              </w:rPr>
              <w: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0.72t</w:t>
            </w:r>
            <w:r>
              <w:rPr>
                <w:rFonts w:eastAsiaTheme="minorEastAsia"/>
                <w:color w:val="000000" w:themeColor="text1"/>
                <w:szCs w:val="21"/>
              </w:rPr>
              <w: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0.72t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w:t>
            </w:r>
            <w:r>
              <w:rPr>
                <w:rFonts w:hint="eastAsia" w:eastAsiaTheme="minorEastAsia"/>
                <w:color w:val="000000" w:themeColor="text1"/>
                <w:szCs w:val="21"/>
              </w:rPr>
              <w:t>（无组织）</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3.78t</w:t>
            </w:r>
            <w:r>
              <w:rPr>
                <w:rFonts w:eastAsiaTheme="minorEastAsia"/>
                <w:color w:val="000000" w:themeColor="text1"/>
                <w:szCs w:val="21"/>
              </w:rPr>
              <w: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3.78t</w:t>
            </w:r>
            <w:r>
              <w:rPr>
                <w:rFonts w:eastAsiaTheme="minorEastAsia"/>
                <w:color w:val="000000" w:themeColor="text1"/>
                <w:szCs w:val="21"/>
              </w:rPr>
              <w: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3.78t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废包装材料</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收集粉尘</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58</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dit="forms" w:enforcement="1" w:cryptProviderType="rsaFull" w:cryptAlgorithmClass="hash" w:cryptAlgorithmType="typeAny" w:cryptAlgorithmSid="4" w:cryptSpinCount="0" w:hash="KDgJLuo2JpTb49o7UuNoTJ22p8I=" w:salt="i64zRj2P5MYiJqlM201u3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45FA"/>
    <w:rsid w:val="00010518"/>
    <w:rsid w:val="0001072D"/>
    <w:rsid w:val="00010A49"/>
    <w:rsid w:val="00010CB7"/>
    <w:rsid w:val="00010E27"/>
    <w:rsid w:val="00012C80"/>
    <w:rsid w:val="00013833"/>
    <w:rsid w:val="00020BF9"/>
    <w:rsid w:val="00021721"/>
    <w:rsid w:val="0002285A"/>
    <w:rsid w:val="00031A59"/>
    <w:rsid w:val="00031CBF"/>
    <w:rsid w:val="00032B08"/>
    <w:rsid w:val="000344EF"/>
    <w:rsid w:val="00034809"/>
    <w:rsid w:val="00034BCB"/>
    <w:rsid w:val="00035576"/>
    <w:rsid w:val="00035E53"/>
    <w:rsid w:val="0003626F"/>
    <w:rsid w:val="00040A28"/>
    <w:rsid w:val="00040D99"/>
    <w:rsid w:val="00041527"/>
    <w:rsid w:val="00041801"/>
    <w:rsid w:val="00042762"/>
    <w:rsid w:val="00044769"/>
    <w:rsid w:val="000464AC"/>
    <w:rsid w:val="00046D9B"/>
    <w:rsid w:val="00050973"/>
    <w:rsid w:val="00050E55"/>
    <w:rsid w:val="00052BD5"/>
    <w:rsid w:val="00053C3A"/>
    <w:rsid w:val="00054F28"/>
    <w:rsid w:val="00055DB8"/>
    <w:rsid w:val="0005744F"/>
    <w:rsid w:val="00062FAD"/>
    <w:rsid w:val="0006358B"/>
    <w:rsid w:val="00065728"/>
    <w:rsid w:val="00067BF4"/>
    <w:rsid w:val="00070F66"/>
    <w:rsid w:val="000740ED"/>
    <w:rsid w:val="00075FFD"/>
    <w:rsid w:val="000760FE"/>
    <w:rsid w:val="00077A07"/>
    <w:rsid w:val="00082602"/>
    <w:rsid w:val="000847CC"/>
    <w:rsid w:val="000874EA"/>
    <w:rsid w:val="000937C3"/>
    <w:rsid w:val="00094A5C"/>
    <w:rsid w:val="000954A9"/>
    <w:rsid w:val="00096181"/>
    <w:rsid w:val="000A300A"/>
    <w:rsid w:val="000A68EF"/>
    <w:rsid w:val="000A6EFE"/>
    <w:rsid w:val="000B04E4"/>
    <w:rsid w:val="000B1397"/>
    <w:rsid w:val="000B35C4"/>
    <w:rsid w:val="000B4D8C"/>
    <w:rsid w:val="000B5F10"/>
    <w:rsid w:val="000B6EE8"/>
    <w:rsid w:val="000B7436"/>
    <w:rsid w:val="000B7547"/>
    <w:rsid w:val="000C1A95"/>
    <w:rsid w:val="000C3E43"/>
    <w:rsid w:val="000C536C"/>
    <w:rsid w:val="000D1B94"/>
    <w:rsid w:val="000D3EE2"/>
    <w:rsid w:val="000D4915"/>
    <w:rsid w:val="000D4A13"/>
    <w:rsid w:val="000D4A25"/>
    <w:rsid w:val="000D4D91"/>
    <w:rsid w:val="000D6CBC"/>
    <w:rsid w:val="000E2BC7"/>
    <w:rsid w:val="000E500A"/>
    <w:rsid w:val="000E6F05"/>
    <w:rsid w:val="000F2BCA"/>
    <w:rsid w:val="000F5394"/>
    <w:rsid w:val="000F5DE9"/>
    <w:rsid w:val="000F6FB2"/>
    <w:rsid w:val="0010241D"/>
    <w:rsid w:val="00103773"/>
    <w:rsid w:val="00106BF5"/>
    <w:rsid w:val="00111F14"/>
    <w:rsid w:val="00113083"/>
    <w:rsid w:val="0011371B"/>
    <w:rsid w:val="00116200"/>
    <w:rsid w:val="00121AAE"/>
    <w:rsid w:val="00122036"/>
    <w:rsid w:val="001250CA"/>
    <w:rsid w:val="00125B5D"/>
    <w:rsid w:val="00126836"/>
    <w:rsid w:val="00127411"/>
    <w:rsid w:val="00127ECB"/>
    <w:rsid w:val="001307E7"/>
    <w:rsid w:val="00134859"/>
    <w:rsid w:val="00135F33"/>
    <w:rsid w:val="00137165"/>
    <w:rsid w:val="00141A1D"/>
    <w:rsid w:val="00146195"/>
    <w:rsid w:val="001463C7"/>
    <w:rsid w:val="00153C72"/>
    <w:rsid w:val="0015464F"/>
    <w:rsid w:val="001603DF"/>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89D"/>
    <w:rsid w:val="00180DE8"/>
    <w:rsid w:val="00182D5B"/>
    <w:rsid w:val="00182E34"/>
    <w:rsid w:val="00183565"/>
    <w:rsid w:val="00183AD8"/>
    <w:rsid w:val="001864CE"/>
    <w:rsid w:val="00187B44"/>
    <w:rsid w:val="00187D74"/>
    <w:rsid w:val="00193B95"/>
    <w:rsid w:val="00197070"/>
    <w:rsid w:val="001977B7"/>
    <w:rsid w:val="00197A97"/>
    <w:rsid w:val="00197C78"/>
    <w:rsid w:val="001A023F"/>
    <w:rsid w:val="001A0E3E"/>
    <w:rsid w:val="001A6330"/>
    <w:rsid w:val="001A70EF"/>
    <w:rsid w:val="001B071C"/>
    <w:rsid w:val="001B0D06"/>
    <w:rsid w:val="001B0D8D"/>
    <w:rsid w:val="001B3113"/>
    <w:rsid w:val="001B3F75"/>
    <w:rsid w:val="001B4D27"/>
    <w:rsid w:val="001B4F20"/>
    <w:rsid w:val="001C04D4"/>
    <w:rsid w:val="001C0A81"/>
    <w:rsid w:val="001C3FC6"/>
    <w:rsid w:val="001D1DBF"/>
    <w:rsid w:val="001D29FB"/>
    <w:rsid w:val="001D36CB"/>
    <w:rsid w:val="001D3CCB"/>
    <w:rsid w:val="001D49CF"/>
    <w:rsid w:val="001D510D"/>
    <w:rsid w:val="001D7058"/>
    <w:rsid w:val="001E143D"/>
    <w:rsid w:val="001E1551"/>
    <w:rsid w:val="001E1D94"/>
    <w:rsid w:val="001E35E6"/>
    <w:rsid w:val="001E5F00"/>
    <w:rsid w:val="001E68D7"/>
    <w:rsid w:val="001E6DE2"/>
    <w:rsid w:val="001E6F65"/>
    <w:rsid w:val="001F03FE"/>
    <w:rsid w:val="001F0A05"/>
    <w:rsid w:val="001F1BDD"/>
    <w:rsid w:val="001F2DED"/>
    <w:rsid w:val="001F348B"/>
    <w:rsid w:val="001F522D"/>
    <w:rsid w:val="001F6029"/>
    <w:rsid w:val="00203A93"/>
    <w:rsid w:val="00203E7C"/>
    <w:rsid w:val="00204DBF"/>
    <w:rsid w:val="0020658A"/>
    <w:rsid w:val="0021020E"/>
    <w:rsid w:val="00220E95"/>
    <w:rsid w:val="002210A0"/>
    <w:rsid w:val="00224AFE"/>
    <w:rsid w:val="002260D6"/>
    <w:rsid w:val="00231750"/>
    <w:rsid w:val="0024363B"/>
    <w:rsid w:val="002449EE"/>
    <w:rsid w:val="00245CA3"/>
    <w:rsid w:val="0024786E"/>
    <w:rsid w:val="00251CD3"/>
    <w:rsid w:val="00252D41"/>
    <w:rsid w:val="00257C11"/>
    <w:rsid w:val="00262006"/>
    <w:rsid w:val="00262823"/>
    <w:rsid w:val="00264DB3"/>
    <w:rsid w:val="002666BE"/>
    <w:rsid w:val="00271EF2"/>
    <w:rsid w:val="002735A4"/>
    <w:rsid w:val="0027451F"/>
    <w:rsid w:val="00275976"/>
    <w:rsid w:val="00275C0C"/>
    <w:rsid w:val="00275CD2"/>
    <w:rsid w:val="00277862"/>
    <w:rsid w:val="002811F7"/>
    <w:rsid w:val="00281AA2"/>
    <w:rsid w:val="00282347"/>
    <w:rsid w:val="00283425"/>
    <w:rsid w:val="00283568"/>
    <w:rsid w:val="00283E7B"/>
    <w:rsid w:val="00287E3E"/>
    <w:rsid w:val="0029185D"/>
    <w:rsid w:val="002931E6"/>
    <w:rsid w:val="002963A7"/>
    <w:rsid w:val="00296512"/>
    <w:rsid w:val="002A1028"/>
    <w:rsid w:val="002A17DA"/>
    <w:rsid w:val="002A1BFA"/>
    <w:rsid w:val="002A1DB1"/>
    <w:rsid w:val="002A1EAA"/>
    <w:rsid w:val="002A736A"/>
    <w:rsid w:val="002A7A00"/>
    <w:rsid w:val="002B2BE4"/>
    <w:rsid w:val="002B40E5"/>
    <w:rsid w:val="002B4C32"/>
    <w:rsid w:val="002B4C95"/>
    <w:rsid w:val="002B5B05"/>
    <w:rsid w:val="002C07C0"/>
    <w:rsid w:val="002C1E30"/>
    <w:rsid w:val="002C2FBC"/>
    <w:rsid w:val="002C3853"/>
    <w:rsid w:val="002D2352"/>
    <w:rsid w:val="002D4D58"/>
    <w:rsid w:val="002D6140"/>
    <w:rsid w:val="002E21DE"/>
    <w:rsid w:val="002E25DE"/>
    <w:rsid w:val="002E3C02"/>
    <w:rsid w:val="002E3E71"/>
    <w:rsid w:val="002E3F5D"/>
    <w:rsid w:val="002E4EE2"/>
    <w:rsid w:val="002E5628"/>
    <w:rsid w:val="002E6072"/>
    <w:rsid w:val="002E75FC"/>
    <w:rsid w:val="002F37F6"/>
    <w:rsid w:val="003012BB"/>
    <w:rsid w:val="003015F8"/>
    <w:rsid w:val="0030385F"/>
    <w:rsid w:val="00304186"/>
    <w:rsid w:val="003041C9"/>
    <w:rsid w:val="003049A8"/>
    <w:rsid w:val="00307B81"/>
    <w:rsid w:val="0031189D"/>
    <w:rsid w:val="003121BD"/>
    <w:rsid w:val="00314239"/>
    <w:rsid w:val="00317F26"/>
    <w:rsid w:val="00322356"/>
    <w:rsid w:val="00322DCE"/>
    <w:rsid w:val="00322E15"/>
    <w:rsid w:val="00323170"/>
    <w:rsid w:val="00324099"/>
    <w:rsid w:val="003251CD"/>
    <w:rsid w:val="00325224"/>
    <w:rsid w:val="00327766"/>
    <w:rsid w:val="00332BCA"/>
    <w:rsid w:val="00332E06"/>
    <w:rsid w:val="00340DCE"/>
    <w:rsid w:val="0034317D"/>
    <w:rsid w:val="00344B4D"/>
    <w:rsid w:val="00354B52"/>
    <w:rsid w:val="00361CF9"/>
    <w:rsid w:val="0036211A"/>
    <w:rsid w:val="00364580"/>
    <w:rsid w:val="0036783D"/>
    <w:rsid w:val="00371986"/>
    <w:rsid w:val="00371B13"/>
    <w:rsid w:val="00372641"/>
    <w:rsid w:val="00372FF4"/>
    <w:rsid w:val="00377A08"/>
    <w:rsid w:val="00377C2B"/>
    <w:rsid w:val="00377DC3"/>
    <w:rsid w:val="003852E6"/>
    <w:rsid w:val="00385DE6"/>
    <w:rsid w:val="00387588"/>
    <w:rsid w:val="003879AF"/>
    <w:rsid w:val="00390401"/>
    <w:rsid w:val="00394E91"/>
    <w:rsid w:val="003A1A97"/>
    <w:rsid w:val="003A2C94"/>
    <w:rsid w:val="003A4F39"/>
    <w:rsid w:val="003A533A"/>
    <w:rsid w:val="003A593B"/>
    <w:rsid w:val="003B149E"/>
    <w:rsid w:val="003B45E6"/>
    <w:rsid w:val="003B69D3"/>
    <w:rsid w:val="003B6B9D"/>
    <w:rsid w:val="003C01B9"/>
    <w:rsid w:val="003C4D0F"/>
    <w:rsid w:val="003D03A2"/>
    <w:rsid w:val="003D15BD"/>
    <w:rsid w:val="003D25E7"/>
    <w:rsid w:val="003D4831"/>
    <w:rsid w:val="003D53DC"/>
    <w:rsid w:val="003D587A"/>
    <w:rsid w:val="003D5E7E"/>
    <w:rsid w:val="003D7B53"/>
    <w:rsid w:val="003D7D56"/>
    <w:rsid w:val="003E0E2B"/>
    <w:rsid w:val="003E1314"/>
    <w:rsid w:val="003E1A39"/>
    <w:rsid w:val="003E1A96"/>
    <w:rsid w:val="003E24A1"/>
    <w:rsid w:val="003E2878"/>
    <w:rsid w:val="003E35D9"/>
    <w:rsid w:val="003E4647"/>
    <w:rsid w:val="003F03B7"/>
    <w:rsid w:val="003F0CB4"/>
    <w:rsid w:val="003F3D80"/>
    <w:rsid w:val="003F4B40"/>
    <w:rsid w:val="003F5310"/>
    <w:rsid w:val="003F6BE4"/>
    <w:rsid w:val="00405DB9"/>
    <w:rsid w:val="00407D01"/>
    <w:rsid w:val="00412056"/>
    <w:rsid w:val="00412CB6"/>
    <w:rsid w:val="00415749"/>
    <w:rsid w:val="004179BC"/>
    <w:rsid w:val="0042165D"/>
    <w:rsid w:val="0042483F"/>
    <w:rsid w:val="0043102C"/>
    <w:rsid w:val="0043268F"/>
    <w:rsid w:val="004329BC"/>
    <w:rsid w:val="004369B4"/>
    <w:rsid w:val="00442410"/>
    <w:rsid w:val="004431BA"/>
    <w:rsid w:val="004459AB"/>
    <w:rsid w:val="00445CD5"/>
    <w:rsid w:val="0045006E"/>
    <w:rsid w:val="004521CF"/>
    <w:rsid w:val="00452A57"/>
    <w:rsid w:val="00452F00"/>
    <w:rsid w:val="00465080"/>
    <w:rsid w:val="004662C7"/>
    <w:rsid w:val="004670AB"/>
    <w:rsid w:val="00471AD5"/>
    <w:rsid w:val="004726FA"/>
    <w:rsid w:val="00476210"/>
    <w:rsid w:val="00477A89"/>
    <w:rsid w:val="00482E80"/>
    <w:rsid w:val="004840C4"/>
    <w:rsid w:val="00484777"/>
    <w:rsid w:val="00490019"/>
    <w:rsid w:val="0049067C"/>
    <w:rsid w:val="00490ECA"/>
    <w:rsid w:val="004922A1"/>
    <w:rsid w:val="004A0E4C"/>
    <w:rsid w:val="004A1EEA"/>
    <w:rsid w:val="004A21DA"/>
    <w:rsid w:val="004A2FFF"/>
    <w:rsid w:val="004A30C2"/>
    <w:rsid w:val="004A37C5"/>
    <w:rsid w:val="004A42B3"/>
    <w:rsid w:val="004A4DD7"/>
    <w:rsid w:val="004A4E36"/>
    <w:rsid w:val="004A5C36"/>
    <w:rsid w:val="004A7486"/>
    <w:rsid w:val="004A78E1"/>
    <w:rsid w:val="004B47E3"/>
    <w:rsid w:val="004C7D2E"/>
    <w:rsid w:val="004D004C"/>
    <w:rsid w:val="004D07B2"/>
    <w:rsid w:val="004D164D"/>
    <w:rsid w:val="004D2751"/>
    <w:rsid w:val="004D3DA8"/>
    <w:rsid w:val="004D5133"/>
    <w:rsid w:val="004E0B6A"/>
    <w:rsid w:val="004E3F42"/>
    <w:rsid w:val="004F046C"/>
    <w:rsid w:val="004F243F"/>
    <w:rsid w:val="004F5E7C"/>
    <w:rsid w:val="004F79F0"/>
    <w:rsid w:val="004F7D4D"/>
    <w:rsid w:val="004F7ED7"/>
    <w:rsid w:val="00505002"/>
    <w:rsid w:val="00511B6E"/>
    <w:rsid w:val="005123D3"/>
    <w:rsid w:val="005164B3"/>
    <w:rsid w:val="00516F69"/>
    <w:rsid w:val="00522BBF"/>
    <w:rsid w:val="0052679C"/>
    <w:rsid w:val="00527BC5"/>
    <w:rsid w:val="00531AD8"/>
    <w:rsid w:val="00531E5D"/>
    <w:rsid w:val="00533467"/>
    <w:rsid w:val="005340F1"/>
    <w:rsid w:val="005342CF"/>
    <w:rsid w:val="005344D8"/>
    <w:rsid w:val="00534E52"/>
    <w:rsid w:val="00534EF3"/>
    <w:rsid w:val="005356B8"/>
    <w:rsid w:val="00535FDC"/>
    <w:rsid w:val="00536875"/>
    <w:rsid w:val="00540530"/>
    <w:rsid w:val="00542078"/>
    <w:rsid w:val="005420E0"/>
    <w:rsid w:val="00543003"/>
    <w:rsid w:val="00543C10"/>
    <w:rsid w:val="00544F28"/>
    <w:rsid w:val="00547C16"/>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942"/>
    <w:rsid w:val="0059133B"/>
    <w:rsid w:val="00593696"/>
    <w:rsid w:val="00595DFB"/>
    <w:rsid w:val="00595DFF"/>
    <w:rsid w:val="005A040B"/>
    <w:rsid w:val="005A0B8C"/>
    <w:rsid w:val="005A390C"/>
    <w:rsid w:val="005A468F"/>
    <w:rsid w:val="005A4F7F"/>
    <w:rsid w:val="005A7816"/>
    <w:rsid w:val="005A7C25"/>
    <w:rsid w:val="005B19F5"/>
    <w:rsid w:val="005B3F90"/>
    <w:rsid w:val="005B5075"/>
    <w:rsid w:val="005B60E2"/>
    <w:rsid w:val="005C270F"/>
    <w:rsid w:val="005C3240"/>
    <w:rsid w:val="005C358A"/>
    <w:rsid w:val="005C38F9"/>
    <w:rsid w:val="005C4D7D"/>
    <w:rsid w:val="005C5209"/>
    <w:rsid w:val="005C6ECF"/>
    <w:rsid w:val="005C780A"/>
    <w:rsid w:val="005D1BB5"/>
    <w:rsid w:val="005D2878"/>
    <w:rsid w:val="005D2DAC"/>
    <w:rsid w:val="005D40A7"/>
    <w:rsid w:val="005D6D94"/>
    <w:rsid w:val="005D7BF5"/>
    <w:rsid w:val="005E43DF"/>
    <w:rsid w:val="005E7578"/>
    <w:rsid w:val="005F1128"/>
    <w:rsid w:val="005F578D"/>
    <w:rsid w:val="006002DA"/>
    <w:rsid w:val="00606ED5"/>
    <w:rsid w:val="00607B6F"/>
    <w:rsid w:val="00611305"/>
    <w:rsid w:val="00613C50"/>
    <w:rsid w:val="00616F4F"/>
    <w:rsid w:val="00617567"/>
    <w:rsid w:val="006179D4"/>
    <w:rsid w:val="00617A01"/>
    <w:rsid w:val="0062045F"/>
    <w:rsid w:val="0062070A"/>
    <w:rsid w:val="00621929"/>
    <w:rsid w:val="006237D0"/>
    <w:rsid w:val="00623A6B"/>
    <w:rsid w:val="006247CC"/>
    <w:rsid w:val="0063094E"/>
    <w:rsid w:val="00634AB7"/>
    <w:rsid w:val="0063583F"/>
    <w:rsid w:val="00636BF7"/>
    <w:rsid w:val="006379C6"/>
    <w:rsid w:val="00642BBC"/>
    <w:rsid w:val="00645F0B"/>
    <w:rsid w:val="0064649D"/>
    <w:rsid w:val="006476E9"/>
    <w:rsid w:val="00647C5E"/>
    <w:rsid w:val="00661055"/>
    <w:rsid w:val="00663A36"/>
    <w:rsid w:val="00663F4D"/>
    <w:rsid w:val="006641F1"/>
    <w:rsid w:val="006641FE"/>
    <w:rsid w:val="00664387"/>
    <w:rsid w:val="0066506A"/>
    <w:rsid w:val="00667E93"/>
    <w:rsid w:val="00670600"/>
    <w:rsid w:val="00676107"/>
    <w:rsid w:val="006826C3"/>
    <w:rsid w:val="006826DF"/>
    <w:rsid w:val="00685451"/>
    <w:rsid w:val="0068738A"/>
    <w:rsid w:val="00687932"/>
    <w:rsid w:val="00687D0A"/>
    <w:rsid w:val="006931F8"/>
    <w:rsid w:val="006946BA"/>
    <w:rsid w:val="006952FD"/>
    <w:rsid w:val="006956DC"/>
    <w:rsid w:val="00696D19"/>
    <w:rsid w:val="006A0148"/>
    <w:rsid w:val="006A1718"/>
    <w:rsid w:val="006A2739"/>
    <w:rsid w:val="006A310F"/>
    <w:rsid w:val="006A5256"/>
    <w:rsid w:val="006A7586"/>
    <w:rsid w:val="006B0B30"/>
    <w:rsid w:val="006B30E2"/>
    <w:rsid w:val="006B737C"/>
    <w:rsid w:val="006C0272"/>
    <w:rsid w:val="006C0B93"/>
    <w:rsid w:val="006C1364"/>
    <w:rsid w:val="006C1666"/>
    <w:rsid w:val="006C1910"/>
    <w:rsid w:val="006C1D02"/>
    <w:rsid w:val="006C1F44"/>
    <w:rsid w:val="006C52A7"/>
    <w:rsid w:val="006C58DC"/>
    <w:rsid w:val="006C640B"/>
    <w:rsid w:val="006D05F2"/>
    <w:rsid w:val="006D1F47"/>
    <w:rsid w:val="006D3098"/>
    <w:rsid w:val="006D449A"/>
    <w:rsid w:val="006D469B"/>
    <w:rsid w:val="006D4CB8"/>
    <w:rsid w:val="006D4F2D"/>
    <w:rsid w:val="006D7038"/>
    <w:rsid w:val="006D705B"/>
    <w:rsid w:val="006E14D5"/>
    <w:rsid w:val="006E20AC"/>
    <w:rsid w:val="006E20DA"/>
    <w:rsid w:val="006E2C47"/>
    <w:rsid w:val="006E3BBE"/>
    <w:rsid w:val="006E4148"/>
    <w:rsid w:val="006E4BE0"/>
    <w:rsid w:val="006E69D9"/>
    <w:rsid w:val="006E711E"/>
    <w:rsid w:val="006E718D"/>
    <w:rsid w:val="006F2742"/>
    <w:rsid w:val="006F31A9"/>
    <w:rsid w:val="006F404F"/>
    <w:rsid w:val="006F6817"/>
    <w:rsid w:val="00702658"/>
    <w:rsid w:val="00702A5D"/>
    <w:rsid w:val="00710575"/>
    <w:rsid w:val="00712452"/>
    <w:rsid w:val="0071387B"/>
    <w:rsid w:val="00715081"/>
    <w:rsid w:val="00715A25"/>
    <w:rsid w:val="007205B9"/>
    <w:rsid w:val="00720B5F"/>
    <w:rsid w:val="007224A2"/>
    <w:rsid w:val="00734F3E"/>
    <w:rsid w:val="00736B7D"/>
    <w:rsid w:val="00740A4F"/>
    <w:rsid w:val="007411A2"/>
    <w:rsid w:val="00741802"/>
    <w:rsid w:val="007431C8"/>
    <w:rsid w:val="00745C1E"/>
    <w:rsid w:val="00745F8C"/>
    <w:rsid w:val="00746002"/>
    <w:rsid w:val="00751732"/>
    <w:rsid w:val="00751969"/>
    <w:rsid w:val="00755489"/>
    <w:rsid w:val="0075551E"/>
    <w:rsid w:val="00756F3F"/>
    <w:rsid w:val="00760397"/>
    <w:rsid w:val="007620A6"/>
    <w:rsid w:val="0076339E"/>
    <w:rsid w:val="0076589B"/>
    <w:rsid w:val="00766209"/>
    <w:rsid w:val="00766AE0"/>
    <w:rsid w:val="00766D22"/>
    <w:rsid w:val="0077006B"/>
    <w:rsid w:val="00771B0E"/>
    <w:rsid w:val="00771C0E"/>
    <w:rsid w:val="007721B1"/>
    <w:rsid w:val="007752A9"/>
    <w:rsid w:val="00775FC8"/>
    <w:rsid w:val="007809B0"/>
    <w:rsid w:val="007819FF"/>
    <w:rsid w:val="00785FBC"/>
    <w:rsid w:val="00786705"/>
    <w:rsid w:val="00786DA9"/>
    <w:rsid w:val="0079096A"/>
    <w:rsid w:val="007923CD"/>
    <w:rsid w:val="00793033"/>
    <w:rsid w:val="00793C8B"/>
    <w:rsid w:val="00797D3A"/>
    <w:rsid w:val="007A17E9"/>
    <w:rsid w:val="007A1811"/>
    <w:rsid w:val="007A4B48"/>
    <w:rsid w:val="007A6586"/>
    <w:rsid w:val="007A702C"/>
    <w:rsid w:val="007B0225"/>
    <w:rsid w:val="007B296B"/>
    <w:rsid w:val="007B5DB7"/>
    <w:rsid w:val="007B6A3A"/>
    <w:rsid w:val="007B741C"/>
    <w:rsid w:val="007C037E"/>
    <w:rsid w:val="007C0DE2"/>
    <w:rsid w:val="007C32DA"/>
    <w:rsid w:val="007C48B8"/>
    <w:rsid w:val="007D01C3"/>
    <w:rsid w:val="007D01EC"/>
    <w:rsid w:val="007D04D8"/>
    <w:rsid w:val="007D28A1"/>
    <w:rsid w:val="007D3FF0"/>
    <w:rsid w:val="007D440B"/>
    <w:rsid w:val="007D66D8"/>
    <w:rsid w:val="007E0A1C"/>
    <w:rsid w:val="007E2B38"/>
    <w:rsid w:val="007E58CE"/>
    <w:rsid w:val="007E62B8"/>
    <w:rsid w:val="007E6736"/>
    <w:rsid w:val="007E6906"/>
    <w:rsid w:val="007E7373"/>
    <w:rsid w:val="007E7AAA"/>
    <w:rsid w:val="007F4217"/>
    <w:rsid w:val="007F4C63"/>
    <w:rsid w:val="007F60A3"/>
    <w:rsid w:val="007F7111"/>
    <w:rsid w:val="007F72CF"/>
    <w:rsid w:val="00800713"/>
    <w:rsid w:val="00802F3C"/>
    <w:rsid w:val="0080313A"/>
    <w:rsid w:val="008037FF"/>
    <w:rsid w:val="00804005"/>
    <w:rsid w:val="00804BBD"/>
    <w:rsid w:val="008104AE"/>
    <w:rsid w:val="0081079E"/>
    <w:rsid w:val="00811780"/>
    <w:rsid w:val="008122FD"/>
    <w:rsid w:val="0081398F"/>
    <w:rsid w:val="00813D79"/>
    <w:rsid w:val="00814387"/>
    <w:rsid w:val="00814FD0"/>
    <w:rsid w:val="00820EEF"/>
    <w:rsid w:val="00824EC0"/>
    <w:rsid w:val="008278FC"/>
    <w:rsid w:val="00827D2F"/>
    <w:rsid w:val="0083260C"/>
    <w:rsid w:val="008400C8"/>
    <w:rsid w:val="00840C93"/>
    <w:rsid w:val="00844558"/>
    <w:rsid w:val="008468FB"/>
    <w:rsid w:val="00847A3B"/>
    <w:rsid w:val="00850DAA"/>
    <w:rsid w:val="0085166B"/>
    <w:rsid w:val="00853681"/>
    <w:rsid w:val="00854B7E"/>
    <w:rsid w:val="00856F5E"/>
    <w:rsid w:val="00857DB7"/>
    <w:rsid w:val="00861F57"/>
    <w:rsid w:val="00862A78"/>
    <w:rsid w:val="0086307C"/>
    <w:rsid w:val="008710F5"/>
    <w:rsid w:val="00872FEB"/>
    <w:rsid w:val="0087341F"/>
    <w:rsid w:val="00876278"/>
    <w:rsid w:val="0087758A"/>
    <w:rsid w:val="00877DC6"/>
    <w:rsid w:val="00884880"/>
    <w:rsid w:val="008902AE"/>
    <w:rsid w:val="00892FB6"/>
    <w:rsid w:val="0089429D"/>
    <w:rsid w:val="008948EB"/>
    <w:rsid w:val="00897E97"/>
    <w:rsid w:val="008A1159"/>
    <w:rsid w:val="008A6FD6"/>
    <w:rsid w:val="008A7883"/>
    <w:rsid w:val="008B06C1"/>
    <w:rsid w:val="008B21E0"/>
    <w:rsid w:val="008B702B"/>
    <w:rsid w:val="008C08AB"/>
    <w:rsid w:val="008C10CD"/>
    <w:rsid w:val="008C1FB7"/>
    <w:rsid w:val="008C4FAE"/>
    <w:rsid w:val="008C50F0"/>
    <w:rsid w:val="008C5D7B"/>
    <w:rsid w:val="008C67BA"/>
    <w:rsid w:val="008C6990"/>
    <w:rsid w:val="008C7652"/>
    <w:rsid w:val="008D15CE"/>
    <w:rsid w:val="008D164F"/>
    <w:rsid w:val="008D1CB6"/>
    <w:rsid w:val="008D35CB"/>
    <w:rsid w:val="008D35FF"/>
    <w:rsid w:val="008D63D5"/>
    <w:rsid w:val="008D71B5"/>
    <w:rsid w:val="008E150B"/>
    <w:rsid w:val="008E1A9D"/>
    <w:rsid w:val="008E27D6"/>
    <w:rsid w:val="008E375A"/>
    <w:rsid w:val="008E56A4"/>
    <w:rsid w:val="008F34F9"/>
    <w:rsid w:val="008F4139"/>
    <w:rsid w:val="008F4CE6"/>
    <w:rsid w:val="008F5F3E"/>
    <w:rsid w:val="008F74C5"/>
    <w:rsid w:val="008F7660"/>
    <w:rsid w:val="008F7AE0"/>
    <w:rsid w:val="009020D0"/>
    <w:rsid w:val="00903A8B"/>
    <w:rsid w:val="009050A1"/>
    <w:rsid w:val="00913BBF"/>
    <w:rsid w:val="00915356"/>
    <w:rsid w:val="009206AC"/>
    <w:rsid w:val="0092276A"/>
    <w:rsid w:val="009252EF"/>
    <w:rsid w:val="00925E63"/>
    <w:rsid w:val="00927433"/>
    <w:rsid w:val="00927C70"/>
    <w:rsid w:val="00931F67"/>
    <w:rsid w:val="00935E07"/>
    <w:rsid w:val="00936AFA"/>
    <w:rsid w:val="009371D8"/>
    <w:rsid w:val="0093737B"/>
    <w:rsid w:val="00937ACA"/>
    <w:rsid w:val="0094383D"/>
    <w:rsid w:val="00943F90"/>
    <w:rsid w:val="00945C5E"/>
    <w:rsid w:val="0095205D"/>
    <w:rsid w:val="00954268"/>
    <w:rsid w:val="009545F8"/>
    <w:rsid w:val="00955FBB"/>
    <w:rsid w:val="00961096"/>
    <w:rsid w:val="00966221"/>
    <w:rsid w:val="0096793E"/>
    <w:rsid w:val="0097078C"/>
    <w:rsid w:val="0097199A"/>
    <w:rsid w:val="00972136"/>
    <w:rsid w:val="00973DC5"/>
    <w:rsid w:val="00974646"/>
    <w:rsid w:val="0097785B"/>
    <w:rsid w:val="009800F5"/>
    <w:rsid w:val="00981D79"/>
    <w:rsid w:val="00984795"/>
    <w:rsid w:val="00985191"/>
    <w:rsid w:val="00986814"/>
    <w:rsid w:val="00987D4A"/>
    <w:rsid w:val="00992423"/>
    <w:rsid w:val="00994933"/>
    <w:rsid w:val="0099505A"/>
    <w:rsid w:val="00997EBB"/>
    <w:rsid w:val="009A28F3"/>
    <w:rsid w:val="009A570D"/>
    <w:rsid w:val="009A5AE9"/>
    <w:rsid w:val="009A6B88"/>
    <w:rsid w:val="009A7332"/>
    <w:rsid w:val="009A76FF"/>
    <w:rsid w:val="009B0AE9"/>
    <w:rsid w:val="009B4A69"/>
    <w:rsid w:val="009B4CB9"/>
    <w:rsid w:val="009B75EA"/>
    <w:rsid w:val="009B7740"/>
    <w:rsid w:val="009C091A"/>
    <w:rsid w:val="009C166B"/>
    <w:rsid w:val="009C5216"/>
    <w:rsid w:val="009D27CC"/>
    <w:rsid w:val="009D3066"/>
    <w:rsid w:val="009D368A"/>
    <w:rsid w:val="009D41A3"/>
    <w:rsid w:val="009D7B57"/>
    <w:rsid w:val="009E0D00"/>
    <w:rsid w:val="009E1F4B"/>
    <w:rsid w:val="009E20A5"/>
    <w:rsid w:val="009E33D7"/>
    <w:rsid w:val="009E461F"/>
    <w:rsid w:val="009E4666"/>
    <w:rsid w:val="009E4817"/>
    <w:rsid w:val="009E5130"/>
    <w:rsid w:val="009E60A4"/>
    <w:rsid w:val="009E69BE"/>
    <w:rsid w:val="009F0187"/>
    <w:rsid w:val="009F11FE"/>
    <w:rsid w:val="009F1793"/>
    <w:rsid w:val="009F2273"/>
    <w:rsid w:val="009F2D07"/>
    <w:rsid w:val="00A0047A"/>
    <w:rsid w:val="00A05998"/>
    <w:rsid w:val="00A06B38"/>
    <w:rsid w:val="00A07CC8"/>
    <w:rsid w:val="00A100F9"/>
    <w:rsid w:val="00A12BC1"/>
    <w:rsid w:val="00A142CD"/>
    <w:rsid w:val="00A14CAB"/>
    <w:rsid w:val="00A158CC"/>
    <w:rsid w:val="00A16490"/>
    <w:rsid w:val="00A2124A"/>
    <w:rsid w:val="00A22965"/>
    <w:rsid w:val="00A23664"/>
    <w:rsid w:val="00A23BE2"/>
    <w:rsid w:val="00A264E8"/>
    <w:rsid w:val="00A268CC"/>
    <w:rsid w:val="00A27475"/>
    <w:rsid w:val="00A324B5"/>
    <w:rsid w:val="00A32548"/>
    <w:rsid w:val="00A32C24"/>
    <w:rsid w:val="00A35FB8"/>
    <w:rsid w:val="00A3685D"/>
    <w:rsid w:val="00A36D83"/>
    <w:rsid w:val="00A378E7"/>
    <w:rsid w:val="00A37D8D"/>
    <w:rsid w:val="00A402CD"/>
    <w:rsid w:val="00A40F4A"/>
    <w:rsid w:val="00A4202F"/>
    <w:rsid w:val="00A4354F"/>
    <w:rsid w:val="00A44C6C"/>
    <w:rsid w:val="00A457BA"/>
    <w:rsid w:val="00A4616E"/>
    <w:rsid w:val="00A46859"/>
    <w:rsid w:val="00A46F3A"/>
    <w:rsid w:val="00A475BE"/>
    <w:rsid w:val="00A52AFE"/>
    <w:rsid w:val="00A53A9D"/>
    <w:rsid w:val="00A53DFD"/>
    <w:rsid w:val="00A53E67"/>
    <w:rsid w:val="00A67B2E"/>
    <w:rsid w:val="00A707E4"/>
    <w:rsid w:val="00A719DE"/>
    <w:rsid w:val="00A74B4A"/>
    <w:rsid w:val="00A77714"/>
    <w:rsid w:val="00A809E1"/>
    <w:rsid w:val="00A80A3E"/>
    <w:rsid w:val="00A80C65"/>
    <w:rsid w:val="00A853F5"/>
    <w:rsid w:val="00A9041D"/>
    <w:rsid w:val="00A923EE"/>
    <w:rsid w:val="00A92F34"/>
    <w:rsid w:val="00A95BA5"/>
    <w:rsid w:val="00A96334"/>
    <w:rsid w:val="00A97D54"/>
    <w:rsid w:val="00AA1BE8"/>
    <w:rsid w:val="00AA1FA5"/>
    <w:rsid w:val="00AA4DC1"/>
    <w:rsid w:val="00AA5A9C"/>
    <w:rsid w:val="00AA5E30"/>
    <w:rsid w:val="00AA7709"/>
    <w:rsid w:val="00AB199B"/>
    <w:rsid w:val="00AB571D"/>
    <w:rsid w:val="00AB662E"/>
    <w:rsid w:val="00AB68A8"/>
    <w:rsid w:val="00AB6D1E"/>
    <w:rsid w:val="00AC07DE"/>
    <w:rsid w:val="00AC3546"/>
    <w:rsid w:val="00AC58E8"/>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1A3B"/>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A7"/>
    <w:rsid w:val="00B21DB0"/>
    <w:rsid w:val="00B25CC2"/>
    <w:rsid w:val="00B26AB9"/>
    <w:rsid w:val="00B3109F"/>
    <w:rsid w:val="00B31882"/>
    <w:rsid w:val="00B32EBF"/>
    <w:rsid w:val="00B33013"/>
    <w:rsid w:val="00B36D8A"/>
    <w:rsid w:val="00B40F11"/>
    <w:rsid w:val="00B41DDC"/>
    <w:rsid w:val="00B42402"/>
    <w:rsid w:val="00B427D3"/>
    <w:rsid w:val="00B44E60"/>
    <w:rsid w:val="00B4575C"/>
    <w:rsid w:val="00B45987"/>
    <w:rsid w:val="00B45CFC"/>
    <w:rsid w:val="00B46837"/>
    <w:rsid w:val="00B46E0F"/>
    <w:rsid w:val="00B5125D"/>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22C1"/>
    <w:rsid w:val="00B828D2"/>
    <w:rsid w:val="00B8415E"/>
    <w:rsid w:val="00B8599C"/>
    <w:rsid w:val="00B863DF"/>
    <w:rsid w:val="00B87833"/>
    <w:rsid w:val="00B9657F"/>
    <w:rsid w:val="00BA39DB"/>
    <w:rsid w:val="00BA4CAA"/>
    <w:rsid w:val="00BA4DC1"/>
    <w:rsid w:val="00BA79D2"/>
    <w:rsid w:val="00BB0CB0"/>
    <w:rsid w:val="00BB1999"/>
    <w:rsid w:val="00BB5F36"/>
    <w:rsid w:val="00BC42B9"/>
    <w:rsid w:val="00BC4C15"/>
    <w:rsid w:val="00BC5093"/>
    <w:rsid w:val="00BC5298"/>
    <w:rsid w:val="00BC545B"/>
    <w:rsid w:val="00BC5C9B"/>
    <w:rsid w:val="00BD0523"/>
    <w:rsid w:val="00BD0FFC"/>
    <w:rsid w:val="00BD317E"/>
    <w:rsid w:val="00BE0032"/>
    <w:rsid w:val="00BE0418"/>
    <w:rsid w:val="00BE2390"/>
    <w:rsid w:val="00BE3F4A"/>
    <w:rsid w:val="00BE4393"/>
    <w:rsid w:val="00BE4399"/>
    <w:rsid w:val="00BE6965"/>
    <w:rsid w:val="00BE716A"/>
    <w:rsid w:val="00BF0309"/>
    <w:rsid w:val="00BF0650"/>
    <w:rsid w:val="00BF0F1B"/>
    <w:rsid w:val="00BF117C"/>
    <w:rsid w:val="00BF35B2"/>
    <w:rsid w:val="00BF5489"/>
    <w:rsid w:val="00BF592F"/>
    <w:rsid w:val="00BF739D"/>
    <w:rsid w:val="00BF7C1F"/>
    <w:rsid w:val="00C011F2"/>
    <w:rsid w:val="00C01A74"/>
    <w:rsid w:val="00C023BF"/>
    <w:rsid w:val="00C03D99"/>
    <w:rsid w:val="00C104B9"/>
    <w:rsid w:val="00C10DAC"/>
    <w:rsid w:val="00C11EC6"/>
    <w:rsid w:val="00C15E0E"/>
    <w:rsid w:val="00C20A2D"/>
    <w:rsid w:val="00C21282"/>
    <w:rsid w:val="00C23A0D"/>
    <w:rsid w:val="00C23DA0"/>
    <w:rsid w:val="00C2445F"/>
    <w:rsid w:val="00C26CE7"/>
    <w:rsid w:val="00C26DD8"/>
    <w:rsid w:val="00C30954"/>
    <w:rsid w:val="00C31F22"/>
    <w:rsid w:val="00C337D6"/>
    <w:rsid w:val="00C36564"/>
    <w:rsid w:val="00C37163"/>
    <w:rsid w:val="00C37EB4"/>
    <w:rsid w:val="00C416AA"/>
    <w:rsid w:val="00C43DEB"/>
    <w:rsid w:val="00C458C4"/>
    <w:rsid w:val="00C45A52"/>
    <w:rsid w:val="00C466EA"/>
    <w:rsid w:val="00C46C54"/>
    <w:rsid w:val="00C51A7A"/>
    <w:rsid w:val="00C520B8"/>
    <w:rsid w:val="00C557EE"/>
    <w:rsid w:val="00C5657F"/>
    <w:rsid w:val="00C56BD4"/>
    <w:rsid w:val="00C5703D"/>
    <w:rsid w:val="00C5732C"/>
    <w:rsid w:val="00C57A7F"/>
    <w:rsid w:val="00C60732"/>
    <w:rsid w:val="00C62458"/>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7649"/>
    <w:rsid w:val="00C77C13"/>
    <w:rsid w:val="00C859C4"/>
    <w:rsid w:val="00C85CB3"/>
    <w:rsid w:val="00C87811"/>
    <w:rsid w:val="00C92CDF"/>
    <w:rsid w:val="00C9314B"/>
    <w:rsid w:val="00C959F8"/>
    <w:rsid w:val="00C9674D"/>
    <w:rsid w:val="00CA1213"/>
    <w:rsid w:val="00CA2ECA"/>
    <w:rsid w:val="00CA4BB4"/>
    <w:rsid w:val="00CA4DD5"/>
    <w:rsid w:val="00CA6CE9"/>
    <w:rsid w:val="00CA703D"/>
    <w:rsid w:val="00CB0CAB"/>
    <w:rsid w:val="00CB20C7"/>
    <w:rsid w:val="00CB2297"/>
    <w:rsid w:val="00CB2F29"/>
    <w:rsid w:val="00CB4CB0"/>
    <w:rsid w:val="00CB6B6A"/>
    <w:rsid w:val="00CB7739"/>
    <w:rsid w:val="00CC2BD0"/>
    <w:rsid w:val="00CC3974"/>
    <w:rsid w:val="00CC5962"/>
    <w:rsid w:val="00CC600C"/>
    <w:rsid w:val="00CD0C29"/>
    <w:rsid w:val="00CD10E5"/>
    <w:rsid w:val="00CD1F33"/>
    <w:rsid w:val="00CD2954"/>
    <w:rsid w:val="00CD42BA"/>
    <w:rsid w:val="00CD485D"/>
    <w:rsid w:val="00CD511C"/>
    <w:rsid w:val="00CE2306"/>
    <w:rsid w:val="00CE3245"/>
    <w:rsid w:val="00CE32C0"/>
    <w:rsid w:val="00CE3876"/>
    <w:rsid w:val="00CE4D56"/>
    <w:rsid w:val="00CE7FCE"/>
    <w:rsid w:val="00CF2AC6"/>
    <w:rsid w:val="00CF31B0"/>
    <w:rsid w:val="00CF3D6D"/>
    <w:rsid w:val="00CF5DE2"/>
    <w:rsid w:val="00CF64FE"/>
    <w:rsid w:val="00CF7FB1"/>
    <w:rsid w:val="00D02159"/>
    <w:rsid w:val="00D04760"/>
    <w:rsid w:val="00D054A8"/>
    <w:rsid w:val="00D07345"/>
    <w:rsid w:val="00D11373"/>
    <w:rsid w:val="00D11CB4"/>
    <w:rsid w:val="00D11EC0"/>
    <w:rsid w:val="00D13852"/>
    <w:rsid w:val="00D13EA8"/>
    <w:rsid w:val="00D1449F"/>
    <w:rsid w:val="00D14861"/>
    <w:rsid w:val="00D2157C"/>
    <w:rsid w:val="00D21A6D"/>
    <w:rsid w:val="00D21E22"/>
    <w:rsid w:val="00D23738"/>
    <w:rsid w:val="00D2536F"/>
    <w:rsid w:val="00D27F81"/>
    <w:rsid w:val="00D329B3"/>
    <w:rsid w:val="00D33433"/>
    <w:rsid w:val="00D33CC5"/>
    <w:rsid w:val="00D33F3C"/>
    <w:rsid w:val="00D426F0"/>
    <w:rsid w:val="00D428EC"/>
    <w:rsid w:val="00D4409A"/>
    <w:rsid w:val="00D47800"/>
    <w:rsid w:val="00D517AE"/>
    <w:rsid w:val="00D51EA8"/>
    <w:rsid w:val="00D52226"/>
    <w:rsid w:val="00D54364"/>
    <w:rsid w:val="00D554CF"/>
    <w:rsid w:val="00D56234"/>
    <w:rsid w:val="00D62262"/>
    <w:rsid w:val="00D63143"/>
    <w:rsid w:val="00D66B7D"/>
    <w:rsid w:val="00D707F7"/>
    <w:rsid w:val="00D708CF"/>
    <w:rsid w:val="00D71E9C"/>
    <w:rsid w:val="00D72434"/>
    <w:rsid w:val="00D731D2"/>
    <w:rsid w:val="00D73B45"/>
    <w:rsid w:val="00D75648"/>
    <w:rsid w:val="00D83485"/>
    <w:rsid w:val="00D84A5C"/>
    <w:rsid w:val="00D86B2B"/>
    <w:rsid w:val="00D87F06"/>
    <w:rsid w:val="00D911B2"/>
    <w:rsid w:val="00D965D5"/>
    <w:rsid w:val="00D97FE5"/>
    <w:rsid w:val="00DA1769"/>
    <w:rsid w:val="00DA2FBA"/>
    <w:rsid w:val="00DA4341"/>
    <w:rsid w:val="00DA4F63"/>
    <w:rsid w:val="00DA6C99"/>
    <w:rsid w:val="00DA707D"/>
    <w:rsid w:val="00DB0213"/>
    <w:rsid w:val="00DB378E"/>
    <w:rsid w:val="00DB3A0F"/>
    <w:rsid w:val="00DB3F8F"/>
    <w:rsid w:val="00DB4D9A"/>
    <w:rsid w:val="00DB6353"/>
    <w:rsid w:val="00DB680A"/>
    <w:rsid w:val="00DC06F8"/>
    <w:rsid w:val="00DC1D24"/>
    <w:rsid w:val="00DC20B6"/>
    <w:rsid w:val="00DC2EEA"/>
    <w:rsid w:val="00DC2F9F"/>
    <w:rsid w:val="00DC671C"/>
    <w:rsid w:val="00DC67B5"/>
    <w:rsid w:val="00DC7961"/>
    <w:rsid w:val="00DD0426"/>
    <w:rsid w:val="00DD2265"/>
    <w:rsid w:val="00DD2721"/>
    <w:rsid w:val="00DD3936"/>
    <w:rsid w:val="00DD7A9F"/>
    <w:rsid w:val="00DE4B23"/>
    <w:rsid w:val="00DE5DE4"/>
    <w:rsid w:val="00DF112C"/>
    <w:rsid w:val="00DF31E2"/>
    <w:rsid w:val="00DF42B8"/>
    <w:rsid w:val="00DF57A2"/>
    <w:rsid w:val="00DF5A36"/>
    <w:rsid w:val="00DF7764"/>
    <w:rsid w:val="00E01BE9"/>
    <w:rsid w:val="00E01CDE"/>
    <w:rsid w:val="00E07F6C"/>
    <w:rsid w:val="00E1063F"/>
    <w:rsid w:val="00E16C03"/>
    <w:rsid w:val="00E2185D"/>
    <w:rsid w:val="00E25E37"/>
    <w:rsid w:val="00E271A7"/>
    <w:rsid w:val="00E27815"/>
    <w:rsid w:val="00E303D4"/>
    <w:rsid w:val="00E30FB6"/>
    <w:rsid w:val="00E31ACF"/>
    <w:rsid w:val="00E35AAF"/>
    <w:rsid w:val="00E41921"/>
    <w:rsid w:val="00E42FBC"/>
    <w:rsid w:val="00E43982"/>
    <w:rsid w:val="00E463B2"/>
    <w:rsid w:val="00E47D8B"/>
    <w:rsid w:val="00E47DD5"/>
    <w:rsid w:val="00E519CE"/>
    <w:rsid w:val="00E51BFD"/>
    <w:rsid w:val="00E536F0"/>
    <w:rsid w:val="00E53D2E"/>
    <w:rsid w:val="00E60D48"/>
    <w:rsid w:val="00E6291D"/>
    <w:rsid w:val="00E63B58"/>
    <w:rsid w:val="00E661F8"/>
    <w:rsid w:val="00E66A27"/>
    <w:rsid w:val="00E66D1F"/>
    <w:rsid w:val="00E6708D"/>
    <w:rsid w:val="00E67620"/>
    <w:rsid w:val="00E73632"/>
    <w:rsid w:val="00E73C73"/>
    <w:rsid w:val="00E7474A"/>
    <w:rsid w:val="00E75E2F"/>
    <w:rsid w:val="00E7642A"/>
    <w:rsid w:val="00E8453C"/>
    <w:rsid w:val="00E87BC1"/>
    <w:rsid w:val="00E914AF"/>
    <w:rsid w:val="00E9156B"/>
    <w:rsid w:val="00E91729"/>
    <w:rsid w:val="00E91797"/>
    <w:rsid w:val="00E92C24"/>
    <w:rsid w:val="00E964EA"/>
    <w:rsid w:val="00E9735A"/>
    <w:rsid w:val="00EA0CF8"/>
    <w:rsid w:val="00EA3639"/>
    <w:rsid w:val="00EA3913"/>
    <w:rsid w:val="00EA5A64"/>
    <w:rsid w:val="00EA5BB4"/>
    <w:rsid w:val="00EA7D37"/>
    <w:rsid w:val="00EB0DD5"/>
    <w:rsid w:val="00EB0E32"/>
    <w:rsid w:val="00EB160B"/>
    <w:rsid w:val="00EB1CB2"/>
    <w:rsid w:val="00EB297D"/>
    <w:rsid w:val="00EB2C43"/>
    <w:rsid w:val="00EB37C5"/>
    <w:rsid w:val="00EB681D"/>
    <w:rsid w:val="00EB6CFB"/>
    <w:rsid w:val="00EC0172"/>
    <w:rsid w:val="00EC0446"/>
    <w:rsid w:val="00EC04E3"/>
    <w:rsid w:val="00EC4FEC"/>
    <w:rsid w:val="00ED1DD8"/>
    <w:rsid w:val="00ED2EC4"/>
    <w:rsid w:val="00ED35F4"/>
    <w:rsid w:val="00ED3A56"/>
    <w:rsid w:val="00ED71D0"/>
    <w:rsid w:val="00EE14D0"/>
    <w:rsid w:val="00EE44A3"/>
    <w:rsid w:val="00EE65E6"/>
    <w:rsid w:val="00EE66D1"/>
    <w:rsid w:val="00EF36F5"/>
    <w:rsid w:val="00EF3C0E"/>
    <w:rsid w:val="00EF4749"/>
    <w:rsid w:val="00EF62C3"/>
    <w:rsid w:val="00F003D2"/>
    <w:rsid w:val="00F020A5"/>
    <w:rsid w:val="00F02D22"/>
    <w:rsid w:val="00F046DA"/>
    <w:rsid w:val="00F0500F"/>
    <w:rsid w:val="00F05651"/>
    <w:rsid w:val="00F05B9B"/>
    <w:rsid w:val="00F05E66"/>
    <w:rsid w:val="00F07E2C"/>
    <w:rsid w:val="00F12E9C"/>
    <w:rsid w:val="00F1433A"/>
    <w:rsid w:val="00F153FF"/>
    <w:rsid w:val="00F21C50"/>
    <w:rsid w:val="00F234D9"/>
    <w:rsid w:val="00F249CA"/>
    <w:rsid w:val="00F2526D"/>
    <w:rsid w:val="00F25EA1"/>
    <w:rsid w:val="00F30A5F"/>
    <w:rsid w:val="00F31064"/>
    <w:rsid w:val="00F32629"/>
    <w:rsid w:val="00F33608"/>
    <w:rsid w:val="00F344C5"/>
    <w:rsid w:val="00F34579"/>
    <w:rsid w:val="00F35DF9"/>
    <w:rsid w:val="00F41EA4"/>
    <w:rsid w:val="00F500E4"/>
    <w:rsid w:val="00F53A6F"/>
    <w:rsid w:val="00F55261"/>
    <w:rsid w:val="00F600C0"/>
    <w:rsid w:val="00F60F88"/>
    <w:rsid w:val="00F615CE"/>
    <w:rsid w:val="00F6192B"/>
    <w:rsid w:val="00F624A7"/>
    <w:rsid w:val="00F63B25"/>
    <w:rsid w:val="00F66265"/>
    <w:rsid w:val="00F66966"/>
    <w:rsid w:val="00F70C7C"/>
    <w:rsid w:val="00F744F4"/>
    <w:rsid w:val="00F754CE"/>
    <w:rsid w:val="00F772AB"/>
    <w:rsid w:val="00F80C21"/>
    <w:rsid w:val="00F81460"/>
    <w:rsid w:val="00F82262"/>
    <w:rsid w:val="00F827AD"/>
    <w:rsid w:val="00F82C79"/>
    <w:rsid w:val="00F83B32"/>
    <w:rsid w:val="00F83F93"/>
    <w:rsid w:val="00F87FFA"/>
    <w:rsid w:val="00F90BD7"/>
    <w:rsid w:val="00F91ABB"/>
    <w:rsid w:val="00F91AD7"/>
    <w:rsid w:val="00F924C3"/>
    <w:rsid w:val="00F93088"/>
    <w:rsid w:val="00F97DC0"/>
    <w:rsid w:val="00FA0B2F"/>
    <w:rsid w:val="00FA1481"/>
    <w:rsid w:val="00FA5145"/>
    <w:rsid w:val="00FB01E5"/>
    <w:rsid w:val="00FB1246"/>
    <w:rsid w:val="00FB2A67"/>
    <w:rsid w:val="00FB484A"/>
    <w:rsid w:val="00FB5B45"/>
    <w:rsid w:val="00FB65E3"/>
    <w:rsid w:val="00FB7E10"/>
    <w:rsid w:val="00FC09F8"/>
    <w:rsid w:val="00FC2110"/>
    <w:rsid w:val="00FC3E3A"/>
    <w:rsid w:val="00FC5C61"/>
    <w:rsid w:val="00FD2BFA"/>
    <w:rsid w:val="00FD675C"/>
    <w:rsid w:val="00FD7052"/>
    <w:rsid w:val="00FE1A1E"/>
    <w:rsid w:val="00FE27FD"/>
    <w:rsid w:val="00FE296B"/>
    <w:rsid w:val="00FE2E68"/>
    <w:rsid w:val="00FE4015"/>
    <w:rsid w:val="00FE596E"/>
    <w:rsid w:val="00FF3D00"/>
    <w:rsid w:val="00FF5C9B"/>
    <w:rsid w:val="00FF6DC3"/>
    <w:rsid w:val="00FF727E"/>
    <w:rsid w:val="78B1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3">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2"/>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unhideWhenUsed/>
    <w:uiPriority w:val="0"/>
    <w:rPr>
      <w:rFonts w:ascii="宋体" w:eastAsia="宋体"/>
      <w:sz w:val="20"/>
      <w:szCs w:val="18"/>
    </w:rPr>
  </w:style>
  <w:style w:type="paragraph" w:styleId="8">
    <w:name w:val="annotation text"/>
    <w:basedOn w:val="1"/>
    <w:link w:val="36"/>
    <w:semiHidden/>
    <w:unhideWhenUsed/>
    <w:qFormat/>
    <w:uiPriority w:val="99"/>
    <w:pPr>
      <w:jc w:val="left"/>
    </w:pPr>
  </w:style>
  <w:style w:type="paragraph" w:styleId="9">
    <w:name w:val="Salutation"/>
    <w:basedOn w:val="1"/>
    <w:next w:val="1"/>
    <w:link w:val="58"/>
    <w:semiHidden/>
    <w:unhideWhenUsed/>
    <w:uiPriority w:val="99"/>
  </w:style>
  <w:style w:type="paragraph" w:styleId="10">
    <w:name w:val="Body Text"/>
    <w:basedOn w:val="1"/>
    <w:link w:val="45"/>
    <w:semiHidden/>
    <w:unhideWhenUsed/>
    <w:qFormat/>
    <w:uiPriority w:val="99"/>
    <w:pPr>
      <w:spacing w:after="120"/>
    </w:pPr>
  </w:style>
  <w:style w:type="paragraph" w:styleId="11">
    <w:name w:val="Body Text Indent"/>
    <w:basedOn w:val="1"/>
    <w:link w:val="67"/>
    <w:uiPriority w:val="0"/>
    <w:pPr>
      <w:spacing w:after="120"/>
      <w:ind w:left="420" w:leftChars="200"/>
    </w:pPr>
    <w:rPr>
      <w:rFonts w:ascii="Times New Roman" w:hAnsi="Times New Roman" w:eastAsia="宋体" w:cs="Times New Roman"/>
      <w:szCs w:val="24"/>
    </w:rPr>
  </w:style>
  <w:style w:type="paragraph" w:styleId="12">
    <w:name w:val="Plain Text"/>
    <w:basedOn w:val="1"/>
    <w:next w:val="9"/>
    <w:link w:val="56"/>
    <w:qFormat/>
    <w:uiPriority w:val="5"/>
    <w:pPr>
      <w:spacing w:line="360" w:lineRule="exact"/>
    </w:pPr>
    <w:rPr>
      <w:rFonts w:ascii="宋体" w:hAnsi="Courier New" w:eastAsia="宋体" w:cs="Times New Roman"/>
      <w:szCs w:val="20"/>
    </w:rPr>
  </w:style>
  <w:style w:type="paragraph" w:styleId="13">
    <w:name w:val="Balloon Text"/>
    <w:basedOn w:val="1"/>
    <w:link w:val="28"/>
    <w:unhideWhenUsed/>
    <w:uiPriority w:val="99"/>
    <w:rPr>
      <w:sz w:val="18"/>
      <w:szCs w:val="18"/>
    </w:rPr>
  </w:style>
  <w:style w:type="paragraph" w:styleId="14">
    <w:name w:val="footer"/>
    <w:basedOn w:val="1"/>
    <w:link w:val="31"/>
    <w:semiHidden/>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Title"/>
    <w:basedOn w:val="1"/>
    <w:next w:val="1"/>
    <w:link w:val="70"/>
    <w:qFormat/>
    <w:uiPriority w:val="0"/>
    <w:pPr>
      <w:spacing w:before="240" w:after="60"/>
      <w:jc w:val="left"/>
      <w:outlineLvl w:val="0"/>
    </w:pPr>
    <w:rPr>
      <w:rFonts w:ascii="Cambria" w:hAnsi="Cambria" w:eastAsia="宋体" w:cs="Times New Roman"/>
      <w:b/>
      <w:bCs/>
      <w:sz w:val="32"/>
      <w:szCs w:val="32"/>
    </w:rPr>
  </w:style>
  <w:style w:type="paragraph" w:styleId="20">
    <w:name w:val="annotation subject"/>
    <w:basedOn w:val="8"/>
    <w:next w:val="8"/>
    <w:link w:val="37"/>
    <w:semiHidden/>
    <w:unhideWhenUsed/>
    <w:qFormat/>
    <w:uiPriority w:val="99"/>
    <w:rPr>
      <w:b/>
      <w:bCs/>
    </w:rPr>
  </w:style>
  <w:style w:type="table" w:styleId="22">
    <w:name w:val="Table Grid"/>
    <w:basedOn w:val="2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uiPriority w:val="0"/>
  </w:style>
  <w:style w:type="character" w:styleId="26">
    <w:name w:val="Hyperlink"/>
    <w:basedOn w:val="23"/>
    <w:semiHidden/>
    <w:unhideWhenUsed/>
    <w:uiPriority w:val="99"/>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批注框文本 Char"/>
    <w:basedOn w:val="23"/>
    <w:link w:val="13"/>
    <w:uiPriority w:val="99"/>
    <w:rPr>
      <w:sz w:val="18"/>
      <w:szCs w:val="18"/>
    </w:rPr>
  </w:style>
  <w:style w:type="character" w:customStyle="1" w:styleId="29">
    <w:name w:val="文档结构图 Char"/>
    <w:basedOn w:val="23"/>
    <w:link w:val="7"/>
    <w:qFormat/>
    <w:uiPriority w:val="0"/>
    <w:rPr>
      <w:rFonts w:ascii="宋体" w:eastAsia="宋体"/>
      <w:sz w:val="20"/>
      <w:szCs w:val="18"/>
    </w:rPr>
  </w:style>
  <w:style w:type="character" w:customStyle="1" w:styleId="30">
    <w:name w:val="页眉 Char"/>
    <w:basedOn w:val="23"/>
    <w:link w:val="15"/>
    <w:qFormat/>
    <w:uiPriority w:val="0"/>
    <w:rPr>
      <w:sz w:val="18"/>
      <w:szCs w:val="18"/>
    </w:rPr>
  </w:style>
  <w:style w:type="character" w:customStyle="1" w:styleId="31">
    <w:name w:val="页脚 Char"/>
    <w:basedOn w:val="23"/>
    <w:link w:val="14"/>
    <w:semiHidden/>
    <w:qFormat/>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3"/>
    <w:link w:val="16"/>
    <w:qFormat/>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qFormat/>
    <w:uiPriority w:val="0"/>
    <w:rPr>
      <w:rFonts w:ascii="Times New Roman" w:hAnsi="宋体" w:eastAsia="FangSong_GB2312" w:cs="Times New Roman"/>
      <w:b/>
      <w:kern w:val="0"/>
      <w:sz w:val="28"/>
      <w:szCs w:val="28"/>
    </w:rPr>
  </w:style>
  <w:style w:type="character" w:customStyle="1" w:styleId="36">
    <w:name w:val="批注文字 Char"/>
    <w:basedOn w:val="23"/>
    <w:link w:val="8"/>
    <w:semiHidden/>
    <w:uiPriority w:val="99"/>
  </w:style>
  <w:style w:type="character" w:customStyle="1" w:styleId="37">
    <w:name w:val="批注主题 Char"/>
    <w:basedOn w:val="36"/>
    <w:link w:val="20"/>
    <w:semiHidden/>
    <w:qFormat/>
    <w:uiPriority w:val="99"/>
    <w:rPr>
      <w:b/>
      <w:bCs/>
    </w:rPr>
  </w:style>
  <w:style w:type="character" w:customStyle="1" w:styleId="38">
    <w:name w:val="题注1 Char"/>
    <w:link w:val="39"/>
    <w:qFormat/>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3"/>
    <w:link w:val="40"/>
    <w:uiPriority w:val="0"/>
    <w:rPr>
      <w:rFonts w:ascii="Times New Roman" w:hAnsi="Times New Roman" w:eastAsia="宋体" w:cs="Times New Roman"/>
      <w:sz w:val="24"/>
      <w:szCs w:val="30"/>
    </w:rPr>
  </w:style>
  <w:style w:type="paragraph" w:customStyle="1" w:styleId="42">
    <w:name w:val="【表头】"/>
    <w:basedOn w:val="1"/>
    <w:link w:val="43"/>
    <w:qFormat/>
    <w:uiPriority w:val="0"/>
    <w:pPr>
      <w:jc w:val="center"/>
    </w:pPr>
    <w:rPr>
      <w:rFonts w:ascii="Times New Roman" w:hAnsi="Times New Roman" w:eastAsia="宋体" w:cs="Times New Roman"/>
      <w:b/>
      <w:szCs w:val="24"/>
    </w:rPr>
  </w:style>
  <w:style w:type="character" w:customStyle="1" w:styleId="43">
    <w:name w:val="【表头】 Char"/>
    <w:link w:val="42"/>
    <w:qFormat/>
    <w:uiPriority w:val="0"/>
    <w:rPr>
      <w:rFonts w:ascii="Times New Roman" w:hAnsi="Times New Roman" w:eastAsia="宋体" w:cs="Times New Roman"/>
      <w:b/>
      <w:szCs w:val="24"/>
    </w:rPr>
  </w:style>
  <w:style w:type="character" w:customStyle="1" w:styleId="44">
    <w:name w:val="表体 Char Char"/>
    <w:link w:val="32"/>
    <w:locked/>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3"/>
    <w:link w:val="10"/>
    <w:semiHidden/>
    <w:uiPriority w:val="99"/>
  </w:style>
  <w:style w:type="character" w:customStyle="1" w:styleId="46">
    <w:name w:val="标题 2 Char"/>
    <w:basedOn w:val="23"/>
    <w:link w:val="3"/>
    <w:qFormat/>
    <w:uiPriority w:val="0"/>
    <w:rPr>
      <w:rFonts w:ascii="Times New Roman" w:hAnsi="Times New Roman" w:eastAsia="黑体" w:cs="Times New Roman"/>
      <w:color w:val="000000" w:themeColor="text1"/>
      <w:sz w:val="30"/>
      <w:szCs w:val="24"/>
    </w:rPr>
  </w:style>
  <w:style w:type="character" w:customStyle="1" w:styleId="47">
    <w:name w:val="表头 Char1"/>
    <w:basedOn w:val="23"/>
    <w:uiPriority w:val="0"/>
    <w:rPr>
      <w:rFonts w:ascii="Times New Roman" w:hAnsi="Times New Roman" w:eastAsia="宋体" w:cs="Times New Roman"/>
      <w:b/>
      <w:bCs/>
      <w:kern w:val="0"/>
      <w:szCs w:val="28"/>
    </w:rPr>
  </w:style>
  <w:style w:type="character" w:customStyle="1" w:styleId="48">
    <w:name w:val="标题 3 Char"/>
    <w:basedOn w:val="23"/>
    <w:link w:val="4"/>
    <w:semiHidden/>
    <w:qFormat/>
    <w:uiPriority w:val="9"/>
    <w:rPr>
      <w:b/>
      <w:bCs/>
      <w:sz w:val="32"/>
      <w:szCs w:val="32"/>
    </w:rPr>
  </w:style>
  <w:style w:type="table" w:customStyle="1" w:styleId="49">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50">
    <w:name w:val="标题 8 Char"/>
    <w:basedOn w:val="23"/>
    <w:link w:val="5"/>
    <w:uiPriority w:val="99"/>
    <w:rPr>
      <w:rFonts w:asciiTheme="majorHAnsi" w:hAnsiTheme="majorHAnsi" w:eastAsiaTheme="majorEastAsia" w:cstheme="majorBidi"/>
      <w:sz w:val="24"/>
      <w:szCs w:val="24"/>
    </w:rPr>
  </w:style>
  <w:style w:type="paragraph" w:customStyle="1" w:styleId="51">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6"/>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locked/>
    <w:uiPriority w:val="0"/>
    <w:rPr>
      <w:rFonts w:ascii="Times New Roman" w:hAnsi="Times New Roman" w:eastAsia="宋体" w:cs="Times New Roman"/>
      <w:sz w:val="24"/>
      <w:szCs w:val="20"/>
    </w:rPr>
  </w:style>
  <w:style w:type="paragraph" w:customStyle="1" w:styleId="5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6">
    <w:name w:val="纯文本 Char"/>
    <w:basedOn w:val="23"/>
    <w:link w:val="12"/>
    <w:uiPriority w:val="5"/>
    <w:rPr>
      <w:rFonts w:ascii="宋体" w:hAnsi="Courier New" w:eastAsia="宋体" w:cs="Times New Roman"/>
      <w:szCs w:val="20"/>
    </w:rPr>
  </w:style>
  <w:style w:type="character" w:customStyle="1" w:styleId="57">
    <w:name w:val="15"/>
    <w:uiPriority w:val="0"/>
    <w:rPr>
      <w:rFonts w:hint="default" w:ascii="Calibri" w:hAnsi="Calibri"/>
      <w:sz w:val="21"/>
      <w:szCs w:val="21"/>
    </w:rPr>
  </w:style>
  <w:style w:type="character" w:customStyle="1" w:styleId="58">
    <w:name w:val="称呼 Char"/>
    <w:basedOn w:val="23"/>
    <w:link w:val="9"/>
    <w:semiHidden/>
    <w:uiPriority w:val="99"/>
  </w:style>
  <w:style w:type="paragraph" w:customStyle="1" w:styleId="59">
    <w:name w:val="Default"/>
    <w:link w:val="69"/>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60">
    <w:name w:val="正文1"/>
    <w:basedOn w:val="1"/>
    <w:uiPriority w:val="0"/>
    <w:pPr>
      <w:widowControl/>
    </w:pPr>
    <w:rPr>
      <w:rFonts w:ascii="Calibri" w:hAnsi="Calibri" w:eastAsia="宋体" w:cs="宋体"/>
    </w:rPr>
  </w:style>
  <w:style w:type="paragraph" w:customStyle="1" w:styleId="61">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2">
    <w:name w:val="表格文字 Char"/>
    <w:basedOn w:val="23"/>
    <w:link w:val="63"/>
    <w:uiPriority w:val="0"/>
    <w:rPr>
      <w:rFonts w:eastAsia="宋体"/>
      <w:kern w:val="24"/>
      <w:sz w:val="24"/>
    </w:rPr>
  </w:style>
  <w:style w:type="paragraph" w:customStyle="1" w:styleId="63">
    <w:name w:val="表格文字"/>
    <w:basedOn w:val="1"/>
    <w:link w:val="62"/>
    <w:qFormat/>
    <w:uiPriority w:val="0"/>
    <w:pPr>
      <w:adjustRightInd w:val="0"/>
      <w:spacing w:line="400" w:lineRule="atLeast"/>
      <w:jc w:val="center"/>
    </w:pPr>
    <w:rPr>
      <w:rFonts w:eastAsia="宋体"/>
      <w:kern w:val="24"/>
      <w:sz w:val="24"/>
    </w:rPr>
  </w:style>
  <w:style w:type="character" w:customStyle="1" w:styleId="64">
    <w:name w:val="表格 Char Char"/>
    <w:basedOn w:val="23"/>
    <w:uiPriority w:val="0"/>
    <w:rPr>
      <w:sz w:val="21"/>
      <w:szCs w:val="21"/>
      <w:lang w:bidi="ar-SA"/>
    </w:rPr>
  </w:style>
  <w:style w:type="paragraph" w:customStyle="1" w:styleId="65">
    <w:name w:val="_Style 17"/>
    <w:basedOn w:val="1"/>
    <w:qFormat/>
    <w:uiPriority w:val="0"/>
    <w:rPr>
      <w:rFonts w:ascii="Times New Roman" w:hAnsi="Times New Roman" w:eastAsia="宋体" w:cs="Times New Roman"/>
      <w:szCs w:val="24"/>
    </w:rPr>
  </w:style>
  <w:style w:type="character" w:customStyle="1" w:styleId="66">
    <w:name w:val="标题 1 Char"/>
    <w:basedOn w:val="23"/>
    <w:link w:val="2"/>
    <w:uiPriority w:val="9"/>
    <w:rPr>
      <w:b/>
      <w:bCs/>
      <w:kern w:val="44"/>
      <w:sz w:val="44"/>
      <w:szCs w:val="44"/>
    </w:rPr>
  </w:style>
  <w:style w:type="character" w:customStyle="1" w:styleId="67">
    <w:name w:val="正文文本缩进 Char"/>
    <w:basedOn w:val="23"/>
    <w:link w:val="11"/>
    <w:uiPriority w:val="0"/>
    <w:rPr>
      <w:rFonts w:ascii="Times New Roman" w:hAnsi="Times New Roman" w:eastAsia="宋体" w:cs="Times New Roman"/>
      <w:szCs w:val="24"/>
    </w:rPr>
  </w:style>
  <w:style w:type="paragraph" w:styleId="68">
    <w:name w:val="List Paragraph"/>
    <w:basedOn w:val="1"/>
    <w:qFormat/>
    <w:uiPriority w:val="34"/>
    <w:pPr>
      <w:ind w:firstLine="420" w:firstLineChars="200"/>
    </w:pPr>
    <w:rPr>
      <w:rFonts w:ascii="Times New Roman" w:hAnsi="Times New Roman" w:eastAsia="宋体" w:cs="Times New Roman"/>
      <w:szCs w:val="24"/>
    </w:rPr>
  </w:style>
  <w:style w:type="character" w:customStyle="1" w:styleId="69">
    <w:name w:val="Default Char Char"/>
    <w:link w:val="59"/>
    <w:uiPriority w:val="0"/>
    <w:rPr>
      <w:rFonts w:ascii="Arial Unicode MS" w:eastAsia="Arial Unicode MS" w:cs="Arial Unicode MS"/>
      <w:color w:val="000000"/>
      <w:kern w:val="0"/>
      <w:sz w:val="24"/>
      <w:szCs w:val="24"/>
    </w:rPr>
  </w:style>
  <w:style w:type="character" w:customStyle="1" w:styleId="70">
    <w:name w:val="标题 Char"/>
    <w:basedOn w:val="23"/>
    <w:link w:val="19"/>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0EF71-5E04-46E8-831B-137100CF22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6756</Words>
  <Characters>38514</Characters>
  <Lines>320</Lines>
  <Paragraphs>90</Paragraphs>
  <TotalTime>9708</TotalTime>
  <ScaleCrop>false</ScaleCrop>
  <LinksUpToDate>false</LinksUpToDate>
  <CharactersWithSpaces>45180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2022-03-17T06:40:48Z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