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outlineLvl w:val="0"/>
        <w:rPr>
          <w:rFonts w:ascii="Times New Roman" w:hAnsi="Times New Roman" w:cs="Times New Roman"/>
          <w:b/>
          <w:color w:val="000000" w:themeColor="text1"/>
          <w:sz w:val="28"/>
          <w:szCs w:val="20"/>
        </w:rPr>
      </w:pPr>
      <w:bookmarkStart w:id="23" w:name="_GoBack"/>
      <w:bookmarkEnd w:id="23"/>
      <w:r>
        <w:rPr>
          <w:rFonts w:ascii="Times New Roman" w:hAnsi="Times New Roman" w:cs="Times New Roman"/>
          <w:b/>
          <w:color w:val="000000" w:themeColor="text1"/>
          <w:sz w:val="28"/>
          <w:szCs w:val="20"/>
        </w:rPr>
        <w:t>一、建设项目基本情况</w:t>
      </w:r>
    </w:p>
    <w:tbl>
      <w:tblPr>
        <w:tblStyle w:val="21"/>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2"/>
        <w:gridCol w:w="993"/>
        <w:gridCol w:w="3827"/>
        <w:gridCol w:w="1417"/>
        <w:gridCol w:w="259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5"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建设项目名称</w:t>
            </w:r>
          </w:p>
        </w:tc>
        <w:tc>
          <w:tcPr>
            <w:tcW w:w="7841"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昆明市东川金水矿业有限责任公司牛厂坪资源综合利用生产建设项目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5"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建设单位</w:t>
            </w:r>
          </w:p>
        </w:tc>
        <w:tc>
          <w:tcPr>
            <w:tcW w:w="7841"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昆明市东川金水矿业有限责任公司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5"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项目代码</w:t>
            </w:r>
          </w:p>
        </w:tc>
        <w:tc>
          <w:tcPr>
            <w:tcW w:w="7841"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2106-530113-89-01-960499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5"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联系人</w:t>
            </w:r>
          </w:p>
        </w:tc>
        <w:tc>
          <w:tcPr>
            <w:tcW w:w="3827" w:type="dxa"/>
            <w:tcBorders>
              <w:right w:val="single" w:color="auto" w:sz="4" w:space="0"/>
            </w:tcBorders>
            <w:vAlign w:val="center"/>
          </w:tcPr>
          <w:p>
            <w:pPr>
              <w:spacing w:line="360" w:lineRule="auto"/>
              <w:jc w:val="center"/>
              <w:rPr>
                <w:rFonts w:hint="eastAsia" w:ascii="Times New Roman" w:hAnsi="Times New Roman" w:cs="Times New Roman" w:eastAsiaTheme="minorEastAsia"/>
                <w:color w:val="000000" w:themeColor="text1"/>
                <w:sz w:val="24"/>
                <w:szCs w:val="24"/>
                <w:lang w:eastAsia="zh-CN"/>
              </w:rPr>
            </w:pPr>
            <w:r>
              <w:rPr>
                <w:rFonts w:ascii="Times New Roman" w:hAnsi="Times New Roman" w:cs="Times New Roman"/>
                <w:color w:val="000000" w:themeColor="text1"/>
                <w:sz w:val="24"/>
                <w:szCs w:val="24"/>
              </w:rPr>
              <w:t>司</w:t>
            </w:r>
            <w:r>
              <w:rPr>
                <w:rFonts w:hint="eastAsia" w:ascii="Times New Roman" w:hAnsi="Times New Roman" w:cs="Times New Roman"/>
                <w:color w:val="000000" w:themeColor="text1"/>
                <w:sz w:val="24"/>
                <w:szCs w:val="24"/>
                <w:lang w:val="en-US" w:eastAsia="zh-CN"/>
              </w:rPr>
              <w:t>*</w:t>
            </w:r>
          </w:p>
        </w:tc>
        <w:tc>
          <w:tcPr>
            <w:tcW w:w="1417"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联系方式</w:t>
            </w:r>
          </w:p>
        </w:tc>
        <w:tc>
          <w:tcPr>
            <w:tcW w:w="2597" w:type="dxa"/>
            <w:tcBorders>
              <w:left w:val="single" w:color="auto" w:sz="4" w:space="0"/>
            </w:tcBorders>
            <w:vAlign w:val="center"/>
          </w:tcPr>
          <w:p>
            <w:pPr>
              <w:spacing w:line="360" w:lineRule="auto"/>
              <w:jc w:val="center"/>
              <w:rPr>
                <w:rFonts w:hint="default" w:ascii="Times New Roman" w:hAnsi="Times New Roman" w:cs="Times New Roman" w:eastAsiaTheme="minorEastAsia"/>
                <w:color w:val="000000" w:themeColor="text1"/>
                <w:sz w:val="24"/>
                <w:szCs w:val="24"/>
                <w:lang w:val="en-US" w:eastAsia="zh-CN"/>
              </w:rPr>
            </w:pPr>
            <w:r>
              <w:rPr>
                <w:rFonts w:ascii="Times New Roman" w:hAnsi="Times New Roman" w:cs="Times New Roman"/>
                <w:color w:val="000000" w:themeColor="text1"/>
                <w:sz w:val="24"/>
                <w:szCs w:val="24"/>
              </w:rPr>
              <w:t>188</w:t>
            </w:r>
            <w:r>
              <w:rPr>
                <w:rFonts w:hint="eastAsia" w:ascii="Times New Roman" w:hAnsi="Times New Roman" w:cs="Times New Roman"/>
                <w:color w:val="000000" w:themeColor="text1"/>
                <w:sz w:val="24"/>
                <w:szCs w:val="24"/>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5"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建设地点</w:t>
            </w:r>
          </w:p>
        </w:tc>
        <w:tc>
          <w:tcPr>
            <w:tcW w:w="7841"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昆明市东川区因民镇牛厂坪村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5"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地理坐标</w:t>
            </w:r>
          </w:p>
        </w:tc>
        <w:tc>
          <w:tcPr>
            <w:tcW w:w="7841"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东经102°56'14.049"，北纬26°19'30.525"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5"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国民经济行业类别</w:t>
            </w:r>
          </w:p>
        </w:tc>
        <w:tc>
          <w:tcPr>
            <w:tcW w:w="3827" w:type="dxa"/>
            <w:tcBorders>
              <w:right w:val="single" w:color="auto" w:sz="4" w:space="0"/>
            </w:tcBorders>
            <w:vAlign w:val="center"/>
          </w:tcPr>
          <w:p>
            <w:pPr>
              <w:spacing w:line="360" w:lineRule="auto"/>
              <w:ind w:firstLine="120" w:firstLineChars="5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项目产品包括砂石骨料和水泥砖。</w:t>
            </w:r>
          </w:p>
          <w:p>
            <w:pPr>
              <w:spacing w:line="360" w:lineRule="auto"/>
              <w:ind w:firstLine="120" w:firstLineChars="5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①项目利用废石生产砂石骨料可属于“C4220 非金属废料和碎屑加工处理”、“C3099 其他非金属矿物制品制造”和“C3039 其他建筑材料制造”；环评依据《2017年国民经济行业分类注释》将砂石骨料判定为C3039 其他建筑材料制造。</w:t>
            </w:r>
          </w:p>
          <w:p>
            <w:pPr>
              <w:spacing w:line="360" w:lineRule="auto"/>
              <w:ind w:firstLine="120" w:firstLineChars="5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②水泥砖可属于“C3031 粘土砖瓦及建筑砌块制造”和“C3021 水泥制品制造”；环评依据《2017年国民经济行业分类注释》将水泥砖判定为C3021 水泥制品制造。</w:t>
            </w:r>
          </w:p>
        </w:tc>
        <w:tc>
          <w:tcPr>
            <w:tcW w:w="1417"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建设项目行业类别</w:t>
            </w:r>
          </w:p>
        </w:tc>
        <w:tc>
          <w:tcPr>
            <w:tcW w:w="2597" w:type="dxa"/>
            <w:tcBorders>
              <w:left w:val="single" w:color="auto" w:sz="4" w:space="0"/>
            </w:tcBorders>
            <w:vAlign w:val="center"/>
          </w:tcPr>
          <w:p>
            <w:pPr>
              <w:spacing w:line="360" w:lineRule="auto"/>
              <w:ind w:firstLine="120" w:firstLineChars="5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①砂石骨料：第“二十七、非金属矿物制品业30”下 “砖瓦、石材等建筑材料制造303”中的“其他建筑材料制造”；</w:t>
            </w:r>
          </w:p>
          <w:p>
            <w:pPr>
              <w:spacing w:line="360" w:lineRule="auto"/>
              <w:ind w:firstLine="120" w:firstLineChars="50"/>
              <w:rPr>
                <w:rFonts w:ascii="Times New Roman" w:hAnsi="Times New Roman" w:cs="Times New Roman"/>
                <w:color w:val="000000" w:themeColor="text1"/>
                <w:sz w:val="24"/>
                <w:szCs w:val="24"/>
              </w:rPr>
            </w:pPr>
            <w:r>
              <w:rPr>
                <w:rFonts w:hint="eastAsia" w:ascii="宋体" w:hAnsi="宋体" w:eastAsia="宋体" w:cs="宋体"/>
                <w:color w:val="000000" w:themeColor="text1"/>
                <w:sz w:val="24"/>
                <w:szCs w:val="24"/>
              </w:rPr>
              <w:t>②</w:t>
            </w:r>
            <w:r>
              <w:rPr>
                <w:rFonts w:ascii="Times New Roman" w:hAnsi="Times New Roman" w:cs="Times New Roman"/>
                <w:color w:val="000000" w:themeColor="text1"/>
                <w:sz w:val="24"/>
                <w:szCs w:val="24"/>
              </w:rPr>
              <w:t>水泥砖：第“二十七、非金属矿物制品业30”下“石膏、水泥制品及类似制品制造302” 中的“水泥制品制造”</w:t>
            </w:r>
            <w:r>
              <w:rPr>
                <w:rFonts w:hint="eastAsia" w:ascii="Times New Roman" w:hAnsi="Times New Roman" w:cs="Times New Roman"/>
                <w:color w:val="000000" w:themeColor="text1"/>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5"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建设性质</w:t>
            </w:r>
          </w:p>
        </w:tc>
        <w:tc>
          <w:tcPr>
            <w:tcW w:w="3827" w:type="dxa"/>
            <w:tcBorders>
              <w:right w:val="single" w:color="auto" w:sz="4" w:space="0"/>
            </w:tcBorders>
            <w:vAlign w:val="center"/>
          </w:tcPr>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☑新建（迁建）</w:t>
            </w:r>
          </w:p>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□改建</w:t>
            </w:r>
          </w:p>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□扩建</w:t>
            </w:r>
          </w:p>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□技术改造</w:t>
            </w:r>
          </w:p>
        </w:tc>
        <w:tc>
          <w:tcPr>
            <w:tcW w:w="1417"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建设项目申报情形</w:t>
            </w:r>
          </w:p>
        </w:tc>
        <w:tc>
          <w:tcPr>
            <w:tcW w:w="2597" w:type="dxa"/>
            <w:tcBorders>
              <w:left w:val="single" w:color="auto" w:sz="4" w:space="0"/>
            </w:tcBorders>
            <w:vAlign w:val="center"/>
          </w:tcPr>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☑首次申报项目</w:t>
            </w:r>
          </w:p>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□不予批准后再次申报项目</w:t>
            </w:r>
          </w:p>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□超五年重新审核项目</w:t>
            </w:r>
          </w:p>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□重大变动重新报批项目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5"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项目审批（核准/备案）部门（选填）</w:t>
            </w:r>
          </w:p>
        </w:tc>
        <w:tc>
          <w:tcPr>
            <w:tcW w:w="3827"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昆明市东川区发展和改革局</w:t>
            </w:r>
          </w:p>
        </w:tc>
        <w:tc>
          <w:tcPr>
            <w:tcW w:w="1417"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项目审批（核准/备案）文号（选填）</w:t>
            </w:r>
          </w:p>
        </w:tc>
        <w:tc>
          <w:tcPr>
            <w:tcW w:w="2597"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投资项目备案证（项目代码：2106-530113-89-01-960499）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5"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总投资（万元）</w:t>
            </w:r>
          </w:p>
        </w:tc>
        <w:tc>
          <w:tcPr>
            <w:tcW w:w="3827"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5256</w:t>
            </w:r>
          </w:p>
        </w:tc>
        <w:tc>
          <w:tcPr>
            <w:tcW w:w="1417"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环保投资（万元）</w:t>
            </w:r>
          </w:p>
        </w:tc>
        <w:tc>
          <w:tcPr>
            <w:tcW w:w="2597"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175.11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5"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环保投资占比</w:t>
            </w:r>
          </w:p>
        </w:tc>
        <w:tc>
          <w:tcPr>
            <w:tcW w:w="3827"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3.33%</w:t>
            </w:r>
          </w:p>
        </w:tc>
        <w:tc>
          <w:tcPr>
            <w:tcW w:w="1417"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施工工期</w:t>
            </w:r>
          </w:p>
        </w:tc>
        <w:tc>
          <w:tcPr>
            <w:tcW w:w="2597"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5"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是否开工建设</w:t>
            </w:r>
          </w:p>
        </w:tc>
        <w:tc>
          <w:tcPr>
            <w:tcW w:w="3827" w:type="dxa"/>
            <w:tcBorders>
              <w:right w:val="single" w:color="auto" w:sz="4" w:space="0"/>
            </w:tcBorders>
            <w:vAlign w:val="center"/>
          </w:tcPr>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☑否</w:t>
            </w:r>
          </w:p>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□是</w:t>
            </w:r>
            <w:r>
              <w:rPr>
                <w:rFonts w:ascii="Times New Roman" w:hAnsi="Times New Roman" w:cs="Times New Roman"/>
                <w:color w:val="000000" w:themeColor="text1"/>
                <w:sz w:val="24"/>
                <w:szCs w:val="24"/>
                <w:u w:val="single"/>
              </w:rPr>
              <w:t xml:space="preserve">             </w:t>
            </w:r>
          </w:p>
        </w:tc>
        <w:tc>
          <w:tcPr>
            <w:tcW w:w="1417"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用地（用海）面积</w:t>
            </w:r>
          </w:p>
        </w:tc>
        <w:tc>
          <w:tcPr>
            <w:tcW w:w="2597"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18113.33m²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专项评价设置情况</w:t>
            </w:r>
          </w:p>
        </w:tc>
        <w:tc>
          <w:tcPr>
            <w:tcW w:w="8834" w:type="dxa"/>
            <w:gridSpan w:val="4"/>
            <w:tcBorders>
              <w:left w:val="single" w:color="auto" w:sz="4" w:space="0"/>
            </w:tcBorders>
            <w:vAlign w:val="center"/>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根据《建设项目环境影响报告表编制技术指南》（污染影响类）（试行）“表1 专项评价设置原则表”的要求，该项目专项评价设置情况具体如下表所示。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表1-1 专项评价设置情况分析表</w:t>
            </w:r>
          </w:p>
          <w:tbl>
            <w:tblPr>
              <w:tblStyle w:val="2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25"/>
              <w:gridCol w:w="3373"/>
              <w:gridCol w:w="3685"/>
              <w:gridCol w:w="7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3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环境影响因素</w:t>
                  </w:r>
                </w:p>
              </w:tc>
              <w:tc>
                <w:tcPr>
                  <w:tcW w:w="298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专项设置原则</w:t>
                  </w:r>
                </w:p>
              </w:tc>
              <w:tc>
                <w:tcPr>
                  <w:tcW w:w="326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该项目情况</w:t>
                  </w:r>
                </w:p>
              </w:tc>
              <w:tc>
                <w:tcPr>
                  <w:tcW w:w="64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是否设置专项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大气</w:t>
                  </w:r>
                </w:p>
              </w:tc>
              <w:tc>
                <w:tcPr>
                  <w:tcW w:w="2984" w:type="dxa"/>
                  <w:vAlign w:val="center"/>
                </w:tcPr>
                <w:p>
                  <w:pPr>
                    <w:pStyle w:val="32"/>
                    <w:spacing w:line="360" w:lineRule="exact"/>
                    <w:ind w:firstLine="210" w:firstLineChars="100"/>
                    <w:jc w:val="both"/>
                    <w:rPr>
                      <w:color w:val="000000" w:themeColor="text1"/>
                      <w:szCs w:val="21"/>
                    </w:rPr>
                  </w:pPr>
                  <w:r>
                    <w:rPr>
                      <w:color w:val="000000" w:themeColor="text1"/>
                      <w:szCs w:val="21"/>
                    </w:rPr>
                    <w:t>排放废气含有《有毒有害大气污染物名录》的污染物（不包括无排放标准的污染物）、二噁英、苯并[a]芘、氰化物、氯气且厂界外500 米范围内有环境空气保护目标的建设项目。</w:t>
                  </w:r>
                </w:p>
              </w:tc>
              <w:tc>
                <w:tcPr>
                  <w:tcW w:w="3260" w:type="dxa"/>
                  <w:vAlign w:val="center"/>
                </w:tcPr>
                <w:p>
                  <w:pPr>
                    <w:pStyle w:val="32"/>
                    <w:spacing w:line="360" w:lineRule="exact"/>
                    <w:ind w:firstLine="210" w:firstLineChars="100"/>
                    <w:jc w:val="both"/>
                    <w:rPr>
                      <w:color w:val="000000" w:themeColor="text1"/>
                      <w:szCs w:val="21"/>
                    </w:rPr>
                  </w:pPr>
                  <w:r>
                    <w:rPr>
                      <w:color w:val="000000" w:themeColor="text1"/>
                      <w:szCs w:val="21"/>
                    </w:rPr>
                    <w:t>该项目排放的大气污染物主要为扬粉尘；不含上述需设置大气专项评价的排放因子，因此不设置大气专项评价。</w:t>
                  </w:r>
                </w:p>
              </w:tc>
              <w:tc>
                <w:tcPr>
                  <w:tcW w:w="641" w:type="dxa"/>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地表水</w:t>
                  </w:r>
                </w:p>
              </w:tc>
              <w:tc>
                <w:tcPr>
                  <w:tcW w:w="2984" w:type="dxa"/>
                  <w:vAlign w:val="center"/>
                </w:tcPr>
                <w:p>
                  <w:pPr>
                    <w:pStyle w:val="32"/>
                    <w:spacing w:line="360" w:lineRule="exact"/>
                    <w:ind w:firstLine="210" w:firstLineChars="100"/>
                    <w:jc w:val="both"/>
                    <w:rPr>
                      <w:color w:val="000000" w:themeColor="text1"/>
                      <w:szCs w:val="21"/>
                    </w:rPr>
                  </w:pPr>
                  <w:r>
                    <w:rPr>
                      <w:color w:val="000000" w:themeColor="text1"/>
                      <w:szCs w:val="21"/>
                    </w:rPr>
                    <w:t>新增工业废水直排建设项目（槽罐车外送污水处理厂的除外）；新增废水直排的污水集中处理厂。</w:t>
                  </w:r>
                </w:p>
              </w:tc>
              <w:tc>
                <w:tcPr>
                  <w:tcW w:w="3260" w:type="dxa"/>
                  <w:vAlign w:val="center"/>
                </w:tcPr>
                <w:p>
                  <w:pPr>
                    <w:pStyle w:val="32"/>
                    <w:spacing w:line="360" w:lineRule="exact"/>
                    <w:ind w:firstLine="210" w:firstLineChars="100"/>
                    <w:jc w:val="both"/>
                    <w:rPr>
                      <w:color w:val="000000" w:themeColor="text1"/>
                      <w:szCs w:val="21"/>
                    </w:rPr>
                  </w:pPr>
                  <w:r>
                    <w:rPr>
                      <w:color w:val="000000" w:themeColor="text1"/>
                      <w:szCs w:val="21"/>
                    </w:rPr>
                    <w:t>该项目产生的废水类型包括砂石骨料生产废水、水泥砖养护废水、生活污水和初期雨水，砂石骨料生产废水经三级沉淀后清水回用于砂石骨料生产线，含水污泥依托建设单位建设的昆明市东川金水矿业有限责任公司牛厂坪尾矿充填环境综合治理项目进行处置；而水泥砖养护废水、生活污水和初期雨水，均各经配套的设施处理后回用，不外排；因此不设置地表水专项评价。</w:t>
                  </w:r>
                </w:p>
              </w:tc>
              <w:tc>
                <w:tcPr>
                  <w:tcW w:w="64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环境风险</w:t>
                  </w:r>
                </w:p>
              </w:tc>
              <w:tc>
                <w:tcPr>
                  <w:tcW w:w="2984" w:type="dxa"/>
                  <w:vAlign w:val="center"/>
                </w:tcPr>
                <w:p>
                  <w:pPr>
                    <w:pStyle w:val="32"/>
                    <w:spacing w:line="360" w:lineRule="exact"/>
                    <w:ind w:firstLine="210" w:firstLineChars="100"/>
                    <w:jc w:val="both"/>
                    <w:rPr>
                      <w:color w:val="000000" w:themeColor="text1"/>
                      <w:szCs w:val="21"/>
                    </w:rPr>
                  </w:pPr>
                  <w:r>
                    <w:rPr>
                      <w:color w:val="000000" w:themeColor="text1"/>
                      <w:szCs w:val="21"/>
                    </w:rPr>
                    <w:t>有毒有害和易燃易爆危险物质存储量超过临界量的建设项目。</w:t>
                  </w:r>
                </w:p>
              </w:tc>
              <w:tc>
                <w:tcPr>
                  <w:tcW w:w="3260" w:type="dxa"/>
                  <w:vAlign w:val="center"/>
                </w:tcPr>
                <w:p>
                  <w:pPr>
                    <w:pStyle w:val="32"/>
                    <w:spacing w:line="360" w:lineRule="exact"/>
                    <w:ind w:firstLine="210" w:firstLineChars="100"/>
                    <w:jc w:val="both"/>
                    <w:rPr>
                      <w:color w:val="000000" w:themeColor="text1"/>
                      <w:szCs w:val="21"/>
                    </w:rPr>
                  </w:pPr>
                  <w:r>
                    <w:rPr>
                      <w:color w:val="000000" w:themeColor="text1"/>
                      <w:szCs w:val="21"/>
                    </w:rPr>
                    <w:t>该项目涉及的危险物质包括暂存的废机油，其中废机油最大储存量为0.08t（临界量为2500t）、次氯酸钠最大储存量为0.05t（临界量为5t），则未超过临界量，因此不需设置环境风险评价等级。</w:t>
                  </w:r>
                </w:p>
              </w:tc>
              <w:tc>
                <w:tcPr>
                  <w:tcW w:w="64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生态</w:t>
                  </w:r>
                </w:p>
              </w:tc>
              <w:tc>
                <w:tcPr>
                  <w:tcW w:w="2984" w:type="dxa"/>
                  <w:vAlign w:val="center"/>
                </w:tcPr>
                <w:p>
                  <w:pPr>
                    <w:pStyle w:val="32"/>
                    <w:spacing w:line="360" w:lineRule="exact"/>
                    <w:ind w:firstLine="210" w:firstLineChars="100"/>
                    <w:jc w:val="both"/>
                    <w:rPr>
                      <w:color w:val="000000" w:themeColor="text1"/>
                      <w:szCs w:val="21"/>
                    </w:rPr>
                  </w:pPr>
                  <w:r>
                    <w:rPr>
                      <w:color w:val="000000" w:themeColor="text1"/>
                      <w:szCs w:val="21"/>
                    </w:rPr>
                    <w:t>取水口下游500 米范围内有重要水生生物的自然产卵场、索饵场、越冬场和洄游通道的新增河道取水的污染类建设项目。</w:t>
                  </w:r>
                </w:p>
              </w:tc>
              <w:tc>
                <w:tcPr>
                  <w:tcW w:w="3260" w:type="dxa"/>
                  <w:vAlign w:val="center"/>
                </w:tcPr>
                <w:p>
                  <w:pPr>
                    <w:pStyle w:val="32"/>
                    <w:spacing w:line="360" w:lineRule="exact"/>
                    <w:ind w:firstLine="210" w:firstLineChars="100"/>
                    <w:jc w:val="both"/>
                    <w:rPr>
                      <w:color w:val="FF0000"/>
                      <w:szCs w:val="21"/>
                    </w:rPr>
                  </w:pPr>
                  <w:r>
                    <w:rPr>
                      <w:color w:val="FF0000"/>
                      <w:szCs w:val="21"/>
                    </w:rPr>
                    <w:t>该项目用水使用建设单位旗下的</w:t>
                  </w:r>
                  <w:r>
                    <w:rPr>
                      <w:rFonts w:hint="eastAsia"/>
                      <w:color w:val="FF0000"/>
                      <w:szCs w:val="21"/>
                    </w:rPr>
                    <w:t>三分厂供水管网进行供水，</w:t>
                  </w:r>
                  <w:r>
                    <w:rPr>
                      <w:color w:val="FF0000"/>
                      <w:szCs w:val="21"/>
                    </w:rPr>
                    <w:t>且项目取水点大水沟下游500 米范围内无重要水生生物的自然产卵场、索饵场、越冬场和洄游通道，因此不设置生态专项评价。</w:t>
                  </w:r>
                </w:p>
              </w:tc>
              <w:tc>
                <w:tcPr>
                  <w:tcW w:w="641" w:type="dxa"/>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海洋</w:t>
                  </w:r>
                </w:p>
              </w:tc>
              <w:tc>
                <w:tcPr>
                  <w:tcW w:w="2984" w:type="dxa"/>
                  <w:vAlign w:val="center"/>
                </w:tcPr>
                <w:p>
                  <w:pPr>
                    <w:pStyle w:val="32"/>
                    <w:spacing w:line="360" w:lineRule="exact"/>
                    <w:ind w:firstLine="210" w:firstLineChars="100"/>
                    <w:jc w:val="both"/>
                    <w:rPr>
                      <w:color w:val="000000" w:themeColor="text1"/>
                      <w:szCs w:val="21"/>
                    </w:rPr>
                  </w:pPr>
                  <w:r>
                    <w:rPr>
                      <w:color w:val="000000" w:themeColor="text1"/>
                      <w:szCs w:val="21"/>
                    </w:rPr>
                    <w:t>直接向海排放污染物的海洋工程建设项目。</w:t>
                  </w:r>
                </w:p>
              </w:tc>
              <w:tc>
                <w:tcPr>
                  <w:tcW w:w="3260" w:type="dxa"/>
                  <w:vAlign w:val="center"/>
                </w:tcPr>
                <w:p>
                  <w:pPr>
                    <w:pStyle w:val="32"/>
                    <w:spacing w:line="360" w:lineRule="exact"/>
                    <w:ind w:firstLine="210" w:firstLineChars="100"/>
                    <w:jc w:val="both"/>
                    <w:rPr>
                      <w:color w:val="000000" w:themeColor="text1"/>
                      <w:szCs w:val="21"/>
                    </w:rPr>
                  </w:pPr>
                  <w:r>
                    <w:rPr>
                      <w:color w:val="000000" w:themeColor="text1"/>
                      <w:szCs w:val="21"/>
                    </w:rPr>
                    <w:t>该项目不涉及海洋，因此不设置海洋专项评价。</w:t>
                  </w:r>
                </w:p>
              </w:tc>
              <w:tc>
                <w:tcPr>
                  <w:tcW w:w="641" w:type="dxa"/>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否</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综上，该项目不设置专项评价。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5" w:type="dxa"/>
            <w:gridSpan w:val="2"/>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规划情况</w:t>
            </w:r>
          </w:p>
        </w:tc>
        <w:tc>
          <w:tcPr>
            <w:tcW w:w="7841" w:type="dxa"/>
            <w:gridSpan w:val="3"/>
            <w:tcBorders>
              <w:left w:val="single" w:color="auto" w:sz="4" w:space="0"/>
            </w:tcBorders>
            <w:vAlign w:val="center"/>
          </w:tcPr>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该项目位于昆明市东川区因民镇牛厂坪村，根据调查，该区域未规划为工业园区。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5" w:type="dxa"/>
            <w:gridSpan w:val="2"/>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规划环境影响评价情况</w:t>
            </w:r>
          </w:p>
        </w:tc>
        <w:tc>
          <w:tcPr>
            <w:tcW w:w="7841" w:type="dxa"/>
            <w:gridSpan w:val="3"/>
            <w:tcBorders>
              <w:left w:val="single" w:color="auto" w:sz="4" w:space="0"/>
            </w:tcBorders>
            <w:vAlign w:val="center"/>
          </w:tcPr>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5" w:type="dxa"/>
            <w:gridSpan w:val="2"/>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规划及规划环境影响评价符合性分析</w:t>
            </w:r>
          </w:p>
        </w:tc>
        <w:tc>
          <w:tcPr>
            <w:tcW w:w="7841" w:type="dxa"/>
            <w:gridSpan w:val="3"/>
            <w:tcBorders>
              <w:left w:val="single" w:color="auto" w:sz="4" w:space="0"/>
            </w:tcBorders>
            <w:vAlign w:val="center"/>
          </w:tcPr>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其他符合性分析</w:t>
            </w:r>
          </w:p>
        </w:tc>
        <w:tc>
          <w:tcPr>
            <w:tcW w:w="8834" w:type="dxa"/>
            <w:gridSpan w:val="4"/>
            <w:vAlign w:val="center"/>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根据《建设项目环境影响报告表编制技术指南》（污染影响类）（试行）的要求，其他符合性包括“三线一单”符合性、生态环境保护法律法规政策符合性和生态环境保护规划的符合性，具体如下：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（1）“三线一单”符合性分析</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昆明市人民政府已发布《昆明市人民政府关于昆明市“三线一单” 生态环境分区管控的实施意见》，该项目符合性分析具体如下：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①生态保护红线和一般生态空间</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云南省人民政府关于发布云南省生态保护红线的通知》（云政发〔2018〕32号）文，云南省生态红线主要包括包含生物多样性维护、水源涵养、水土保持三大红线类型，11个分区。其中和昆明行政区划内有关的分区有4个，项目位于昆明市东川区因民镇牛厂坪村的原昆明东川众誉矿业有限责任公司砂厂厂区范围内，2021年6月18日昆明市东川区自然资源局出具的相关证明，明确项目不涉及生态红线。又《昆明市人民政府关于昆明市“三线一单” 生态环境分区管控的实施意见》明确将“将未划入生态保护红线的自然保护地、饮用水水源保护区、重要湿地、基本草原、生态公益林、天然林等生态功能重要、生态环境敏感区域划为一般生态空间”，根据调查，该项目位于该项目位于昆明市东川区因民镇牛厂坪村，项目所在地属于东川区矿产资源重点管控单元，因此项目不属于优先保护单元。</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②环境质量底线</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《昆明市人民政府关于昆明市“三线一单” 生态环境分区管控的实施意见》对环境质量底线设定了2025年和2035年两个目标，该项目位于昆明市东川区因民镇牛厂坪村，环境质量底线和该项目相关的要求及符合性分析如下：</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fldChar w:fldCharType="begin"/>
            </w:r>
            <w:r>
              <w:rPr>
                <w:rFonts w:ascii="Times New Roman" w:hAnsi="Times New Roman" w:cs="Times New Roman"/>
                <w:b/>
                <w:color w:val="000000" w:themeColor="text1"/>
                <w:sz w:val="24"/>
              </w:rPr>
              <w:instrText xml:space="preserve"> = 1 \* GB2 </w:instrText>
            </w:r>
            <w:r>
              <w:rPr>
                <w:rFonts w:ascii="Times New Roman" w:hAnsi="Times New Roman" w:cs="Times New Roman"/>
                <w:b/>
                <w:color w:val="000000" w:themeColor="text1"/>
                <w:sz w:val="24"/>
              </w:rPr>
              <w:fldChar w:fldCharType="separate"/>
            </w:r>
            <w:r>
              <w:rPr>
                <w:rFonts w:ascii="Times New Roman" w:hAnsi="Times New Roman" w:cs="Times New Roman"/>
                <w:b/>
                <w:color w:val="000000" w:themeColor="text1"/>
                <w:sz w:val="24"/>
              </w:rPr>
              <w:t>⑴</w:t>
            </w:r>
            <w:r>
              <w:rPr>
                <w:rFonts w:ascii="Times New Roman" w:hAnsi="Times New Roman" w:cs="Times New Roman"/>
                <w:b/>
                <w:color w:val="000000" w:themeColor="text1"/>
                <w:sz w:val="24"/>
              </w:rPr>
              <w:fldChar w:fldCharType="end"/>
            </w:r>
            <w:r>
              <w:rPr>
                <w:rFonts w:ascii="Times New Roman" w:hAnsi="Times New Roman" w:cs="Times New Roman"/>
                <w:b/>
                <w:color w:val="000000" w:themeColor="text1"/>
                <w:sz w:val="24"/>
              </w:rPr>
              <w:t>生态环境质量底线</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实施意见”要求：到2025年，全市生态环境质量持续改善，生态空间得到优化和有效保护，区域生态安全屏障更加牢固。到2035年，全市生态环境质量实现根本好转，生态功能显著提升，区域生态安全得到全面保障。</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根据调查，项目的建设不涉及到生态保护红线和一般生态空间，因此项目建设和生态环境质量底线不冲突。因此，项目建设不会改变区域生态环境质量功能要求。</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fldChar w:fldCharType="begin"/>
            </w:r>
            <w:r>
              <w:rPr>
                <w:rFonts w:ascii="Times New Roman" w:hAnsi="Times New Roman" w:cs="Times New Roman"/>
                <w:b/>
                <w:color w:val="000000" w:themeColor="text1"/>
                <w:sz w:val="24"/>
              </w:rPr>
              <w:instrText xml:space="preserve"> = 2 \* GB2 </w:instrText>
            </w:r>
            <w:r>
              <w:rPr>
                <w:rFonts w:ascii="Times New Roman" w:hAnsi="Times New Roman" w:cs="Times New Roman"/>
                <w:b/>
                <w:color w:val="000000" w:themeColor="text1"/>
                <w:sz w:val="24"/>
              </w:rPr>
              <w:fldChar w:fldCharType="separate"/>
            </w:r>
            <w:r>
              <w:rPr>
                <w:rFonts w:ascii="Times New Roman" w:hAnsi="Times New Roman" w:cs="Times New Roman"/>
                <w:b/>
                <w:color w:val="000000" w:themeColor="text1"/>
                <w:sz w:val="24"/>
              </w:rPr>
              <w:t>⑵</w:t>
            </w:r>
            <w:r>
              <w:rPr>
                <w:rFonts w:ascii="Times New Roman" w:hAnsi="Times New Roman" w:cs="Times New Roman"/>
                <w:b/>
                <w:color w:val="000000" w:themeColor="text1"/>
                <w:sz w:val="24"/>
              </w:rPr>
              <w:fldChar w:fldCharType="end"/>
            </w:r>
            <w:r>
              <w:rPr>
                <w:rFonts w:ascii="Times New Roman" w:hAnsi="Times New Roman" w:cs="Times New Roman"/>
                <w:b/>
                <w:color w:val="000000" w:themeColor="text1"/>
                <w:sz w:val="24"/>
              </w:rPr>
              <w:t>环境空气环境质量底线</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“实施意见”要求：到2025年，全市环境空气质量总体保持优良，主城建成区空气质量优良天数占比达99%以上，二氧化硫（SO</w:t>
            </w:r>
            <w:r>
              <w:rPr>
                <w:rFonts w:ascii="Times New Roman" w:hAnsi="Times New Roman" w:cs="Times New Roman"/>
                <w:color w:val="000000" w:themeColor="text1"/>
                <w:sz w:val="24"/>
                <w:vertAlign w:val="subscript"/>
              </w:rPr>
              <w:t>2</w:t>
            </w:r>
            <w:r>
              <w:rPr>
                <w:rFonts w:ascii="Times New Roman" w:hAnsi="Times New Roman" w:cs="Times New Roman"/>
                <w:color w:val="000000" w:themeColor="text1"/>
                <w:sz w:val="24"/>
              </w:rPr>
              <w:t>）和氮氧化物（NOx）排放总量控制在省下达的目标以内，主城区空气中颗粒物（PM</w:t>
            </w:r>
            <w:r>
              <w:rPr>
                <w:rFonts w:ascii="Times New Roman" w:hAnsi="Times New Roman" w:cs="Times New Roman"/>
                <w:color w:val="000000" w:themeColor="text1"/>
                <w:sz w:val="24"/>
                <w:vertAlign w:val="subscript"/>
              </w:rPr>
              <w:t>10</w:t>
            </w:r>
            <w:r>
              <w:rPr>
                <w:rFonts w:ascii="Times New Roman" w:hAnsi="Times New Roman" w:cs="Times New Roman"/>
                <w:color w:val="000000" w:themeColor="text1"/>
                <w:sz w:val="24"/>
              </w:rPr>
              <w:t>、PM</w:t>
            </w:r>
            <w:r>
              <w:rPr>
                <w:rFonts w:ascii="Times New Roman" w:hAnsi="Times New Roman" w:cs="Times New Roman"/>
                <w:color w:val="000000" w:themeColor="text1"/>
                <w:sz w:val="24"/>
                <w:vertAlign w:val="subscript"/>
              </w:rPr>
              <w:t>2.5</w:t>
            </w:r>
            <w:r>
              <w:rPr>
                <w:rFonts w:ascii="Times New Roman" w:hAnsi="Times New Roman" w:cs="Times New Roman"/>
                <w:color w:val="000000" w:themeColor="text1"/>
                <w:sz w:val="24"/>
              </w:rPr>
              <w:t>）稳定达《环境空气质量标准》二级标准以上。到2035年，全市环境空气质量全面改善，各县（市）区、开发（度假）区环境空气质量稳定达到国家二级标准。</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根据调查，现目选址区域空气环境可达到《环境空气质量标准》（GB3095-2012）二级标准，属于空气达标区，且该项目的建设不会改变区域环境空气质量功能要求。</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fldChar w:fldCharType="begin"/>
            </w:r>
            <w:r>
              <w:rPr>
                <w:rFonts w:ascii="Times New Roman" w:hAnsi="Times New Roman" w:cs="Times New Roman"/>
                <w:b/>
                <w:color w:val="000000" w:themeColor="text1"/>
                <w:sz w:val="24"/>
              </w:rPr>
              <w:instrText xml:space="preserve"> = 3 \* GB2 </w:instrText>
            </w:r>
            <w:r>
              <w:rPr>
                <w:rFonts w:ascii="Times New Roman" w:hAnsi="Times New Roman" w:cs="Times New Roman"/>
                <w:b/>
                <w:color w:val="000000" w:themeColor="text1"/>
                <w:sz w:val="24"/>
              </w:rPr>
              <w:fldChar w:fldCharType="separate"/>
            </w:r>
            <w:r>
              <w:rPr>
                <w:rFonts w:ascii="Times New Roman" w:hAnsi="Times New Roman" w:cs="Times New Roman"/>
                <w:b/>
                <w:color w:val="000000" w:themeColor="text1"/>
                <w:sz w:val="24"/>
              </w:rPr>
              <w:t>⑶</w:t>
            </w:r>
            <w:r>
              <w:rPr>
                <w:rFonts w:ascii="Times New Roman" w:hAnsi="Times New Roman" w:cs="Times New Roman"/>
                <w:b/>
                <w:color w:val="000000" w:themeColor="text1"/>
                <w:sz w:val="24"/>
              </w:rPr>
              <w:fldChar w:fldCharType="end"/>
            </w:r>
            <w:r>
              <w:rPr>
                <w:rFonts w:ascii="Times New Roman" w:hAnsi="Times New Roman" w:cs="Times New Roman"/>
                <w:b/>
                <w:color w:val="000000" w:themeColor="text1"/>
                <w:sz w:val="24"/>
              </w:rPr>
              <w:t>地表水环境质量底线</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“实施意见”要求：到2025年，纳入国家和省级考核的地表水监测断面水质优良率稳步提升，滇池流域、阳宗海流域水环境质量明显改善，水生态系统功能逐步恢复，滇池草海水质达</w:t>
            </w:r>
            <w:r>
              <w:rPr>
                <w:rFonts w:ascii="Times New Roman" w:cs="Times New Roman" w:hAnsiTheme="minorEastAsia"/>
                <w:color w:val="000000" w:themeColor="text1"/>
                <w:sz w:val="24"/>
              </w:rPr>
              <w:t>Ⅳ</w:t>
            </w:r>
            <w:r>
              <w:rPr>
                <w:rFonts w:ascii="Times New Roman" w:hAnsi="Times New Roman" w:cs="Times New Roman"/>
                <w:color w:val="000000" w:themeColor="text1"/>
                <w:sz w:val="24"/>
              </w:rPr>
              <w:t>类，滇池外海水质达IV类（化学需氧量≤40毫克/升），阳宗海水质达III类，集中式饮用水源水质巩固改善。到2035年，地表水体水质优良率全面提升，各监测断面水质达到水环境功能要求，消除劣V类水体，集中式饮用水水源水质稳定达标。</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根据调查，该项目地表水大水沟水质可达到《地表水环境质量标准》（GB3838-2002）III类标准。且项目运行期间无废水直接排入环境，不会改变区域地表水环境质量功能要求。</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fldChar w:fldCharType="begin"/>
            </w:r>
            <w:r>
              <w:rPr>
                <w:rFonts w:ascii="Times New Roman" w:hAnsi="Times New Roman" w:cs="Times New Roman"/>
                <w:b/>
                <w:color w:val="000000" w:themeColor="text1"/>
                <w:sz w:val="24"/>
              </w:rPr>
              <w:instrText xml:space="preserve"> = 4 \* GB2 </w:instrText>
            </w:r>
            <w:r>
              <w:rPr>
                <w:rFonts w:ascii="Times New Roman" w:hAnsi="Times New Roman" w:cs="Times New Roman"/>
                <w:b/>
                <w:color w:val="000000" w:themeColor="text1"/>
                <w:sz w:val="24"/>
              </w:rPr>
              <w:fldChar w:fldCharType="separate"/>
            </w:r>
            <w:r>
              <w:rPr>
                <w:rFonts w:ascii="Times New Roman" w:hAnsi="Times New Roman" w:cs="Times New Roman"/>
                <w:b/>
                <w:color w:val="000000" w:themeColor="text1"/>
                <w:sz w:val="24"/>
              </w:rPr>
              <w:t>⑷</w:t>
            </w:r>
            <w:r>
              <w:rPr>
                <w:rFonts w:ascii="Times New Roman" w:hAnsi="Times New Roman" w:cs="Times New Roman"/>
                <w:b/>
                <w:color w:val="000000" w:themeColor="text1"/>
                <w:sz w:val="24"/>
              </w:rPr>
              <w:fldChar w:fldCharType="end"/>
            </w:r>
            <w:r>
              <w:rPr>
                <w:rFonts w:ascii="Times New Roman" w:hAnsi="Times New Roman" w:cs="Times New Roman"/>
                <w:b/>
                <w:color w:val="000000" w:themeColor="text1"/>
                <w:sz w:val="24"/>
              </w:rPr>
              <w:t>土壤环境质量底线</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实施意见”要求：到2025年，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要求。到2035年，土壤环境质量稳中向好，农用地和建设用地土壤环境安全得到有效保障，土壤环境风险得到全面管控。</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根据调查，项目建设对土壤环境影响较小，只要严格执行相应的土壤环境保护措施，项目建设不会改变区域土壤环境质量功能要求。</w:t>
            </w:r>
          </w:p>
          <w:p>
            <w:pPr>
              <w:spacing w:line="360" w:lineRule="auto"/>
              <w:ind w:firstLine="482" w:firstLineChars="200"/>
              <w:rPr>
                <w:rFonts w:ascii="Times New Roman" w:hAnsi="Times New Roman" w:cs="Times New Roman"/>
                <w:b/>
                <w:color w:val="000000" w:themeColor="text1"/>
                <w:sz w:val="24"/>
              </w:rPr>
            </w:pPr>
            <w:r>
              <w:rPr>
                <w:rFonts w:ascii="Times New Roman" w:cs="Times New Roman" w:hAnsiTheme="minorEastAsia"/>
                <w:b/>
                <w:color w:val="000000" w:themeColor="text1"/>
                <w:sz w:val="24"/>
                <w:szCs w:val="24"/>
              </w:rPr>
              <w:t>③</w:t>
            </w:r>
            <w:r>
              <w:rPr>
                <w:rFonts w:ascii="Times New Roman" w:hAnsi="Times New Roman" w:cs="Times New Roman"/>
                <w:b/>
                <w:color w:val="000000" w:themeColor="text1"/>
                <w:sz w:val="24"/>
                <w:szCs w:val="24"/>
              </w:rPr>
              <w:t>资源利用上线</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《昆明市人民政府关于昆明市“三线一单” 生态环境分区管控的实施意见》对资源利用上限的要求为：按照国家、省、市有关要求和规划，按时完成全市用水总量、用水效率、限制纳污“三条红线”水资源上限控制指标；按时完成耕地保有量、基本农田保护面积、建设用地总规模等土地资源利用上限控制指标；按时完成单位GDP能耗下降率、能源消费总量等能源控制指标。</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w:t>
            </w:r>
            <w:r>
              <w:rPr>
                <w:rFonts w:hint="eastAsia" w:ascii="Times New Roman" w:hAnsi="Times New Roman" w:cs="Times New Roman"/>
                <w:color w:val="000000" w:themeColor="text1"/>
                <w:sz w:val="24"/>
              </w:rPr>
              <w:t>水平衡</w:t>
            </w:r>
            <w:r>
              <w:rPr>
                <w:rFonts w:ascii="Times New Roman" w:hAnsi="Times New Roman" w:cs="Times New Roman"/>
                <w:color w:val="000000" w:themeColor="text1"/>
                <w:sz w:val="24"/>
              </w:rPr>
              <w:t>，项目</w:t>
            </w:r>
            <w:r>
              <w:rPr>
                <w:rFonts w:hint="eastAsia" w:ascii="Times New Roman" w:hAnsi="Times New Roman" w:cs="Times New Roman"/>
                <w:color w:val="000000" w:themeColor="text1"/>
                <w:sz w:val="24"/>
              </w:rPr>
              <w:t>新鲜</w:t>
            </w:r>
            <w:r>
              <w:rPr>
                <w:rFonts w:ascii="Times New Roman" w:hAnsi="Times New Roman" w:cs="Times New Roman"/>
                <w:color w:val="000000" w:themeColor="text1"/>
                <w:sz w:val="24"/>
              </w:rPr>
              <w:t>用水量为</w:t>
            </w:r>
            <w:r>
              <w:rPr>
                <w:rFonts w:hint="eastAsia" w:ascii="Times New Roman" w:hAnsi="Times New Roman" w:cs="Times New Roman"/>
                <w:color w:val="000000" w:themeColor="text1"/>
                <w:sz w:val="24"/>
              </w:rPr>
              <w:t>18686.4m³/a（其中非雨天64.16</w:t>
            </w:r>
            <w:r>
              <w:rPr>
                <w:rFonts w:ascii="Times New Roman" w:hAnsi="Times New Roman" w:cs="Times New Roman"/>
                <w:color w:val="000000" w:themeColor="text1"/>
                <w:sz w:val="24"/>
              </w:rPr>
              <w:t>m³/d</w:t>
            </w:r>
            <w:r>
              <w:rPr>
                <w:rFonts w:hint="eastAsia" w:ascii="Times New Roman" w:hAnsi="Times New Roman" w:cs="Times New Roman"/>
                <w:color w:val="000000" w:themeColor="text1"/>
                <w:sz w:val="24"/>
              </w:rPr>
              <w:t>、雨天51.68</w:t>
            </w:r>
            <w:r>
              <w:rPr>
                <w:rFonts w:ascii="Times New Roman" w:hAnsi="Times New Roman" w:cs="Times New Roman"/>
                <w:color w:val="000000" w:themeColor="text1"/>
                <w:sz w:val="24"/>
              </w:rPr>
              <w:t>m³/d</w:t>
            </w:r>
            <w:r>
              <w:rPr>
                <w:rFonts w:hint="eastAsia" w:ascii="Times New Roman" w:hAnsi="Times New Roman" w:cs="Times New Roman"/>
                <w:color w:val="000000" w:themeColor="text1"/>
                <w:sz w:val="24"/>
              </w:rPr>
              <w:t>），</w:t>
            </w:r>
            <w:r>
              <w:rPr>
                <w:rFonts w:ascii="Times New Roman" w:hAnsi="Times New Roman" w:cs="Times New Roman"/>
                <w:color w:val="000000" w:themeColor="text1"/>
                <w:sz w:val="24"/>
              </w:rPr>
              <w:t>用水量较全市工业用水量占比极小；该项目购买原昆明东川众誉矿业有限责任公司砂厂范围内建设，不新增其他用地；项目不使用燃煤等能源，使用先进设备，其能耗较低；因此项目资源利用符合国家相关要求。</w:t>
            </w:r>
          </w:p>
          <w:p>
            <w:pPr>
              <w:spacing w:line="360" w:lineRule="auto"/>
              <w:ind w:firstLine="482" w:firstLineChars="200"/>
              <w:rPr>
                <w:rFonts w:ascii="Times New Roman" w:hAnsi="Times New Roman" w:cs="Times New Roman"/>
                <w:b/>
                <w:color w:val="000000" w:themeColor="text1"/>
                <w:sz w:val="24"/>
                <w:szCs w:val="24"/>
              </w:rPr>
            </w:pPr>
            <w:r>
              <w:rPr>
                <w:rFonts w:cs="Times New Roman" w:asciiTheme="minorEastAsia" w:hAnsiTheme="minorEastAsia"/>
                <w:b/>
                <w:color w:val="000000" w:themeColor="text1"/>
                <w:sz w:val="24"/>
                <w:szCs w:val="24"/>
              </w:rPr>
              <w:t>④</w:t>
            </w:r>
            <w:r>
              <w:rPr>
                <w:rFonts w:ascii="Times New Roman" w:hAnsi="Times New Roman" w:cs="Times New Roman"/>
                <w:b/>
                <w:color w:val="000000" w:themeColor="text1"/>
                <w:sz w:val="24"/>
              </w:rPr>
              <w:t>环境准入负面清单</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《昆明市人民政府关于昆明市“三线一单” 生态环境分区管控的实施意见》提出严格落实严格落实《云南省人民政府关于实施“三线一单”生态环境分区管控的意见》（云政发〔2020〕29号）管控要求。强化污染防治和自然生态系统保护修复，改善区域生态环境质量。根据划分的全市环境管控单元的特征，对每个管控单元分别提出了生态环境管控要求，形成昆明市环境管控单元生态环境准入清单，构建全市生态环境分区管控体系，落实总体管控要求。</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调查，该项目位于该项目位于昆明市东川区因民镇牛厂坪村，项目所在地属于东川区矿产资源重点管控单元，根据东川区环境管控单元生态环境准入清单的管理要求，该项目环境准入负面清单符合性具体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表1-1 与东川区环境管控单元生态环境准入清单符合性分析一览表</w:t>
            </w:r>
          </w:p>
          <w:tbl>
            <w:tblPr>
              <w:tblStyle w:val="2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16"/>
              <w:gridCol w:w="625"/>
              <w:gridCol w:w="4216"/>
              <w:gridCol w:w="2339"/>
              <w:gridCol w:w="71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单元名称</w:t>
                  </w:r>
                </w:p>
              </w:tc>
              <w:tc>
                <w:tcPr>
                  <w:tcW w:w="4841" w:type="dxa"/>
                  <w:gridSpan w:val="2"/>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管控要求</w:t>
                  </w:r>
                </w:p>
              </w:tc>
              <w:tc>
                <w:tcPr>
                  <w:tcW w:w="233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项目实际情况</w:t>
                  </w:r>
                </w:p>
              </w:tc>
              <w:tc>
                <w:tcPr>
                  <w:tcW w:w="71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6"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东川区矿产资源重点管控单元</w:t>
                  </w:r>
                </w:p>
              </w:tc>
              <w:tc>
                <w:tcPr>
                  <w:tcW w:w="62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空间布局约束</w:t>
                  </w:r>
                </w:p>
              </w:tc>
              <w:tc>
                <w:tcPr>
                  <w:tcW w:w="4216" w:type="dxa"/>
                  <w:vAlign w:val="center"/>
                </w:tcPr>
                <w:p>
                  <w:pPr>
                    <w:pStyle w:val="32"/>
                    <w:spacing w:line="360" w:lineRule="exact"/>
                    <w:ind w:firstLine="210" w:firstLineChars="100"/>
                    <w:jc w:val="both"/>
                    <w:rPr>
                      <w:color w:val="000000" w:themeColor="text1"/>
                    </w:rPr>
                  </w:pPr>
                  <w:r>
                    <w:rPr>
                      <w:color w:val="000000" w:themeColor="text1"/>
                    </w:rPr>
                    <w:t>落实《云南省矿产资源总体规划》禁止开采区规定，禁止开采区内不得新设采矿权。</w:t>
                  </w:r>
                </w:p>
              </w:tc>
              <w:tc>
                <w:tcPr>
                  <w:tcW w:w="2339" w:type="dxa"/>
                  <w:vAlign w:val="center"/>
                </w:tcPr>
                <w:p>
                  <w:pPr>
                    <w:pStyle w:val="32"/>
                    <w:spacing w:line="360" w:lineRule="exact"/>
                    <w:ind w:firstLine="210" w:firstLineChars="100"/>
                    <w:jc w:val="both"/>
                    <w:rPr>
                      <w:color w:val="000000" w:themeColor="text1"/>
                    </w:rPr>
                  </w:pPr>
                  <w:r>
                    <w:rPr>
                      <w:color w:val="000000" w:themeColor="text1"/>
                    </w:rPr>
                    <w:t>项目利用废石生产砂石骨料和水泥砖，不涉及采矿。</w:t>
                  </w:r>
                </w:p>
              </w:tc>
              <w:tc>
                <w:tcPr>
                  <w:tcW w:w="71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6" w:type="dxa"/>
                  <w:vMerge w:val="continue"/>
                  <w:vAlign w:val="center"/>
                </w:tcPr>
                <w:p>
                  <w:pPr>
                    <w:pStyle w:val="32"/>
                    <w:spacing w:line="360" w:lineRule="exact"/>
                    <w:rPr>
                      <w:rFonts w:eastAsiaTheme="minorEastAsia"/>
                      <w:color w:val="000000" w:themeColor="text1"/>
                      <w:szCs w:val="21"/>
                    </w:rPr>
                  </w:pPr>
                </w:p>
              </w:tc>
              <w:tc>
                <w:tcPr>
                  <w:tcW w:w="62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污染物排放管控</w:t>
                  </w:r>
                </w:p>
              </w:tc>
              <w:tc>
                <w:tcPr>
                  <w:tcW w:w="4216" w:type="dxa"/>
                  <w:vAlign w:val="center"/>
                </w:tcPr>
                <w:p>
                  <w:pPr>
                    <w:pStyle w:val="32"/>
                    <w:spacing w:line="360" w:lineRule="exact"/>
                    <w:ind w:firstLine="210" w:firstLineChars="100"/>
                    <w:jc w:val="both"/>
                    <w:rPr>
                      <w:color w:val="000000" w:themeColor="text1"/>
                    </w:rPr>
                  </w:pPr>
                  <w:r>
                    <w:rPr>
                      <w:color w:val="000000" w:themeColor="text1"/>
                    </w:rPr>
                    <w:t>1、贯彻“边开采、边治理、边恢复”的原则，及时治理恢复矿山地质环境，复垦矿山占用土地和损毁土地。</w:t>
                  </w:r>
                </w:p>
                <w:p>
                  <w:pPr>
                    <w:pStyle w:val="32"/>
                    <w:spacing w:line="360" w:lineRule="exact"/>
                    <w:ind w:firstLine="210" w:firstLineChars="100"/>
                    <w:jc w:val="both"/>
                    <w:rPr>
                      <w:color w:val="000000" w:themeColor="text1"/>
                    </w:rPr>
                  </w:pPr>
                  <w:r>
                    <w:rPr>
                      <w:color w:val="000000" w:themeColor="text1"/>
                    </w:rPr>
                    <w:t>2、实施“矿山复绿”行动。重点加强历史遗留矿山矿区土地复垦，实施矿山地质环境治理恢复及矿区土地复垦工程。</w:t>
                  </w:r>
                </w:p>
                <w:p>
                  <w:pPr>
                    <w:pStyle w:val="32"/>
                    <w:spacing w:line="360" w:lineRule="exact"/>
                    <w:ind w:firstLine="210" w:firstLineChars="100"/>
                    <w:jc w:val="both"/>
                    <w:rPr>
                      <w:color w:val="000000" w:themeColor="text1"/>
                    </w:rPr>
                  </w:pPr>
                  <w:r>
                    <w:rPr>
                      <w:color w:val="000000" w:themeColor="text1"/>
                    </w:rPr>
                    <w:t>3、加强尾矿、废石等资源的再利用与资源综合利用，对尾矿库、废石堆通过平整、覆土、种植等措施开展复垦还绿，严防重金属污染。</w:t>
                  </w:r>
                </w:p>
              </w:tc>
              <w:tc>
                <w:tcPr>
                  <w:tcW w:w="2339" w:type="dxa"/>
                  <w:vAlign w:val="center"/>
                </w:tcPr>
                <w:p>
                  <w:pPr>
                    <w:pStyle w:val="32"/>
                    <w:spacing w:line="360" w:lineRule="exact"/>
                    <w:ind w:firstLine="210" w:firstLineChars="100"/>
                    <w:jc w:val="both"/>
                    <w:rPr>
                      <w:color w:val="000000" w:themeColor="text1"/>
                    </w:rPr>
                  </w:pPr>
                  <w:r>
                    <w:rPr>
                      <w:color w:val="000000" w:themeColor="text1"/>
                    </w:rPr>
                    <w:t>项目利用废石生产砂石骨料和水泥砖，属于污染物排放管控中“加强尾矿、废石等资源的再利用与资源综合利用”的重要措施。</w:t>
                  </w:r>
                </w:p>
              </w:tc>
              <w:tc>
                <w:tcPr>
                  <w:tcW w:w="71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6" w:type="dxa"/>
                  <w:vMerge w:val="continue"/>
                  <w:vAlign w:val="center"/>
                </w:tcPr>
                <w:p>
                  <w:pPr>
                    <w:pStyle w:val="32"/>
                    <w:spacing w:line="360" w:lineRule="exact"/>
                    <w:rPr>
                      <w:rFonts w:eastAsiaTheme="minorEastAsia"/>
                      <w:color w:val="000000" w:themeColor="text1"/>
                      <w:szCs w:val="21"/>
                    </w:rPr>
                  </w:pPr>
                </w:p>
              </w:tc>
              <w:tc>
                <w:tcPr>
                  <w:tcW w:w="625" w:type="dxa"/>
                  <w:vAlign w:val="center"/>
                </w:tcPr>
                <w:p>
                  <w:pPr>
                    <w:pStyle w:val="32"/>
                    <w:spacing w:line="360" w:lineRule="exact"/>
                    <w:rPr>
                      <w:rFonts w:eastAsiaTheme="minorEastAsia"/>
                      <w:color w:val="000000" w:themeColor="text1"/>
                    </w:rPr>
                  </w:pPr>
                  <w:r>
                    <w:rPr>
                      <w:rFonts w:eastAsiaTheme="minorEastAsia"/>
                      <w:color w:val="000000" w:themeColor="text1"/>
                    </w:rPr>
                    <w:t>资源利用效率</w:t>
                  </w:r>
                </w:p>
              </w:tc>
              <w:tc>
                <w:tcPr>
                  <w:tcW w:w="4216" w:type="dxa"/>
                  <w:vAlign w:val="center"/>
                </w:tcPr>
                <w:p>
                  <w:pPr>
                    <w:pStyle w:val="32"/>
                    <w:spacing w:line="360" w:lineRule="exact"/>
                    <w:ind w:firstLine="210" w:firstLineChars="100"/>
                    <w:jc w:val="both"/>
                    <w:rPr>
                      <w:color w:val="000000" w:themeColor="text1"/>
                    </w:rPr>
                  </w:pPr>
                  <w:r>
                    <w:rPr>
                      <w:color w:val="000000" w:themeColor="text1"/>
                    </w:rPr>
                    <w:t>1、积极推进矿产资源开发规模化、集约化，落实云南省关于煤矿转型升级、非煤矿山转型升级、煤炭行业化解过剩产能有关要求。</w:t>
                  </w:r>
                </w:p>
                <w:p>
                  <w:pPr>
                    <w:pStyle w:val="32"/>
                    <w:spacing w:line="360" w:lineRule="exact"/>
                    <w:ind w:firstLine="210" w:firstLineChars="100"/>
                    <w:jc w:val="both"/>
                    <w:rPr>
                      <w:color w:val="000000" w:themeColor="text1"/>
                    </w:rPr>
                  </w:pPr>
                  <w:r>
                    <w:rPr>
                      <w:color w:val="000000" w:themeColor="text1"/>
                    </w:rPr>
                    <w:t xml:space="preserve">2、对原有大中型矿业进行技术改造，淘汰污染严重、资源利用率低的落后设备与工艺。加强绿色勘查开采新技术、新方法和新工艺研发与推广，积极推进绿色勘查与开发。构建绿色勘查开采新模式，因地制宜推广充填开采、保水开采、减沉开采等技术方法，推广区域矿山建矿模式和边开采边复垦边归还采矿用地模式，推广节能减排绿色采选冶技术。 </w:t>
                  </w:r>
                </w:p>
                <w:p>
                  <w:pPr>
                    <w:pStyle w:val="32"/>
                    <w:spacing w:line="360" w:lineRule="exact"/>
                    <w:ind w:firstLine="210" w:firstLineChars="100"/>
                    <w:jc w:val="both"/>
                    <w:rPr>
                      <w:color w:val="000000" w:themeColor="text1"/>
                    </w:rPr>
                  </w:pPr>
                  <w:r>
                    <w:rPr>
                      <w:color w:val="000000" w:themeColor="text1"/>
                    </w:rPr>
                    <w:t>3、应从源头减少废水产生，实施清污分流，应充分利用矿井水、循环利用选矿水。</w:t>
                  </w:r>
                </w:p>
                <w:p>
                  <w:pPr>
                    <w:pStyle w:val="32"/>
                    <w:spacing w:line="360" w:lineRule="exact"/>
                    <w:ind w:firstLine="210" w:firstLineChars="100"/>
                    <w:jc w:val="both"/>
                    <w:rPr>
                      <w:color w:val="000000" w:themeColor="text1"/>
                    </w:rPr>
                  </w:pPr>
                  <w:r>
                    <w:rPr>
                      <w:color w:val="000000" w:themeColor="text1"/>
                    </w:rPr>
                    <w:t>4、加快老矿山改造升级，建设绿色矿山，提高矿产资源回采率和综合回收率，大力开展粉煤灰、磷石膏、炉渣、冶炼废渣、尾矿等资源化利用。</w:t>
                  </w:r>
                </w:p>
              </w:tc>
              <w:tc>
                <w:tcPr>
                  <w:tcW w:w="2339" w:type="dxa"/>
                  <w:vAlign w:val="center"/>
                </w:tcPr>
                <w:p>
                  <w:pPr>
                    <w:pStyle w:val="32"/>
                    <w:spacing w:line="360" w:lineRule="exact"/>
                    <w:ind w:firstLine="210" w:firstLineChars="100"/>
                    <w:jc w:val="both"/>
                    <w:rPr>
                      <w:color w:val="000000" w:themeColor="text1"/>
                    </w:rPr>
                  </w:pPr>
                  <w:r>
                    <w:rPr>
                      <w:color w:val="000000" w:themeColor="text1"/>
                    </w:rPr>
                    <w:t>项目不涉及采矿、选矿工程。</w:t>
                  </w:r>
                </w:p>
              </w:tc>
              <w:tc>
                <w:tcPr>
                  <w:tcW w:w="71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符合</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由上表可知，项目建设满足东川区环境管控单元生态环境准入清单的相关要求。</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综上分析，项目建设符合“三线一单”要求。</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（2）与《中华人民共和国长江保护法》</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《中华人民共和国长江保护法》重点从空间管控、规划等方面提出了长江保护的相关要求，保护法提出的具体建设项目的措施符合性具体如下表所示。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表1-2 与《中华人民共和国长江保护法》符合性分析一览表</w:t>
            </w:r>
          </w:p>
          <w:tbl>
            <w:tblPr>
              <w:tblStyle w:val="2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1"/>
              <w:gridCol w:w="3021"/>
              <w:gridCol w:w="4308"/>
              <w:gridCol w:w="7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1" w:type="dxa"/>
                  <w:vAlign w:val="center"/>
                </w:tcPr>
                <w:p>
                  <w:pPr>
                    <w:pStyle w:val="32"/>
                    <w:spacing w:line="360" w:lineRule="exact"/>
                    <w:rPr>
                      <w:color w:val="000000" w:themeColor="text1"/>
                      <w:kern w:val="0"/>
                      <w:szCs w:val="21"/>
                    </w:rPr>
                  </w:pPr>
                  <w:r>
                    <w:rPr>
                      <w:color w:val="000000" w:themeColor="text1"/>
                      <w:kern w:val="0"/>
                      <w:szCs w:val="21"/>
                    </w:rPr>
                    <w:t>序号</w:t>
                  </w:r>
                </w:p>
              </w:tc>
              <w:tc>
                <w:tcPr>
                  <w:tcW w:w="3211" w:type="dxa"/>
                  <w:vAlign w:val="center"/>
                </w:tcPr>
                <w:p>
                  <w:pPr>
                    <w:pStyle w:val="32"/>
                    <w:spacing w:line="360" w:lineRule="exact"/>
                    <w:rPr>
                      <w:color w:val="000000" w:themeColor="text1"/>
                      <w:kern w:val="0"/>
                      <w:szCs w:val="21"/>
                    </w:rPr>
                  </w:pPr>
                  <w:r>
                    <w:rPr>
                      <w:color w:val="000000" w:themeColor="text1"/>
                      <w:kern w:val="0"/>
                      <w:szCs w:val="21"/>
                    </w:rPr>
                    <w:t>中华人民共和国长江保护法要求</w:t>
                  </w:r>
                </w:p>
              </w:tc>
              <w:tc>
                <w:tcPr>
                  <w:tcW w:w="4585" w:type="dxa"/>
                  <w:vAlign w:val="center"/>
                </w:tcPr>
                <w:p>
                  <w:pPr>
                    <w:pStyle w:val="32"/>
                    <w:spacing w:line="360" w:lineRule="exact"/>
                    <w:rPr>
                      <w:color w:val="000000" w:themeColor="text1"/>
                      <w:kern w:val="0"/>
                      <w:szCs w:val="21"/>
                    </w:rPr>
                  </w:pPr>
                  <w:r>
                    <w:rPr>
                      <w:color w:val="000000" w:themeColor="text1"/>
                      <w:kern w:val="0"/>
                      <w:szCs w:val="21"/>
                    </w:rPr>
                    <w:t>该项目实际情况</w:t>
                  </w:r>
                </w:p>
              </w:tc>
              <w:tc>
                <w:tcPr>
                  <w:tcW w:w="783" w:type="dxa"/>
                  <w:vAlign w:val="center"/>
                </w:tcPr>
                <w:p>
                  <w:pPr>
                    <w:pStyle w:val="32"/>
                    <w:spacing w:line="360" w:lineRule="exact"/>
                    <w:rPr>
                      <w:color w:val="000000" w:themeColor="text1"/>
                      <w:kern w:val="0"/>
                      <w:szCs w:val="21"/>
                    </w:rPr>
                  </w:pPr>
                  <w:r>
                    <w:rPr>
                      <w:color w:val="000000" w:themeColor="text1"/>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51" w:type="dxa"/>
                  <w:vAlign w:val="center"/>
                </w:tcPr>
                <w:p>
                  <w:pPr>
                    <w:pStyle w:val="32"/>
                    <w:spacing w:line="360" w:lineRule="exact"/>
                    <w:rPr>
                      <w:color w:val="000000" w:themeColor="text1"/>
                      <w:kern w:val="0"/>
                      <w:szCs w:val="21"/>
                    </w:rPr>
                  </w:pPr>
                  <w:r>
                    <w:rPr>
                      <w:color w:val="000000" w:themeColor="text1"/>
                      <w:kern w:val="0"/>
                      <w:szCs w:val="21"/>
                    </w:rPr>
                    <w:t>1</w:t>
                  </w:r>
                </w:p>
              </w:tc>
              <w:tc>
                <w:tcPr>
                  <w:tcW w:w="3211" w:type="dxa"/>
                  <w:vAlign w:val="center"/>
                </w:tcPr>
                <w:p>
                  <w:pPr>
                    <w:pStyle w:val="32"/>
                    <w:spacing w:line="360" w:lineRule="exact"/>
                    <w:ind w:firstLine="210" w:firstLineChars="100"/>
                    <w:jc w:val="both"/>
                    <w:rPr>
                      <w:color w:val="000000" w:themeColor="text1"/>
                      <w:kern w:val="0"/>
                      <w:szCs w:val="21"/>
                    </w:rPr>
                  </w:pPr>
                  <w:r>
                    <w:rPr>
                      <w:color w:val="000000" w:themeColor="text1"/>
                      <w:kern w:val="0"/>
                      <w:szCs w:val="21"/>
                    </w:rPr>
                    <w:t>禁止在长江干支流岸线一公里范围内新建、扩建化工园区和化工项目。</w:t>
                  </w:r>
                </w:p>
              </w:tc>
              <w:tc>
                <w:tcPr>
                  <w:tcW w:w="4585" w:type="dxa"/>
                  <w:vAlign w:val="center"/>
                </w:tcPr>
                <w:p>
                  <w:pPr>
                    <w:pStyle w:val="32"/>
                    <w:spacing w:line="360" w:lineRule="exact"/>
                    <w:ind w:firstLine="210" w:firstLineChars="100"/>
                    <w:jc w:val="both"/>
                    <w:rPr>
                      <w:color w:val="000000" w:themeColor="text1"/>
                      <w:kern w:val="0"/>
                      <w:szCs w:val="21"/>
                    </w:rPr>
                  </w:pPr>
                  <w:r>
                    <w:rPr>
                      <w:color w:val="000000" w:themeColor="text1"/>
                      <w:kern w:val="0"/>
                      <w:szCs w:val="21"/>
                    </w:rPr>
                    <w:t>项目利用废石生产砂石骨料和水泥砖，不属于化工项目。</w:t>
                  </w:r>
                </w:p>
              </w:tc>
              <w:tc>
                <w:tcPr>
                  <w:tcW w:w="783" w:type="dxa"/>
                  <w:vAlign w:val="center"/>
                </w:tcPr>
                <w:p>
                  <w:pPr>
                    <w:pStyle w:val="32"/>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1" w:type="dxa"/>
                  <w:vAlign w:val="center"/>
                </w:tcPr>
                <w:p>
                  <w:pPr>
                    <w:pStyle w:val="32"/>
                    <w:spacing w:line="360" w:lineRule="exact"/>
                    <w:rPr>
                      <w:color w:val="000000" w:themeColor="text1"/>
                      <w:kern w:val="0"/>
                      <w:szCs w:val="21"/>
                    </w:rPr>
                  </w:pPr>
                  <w:r>
                    <w:rPr>
                      <w:color w:val="000000" w:themeColor="text1"/>
                      <w:kern w:val="0"/>
                      <w:szCs w:val="21"/>
                    </w:rPr>
                    <w:t>2</w:t>
                  </w:r>
                </w:p>
              </w:tc>
              <w:tc>
                <w:tcPr>
                  <w:tcW w:w="3211" w:type="dxa"/>
                  <w:vAlign w:val="center"/>
                </w:tcPr>
                <w:p>
                  <w:pPr>
                    <w:pStyle w:val="32"/>
                    <w:spacing w:line="360" w:lineRule="exact"/>
                    <w:ind w:firstLine="210" w:firstLineChars="100"/>
                    <w:jc w:val="both"/>
                    <w:rPr>
                      <w:color w:val="000000" w:themeColor="text1"/>
                      <w:kern w:val="0"/>
                      <w:szCs w:val="21"/>
                    </w:rPr>
                  </w:pPr>
                  <w:r>
                    <w:rPr>
                      <w:color w:val="000000" w:themeColor="text1"/>
                      <w:kern w:val="0"/>
                      <w:szCs w:val="21"/>
                    </w:rPr>
                    <w:t>严格控制高耗水项目建设。</w:t>
                  </w:r>
                </w:p>
              </w:tc>
              <w:tc>
                <w:tcPr>
                  <w:tcW w:w="4585" w:type="dxa"/>
                  <w:vAlign w:val="center"/>
                </w:tcPr>
                <w:p>
                  <w:pPr>
                    <w:pStyle w:val="32"/>
                    <w:pBdr>
                      <w:bottom w:val="single" w:color="DDDDDD" w:sz="6" w:space="7"/>
                    </w:pBdr>
                    <w:spacing w:line="360" w:lineRule="exact"/>
                    <w:ind w:firstLine="210" w:firstLineChars="100"/>
                    <w:jc w:val="both"/>
                    <w:rPr>
                      <w:color w:val="000000" w:themeColor="text1"/>
                      <w:kern w:val="0"/>
                      <w:szCs w:val="21"/>
                    </w:rPr>
                  </w:pPr>
                  <w:r>
                    <w:rPr>
                      <w:color w:val="000000" w:themeColor="text1"/>
                      <w:kern w:val="0"/>
                      <w:szCs w:val="21"/>
                    </w:rPr>
                    <w:t>水利部发布18项传统高耗水行业包括：钢铁、火力发电、石油炼制、选煤、罐头食品、食糖、毛皮、皮革、核电、氨纶、锦纶、聚酯涤纶、维纶、再生涤纶、多晶硅、离子型稀土矿冶炼分离、对二甲苯、精对二甲苯。</w:t>
                  </w:r>
                </w:p>
                <w:p>
                  <w:pPr>
                    <w:pStyle w:val="32"/>
                    <w:pBdr>
                      <w:bottom w:val="single" w:color="DDDDDD" w:sz="6" w:space="7"/>
                    </w:pBdr>
                    <w:spacing w:line="360" w:lineRule="exact"/>
                    <w:ind w:firstLine="210" w:firstLineChars="100"/>
                    <w:jc w:val="both"/>
                    <w:rPr>
                      <w:color w:val="000000" w:themeColor="text1"/>
                      <w:kern w:val="0"/>
                      <w:szCs w:val="21"/>
                    </w:rPr>
                  </w:pPr>
                  <w:r>
                    <w:rPr>
                      <w:color w:val="000000" w:themeColor="text1"/>
                      <w:kern w:val="0"/>
                      <w:szCs w:val="21"/>
                    </w:rPr>
                    <w:t>该项目利用废石生产砂石骨料和水泥砖，不属于水利部发布18项传统高耗水行业。</w:t>
                  </w:r>
                </w:p>
              </w:tc>
              <w:tc>
                <w:tcPr>
                  <w:tcW w:w="783" w:type="dxa"/>
                  <w:vAlign w:val="center"/>
                </w:tcPr>
                <w:p>
                  <w:pPr>
                    <w:pStyle w:val="32"/>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1" w:type="dxa"/>
                  <w:vAlign w:val="center"/>
                </w:tcPr>
                <w:p>
                  <w:pPr>
                    <w:pStyle w:val="32"/>
                    <w:spacing w:line="360" w:lineRule="exact"/>
                    <w:rPr>
                      <w:color w:val="000000" w:themeColor="text1"/>
                      <w:kern w:val="0"/>
                      <w:szCs w:val="21"/>
                    </w:rPr>
                  </w:pPr>
                  <w:r>
                    <w:rPr>
                      <w:color w:val="000000" w:themeColor="text1"/>
                      <w:kern w:val="0"/>
                      <w:szCs w:val="21"/>
                    </w:rPr>
                    <w:t>3</w:t>
                  </w:r>
                </w:p>
              </w:tc>
              <w:tc>
                <w:tcPr>
                  <w:tcW w:w="3211" w:type="dxa"/>
                  <w:vAlign w:val="center"/>
                </w:tcPr>
                <w:p>
                  <w:pPr>
                    <w:pStyle w:val="32"/>
                    <w:spacing w:line="360" w:lineRule="exact"/>
                    <w:ind w:firstLine="210" w:firstLineChars="100"/>
                    <w:jc w:val="both"/>
                    <w:rPr>
                      <w:color w:val="000000" w:themeColor="text1"/>
                      <w:kern w:val="0"/>
                      <w:szCs w:val="21"/>
                    </w:rPr>
                  </w:pPr>
                  <w:r>
                    <w:rPr>
                      <w:color w:val="000000" w:themeColor="text1"/>
                      <w:kern w:val="0"/>
                      <w:szCs w:val="21"/>
                    </w:rPr>
                    <w:t>禁止在长江流域河湖管理范围内倾倒、填埋、堆放、弃置、处理固体废物。</w:t>
                  </w:r>
                </w:p>
              </w:tc>
              <w:tc>
                <w:tcPr>
                  <w:tcW w:w="4585" w:type="dxa"/>
                  <w:vAlign w:val="center"/>
                </w:tcPr>
                <w:p>
                  <w:pPr>
                    <w:pStyle w:val="32"/>
                    <w:spacing w:line="360" w:lineRule="exact"/>
                    <w:ind w:firstLine="210" w:firstLineChars="100"/>
                    <w:jc w:val="both"/>
                    <w:rPr>
                      <w:color w:val="000000" w:themeColor="text1"/>
                      <w:kern w:val="0"/>
                      <w:szCs w:val="21"/>
                    </w:rPr>
                  </w:pPr>
                  <w:r>
                    <w:rPr>
                      <w:color w:val="000000" w:themeColor="text1"/>
                      <w:kern w:val="0"/>
                      <w:szCs w:val="21"/>
                    </w:rPr>
                    <w:t>该项目位于昆明市东川区因民镇牛厂坪村，该区域不属于长江流域河湖管理范围。</w:t>
                  </w:r>
                </w:p>
              </w:tc>
              <w:tc>
                <w:tcPr>
                  <w:tcW w:w="783" w:type="dxa"/>
                  <w:vAlign w:val="center"/>
                </w:tcPr>
                <w:p>
                  <w:pPr>
                    <w:pStyle w:val="32"/>
                    <w:spacing w:line="360" w:lineRule="exact"/>
                    <w:rPr>
                      <w:color w:val="000000" w:themeColor="text1"/>
                      <w:kern w:val="0"/>
                      <w:szCs w:val="21"/>
                    </w:rPr>
                  </w:pPr>
                  <w:r>
                    <w:rPr>
                      <w:color w:val="000000" w:themeColor="text1"/>
                      <w:kern w:val="0"/>
                      <w:szCs w:val="21"/>
                    </w:rPr>
                    <w:t>符合</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由上表可知，项目建设符合《中华人民共和国长江保护法》的相关要求。</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（3）与《长江经济带发展负面清单指南》（试行）的符合性分析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2019年1月12日，推动长江经济带发展领导小组办公室发布了《关于发布长江经济带发展负面清单指南（试行）的通知》（第89号），该项目位于昆明市东川区因民镇牛厂坪村，项目所在地的纳污水体为大水沟，大水沟汇入金沙江。因此，本环评须分析该项目与《长江经济带发展负面清单指南（试行）》的符合性。具体分析如下表所示。</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pStyle w:val="16"/>
              <w:spacing w:after="0"/>
              <w:ind w:left="0" w:leftChars="0"/>
              <w:jc w:val="center"/>
              <w:rPr>
                <w:rFonts w:eastAsiaTheme="minorEastAsia"/>
                <w:b/>
                <w:color w:val="000000" w:themeColor="text1"/>
                <w:sz w:val="21"/>
                <w:szCs w:val="21"/>
              </w:rPr>
            </w:pPr>
          </w:p>
          <w:p>
            <w:pPr>
              <w:pStyle w:val="16"/>
              <w:spacing w:after="0"/>
              <w:ind w:left="0" w:leftChars="0"/>
              <w:jc w:val="center"/>
              <w:rPr>
                <w:rFonts w:eastAsiaTheme="minorEastAsia"/>
                <w:b/>
                <w:color w:val="000000" w:themeColor="text1"/>
                <w:sz w:val="21"/>
                <w:szCs w:val="21"/>
              </w:rPr>
            </w:pPr>
            <w:r>
              <w:rPr>
                <w:rFonts w:eastAsiaTheme="minorEastAsia"/>
                <w:b/>
                <w:color w:val="000000" w:themeColor="text1"/>
                <w:sz w:val="21"/>
                <w:szCs w:val="21"/>
              </w:rPr>
              <w:t>表1-3 与《长江经济带发展负面清单指南（试行）》符合性分析一览表</w:t>
            </w:r>
          </w:p>
          <w:tbl>
            <w:tblPr>
              <w:tblStyle w:val="2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1"/>
              <w:gridCol w:w="3596"/>
              <w:gridCol w:w="3665"/>
              <w:gridCol w:w="8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8"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序号</w:t>
                  </w:r>
                </w:p>
              </w:tc>
              <w:tc>
                <w:tcPr>
                  <w:tcW w:w="3787"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szCs w:val="21"/>
                    </w:rPr>
                    <w:t>长江经济带发展负面清单指南（试行）要求</w:t>
                  </w:r>
                </w:p>
              </w:tc>
              <w:tc>
                <w:tcPr>
                  <w:tcW w:w="3860"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该项目实际情况</w:t>
                  </w:r>
                </w:p>
              </w:tc>
              <w:tc>
                <w:tcPr>
                  <w:tcW w:w="849"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8"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1</w:t>
                  </w:r>
                </w:p>
              </w:tc>
              <w:tc>
                <w:tcPr>
                  <w:tcW w:w="3787"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禁止建设不符合全国和省级港口布局规划以及港口总体规划的码头项目，禁止建设不符合《长江干线过江通道布局规划》的过江通道项目。</w:t>
                  </w:r>
                </w:p>
              </w:tc>
              <w:tc>
                <w:tcPr>
                  <w:tcW w:w="3860"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该项目位于昆明市东川区因民镇牛厂坪村，不涉及码头及过江通道。</w:t>
                  </w:r>
                </w:p>
              </w:tc>
              <w:tc>
                <w:tcPr>
                  <w:tcW w:w="849"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8"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2</w:t>
                  </w:r>
                </w:p>
              </w:tc>
              <w:tc>
                <w:tcPr>
                  <w:tcW w:w="3787"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禁止在自然保护区核心区、缓冲区的岸线和河段范围内投资建设旅游和生产经营项目。禁止在风景名胜区核心景区的岸线和河段范围内投资建设与风景名胜资源保护无关的项目；</w:t>
                  </w:r>
                </w:p>
              </w:tc>
              <w:tc>
                <w:tcPr>
                  <w:tcW w:w="3860"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该项目位于昆明市东川区因民镇牛厂坪村，不涉及自然保护区核心区、风景名胜区等特殊敏感区。</w:t>
                  </w:r>
                </w:p>
              </w:tc>
              <w:tc>
                <w:tcPr>
                  <w:tcW w:w="849"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8"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3</w:t>
                  </w:r>
                </w:p>
              </w:tc>
              <w:tc>
                <w:tcPr>
                  <w:tcW w:w="3787"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饮用水水源一级保护区的岸线和河段范围内新建、改建、扩建与供水设施和保护水源无关的项目，以及网箱养殖、旅游等可能污染饮用水水体的投资建设项目。禁止在饮用水水源二级保护区的岸线和河段范围内新建、改建、扩建排放污染物的投资建设项目。</w:t>
                  </w:r>
                </w:p>
              </w:tc>
              <w:tc>
                <w:tcPr>
                  <w:tcW w:w="3860"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该项目位于昆明市东川区因民镇牛厂坪村，</w:t>
                  </w:r>
                  <w:r>
                    <w:rPr>
                      <w:color w:val="000000" w:themeColor="text1"/>
                      <w:kern w:val="0"/>
                      <w:szCs w:val="21"/>
                    </w:rPr>
                    <w:t>不涉及到饮用水水源地的一级保护区或二级保护区。</w:t>
                  </w:r>
                </w:p>
              </w:tc>
              <w:tc>
                <w:tcPr>
                  <w:tcW w:w="849"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8"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4</w:t>
                  </w:r>
                </w:p>
              </w:tc>
              <w:tc>
                <w:tcPr>
                  <w:tcW w:w="3787"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水产种植资源保护区的岸线和河段范围内新建排放口，以及围湖造田、围海造地或填海等投资建设项目。禁止在国家湿地公园的岸线和河段范围内挖沙、采矿，以及任何不符合主体功能定位的投资建设项目。</w:t>
                  </w:r>
                </w:p>
              </w:tc>
              <w:tc>
                <w:tcPr>
                  <w:tcW w:w="3860"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该项目</w:t>
                  </w:r>
                  <w:r>
                    <w:rPr>
                      <w:color w:val="000000" w:themeColor="text1"/>
                      <w:kern w:val="0"/>
                      <w:szCs w:val="21"/>
                    </w:rPr>
                    <w:t>利用废石生产砂石骨料和水泥砖，项目建设</w:t>
                  </w:r>
                  <w:r>
                    <w:rPr>
                      <w:rFonts w:eastAsiaTheme="minorEastAsia"/>
                      <w:color w:val="000000" w:themeColor="text1"/>
                      <w:kern w:val="0"/>
                      <w:szCs w:val="21"/>
                    </w:rPr>
                    <w:t>符合主体功能定位，项目所在地的纳污水体为</w:t>
                  </w:r>
                  <w:r>
                    <w:rPr>
                      <w:color w:val="000000" w:themeColor="text1"/>
                      <w:szCs w:val="24"/>
                    </w:rPr>
                    <w:t>大水沟</w:t>
                  </w:r>
                  <w:r>
                    <w:rPr>
                      <w:rFonts w:eastAsiaTheme="minorEastAsia"/>
                      <w:color w:val="000000" w:themeColor="text1"/>
                      <w:kern w:val="0"/>
                      <w:szCs w:val="21"/>
                    </w:rPr>
                    <w:t>，不属于水产种植资源保护区的岸线和河段范围。</w:t>
                  </w:r>
                </w:p>
              </w:tc>
              <w:tc>
                <w:tcPr>
                  <w:tcW w:w="849"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8"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5</w:t>
                  </w:r>
                </w:p>
              </w:tc>
              <w:tc>
                <w:tcPr>
                  <w:tcW w:w="3787"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长江岸线保护和开发利用总体规划》划定的岸线保护区内投资建设除保障防洪安全、河势稳定、供水安全以及保护生态环境、已建重要枢纽工程以外的项目，禁止在岸线保留区内投资建设除保障防洪安全、河势稳定、供水安全以及保护生态环境、已建重要枢纽工程以外的项目，禁止在《全国重要江河湖泊水功能区划》划定的河段保护区、保留区内投资建设不利于水资源及自然生态保护的项目。</w:t>
                  </w:r>
                </w:p>
              </w:tc>
              <w:tc>
                <w:tcPr>
                  <w:tcW w:w="3860"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该项目位于昆明市东川区因民镇牛厂坪村，项目所在地的纳污水体为</w:t>
                  </w:r>
                  <w:r>
                    <w:rPr>
                      <w:color w:val="000000" w:themeColor="text1"/>
                      <w:szCs w:val="24"/>
                    </w:rPr>
                    <w:t>大水沟</w:t>
                  </w:r>
                  <w:r>
                    <w:rPr>
                      <w:rFonts w:eastAsiaTheme="minorEastAsia"/>
                      <w:color w:val="000000" w:themeColor="text1"/>
                      <w:kern w:val="0"/>
                      <w:szCs w:val="21"/>
                    </w:rPr>
                    <w:t>，该河段不属于《长江岸线保护和开发利用总体规划》划定的岸线保护区，也不属于全国重要江河湖泊水功能区划》划定的河段保护区、保留区。</w:t>
                  </w:r>
                </w:p>
              </w:tc>
              <w:tc>
                <w:tcPr>
                  <w:tcW w:w="849"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8"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6</w:t>
                  </w:r>
                </w:p>
              </w:tc>
              <w:tc>
                <w:tcPr>
                  <w:tcW w:w="3787"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禁止在生态保护红线和永久基本农田范围内投资建设除国家重大战略资源勘查项目、生态保护修复合环境治理项目、重大基础设施项目、军事国防项目以及农牧民基本生产生活等必要的民生项目以外的项目。</w:t>
                  </w:r>
                </w:p>
              </w:tc>
              <w:tc>
                <w:tcPr>
                  <w:tcW w:w="3860"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该项目</w:t>
                  </w:r>
                  <w:r>
                    <w:rPr>
                      <w:rFonts w:eastAsiaTheme="minorEastAsia"/>
                      <w:color w:val="000000" w:themeColor="text1"/>
                      <w:szCs w:val="21"/>
                    </w:rPr>
                    <w:t>位于</w:t>
                  </w:r>
                  <w:r>
                    <w:rPr>
                      <w:rFonts w:eastAsiaTheme="minorEastAsia"/>
                      <w:color w:val="000000" w:themeColor="text1"/>
                      <w:kern w:val="0"/>
                      <w:szCs w:val="21"/>
                    </w:rPr>
                    <w:t>昆明市东川区因民镇牛厂坪村，</w:t>
                  </w:r>
                  <w:r>
                    <w:rPr>
                      <w:rFonts w:eastAsiaTheme="minorEastAsia"/>
                      <w:color w:val="000000" w:themeColor="text1"/>
                      <w:szCs w:val="21"/>
                    </w:rPr>
                    <w:t>项目建设</w:t>
                  </w:r>
                  <w:r>
                    <w:rPr>
                      <w:rFonts w:eastAsiaTheme="minorEastAsia"/>
                      <w:color w:val="000000" w:themeColor="text1"/>
                      <w:kern w:val="0"/>
                      <w:szCs w:val="21"/>
                    </w:rPr>
                    <w:t>不涉及生态保护红线和永久基本农田。</w:t>
                  </w:r>
                </w:p>
              </w:tc>
              <w:tc>
                <w:tcPr>
                  <w:tcW w:w="849"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8"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7</w:t>
                  </w:r>
                </w:p>
              </w:tc>
              <w:tc>
                <w:tcPr>
                  <w:tcW w:w="3787"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禁止在长江干支流1公里范围内新建、扩建化工园区和化工项目。禁止在合规园区外新建、扩建钢铁、石化、化工、焦化、建材、有色等高污染项目。</w:t>
                  </w:r>
                </w:p>
              </w:tc>
              <w:tc>
                <w:tcPr>
                  <w:tcW w:w="3860"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（1）该项目利用废石生产砂石骨料和水泥砖，不属于化工项目。</w:t>
                  </w:r>
                </w:p>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（2）《长江经济带发展负面清单指南（试行）》第三条规定 各省（市）人民政府作为监管责任主体，要结合自身实际制定具体、详细的实施细则，作为长江经济带发展负面清单管理制度的重要组成部分，实施更严格的管控措施。2021年9月13日中共昆明市委  昆明市人民政府发布《关于加快开发区及产业园区高质量发展的意见》（昆发【2021】12号），该文件第二十四条规定：“凡新建、引进的制造业项目和企业必须入园选址发展，园区外原则上不再安排工业项目。对达不到入园条件和标准的农副产品加工、一般加工制造类项目或预拌混凝土搅拌站等不宜入园的特殊行业，须经所在地县（市）区政府、开发区管委会审核同意并报市工高办备案后方可办理其他有关审批手续。”</w:t>
                  </w:r>
                </w:p>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建设单位将该项目选址意见报送昆明市东川区工业和科技信息化局，昆明市东川区工业和科技信息化局又将拟同意项目在产业园区外选址的意见报请昆明市东川区人民政府，昆明市东川区人民政府对项目基本情况进行认真审核，明确同意该项目选址。</w:t>
                  </w:r>
                </w:p>
              </w:tc>
              <w:tc>
                <w:tcPr>
                  <w:tcW w:w="849"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8"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8</w:t>
                  </w:r>
                </w:p>
              </w:tc>
              <w:tc>
                <w:tcPr>
                  <w:tcW w:w="3787"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禁止新建、扩建不符合国家石化、现代煤化工等产业布局规划的项目。</w:t>
                  </w:r>
                </w:p>
              </w:tc>
              <w:tc>
                <w:tcPr>
                  <w:tcW w:w="3860"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该项目利用废石生产砂石骨料和水泥砖</w:t>
                  </w:r>
                  <w:r>
                    <w:rPr>
                      <w:color w:val="000000" w:themeColor="text1"/>
                      <w:kern w:val="0"/>
                      <w:szCs w:val="21"/>
                    </w:rPr>
                    <w:t>，</w:t>
                  </w:r>
                  <w:r>
                    <w:rPr>
                      <w:rFonts w:eastAsiaTheme="minorEastAsia"/>
                      <w:color w:val="000000" w:themeColor="text1"/>
                      <w:kern w:val="0"/>
                      <w:szCs w:val="21"/>
                    </w:rPr>
                    <w:t>不属于不符合国家石化、现代煤化工等产业布局规划的项目。</w:t>
                  </w:r>
                </w:p>
              </w:tc>
              <w:tc>
                <w:tcPr>
                  <w:tcW w:w="849"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8"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9</w:t>
                  </w:r>
                </w:p>
              </w:tc>
              <w:tc>
                <w:tcPr>
                  <w:tcW w:w="3787"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禁止新建、扩建法律法规和相关政策明令禁止的落后产能项目。</w:t>
                  </w:r>
                </w:p>
              </w:tc>
              <w:tc>
                <w:tcPr>
                  <w:tcW w:w="3860"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该项目利用废石生产砂石骨料和水泥砖，根据《产业结构调整指导目录》（2019年本），该项目不属于鼓励类、淘汰类和限制类项目，属于允许类项目。</w:t>
                  </w:r>
                </w:p>
              </w:tc>
              <w:tc>
                <w:tcPr>
                  <w:tcW w:w="849"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8"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10</w:t>
                  </w:r>
                </w:p>
              </w:tc>
              <w:tc>
                <w:tcPr>
                  <w:tcW w:w="3787"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禁止新建、扩建不符合国家产能置换要求的严重过剩产能行业的项目。</w:t>
                  </w:r>
                </w:p>
              </w:tc>
              <w:tc>
                <w:tcPr>
                  <w:tcW w:w="3860" w:type="dxa"/>
                  <w:vAlign w:val="center"/>
                </w:tcPr>
                <w:p>
                  <w:pPr>
                    <w:pStyle w:val="32"/>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该项目利用废石生产砂石骨料和水泥砖，该项目不属于国家产能置换要求的严重过剩产能行业的项目。</w:t>
                  </w:r>
                </w:p>
              </w:tc>
              <w:tc>
                <w:tcPr>
                  <w:tcW w:w="849" w:type="dxa"/>
                  <w:vAlign w:val="center"/>
                </w:tcPr>
                <w:p>
                  <w:pPr>
                    <w:pStyle w:val="32"/>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由上表可知，该项目的建设符合《长江经济带发展负面清单指南（试行）》的要求。</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（4）与《长江经济带生态环境保护规划》符合性分析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长江经济带生态环境保护规划》，项目所在地为长江经济带上游区，规划中指出，长江经济带上游区包括重庆、四川、贵州、云南等省市，区域水土流失、荒漠化严重，矿产资源开发等带来的环境污染和生态破坏问题突出，大城市及周边污染形势严峻。应重点加强水源涵养、水土保持、生物多样性维护和高原湖泊湿地保护，强化自然保护区建设和管护，合理开发利用水资源，禁止煤炭、有色金属、磷矿等资源的无序开发，加大湖库、湿地等敏感区的保护力度，加强云贵川喀斯特地区、金沙江中下游、嘉陵江流域、沱江流域、乌江中上游、三峡库区等区域水土流失治理与生态恢复，推进成渝城市群环境质量持续改善。</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该项目利用废石生产砂石骨料和水泥砖，该项目的建设与《长江经济带生态环境保护规划》的相关要求不相冲突。</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（5）与《</w:t>
            </w:r>
            <w:r>
              <w:rPr>
                <w:rFonts w:ascii="Times New Roman" w:hAnsi="Times New Roman" w:eastAsia="宋体" w:cs="Times New Roman"/>
                <w:b/>
                <w:color w:val="000000" w:themeColor="text1"/>
                <w:sz w:val="24"/>
                <w:szCs w:val="24"/>
              </w:rPr>
              <w:t>中共昆明市委  昆明市人民政府关于加快开发区及产业园区高质量发展的意见</w:t>
            </w:r>
            <w:r>
              <w:rPr>
                <w:rFonts w:ascii="Times New Roman" w:hAnsi="Times New Roman" w:cs="Times New Roman"/>
                <w:b/>
                <w:color w:val="000000" w:themeColor="text1"/>
                <w:sz w:val="24"/>
                <w:szCs w:val="24"/>
              </w:rPr>
              <w:t>》（</w:t>
            </w:r>
            <w:r>
              <w:rPr>
                <w:rFonts w:ascii="Times New Roman" w:hAnsi="Times New Roman" w:eastAsia="宋体" w:cs="Times New Roman"/>
                <w:b/>
                <w:color w:val="000000" w:themeColor="text1"/>
                <w:sz w:val="24"/>
                <w:szCs w:val="24"/>
              </w:rPr>
              <w:t>昆发</w:t>
            </w:r>
            <w:r>
              <w:rPr>
                <w:rFonts w:ascii="Times New Roman" w:hAnsi="Times New Roman" w:cs="Times New Roman"/>
                <w:b/>
                <w:color w:val="000000" w:themeColor="text1"/>
                <w:sz w:val="24"/>
                <w:szCs w:val="24"/>
              </w:rPr>
              <w:t>【</w:t>
            </w:r>
            <w:r>
              <w:rPr>
                <w:rFonts w:ascii="Times New Roman" w:hAnsi="Times New Roman" w:eastAsia="宋体" w:cs="Times New Roman"/>
                <w:b/>
                <w:color w:val="000000" w:themeColor="text1"/>
                <w:sz w:val="24"/>
                <w:szCs w:val="24"/>
              </w:rPr>
              <w:t>2021</w:t>
            </w:r>
            <w:r>
              <w:rPr>
                <w:rFonts w:ascii="Times New Roman" w:hAnsi="Times New Roman" w:cs="Times New Roman"/>
                <w:b/>
                <w:color w:val="000000" w:themeColor="text1"/>
                <w:sz w:val="24"/>
                <w:szCs w:val="24"/>
              </w:rPr>
              <w:t>】</w:t>
            </w:r>
            <w:r>
              <w:rPr>
                <w:rFonts w:ascii="Times New Roman" w:hAnsi="Times New Roman" w:eastAsia="宋体" w:cs="Times New Roman"/>
                <w:b/>
                <w:color w:val="000000" w:themeColor="text1"/>
                <w:sz w:val="24"/>
                <w:szCs w:val="24"/>
              </w:rPr>
              <w:t>12号</w:t>
            </w:r>
            <w:r>
              <w:rPr>
                <w:rFonts w:ascii="Times New Roman" w:hAnsi="Times New Roman" w:cs="Times New Roman"/>
                <w:b/>
                <w:color w:val="000000" w:themeColor="text1"/>
                <w:sz w:val="24"/>
                <w:szCs w:val="24"/>
              </w:rPr>
              <w:t>）符合性分析</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根据《中共昆明市委  昆明市人民政府关于加快开发区及产业园区高质量发展的意见》（昆发【2021】12号）第二十四条规定：“凡新建、引进的制造业项目和企业必须入园选址发展，园区外原则上不再安排工业项目。对达不到入园条件和标准的农副产品加工、一般加工制造类项目或预拌混凝土搅拌站等不宜入园的特殊行业，须经所在地县（市）区政府、开发区管委会审核同意并报市工高办备案后方可办理其他有关审批手续。”</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建设单位将该项目选址意见报送昆明市东川区工业和科技信息化局，昆明市东川区工业和科技信息化局又将拟同意项目在产业园区外选址的意见报请昆明市东川区人民政府，昆明市东川区人民政府对项目基本情况进行认真审核，明确同意该项目选址。因此项目建设符合《中共昆明市委  昆明市人民政府关于加快开发区及产业园区高质量发展的意见》（昆发【2021】12号）要求。</w:t>
            </w:r>
          </w:p>
          <w:p>
            <w:pPr>
              <w:spacing w:line="360" w:lineRule="auto"/>
              <w:ind w:firstLine="480" w:firstLineChars="200"/>
              <w:rPr>
                <w:rFonts w:ascii="Times New Roman" w:hAnsi="Times New Roman" w:eastAsia="宋体" w:cs="Times New Roman"/>
                <w:color w:val="000000" w:themeColor="text1"/>
                <w:sz w:val="24"/>
                <w:szCs w:val="24"/>
              </w:rPr>
            </w:pPr>
          </w:p>
          <w:p>
            <w:pPr>
              <w:spacing w:line="360" w:lineRule="auto"/>
              <w:ind w:firstLine="480" w:firstLineChars="200"/>
              <w:rPr>
                <w:rFonts w:ascii="Times New Roman" w:hAnsi="Times New Roman" w:eastAsia="宋体" w:cs="Times New Roman"/>
                <w:color w:val="000000" w:themeColor="text1"/>
                <w:sz w:val="24"/>
                <w:szCs w:val="24"/>
              </w:rPr>
            </w:pPr>
          </w:p>
          <w:p>
            <w:pPr>
              <w:spacing w:line="360" w:lineRule="auto"/>
              <w:ind w:firstLine="480" w:firstLineChars="200"/>
              <w:rPr>
                <w:rFonts w:ascii="Times New Roman" w:hAnsi="Times New Roman" w:eastAsia="宋体" w:cs="Times New Roman"/>
                <w:color w:val="000000" w:themeColor="text1"/>
                <w:sz w:val="24"/>
                <w:szCs w:val="24"/>
              </w:rPr>
            </w:pPr>
          </w:p>
          <w:p>
            <w:pPr>
              <w:spacing w:line="360" w:lineRule="auto"/>
              <w:ind w:firstLine="480" w:firstLineChars="200"/>
              <w:rPr>
                <w:rFonts w:ascii="Times New Roman" w:hAnsi="Times New Roman" w:eastAsia="宋体" w:cs="Times New Roman"/>
                <w:color w:val="000000" w:themeColor="text1"/>
                <w:sz w:val="24"/>
                <w:szCs w:val="24"/>
              </w:rPr>
            </w:pPr>
          </w:p>
          <w:p>
            <w:pPr>
              <w:spacing w:line="360" w:lineRule="auto"/>
              <w:ind w:firstLine="480" w:firstLineChars="200"/>
              <w:rPr>
                <w:rFonts w:ascii="Times New Roman" w:hAnsi="Times New Roman" w:eastAsia="宋体" w:cs="Times New Roman"/>
                <w:color w:val="000000" w:themeColor="text1"/>
                <w:sz w:val="24"/>
                <w:szCs w:val="24"/>
              </w:rPr>
            </w:pPr>
          </w:p>
          <w:p>
            <w:pPr>
              <w:spacing w:line="360" w:lineRule="auto"/>
              <w:ind w:firstLine="480" w:firstLineChars="200"/>
              <w:rPr>
                <w:rFonts w:ascii="Times New Roman" w:hAnsi="Times New Roman" w:eastAsia="宋体" w:cs="Times New Roman"/>
                <w:color w:val="000000" w:themeColor="text1"/>
                <w:sz w:val="24"/>
                <w:szCs w:val="24"/>
              </w:rPr>
            </w:pPr>
          </w:p>
          <w:p>
            <w:pPr>
              <w:spacing w:line="360" w:lineRule="auto"/>
              <w:ind w:firstLine="480" w:firstLineChars="200"/>
              <w:rPr>
                <w:rFonts w:ascii="Times New Roman" w:hAnsi="Times New Roman" w:eastAsia="宋体" w:cs="Times New Roman"/>
                <w:color w:val="000000" w:themeColor="text1"/>
                <w:sz w:val="24"/>
                <w:szCs w:val="24"/>
              </w:rPr>
            </w:pPr>
          </w:p>
          <w:p>
            <w:pPr>
              <w:spacing w:line="360" w:lineRule="auto"/>
              <w:ind w:firstLine="480" w:firstLineChars="200"/>
              <w:rPr>
                <w:rFonts w:ascii="Times New Roman" w:hAnsi="Times New Roman" w:eastAsia="宋体" w:cs="Times New Roman"/>
                <w:color w:val="000000" w:themeColor="text1"/>
                <w:sz w:val="24"/>
                <w:szCs w:val="24"/>
              </w:rPr>
            </w:pPr>
          </w:p>
          <w:p>
            <w:pPr>
              <w:spacing w:line="360" w:lineRule="auto"/>
              <w:ind w:firstLine="480" w:firstLineChars="200"/>
              <w:rPr>
                <w:rFonts w:ascii="Times New Roman" w:hAnsi="Times New Roman" w:eastAsia="宋体" w:cs="Times New Roman"/>
                <w:color w:val="000000" w:themeColor="text1"/>
                <w:sz w:val="24"/>
                <w:szCs w:val="24"/>
              </w:rPr>
            </w:pPr>
          </w:p>
          <w:p>
            <w:pPr>
              <w:spacing w:line="360" w:lineRule="auto"/>
              <w:ind w:firstLine="480" w:firstLineChars="200"/>
              <w:rPr>
                <w:rFonts w:ascii="Times New Roman" w:hAnsi="Times New Roman" w:eastAsia="宋体" w:cs="Times New Roman"/>
                <w:color w:val="000000" w:themeColor="text1"/>
                <w:sz w:val="24"/>
                <w:szCs w:val="24"/>
              </w:rPr>
            </w:pPr>
          </w:p>
          <w:p>
            <w:pPr>
              <w:spacing w:line="360" w:lineRule="auto"/>
              <w:ind w:firstLine="480" w:firstLineChars="200"/>
              <w:rPr>
                <w:rFonts w:ascii="Times New Roman" w:hAnsi="Times New Roman" w:eastAsia="宋体" w:cs="Times New Roman"/>
                <w:color w:val="000000" w:themeColor="text1"/>
                <w:sz w:val="24"/>
                <w:szCs w:val="24"/>
              </w:rPr>
            </w:pPr>
          </w:p>
          <w:p>
            <w:pPr>
              <w:spacing w:line="360" w:lineRule="auto"/>
              <w:ind w:firstLine="480" w:firstLineChars="200"/>
              <w:rPr>
                <w:rFonts w:ascii="Times New Roman" w:hAnsi="Times New Roman" w:eastAsia="宋体" w:cs="Times New Roman"/>
                <w:color w:val="000000" w:themeColor="text1"/>
                <w:sz w:val="24"/>
                <w:szCs w:val="24"/>
              </w:rPr>
            </w:pPr>
          </w:p>
          <w:p>
            <w:pPr>
              <w:spacing w:line="360" w:lineRule="auto"/>
              <w:ind w:firstLine="480" w:firstLineChars="200"/>
              <w:rPr>
                <w:rFonts w:ascii="Times New Roman" w:hAnsi="Times New Roman" w:eastAsia="宋体" w:cs="Times New Roman"/>
                <w:color w:val="000000" w:themeColor="text1"/>
                <w:sz w:val="24"/>
                <w:szCs w:val="24"/>
              </w:rPr>
            </w:pPr>
          </w:p>
          <w:p>
            <w:pPr>
              <w:spacing w:line="360" w:lineRule="auto"/>
              <w:ind w:firstLine="480" w:firstLineChars="200"/>
              <w:rPr>
                <w:rFonts w:ascii="Times New Roman" w:hAnsi="Times New Roman" w:eastAsia="宋体" w:cs="Times New Roman"/>
                <w:color w:val="000000" w:themeColor="text1"/>
                <w:sz w:val="24"/>
                <w:szCs w:val="24"/>
              </w:rPr>
            </w:pPr>
          </w:p>
          <w:p>
            <w:pPr>
              <w:spacing w:line="360" w:lineRule="auto"/>
              <w:ind w:firstLine="480" w:firstLineChars="200"/>
              <w:rPr>
                <w:rFonts w:ascii="Times New Roman" w:hAnsi="Times New Roman" w:eastAsia="宋体" w:cs="Times New Roman"/>
                <w:color w:val="000000" w:themeColor="text1"/>
                <w:sz w:val="24"/>
                <w:szCs w:val="24"/>
              </w:rPr>
            </w:pPr>
          </w:p>
          <w:p>
            <w:pPr>
              <w:spacing w:line="360" w:lineRule="auto"/>
              <w:ind w:firstLine="480" w:firstLineChars="200"/>
              <w:rPr>
                <w:rFonts w:ascii="Times New Roman" w:hAnsi="Times New Roman" w:eastAsia="宋体" w:cs="Times New Roman"/>
                <w:color w:val="000000" w:themeColor="text1"/>
                <w:sz w:val="24"/>
                <w:szCs w:val="24"/>
              </w:rPr>
            </w:pPr>
          </w:p>
          <w:p>
            <w:pPr>
              <w:spacing w:line="360" w:lineRule="auto"/>
              <w:ind w:firstLine="480" w:firstLineChars="200"/>
              <w:rPr>
                <w:rFonts w:ascii="Times New Roman" w:hAnsi="Times New Roman" w:eastAsia="宋体" w:cs="Times New Roman"/>
                <w:color w:val="000000" w:themeColor="text1"/>
                <w:sz w:val="24"/>
                <w:szCs w:val="24"/>
              </w:rPr>
            </w:pPr>
          </w:p>
          <w:p>
            <w:pPr>
              <w:spacing w:line="360" w:lineRule="auto"/>
              <w:ind w:firstLine="480" w:firstLineChars="200"/>
              <w:rPr>
                <w:rFonts w:ascii="Times New Roman" w:hAnsi="Times New Roman" w:eastAsia="宋体" w:cs="Times New Roman"/>
                <w:color w:val="000000" w:themeColor="text1"/>
                <w:sz w:val="24"/>
                <w:szCs w:val="24"/>
              </w:rPr>
            </w:pPr>
          </w:p>
          <w:p>
            <w:pPr>
              <w:spacing w:line="360" w:lineRule="auto"/>
              <w:ind w:firstLine="480" w:firstLineChars="200"/>
              <w:rPr>
                <w:rFonts w:ascii="Times New Roman" w:hAnsi="Times New Roman" w:eastAsia="宋体" w:cs="Times New Roman"/>
                <w:color w:val="000000" w:themeColor="text1"/>
                <w:sz w:val="24"/>
                <w:szCs w:val="24"/>
              </w:rPr>
            </w:pPr>
          </w:p>
          <w:p>
            <w:pPr>
              <w:spacing w:line="360" w:lineRule="auto"/>
              <w:ind w:firstLine="480" w:firstLineChars="200"/>
              <w:rPr>
                <w:rFonts w:ascii="Times New Roman" w:hAnsi="Times New Roman" w:eastAsia="宋体" w:cs="Times New Roman"/>
                <w:color w:val="000000" w:themeColor="text1"/>
                <w:sz w:val="24"/>
                <w:szCs w:val="24"/>
              </w:rPr>
            </w:pPr>
          </w:p>
          <w:p>
            <w:pPr>
              <w:spacing w:line="360" w:lineRule="auto"/>
              <w:ind w:firstLine="480" w:firstLineChars="200"/>
              <w:rPr>
                <w:rFonts w:ascii="Times New Roman" w:hAnsi="Times New Roman" w:eastAsia="宋体" w:cs="Times New Roman"/>
                <w:color w:val="000000" w:themeColor="text1"/>
                <w:sz w:val="24"/>
                <w:szCs w:val="24"/>
              </w:rPr>
            </w:pPr>
          </w:p>
          <w:p>
            <w:pPr>
              <w:spacing w:line="360" w:lineRule="auto"/>
              <w:ind w:firstLine="480" w:firstLineChars="200"/>
              <w:rPr>
                <w:rFonts w:ascii="Times New Roman" w:hAnsi="Times New Roman" w:eastAsia="宋体" w:cs="Times New Roman"/>
                <w:color w:val="000000" w:themeColor="text1"/>
                <w:sz w:val="24"/>
                <w:szCs w:val="24"/>
              </w:rPr>
            </w:pPr>
          </w:p>
          <w:p>
            <w:pPr>
              <w:spacing w:line="360" w:lineRule="auto"/>
              <w:ind w:firstLine="480" w:firstLineChars="200"/>
              <w:rPr>
                <w:rFonts w:ascii="Times New Roman" w:hAnsi="Times New Roman" w:eastAsia="宋体" w:cs="Times New Roman"/>
                <w:color w:val="000000" w:themeColor="text1"/>
                <w:sz w:val="24"/>
                <w:szCs w:val="24"/>
              </w:rPr>
            </w:pPr>
          </w:p>
          <w:p>
            <w:pPr>
              <w:spacing w:line="360" w:lineRule="auto"/>
              <w:ind w:firstLine="480" w:firstLineChars="200"/>
              <w:rPr>
                <w:rFonts w:ascii="Times New Roman" w:hAnsi="Times New Roman" w:eastAsia="宋体" w:cs="Times New Roman"/>
                <w:color w:val="000000" w:themeColor="text1"/>
                <w:sz w:val="24"/>
                <w:szCs w:val="24"/>
              </w:rPr>
            </w:pPr>
          </w:p>
          <w:p>
            <w:pPr>
              <w:spacing w:line="360" w:lineRule="auto"/>
              <w:ind w:firstLine="480" w:firstLineChars="200"/>
              <w:rPr>
                <w:rFonts w:ascii="Times New Roman" w:hAnsi="Times New Roman" w:eastAsia="宋体" w:cs="Times New Roman"/>
                <w:color w:val="000000" w:themeColor="text1"/>
                <w:sz w:val="24"/>
                <w:szCs w:val="24"/>
              </w:rPr>
            </w:pPr>
          </w:p>
          <w:p>
            <w:pPr>
              <w:spacing w:line="360" w:lineRule="auto"/>
              <w:ind w:firstLine="480" w:firstLineChars="200"/>
              <w:rPr>
                <w:rFonts w:ascii="Times New Roman" w:hAnsi="Times New Roman" w:eastAsia="宋体" w:cs="Times New Roman"/>
                <w:color w:val="000000" w:themeColor="text1"/>
                <w:sz w:val="24"/>
                <w:szCs w:val="24"/>
              </w:rPr>
            </w:pPr>
          </w:p>
          <w:p>
            <w:pPr>
              <w:spacing w:line="360" w:lineRule="auto"/>
              <w:ind w:firstLine="480" w:firstLineChars="200"/>
              <w:rPr>
                <w:rFonts w:ascii="Times New Roman" w:hAnsi="Times New Roman" w:eastAsia="宋体" w:cs="Times New Roman"/>
                <w:color w:val="000000" w:themeColor="text1"/>
                <w:sz w:val="24"/>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二、建设项目工程分析</w:t>
      </w:r>
    </w:p>
    <w:tbl>
      <w:tblPr>
        <w:tblStyle w:val="21"/>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5"/>
        <w:gridCol w:w="88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建设内容</w:t>
            </w:r>
          </w:p>
        </w:tc>
        <w:tc>
          <w:tcPr>
            <w:tcW w:w="8831" w:type="dxa"/>
            <w:vAlign w:val="center"/>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市东川金水矿业有限责任公司落雪铜矿在开采过程中产生大量的废石，为解决废石处置不当对环境的影响，昆明市东川金水矿业有限责任公司拟投资5256万元在昆明市东川区牛厂坪村建设昆明市东川金水矿业有限责任公司牛厂坪资源综合利用生产建设项目，该项目就地利用矿山开展产生的废石生产砂石骨料和水泥砖。</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 建设内容及规模</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（1）建设规模</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项目分两期建设，其中一期工程</w:t>
            </w:r>
            <w:r>
              <w:rPr>
                <w:rFonts w:ascii="Times New Roman" w:hAnsi="Times New Roman" w:cs="Times New Roman"/>
                <w:color w:val="000000" w:themeColor="text1"/>
                <w:sz w:val="24"/>
                <w:szCs w:val="24"/>
              </w:rPr>
              <w:t>建成后，砂石骨料年产量为90万t/a，</w:t>
            </w:r>
            <w:r>
              <w:rPr>
                <w:rFonts w:hint="eastAsia" w:ascii="Times New Roman" w:hAnsi="Times New Roman" w:cs="Times New Roman"/>
                <w:color w:val="000000" w:themeColor="text1"/>
                <w:sz w:val="24"/>
                <w:szCs w:val="24"/>
              </w:rPr>
              <w:t>二期工程利用一期工程产品作为原料，生产</w:t>
            </w:r>
            <w:r>
              <w:rPr>
                <w:rFonts w:ascii="Times New Roman" w:hAnsi="Times New Roman" w:cs="Times New Roman"/>
                <w:color w:val="000000" w:themeColor="text1"/>
                <w:sz w:val="24"/>
                <w:szCs w:val="24"/>
              </w:rPr>
              <w:t>水泥混凝土免烧砖21.6万m²/a。</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（2）建设内容</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该项目占地面积为18113.33m²（27.2亩），建设内容包括废石堆场、生产车间、产品堆场、办公生活区、高位水池及相关配套设施等。</w:t>
            </w:r>
            <w:r>
              <w:rPr>
                <w:rFonts w:hint="eastAsia" w:ascii="Times New Roman" w:hAnsi="Times New Roman" w:cs="Times New Roman"/>
                <w:color w:val="000000" w:themeColor="text1"/>
                <w:sz w:val="24"/>
                <w:szCs w:val="24"/>
              </w:rPr>
              <w:t>项目分两期建设，其中一期工程建设</w:t>
            </w:r>
            <w:r>
              <w:rPr>
                <w:rFonts w:ascii="Times New Roman" w:hAnsi="Times New Roman" w:cs="Times New Roman"/>
                <w:color w:val="000000" w:themeColor="text1"/>
                <w:sz w:val="24"/>
                <w:szCs w:val="24"/>
              </w:rPr>
              <w:t>砂石骨料生产线</w:t>
            </w:r>
            <w:r>
              <w:rPr>
                <w:rFonts w:hint="eastAsia" w:ascii="Times New Roman" w:hAnsi="Times New Roman" w:cs="Times New Roman"/>
                <w:color w:val="000000" w:themeColor="text1"/>
                <w:sz w:val="24"/>
                <w:szCs w:val="24"/>
              </w:rPr>
              <w:t>及相关辅助工程，二期工程建设</w:t>
            </w:r>
            <w:r>
              <w:rPr>
                <w:rFonts w:ascii="Times New Roman" w:hAnsi="Times New Roman" w:cs="Times New Roman"/>
                <w:color w:val="000000" w:themeColor="text1"/>
                <w:sz w:val="24"/>
                <w:szCs w:val="24"/>
              </w:rPr>
              <w:t>混凝土砖生产线</w:t>
            </w:r>
            <w:r>
              <w:rPr>
                <w:rFonts w:hint="eastAsia" w:ascii="Times New Roman" w:hAnsi="Times New Roman" w:cs="Times New Roman"/>
                <w:color w:val="000000" w:themeColor="text1"/>
                <w:sz w:val="24"/>
                <w:szCs w:val="24"/>
              </w:rPr>
              <w:t>。</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①一期工程建设内容</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主要工程内容如下表所示。</w:t>
            </w:r>
          </w:p>
          <w:p>
            <w:pPr>
              <w:pStyle w:val="34"/>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 xml:space="preserve">表2.1-1 </w:t>
            </w:r>
            <w:r>
              <w:rPr>
                <w:rFonts w:hint="eastAsia" w:hAnsi="Times New Roman" w:eastAsiaTheme="minorEastAsia"/>
                <w:bCs/>
                <w:snapToGrid w:val="0"/>
                <w:color w:val="000000" w:themeColor="text1"/>
                <w:sz w:val="21"/>
                <w:szCs w:val="21"/>
              </w:rPr>
              <w:t>一期工程</w:t>
            </w:r>
            <w:r>
              <w:rPr>
                <w:rFonts w:hAnsi="Times New Roman" w:eastAsiaTheme="minorEastAsia"/>
                <w:bCs/>
                <w:snapToGrid w:val="0"/>
                <w:color w:val="000000" w:themeColor="text1"/>
                <w:sz w:val="21"/>
                <w:szCs w:val="21"/>
              </w:rPr>
              <w:t>建设内容组成一览表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21"/>
              <w:gridCol w:w="1070"/>
              <w:gridCol w:w="501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pPr>
                    <w:pStyle w:val="32"/>
                    <w:spacing w:line="360" w:lineRule="exact"/>
                    <w:rPr>
                      <w:color w:val="000000" w:themeColor="text1"/>
                      <w:szCs w:val="21"/>
                    </w:rPr>
                  </w:pPr>
                  <w:r>
                    <w:rPr>
                      <w:color w:val="000000" w:themeColor="text1"/>
                      <w:szCs w:val="21"/>
                    </w:rPr>
                    <w:t>类别</w:t>
                  </w:r>
                </w:p>
              </w:tc>
              <w:tc>
                <w:tcPr>
                  <w:tcW w:w="1041" w:type="pct"/>
                  <w:gridSpan w:val="2"/>
                  <w:vAlign w:val="center"/>
                </w:tcPr>
                <w:p>
                  <w:pPr>
                    <w:pStyle w:val="32"/>
                    <w:spacing w:line="360" w:lineRule="exact"/>
                    <w:rPr>
                      <w:color w:val="000000" w:themeColor="text1"/>
                      <w:szCs w:val="21"/>
                    </w:rPr>
                  </w:pPr>
                  <w:r>
                    <w:rPr>
                      <w:color w:val="000000" w:themeColor="text1"/>
                      <w:szCs w:val="21"/>
                    </w:rPr>
                    <w:t>工程内容</w:t>
                  </w:r>
                </w:p>
              </w:tc>
              <w:tc>
                <w:tcPr>
                  <w:tcW w:w="2914" w:type="pct"/>
                  <w:vAlign w:val="center"/>
                </w:tcPr>
                <w:p>
                  <w:pPr>
                    <w:pStyle w:val="32"/>
                    <w:spacing w:line="360" w:lineRule="exact"/>
                    <w:rPr>
                      <w:color w:val="000000" w:themeColor="text1"/>
                      <w:szCs w:val="21"/>
                    </w:rPr>
                  </w:pPr>
                  <w:r>
                    <w:rPr>
                      <w:color w:val="000000" w:themeColor="text1"/>
                      <w:szCs w:val="21"/>
                    </w:rPr>
                    <w:t>建筑内容及规模</w:t>
                  </w:r>
                </w:p>
              </w:tc>
              <w:tc>
                <w:tcPr>
                  <w:tcW w:w="619" w:type="pct"/>
                  <w:vAlign w:val="center"/>
                </w:tcPr>
                <w:p>
                  <w:pPr>
                    <w:pStyle w:val="32"/>
                    <w:spacing w:line="360" w:lineRule="exact"/>
                    <w:rPr>
                      <w:color w:val="000000" w:themeColor="text1"/>
                      <w:szCs w:val="21"/>
                    </w:rPr>
                  </w:pPr>
                  <w:r>
                    <w:rPr>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restart"/>
                  <w:vAlign w:val="center"/>
                </w:tcPr>
                <w:p>
                  <w:pPr>
                    <w:pStyle w:val="32"/>
                    <w:spacing w:line="360" w:lineRule="exact"/>
                    <w:rPr>
                      <w:color w:val="000000" w:themeColor="text1"/>
                      <w:szCs w:val="21"/>
                    </w:rPr>
                  </w:pPr>
                  <w:r>
                    <w:rPr>
                      <w:color w:val="000000" w:themeColor="text1"/>
                      <w:szCs w:val="21"/>
                    </w:rPr>
                    <w:t>主体工程</w:t>
                  </w:r>
                </w:p>
              </w:tc>
              <w:tc>
                <w:tcPr>
                  <w:tcW w:w="419" w:type="pct"/>
                  <w:vMerge w:val="restart"/>
                  <w:vAlign w:val="center"/>
                </w:tcPr>
                <w:p>
                  <w:pPr>
                    <w:pStyle w:val="32"/>
                    <w:spacing w:line="360" w:lineRule="exact"/>
                    <w:rPr>
                      <w:color w:val="000000" w:themeColor="text1"/>
                      <w:szCs w:val="21"/>
                    </w:rPr>
                  </w:pPr>
                  <w:r>
                    <w:rPr>
                      <w:color w:val="000000" w:themeColor="text1"/>
                      <w:szCs w:val="21"/>
                    </w:rPr>
                    <w:t>砂石骨料生产线</w:t>
                  </w:r>
                </w:p>
              </w:tc>
              <w:tc>
                <w:tcPr>
                  <w:tcW w:w="622" w:type="pct"/>
                  <w:vAlign w:val="center"/>
                </w:tcPr>
                <w:p>
                  <w:pPr>
                    <w:pStyle w:val="32"/>
                    <w:spacing w:line="360" w:lineRule="exact"/>
                    <w:rPr>
                      <w:color w:val="000000" w:themeColor="text1"/>
                      <w:szCs w:val="21"/>
                    </w:rPr>
                  </w:pPr>
                  <w:r>
                    <w:rPr>
                      <w:color w:val="000000" w:themeColor="text1"/>
                      <w:szCs w:val="21"/>
                    </w:rPr>
                    <w:t>破碎筛分车间</w:t>
                  </w:r>
                </w:p>
              </w:tc>
              <w:tc>
                <w:tcPr>
                  <w:tcW w:w="2914" w:type="pct"/>
                  <w:vAlign w:val="center"/>
                </w:tcPr>
                <w:p>
                  <w:pPr>
                    <w:pStyle w:val="32"/>
                    <w:spacing w:line="360" w:lineRule="exact"/>
                    <w:ind w:firstLine="210" w:firstLineChars="100"/>
                    <w:jc w:val="both"/>
                    <w:rPr>
                      <w:color w:val="000000" w:themeColor="text1"/>
                      <w:szCs w:val="21"/>
                    </w:rPr>
                  </w:pPr>
                  <w:r>
                    <w:rPr>
                      <w:color w:val="000000" w:themeColor="text1"/>
                      <w:szCs w:val="21"/>
                    </w:rPr>
                    <w:t>根据设计，</w:t>
                  </w:r>
                  <w:r>
                    <w:rPr>
                      <w:rFonts w:hint="eastAsia"/>
                      <w:color w:val="000000" w:themeColor="text1"/>
                      <w:szCs w:val="21"/>
                    </w:rPr>
                    <w:t>一期工程</w:t>
                  </w:r>
                  <w:r>
                    <w:rPr>
                      <w:color w:val="000000" w:themeColor="text1"/>
                      <w:szCs w:val="21"/>
                    </w:rPr>
                    <w:t>拟设置1个建筑面积约为980m²的破碎筛分车间，该车间内配套设置1台板式给料机、1台颚式破碎机、1台反击破碎机、2台圆振筛、2台立轴制砂机和2台球磨机等设备对废石进行破碎筛分从而得到Φ0-7mm、Φ0-5mm的Φ20-30mm砂石骨料。</w:t>
                  </w:r>
                </w:p>
              </w:tc>
              <w:tc>
                <w:tcPr>
                  <w:tcW w:w="619" w:type="pct"/>
                  <w:vAlign w:val="center"/>
                </w:tcPr>
                <w:p>
                  <w:pPr>
                    <w:pStyle w:val="32"/>
                    <w:spacing w:line="360" w:lineRule="exact"/>
                    <w:rPr>
                      <w:color w:val="000000" w:themeColor="text1"/>
                      <w:szCs w:val="21"/>
                    </w:rPr>
                  </w:pPr>
                  <w:r>
                    <w:rPr>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2"/>
                    <w:spacing w:line="360" w:lineRule="exact"/>
                    <w:rPr>
                      <w:color w:val="000000" w:themeColor="text1"/>
                      <w:szCs w:val="21"/>
                    </w:rPr>
                  </w:pPr>
                </w:p>
              </w:tc>
              <w:tc>
                <w:tcPr>
                  <w:tcW w:w="419" w:type="pct"/>
                  <w:vMerge w:val="continue"/>
                  <w:vAlign w:val="center"/>
                </w:tcPr>
                <w:p>
                  <w:pPr>
                    <w:pStyle w:val="32"/>
                    <w:spacing w:line="360" w:lineRule="exact"/>
                    <w:rPr>
                      <w:color w:val="000000" w:themeColor="text1"/>
                      <w:szCs w:val="21"/>
                    </w:rPr>
                  </w:pPr>
                </w:p>
              </w:tc>
              <w:tc>
                <w:tcPr>
                  <w:tcW w:w="622" w:type="pct"/>
                  <w:vAlign w:val="center"/>
                </w:tcPr>
                <w:p>
                  <w:pPr>
                    <w:pStyle w:val="32"/>
                    <w:spacing w:line="360" w:lineRule="exact"/>
                    <w:rPr>
                      <w:color w:val="000000" w:themeColor="text1"/>
                      <w:szCs w:val="21"/>
                    </w:rPr>
                  </w:pPr>
                  <w:r>
                    <w:rPr>
                      <w:color w:val="000000" w:themeColor="text1"/>
                      <w:szCs w:val="21"/>
                    </w:rPr>
                    <w:t>洗砂车间</w:t>
                  </w:r>
                </w:p>
              </w:tc>
              <w:tc>
                <w:tcPr>
                  <w:tcW w:w="2914" w:type="pct"/>
                  <w:vAlign w:val="center"/>
                </w:tcPr>
                <w:p>
                  <w:pPr>
                    <w:pStyle w:val="32"/>
                    <w:spacing w:line="360" w:lineRule="exact"/>
                    <w:ind w:firstLine="210" w:firstLineChars="100"/>
                    <w:jc w:val="both"/>
                    <w:rPr>
                      <w:color w:val="000000" w:themeColor="text1"/>
                      <w:szCs w:val="21"/>
                    </w:rPr>
                  </w:pPr>
                  <w:r>
                    <w:rPr>
                      <w:color w:val="000000" w:themeColor="text1"/>
                      <w:szCs w:val="21"/>
                    </w:rPr>
                    <w:t>根据设计，</w:t>
                  </w:r>
                  <w:r>
                    <w:rPr>
                      <w:rFonts w:hint="eastAsia"/>
                      <w:color w:val="000000" w:themeColor="text1"/>
                      <w:szCs w:val="21"/>
                    </w:rPr>
                    <w:t>一期工程</w:t>
                  </w:r>
                  <w:r>
                    <w:rPr>
                      <w:color w:val="000000" w:themeColor="text1"/>
                      <w:szCs w:val="21"/>
                    </w:rPr>
                    <w:t>拟设置1个建筑面积约为660m²的洗砂车间，该车间内配套设置4台轮式洗砂机、2台立体式细砂回收机和2台高频振脱水筛，对破碎筛分得到的Φ0-7mm、Φ0-5mm的砂石骨料进行清洗和脱水，从而得到洁净的Φ0-7mm、Φ0-5mm砂石骨料产品。</w:t>
                  </w:r>
                </w:p>
              </w:tc>
              <w:tc>
                <w:tcPr>
                  <w:tcW w:w="619" w:type="pct"/>
                  <w:vAlign w:val="center"/>
                </w:tcPr>
                <w:p>
                  <w:pPr>
                    <w:pStyle w:val="32"/>
                    <w:spacing w:line="360" w:lineRule="exact"/>
                    <w:rPr>
                      <w:color w:val="000000" w:themeColor="text1"/>
                      <w:szCs w:val="21"/>
                    </w:rPr>
                  </w:pPr>
                  <w:r>
                    <w:rPr>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restart"/>
                  <w:shd w:val="clear" w:color="auto" w:fill="auto"/>
                  <w:vAlign w:val="center"/>
                </w:tcPr>
                <w:p>
                  <w:pPr>
                    <w:pStyle w:val="32"/>
                    <w:spacing w:line="360" w:lineRule="exact"/>
                    <w:rPr>
                      <w:color w:val="000000" w:themeColor="text1"/>
                      <w:szCs w:val="21"/>
                    </w:rPr>
                  </w:pPr>
                  <w:r>
                    <w:rPr>
                      <w:color w:val="000000" w:themeColor="text1"/>
                      <w:szCs w:val="21"/>
                    </w:rPr>
                    <w:t>储运工程</w:t>
                  </w:r>
                </w:p>
              </w:tc>
              <w:tc>
                <w:tcPr>
                  <w:tcW w:w="1041" w:type="pct"/>
                  <w:gridSpan w:val="2"/>
                  <w:vAlign w:val="center"/>
                </w:tcPr>
                <w:p>
                  <w:pPr>
                    <w:pStyle w:val="32"/>
                    <w:spacing w:line="360" w:lineRule="exact"/>
                    <w:rPr>
                      <w:color w:val="000000" w:themeColor="text1"/>
                      <w:szCs w:val="21"/>
                    </w:rPr>
                  </w:pPr>
                  <w:r>
                    <w:rPr>
                      <w:color w:val="000000" w:themeColor="text1"/>
                      <w:szCs w:val="21"/>
                    </w:rPr>
                    <w:t>废石堆场</w:t>
                  </w:r>
                </w:p>
              </w:tc>
              <w:tc>
                <w:tcPr>
                  <w:tcW w:w="2914" w:type="pct"/>
                  <w:shd w:val="clear" w:color="auto" w:fill="auto"/>
                  <w:vAlign w:val="center"/>
                </w:tcPr>
                <w:p>
                  <w:pPr>
                    <w:pStyle w:val="32"/>
                    <w:spacing w:line="360" w:lineRule="exact"/>
                    <w:ind w:firstLine="210" w:firstLineChars="100"/>
                    <w:jc w:val="both"/>
                    <w:rPr>
                      <w:color w:val="000000" w:themeColor="text1"/>
                      <w:szCs w:val="21"/>
                    </w:rPr>
                  </w:pPr>
                  <w:r>
                    <w:rPr>
                      <w:color w:val="000000" w:themeColor="text1"/>
                      <w:szCs w:val="21"/>
                    </w:rPr>
                    <w:t>根据设计，</w:t>
                  </w:r>
                  <w:r>
                    <w:rPr>
                      <w:rFonts w:hint="eastAsia"/>
                      <w:color w:val="000000" w:themeColor="text1"/>
                      <w:szCs w:val="21"/>
                    </w:rPr>
                    <w:t>一期工程</w:t>
                  </w:r>
                  <w:r>
                    <w:rPr>
                      <w:color w:val="000000" w:themeColor="text1"/>
                      <w:szCs w:val="21"/>
                    </w:rPr>
                    <w:t>区拟设置</w:t>
                  </w:r>
                  <w:r>
                    <w:rPr>
                      <w:rFonts w:hint="eastAsia"/>
                      <w:color w:val="000000" w:themeColor="text1"/>
                      <w:szCs w:val="21"/>
                    </w:rPr>
                    <w:t>1</w:t>
                  </w:r>
                  <w:r>
                    <w:rPr>
                      <w:color w:val="000000" w:themeColor="text1"/>
                      <w:szCs w:val="21"/>
                    </w:rPr>
                    <w:t>个废石堆场，对拟用于生产的废石进行暂存；根据设计，废石堆场建筑面积约为500m²，废石堆场为不规则的多边形结构，除车辆进出区域，其他区域均需设置围挡和顶棚，进行地面硬化。</w:t>
                  </w:r>
                </w:p>
                <w:p>
                  <w:pPr>
                    <w:pStyle w:val="32"/>
                    <w:spacing w:line="360" w:lineRule="exact"/>
                    <w:ind w:firstLine="210" w:firstLineChars="100"/>
                    <w:jc w:val="both"/>
                    <w:rPr>
                      <w:color w:val="000000" w:themeColor="text1"/>
                      <w:szCs w:val="21"/>
                    </w:rPr>
                  </w:pPr>
                  <w:r>
                    <w:rPr>
                      <w:color w:val="000000" w:themeColor="text1"/>
                      <w:szCs w:val="21"/>
                    </w:rPr>
                    <w:t>项目拟设置1台雾炮机对厂区内废石采装、卸料及运输过程扬尘进行洒水抑尘。</w:t>
                  </w:r>
                </w:p>
              </w:tc>
              <w:tc>
                <w:tcPr>
                  <w:tcW w:w="619" w:type="pct"/>
                  <w:vAlign w:val="center"/>
                </w:tcPr>
                <w:p>
                  <w:pPr>
                    <w:pStyle w:val="32"/>
                    <w:spacing w:line="360" w:lineRule="exact"/>
                    <w:ind w:firstLine="210" w:firstLineChars="100"/>
                    <w:jc w:val="both"/>
                    <w:rPr>
                      <w:color w:val="000000" w:themeColor="text1"/>
                      <w:szCs w:val="21"/>
                    </w:rPr>
                  </w:pPr>
                  <w:r>
                    <w:rPr>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shd w:val="clear" w:color="auto" w:fill="auto"/>
                  <w:vAlign w:val="center"/>
                </w:tcPr>
                <w:p>
                  <w:pPr>
                    <w:pStyle w:val="32"/>
                    <w:spacing w:line="360" w:lineRule="exact"/>
                    <w:rPr>
                      <w:color w:val="000000" w:themeColor="text1"/>
                      <w:szCs w:val="21"/>
                    </w:rPr>
                  </w:pPr>
                </w:p>
              </w:tc>
              <w:tc>
                <w:tcPr>
                  <w:tcW w:w="1041" w:type="pct"/>
                  <w:gridSpan w:val="2"/>
                  <w:vAlign w:val="center"/>
                </w:tcPr>
                <w:p>
                  <w:pPr>
                    <w:pStyle w:val="32"/>
                    <w:spacing w:line="360" w:lineRule="exact"/>
                    <w:rPr>
                      <w:color w:val="000000" w:themeColor="text1"/>
                      <w:szCs w:val="21"/>
                    </w:rPr>
                  </w:pPr>
                  <w:r>
                    <w:rPr>
                      <w:color w:val="000000" w:themeColor="text1"/>
                      <w:szCs w:val="21"/>
                    </w:rPr>
                    <w:t>产品堆场</w:t>
                  </w:r>
                </w:p>
              </w:tc>
              <w:tc>
                <w:tcPr>
                  <w:tcW w:w="2914" w:type="pct"/>
                  <w:shd w:val="clear" w:color="auto" w:fill="auto"/>
                  <w:vAlign w:val="center"/>
                </w:tcPr>
                <w:p>
                  <w:pPr>
                    <w:pStyle w:val="32"/>
                    <w:spacing w:line="360" w:lineRule="exact"/>
                    <w:ind w:firstLine="210" w:firstLineChars="100"/>
                    <w:jc w:val="both"/>
                    <w:rPr>
                      <w:color w:val="000000" w:themeColor="text1"/>
                      <w:szCs w:val="21"/>
                    </w:rPr>
                  </w:pPr>
                  <w:r>
                    <w:rPr>
                      <w:color w:val="000000" w:themeColor="text1"/>
                      <w:szCs w:val="21"/>
                    </w:rPr>
                    <w:t>根据设计，</w:t>
                  </w:r>
                  <w:r>
                    <w:rPr>
                      <w:rFonts w:hint="eastAsia"/>
                      <w:color w:val="000000" w:themeColor="text1"/>
                      <w:szCs w:val="21"/>
                    </w:rPr>
                    <w:t>一期工程</w:t>
                  </w:r>
                  <w:r>
                    <w:rPr>
                      <w:color w:val="000000" w:themeColor="text1"/>
                      <w:szCs w:val="21"/>
                    </w:rPr>
                    <w:t>拟设置建筑面积为1790m²的产品堆场分别对项目三种砂石骨料产品进行暂存，分别命名为1#料场、2#料场和3#料场；具体如下。</w:t>
                  </w:r>
                </w:p>
                <w:p>
                  <w:pPr>
                    <w:pStyle w:val="32"/>
                    <w:spacing w:line="360" w:lineRule="exact"/>
                    <w:ind w:firstLine="210" w:firstLineChars="100"/>
                    <w:jc w:val="both"/>
                    <w:rPr>
                      <w:color w:val="000000" w:themeColor="text1"/>
                      <w:szCs w:val="21"/>
                    </w:rPr>
                  </w:pPr>
                  <w:r>
                    <w:rPr>
                      <w:rFonts w:ascii="宋体"/>
                      <w:color w:val="000000" w:themeColor="text1"/>
                      <w:szCs w:val="21"/>
                    </w:rPr>
                    <w:t>①</w:t>
                  </w:r>
                  <w:r>
                    <w:rPr>
                      <w:color w:val="000000" w:themeColor="text1"/>
                      <w:szCs w:val="21"/>
                    </w:rPr>
                    <w:t>1#料场：项目1#料场建筑面积约为600m²，拟对Φ0-5mm的砂石骨料产品进行暂存。</w:t>
                  </w:r>
                </w:p>
                <w:p>
                  <w:pPr>
                    <w:pStyle w:val="32"/>
                    <w:spacing w:line="360" w:lineRule="exact"/>
                    <w:ind w:firstLine="210" w:firstLineChars="100"/>
                    <w:jc w:val="both"/>
                    <w:rPr>
                      <w:color w:val="000000" w:themeColor="text1"/>
                      <w:szCs w:val="21"/>
                    </w:rPr>
                  </w:pPr>
                  <w:r>
                    <w:rPr>
                      <w:rFonts w:ascii="宋体"/>
                      <w:color w:val="000000" w:themeColor="text1"/>
                      <w:szCs w:val="21"/>
                    </w:rPr>
                    <w:t>②</w:t>
                  </w:r>
                  <w:r>
                    <w:rPr>
                      <w:color w:val="000000" w:themeColor="text1"/>
                      <w:szCs w:val="21"/>
                    </w:rPr>
                    <w:t>2#料场：项目2#料场建筑面积约为600m²，拟对Φ0-7mm的砂石骨料产品进行暂存。</w:t>
                  </w:r>
                </w:p>
                <w:p>
                  <w:pPr>
                    <w:pStyle w:val="32"/>
                    <w:spacing w:line="360" w:lineRule="exact"/>
                    <w:ind w:firstLine="210" w:firstLineChars="100"/>
                    <w:jc w:val="both"/>
                    <w:rPr>
                      <w:color w:val="000000" w:themeColor="text1"/>
                      <w:szCs w:val="21"/>
                    </w:rPr>
                  </w:pPr>
                  <w:r>
                    <w:rPr>
                      <w:rFonts w:ascii="宋体"/>
                      <w:color w:val="000000" w:themeColor="text1"/>
                      <w:szCs w:val="21"/>
                    </w:rPr>
                    <w:t>③</w:t>
                  </w:r>
                  <w:r>
                    <w:rPr>
                      <w:color w:val="000000" w:themeColor="text1"/>
                      <w:szCs w:val="21"/>
                    </w:rPr>
                    <w:t>3#料场：项目3#料场建筑面积约为590m²，拟对Φ20-30mm的砂石骨料产品进行暂存。</w:t>
                  </w:r>
                </w:p>
                <w:p>
                  <w:pPr>
                    <w:pStyle w:val="32"/>
                    <w:spacing w:line="360" w:lineRule="exact"/>
                    <w:ind w:firstLine="210" w:firstLineChars="100"/>
                    <w:jc w:val="both"/>
                    <w:rPr>
                      <w:color w:val="000000" w:themeColor="text1"/>
                      <w:szCs w:val="21"/>
                    </w:rPr>
                  </w:pPr>
                  <w:r>
                    <w:rPr>
                      <w:color w:val="000000" w:themeColor="text1"/>
                      <w:szCs w:val="21"/>
                    </w:rPr>
                    <w:t>产品堆场除车辆进出区域，其他区域设置围挡和顶棚，进行地面硬化。</w:t>
                  </w:r>
                </w:p>
              </w:tc>
              <w:tc>
                <w:tcPr>
                  <w:tcW w:w="619" w:type="pct"/>
                  <w:vAlign w:val="center"/>
                </w:tcPr>
                <w:p>
                  <w:pPr>
                    <w:pStyle w:val="32"/>
                    <w:spacing w:line="360" w:lineRule="exact"/>
                    <w:ind w:firstLine="210" w:firstLineChars="100"/>
                    <w:jc w:val="both"/>
                    <w:rPr>
                      <w:color w:val="000000" w:themeColor="text1"/>
                      <w:szCs w:val="21"/>
                    </w:rPr>
                  </w:pPr>
                  <w:r>
                    <w:rPr>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shd w:val="clear" w:color="auto" w:fill="auto"/>
                  <w:vAlign w:val="center"/>
                </w:tcPr>
                <w:p>
                  <w:pPr>
                    <w:pStyle w:val="32"/>
                    <w:spacing w:line="360" w:lineRule="exact"/>
                    <w:rPr>
                      <w:color w:val="000000" w:themeColor="text1"/>
                      <w:szCs w:val="21"/>
                    </w:rPr>
                  </w:pPr>
                  <w:r>
                    <w:rPr>
                      <w:color w:val="000000" w:themeColor="text1"/>
                      <w:szCs w:val="21"/>
                    </w:rPr>
                    <w:t>辅助工程</w:t>
                  </w:r>
                </w:p>
              </w:tc>
              <w:tc>
                <w:tcPr>
                  <w:tcW w:w="1041" w:type="pct"/>
                  <w:gridSpan w:val="2"/>
                  <w:vAlign w:val="center"/>
                </w:tcPr>
                <w:p>
                  <w:pPr>
                    <w:pStyle w:val="32"/>
                    <w:spacing w:line="360" w:lineRule="exact"/>
                    <w:rPr>
                      <w:color w:val="000000" w:themeColor="text1"/>
                      <w:szCs w:val="21"/>
                    </w:rPr>
                  </w:pPr>
                  <w:r>
                    <w:rPr>
                      <w:color w:val="000000" w:themeColor="text1"/>
                      <w:szCs w:val="21"/>
                    </w:rPr>
                    <w:t>办公生活区</w:t>
                  </w:r>
                </w:p>
              </w:tc>
              <w:tc>
                <w:tcPr>
                  <w:tcW w:w="2914" w:type="pct"/>
                  <w:shd w:val="clear" w:color="auto" w:fill="auto"/>
                  <w:vAlign w:val="center"/>
                </w:tcPr>
                <w:p>
                  <w:pPr>
                    <w:pStyle w:val="32"/>
                    <w:spacing w:line="360" w:lineRule="exact"/>
                    <w:ind w:firstLine="210" w:firstLineChars="100"/>
                    <w:jc w:val="both"/>
                    <w:rPr>
                      <w:color w:val="000000" w:themeColor="text1"/>
                      <w:szCs w:val="21"/>
                    </w:rPr>
                  </w:pPr>
                  <w:r>
                    <w:rPr>
                      <w:color w:val="000000" w:themeColor="text1"/>
                      <w:szCs w:val="21"/>
                    </w:rPr>
                    <w:t>根据调查，建设单位购买原昆明东川众誉矿业有限责任公司砂厂的原办公区保留，项目建成过程中，将其装修改造后，作为</w:t>
                  </w:r>
                  <w:r>
                    <w:rPr>
                      <w:rFonts w:hint="eastAsia"/>
                      <w:color w:val="000000" w:themeColor="text1"/>
                      <w:szCs w:val="21"/>
                    </w:rPr>
                    <w:t>两期</w:t>
                  </w:r>
                  <w:r>
                    <w:rPr>
                      <w:color w:val="000000" w:themeColor="text1"/>
                      <w:szCs w:val="21"/>
                    </w:rPr>
                    <w:t>项目办公生活区使用，</w:t>
                  </w:r>
                  <w:r>
                    <w:rPr>
                      <w:rFonts w:hint="eastAsia"/>
                      <w:color w:val="FF0000"/>
                      <w:szCs w:val="21"/>
                    </w:rPr>
                    <w:t>项目员工主要为附近居民，不在项目区食宿，</w:t>
                  </w:r>
                  <w:r>
                    <w:rPr>
                      <w:color w:val="FF0000"/>
                      <w:szCs w:val="21"/>
                    </w:rPr>
                    <w:t>办公生活区配套设置办公室、</w:t>
                  </w:r>
                  <w:r>
                    <w:rPr>
                      <w:rFonts w:hint="eastAsia"/>
                      <w:color w:val="FF0000"/>
                      <w:szCs w:val="21"/>
                    </w:rPr>
                    <w:t>值班室</w:t>
                  </w:r>
                  <w:r>
                    <w:rPr>
                      <w:color w:val="FF0000"/>
                      <w:szCs w:val="21"/>
                    </w:rPr>
                    <w:t>等设施。</w:t>
                  </w:r>
                </w:p>
              </w:tc>
              <w:tc>
                <w:tcPr>
                  <w:tcW w:w="619" w:type="pct"/>
                  <w:vAlign w:val="center"/>
                </w:tcPr>
                <w:p>
                  <w:pPr>
                    <w:pStyle w:val="32"/>
                    <w:spacing w:line="360" w:lineRule="exact"/>
                    <w:rPr>
                      <w:color w:val="000000" w:themeColor="text1"/>
                      <w:szCs w:val="21"/>
                    </w:rPr>
                  </w:pPr>
                  <w:r>
                    <w:rPr>
                      <w:color w:val="000000" w:themeColor="text1"/>
                      <w:szCs w:val="21"/>
                    </w:rPr>
                    <w:t>改造后使用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restart"/>
                  <w:vAlign w:val="center"/>
                </w:tcPr>
                <w:p>
                  <w:pPr>
                    <w:pStyle w:val="32"/>
                    <w:spacing w:line="360" w:lineRule="exact"/>
                    <w:rPr>
                      <w:color w:val="000000" w:themeColor="text1"/>
                      <w:szCs w:val="21"/>
                    </w:rPr>
                  </w:pPr>
                  <w:r>
                    <w:rPr>
                      <w:color w:val="000000" w:themeColor="text1"/>
                      <w:szCs w:val="21"/>
                    </w:rPr>
                    <w:t>公用工程</w:t>
                  </w:r>
                </w:p>
              </w:tc>
              <w:tc>
                <w:tcPr>
                  <w:tcW w:w="1041" w:type="pct"/>
                  <w:gridSpan w:val="2"/>
                  <w:vAlign w:val="center"/>
                </w:tcPr>
                <w:p>
                  <w:pPr>
                    <w:pStyle w:val="32"/>
                    <w:spacing w:line="360" w:lineRule="exact"/>
                    <w:rPr>
                      <w:color w:val="000000" w:themeColor="text1"/>
                      <w:szCs w:val="21"/>
                    </w:rPr>
                  </w:pPr>
                  <w:r>
                    <w:rPr>
                      <w:color w:val="000000" w:themeColor="text1"/>
                      <w:szCs w:val="21"/>
                    </w:rPr>
                    <w:t>供电</w:t>
                  </w:r>
                </w:p>
              </w:tc>
              <w:tc>
                <w:tcPr>
                  <w:tcW w:w="2914" w:type="pct"/>
                  <w:vAlign w:val="center"/>
                </w:tcPr>
                <w:p>
                  <w:pPr>
                    <w:pStyle w:val="32"/>
                    <w:spacing w:line="360" w:lineRule="exact"/>
                    <w:ind w:firstLine="210" w:firstLineChars="100"/>
                    <w:jc w:val="both"/>
                    <w:rPr>
                      <w:color w:val="000000" w:themeColor="text1"/>
                      <w:szCs w:val="21"/>
                    </w:rPr>
                  </w:pPr>
                  <w:r>
                    <w:rPr>
                      <w:color w:val="000000" w:themeColor="text1"/>
                      <w:szCs w:val="21"/>
                    </w:rPr>
                    <w:t>项目供电由建设单位内部供电系统供给，昆明市东川金水矿业有限责任公司降压站即位于项目区旁。</w:t>
                  </w:r>
                </w:p>
              </w:tc>
              <w:tc>
                <w:tcPr>
                  <w:tcW w:w="619" w:type="pct"/>
                  <w:vAlign w:val="center"/>
                </w:tcPr>
                <w:p>
                  <w:pPr>
                    <w:pStyle w:val="32"/>
                    <w:spacing w:line="360" w:lineRule="exact"/>
                    <w:rPr>
                      <w:color w:val="000000" w:themeColor="text1"/>
                      <w:szCs w:val="21"/>
                    </w:rPr>
                  </w:pPr>
                  <w:r>
                    <w:rPr>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2"/>
                    <w:spacing w:line="360" w:lineRule="exact"/>
                    <w:rPr>
                      <w:color w:val="000000" w:themeColor="text1"/>
                      <w:szCs w:val="21"/>
                    </w:rPr>
                  </w:pPr>
                </w:p>
              </w:tc>
              <w:tc>
                <w:tcPr>
                  <w:tcW w:w="1041" w:type="pct"/>
                  <w:gridSpan w:val="2"/>
                  <w:vAlign w:val="center"/>
                </w:tcPr>
                <w:p>
                  <w:pPr>
                    <w:pStyle w:val="32"/>
                    <w:spacing w:line="360" w:lineRule="exact"/>
                    <w:rPr>
                      <w:color w:val="000000" w:themeColor="text1"/>
                      <w:szCs w:val="21"/>
                    </w:rPr>
                  </w:pPr>
                  <w:r>
                    <w:rPr>
                      <w:color w:val="000000" w:themeColor="text1"/>
                      <w:szCs w:val="21"/>
                    </w:rPr>
                    <w:t>给水</w:t>
                  </w:r>
                </w:p>
              </w:tc>
              <w:tc>
                <w:tcPr>
                  <w:tcW w:w="2914" w:type="pct"/>
                  <w:vAlign w:val="center"/>
                </w:tcPr>
                <w:p>
                  <w:pPr>
                    <w:pStyle w:val="32"/>
                    <w:spacing w:line="360" w:lineRule="exact"/>
                    <w:ind w:firstLine="210" w:firstLineChars="100"/>
                    <w:jc w:val="both"/>
                    <w:rPr>
                      <w:color w:val="000000" w:themeColor="text1"/>
                      <w:szCs w:val="21"/>
                    </w:rPr>
                  </w:pPr>
                  <w:r>
                    <w:rPr>
                      <w:color w:val="000000" w:themeColor="text1"/>
                      <w:szCs w:val="21"/>
                    </w:rPr>
                    <w:t>①生产用水</w:t>
                  </w:r>
                </w:p>
                <w:p>
                  <w:pPr>
                    <w:pStyle w:val="32"/>
                    <w:spacing w:line="360" w:lineRule="exact"/>
                    <w:ind w:firstLine="210" w:firstLineChars="100"/>
                    <w:jc w:val="both"/>
                    <w:rPr>
                      <w:color w:val="FF0000"/>
                      <w:szCs w:val="21"/>
                    </w:rPr>
                  </w:pPr>
                  <w:r>
                    <w:rPr>
                      <w:color w:val="FF0000"/>
                      <w:szCs w:val="21"/>
                    </w:rPr>
                    <w:t>该项目用水主要使用建设单位旗下的</w:t>
                  </w:r>
                  <w:r>
                    <w:rPr>
                      <w:rFonts w:hint="eastAsia"/>
                      <w:color w:val="FF0000"/>
                      <w:szCs w:val="21"/>
                    </w:rPr>
                    <w:t>三分厂供水管网进行供水，</w:t>
                  </w:r>
                  <w:r>
                    <w:rPr>
                      <w:color w:val="FF0000"/>
                      <w:szCs w:val="21"/>
                    </w:rPr>
                    <w:t>可满足项目生产用水需求。</w:t>
                  </w:r>
                </w:p>
                <w:p>
                  <w:pPr>
                    <w:pStyle w:val="32"/>
                    <w:spacing w:line="360" w:lineRule="exact"/>
                    <w:ind w:firstLine="210" w:firstLineChars="100"/>
                    <w:jc w:val="both"/>
                    <w:rPr>
                      <w:color w:val="000000" w:themeColor="text1"/>
                      <w:szCs w:val="21"/>
                    </w:rPr>
                  </w:pPr>
                  <w:r>
                    <w:rPr>
                      <w:color w:val="000000" w:themeColor="text1"/>
                      <w:szCs w:val="21"/>
                    </w:rPr>
                    <w:t>②生活用水</w:t>
                  </w:r>
                </w:p>
                <w:p>
                  <w:pPr>
                    <w:pStyle w:val="32"/>
                    <w:spacing w:line="360" w:lineRule="exact"/>
                    <w:ind w:firstLine="210" w:firstLineChars="100"/>
                    <w:jc w:val="both"/>
                    <w:rPr>
                      <w:color w:val="000000" w:themeColor="text1"/>
                      <w:szCs w:val="21"/>
                    </w:rPr>
                  </w:pPr>
                  <w:r>
                    <w:rPr>
                      <w:color w:val="000000" w:themeColor="text1"/>
                      <w:szCs w:val="21"/>
                    </w:rPr>
                    <w:t>生活用水主要工作人员饮用水，该项目使用桶装纯净水。</w:t>
                  </w:r>
                </w:p>
              </w:tc>
              <w:tc>
                <w:tcPr>
                  <w:tcW w:w="619" w:type="pct"/>
                  <w:vAlign w:val="center"/>
                </w:tcPr>
                <w:p>
                  <w:pPr>
                    <w:pStyle w:val="32"/>
                    <w:spacing w:line="360" w:lineRule="exact"/>
                    <w:rPr>
                      <w:color w:val="000000" w:themeColor="text1"/>
                      <w:szCs w:val="21"/>
                    </w:rPr>
                  </w:pPr>
                  <w:r>
                    <w:rPr>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2"/>
                    <w:spacing w:line="360" w:lineRule="exact"/>
                    <w:rPr>
                      <w:color w:val="000000" w:themeColor="text1"/>
                      <w:szCs w:val="21"/>
                    </w:rPr>
                  </w:pPr>
                </w:p>
              </w:tc>
              <w:tc>
                <w:tcPr>
                  <w:tcW w:w="1041" w:type="pct"/>
                  <w:gridSpan w:val="2"/>
                  <w:vAlign w:val="center"/>
                </w:tcPr>
                <w:p>
                  <w:pPr>
                    <w:pStyle w:val="32"/>
                    <w:spacing w:line="360" w:lineRule="exact"/>
                    <w:rPr>
                      <w:color w:val="000000" w:themeColor="text1"/>
                      <w:szCs w:val="21"/>
                    </w:rPr>
                  </w:pPr>
                  <w:r>
                    <w:rPr>
                      <w:color w:val="000000" w:themeColor="text1"/>
                      <w:szCs w:val="21"/>
                    </w:rPr>
                    <w:t>排水</w:t>
                  </w:r>
                </w:p>
              </w:tc>
              <w:tc>
                <w:tcPr>
                  <w:tcW w:w="2914" w:type="pct"/>
                  <w:vAlign w:val="center"/>
                </w:tcPr>
                <w:p>
                  <w:pPr>
                    <w:pStyle w:val="32"/>
                    <w:spacing w:line="360" w:lineRule="exact"/>
                    <w:ind w:firstLine="210" w:firstLineChars="100"/>
                    <w:jc w:val="both"/>
                    <w:rPr>
                      <w:color w:val="000000" w:themeColor="text1"/>
                      <w:szCs w:val="21"/>
                    </w:rPr>
                  </w:pPr>
                  <w:r>
                    <w:rPr>
                      <w:color w:val="000000" w:themeColor="text1"/>
                      <w:szCs w:val="21"/>
                    </w:rPr>
                    <w:t>根据项目特点，该</w:t>
                  </w:r>
                  <w:r>
                    <w:rPr>
                      <w:rFonts w:hint="eastAsia"/>
                      <w:color w:val="000000" w:themeColor="text1"/>
                      <w:szCs w:val="21"/>
                    </w:rPr>
                    <w:t>一期工程</w:t>
                  </w:r>
                  <w:r>
                    <w:rPr>
                      <w:color w:val="000000" w:themeColor="text1"/>
                      <w:szCs w:val="21"/>
                    </w:rPr>
                    <w:t>废水主要为砂石骨料生产废水、初期雨水和生活污水。</w:t>
                  </w:r>
                </w:p>
                <w:p>
                  <w:pPr>
                    <w:pStyle w:val="32"/>
                    <w:spacing w:line="360" w:lineRule="exact"/>
                    <w:ind w:firstLine="210" w:firstLineChars="100"/>
                    <w:jc w:val="both"/>
                    <w:rPr>
                      <w:color w:val="000000" w:themeColor="text1"/>
                      <w:szCs w:val="21"/>
                    </w:rPr>
                  </w:pPr>
                  <w:r>
                    <w:rPr>
                      <w:color w:val="000000" w:themeColor="text1"/>
                      <w:szCs w:val="21"/>
                    </w:rPr>
                    <w:t>①砂石骨料生产废水</w:t>
                  </w:r>
                </w:p>
                <w:p>
                  <w:pPr>
                    <w:pStyle w:val="32"/>
                    <w:spacing w:line="360" w:lineRule="exact"/>
                    <w:ind w:firstLine="210" w:firstLineChars="100"/>
                    <w:jc w:val="both"/>
                    <w:rPr>
                      <w:color w:val="000000" w:themeColor="text1"/>
                      <w:szCs w:val="21"/>
                    </w:rPr>
                  </w:pPr>
                  <w:r>
                    <w:rPr>
                      <w:color w:val="000000" w:themeColor="text1"/>
                      <w:szCs w:val="21"/>
                    </w:rPr>
                    <w:t>项目砂石骨料生产废水主要污染物为CODcr、SS和石油类，项目拟配套设置1套砂石骨料生产废水处理系统对其进行处理；首先砂石骨料生产废水进入三级沉淀池进行沉淀，沉淀后，约90%的上层清水进入回水池回用于骨料生产系统，而三级沉淀池产生的的含水污泥则进入建设单位建设的昆明市东川金水矿业有限责任公司牛厂坪尾矿充填环境综合治理项目进行井下充填处理；不直接排入环境。</w:t>
                  </w:r>
                </w:p>
                <w:p>
                  <w:pPr>
                    <w:pStyle w:val="32"/>
                    <w:spacing w:line="360" w:lineRule="exact"/>
                    <w:ind w:firstLine="210" w:firstLineChars="100"/>
                    <w:jc w:val="both"/>
                    <w:rPr>
                      <w:color w:val="000000" w:themeColor="text1"/>
                      <w:szCs w:val="21"/>
                    </w:rPr>
                  </w:pPr>
                  <w:r>
                    <w:rPr>
                      <w:color w:val="000000" w:themeColor="text1"/>
                      <w:szCs w:val="21"/>
                    </w:rPr>
                    <w:t>②初期雨水</w:t>
                  </w:r>
                </w:p>
                <w:p>
                  <w:pPr>
                    <w:pStyle w:val="32"/>
                    <w:spacing w:line="360" w:lineRule="exact"/>
                    <w:ind w:firstLine="210" w:firstLineChars="100"/>
                    <w:jc w:val="both"/>
                    <w:rPr>
                      <w:color w:val="000000" w:themeColor="text1"/>
                      <w:szCs w:val="21"/>
                    </w:rPr>
                  </w:pPr>
                  <w:r>
                    <w:rPr>
                      <w:color w:val="000000" w:themeColor="text1"/>
                      <w:szCs w:val="21"/>
                    </w:rPr>
                    <w:t>项目拟采取雨污分流，因此</w:t>
                  </w:r>
                  <w:r>
                    <w:rPr>
                      <w:rFonts w:hint="eastAsia"/>
                      <w:color w:val="000000" w:themeColor="text1"/>
                      <w:szCs w:val="21"/>
                    </w:rPr>
                    <w:t>一期工程拟配套设置1个有效容积为9m³的初期雨水收集池对厂区一期工程范围初期雨水进行收集</w:t>
                  </w:r>
                  <w:r>
                    <w:rPr>
                      <w:color w:val="000000" w:themeColor="text1"/>
                      <w:szCs w:val="21"/>
                    </w:rPr>
                    <w:t>；收集后用于该项目生产，不外排。</w:t>
                  </w:r>
                </w:p>
                <w:p>
                  <w:pPr>
                    <w:pStyle w:val="32"/>
                    <w:spacing w:line="360" w:lineRule="exact"/>
                    <w:ind w:firstLine="210" w:firstLineChars="100"/>
                    <w:jc w:val="both"/>
                    <w:rPr>
                      <w:color w:val="000000" w:themeColor="text1"/>
                      <w:szCs w:val="21"/>
                    </w:rPr>
                  </w:pPr>
                  <w:r>
                    <w:rPr>
                      <w:color w:val="000000" w:themeColor="text1"/>
                      <w:szCs w:val="21"/>
                    </w:rPr>
                    <w:t>③生活污水</w:t>
                  </w:r>
                </w:p>
                <w:p>
                  <w:pPr>
                    <w:pStyle w:val="32"/>
                    <w:spacing w:line="360" w:lineRule="exact"/>
                    <w:ind w:firstLine="210" w:firstLineChars="100"/>
                    <w:jc w:val="both"/>
                    <w:rPr>
                      <w:color w:val="000000" w:themeColor="text1"/>
                      <w:szCs w:val="21"/>
                    </w:rPr>
                  </w:pPr>
                  <w:r>
                    <w:rPr>
                      <w:color w:val="000000" w:themeColor="text1"/>
                      <w:szCs w:val="21"/>
                    </w:rPr>
                    <w:t>根据调查，项目区域未配套建设污水管网，不具备排水条件，项目拟配套设置化粪池和一体化污水处理设施对生活污水进行处理达到《城市污水再生利用 城市杂用水水质》（GB/T18920-2020）城市绿化标准后，回用于项目区绿化，不外排。</w:t>
                  </w:r>
                </w:p>
              </w:tc>
              <w:tc>
                <w:tcPr>
                  <w:tcW w:w="619" w:type="pct"/>
                  <w:vAlign w:val="center"/>
                </w:tcPr>
                <w:p>
                  <w:pPr>
                    <w:pStyle w:val="32"/>
                    <w:spacing w:line="360" w:lineRule="exact"/>
                    <w:rPr>
                      <w:color w:val="000000" w:themeColor="text1"/>
                      <w:szCs w:val="21"/>
                    </w:rPr>
                  </w:pPr>
                  <w:r>
                    <w:rPr>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restart"/>
                  <w:vAlign w:val="center"/>
                </w:tcPr>
                <w:p>
                  <w:pPr>
                    <w:pStyle w:val="32"/>
                    <w:spacing w:line="360" w:lineRule="exact"/>
                    <w:rPr>
                      <w:color w:val="000000" w:themeColor="text1"/>
                      <w:szCs w:val="21"/>
                    </w:rPr>
                  </w:pPr>
                  <w:r>
                    <w:rPr>
                      <w:color w:val="000000" w:themeColor="text1"/>
                      <w:szCs w:val="21"/>
                    </w:rPr>
                    <w:t>环保工程</w:t>
                  </w:r>
                </w:p>
              </w:tc>
              <w:tc>
                <w:tcPr>
                  <w:tcW w:w="419" w:type="pct"/>
                  <w:vMerge w:val="restart"/>
                  <w:vAlign w:val="center"/>
                </w:tcPr>
                <w:p>
                  <w:pPr>
                    <w:pStyle w:val="32"/>
                    <w:spacing w:line="360" w:lineRule="exact"/>
                    <w:rPr>
                      <w:color w:val="000000" w:themeColor="text1"/>
                      <w:szCs w:val="21"/>
                    </w:rPr>
                  </w:pPr>
                  <w:r>
                    <w:rPr>
                      <w:color w:val="000000" w:themeColor="text1"/>
                      <w:szCs w:val="21"/>
                    </w:rPr>
                    <w:t>废气</w:t>
                  </w:r>
                </w:p>
              </w:tc>
              <w:tc>
                <w:tcPr>
                  <w:tcW w:w="622" w:type="pct"/>
                  <w:vAlign w:val="center"/>
                </w:tcPr>
                <w:p>
                  <w:pPr>
                    <w:pStyle w:val="32"/>
                    <w:spacing w:line="360" w:lineRule="exact"/>
                    <w:rPr>
                      <w:color w:val="000000" w:themeColor="text1"/>
                      <w:szCs w:val="21"/>
                    </w:rPr>
                  </w:pPr>
                  <w:r>
                    <w:rPr>
                      <w:color w:val="000000" w:themeColor="text1"/>
                      <w:szCs w:val="21"/>
                    </w:rPr>
                    <w:t>围挡和顶棚</w:t>
                  </w:r>
                </w:p>
              </w:tc>
              <w:tc>
                <w:tcPr>
                  <w:tcW w:w="2914" w:type="pct"/>
                  <w:vAlign w:val="center"/>
                </w:tcPr>
                <w:p>
                  <w:pPr>
                    <w:pStyle w:val="32"/>
                    <w:spacing w:line="360" w:lineRule="exact"/>
                    <w:ind w:firstLine="210" w:firstLineChars="100"/>
                    <w:jc w:val="both"/>
                    <w:rPr>
                      <w:color w:val="000000" w:themeColor="text1"/>
                      <w:szCs w:val="21"/>
                    </w:rPr>
                  </w:pPr>
                  <w:r>
                    <w:rPr>
                      <w:color w:val="000000" w:themeColor="text1"/>
                      <w:szCs w:val="21"/>
                    </w:rPr>
                    <w:t>根据设计，项目</w:t>
                  </w:r>
                  <w:r>
                    <w:rPr>
                      <w:rFonts w:hint="eastAsia"/>
                      <w:color w:val="000000" w:themeColor="text1"/>
                      <w:szCs w:val="21"/>
                    </w:rPr>
                    <w:t>一期工程</w:t>
                  </w:r>
                  <w:r>
                    <w:rPr>
                      <w:color w:val="000000" w:themeColor="text1"/>
                      <w:szCs w:val="21"/>
                    </w:rPr>
                    <w:t>废石堆场和产品堆场（1#料场、2#料场和3#料场）均会产生扬尘，为防止扬尘产生，项目拟对废石堆场和产品堆场（1#料场、2#料场和3#料场）除车辆进出区域，其他区域均分别设置不低于物料堆存高度围挡和顶棚。使其满足“防扬散、防雨、防流失”的三防要求。</w:t>
                  </w:r>
                </w:p>
              </w:tc>
              <w:tc>
                <w:tcPr>
                  <w:tcW w:w="619" w:type="pct"/>
                  <w:vAlign w:val="center"/>
                </w:tcPr>
                <w:p>
                  <w:pPr>
                    <w:pStyle w:val="32"/>
                    <w:spacing w:line="360" w:lineRule="exact"/>
                    <w:rPr>
                      <w:color w:val="000000" w:themeColor="text1"/>
                      <w:szCs w:val="21"/>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2"/>
                    <w:spacing w:line="360" w:lineRule="exact"/>
                    <w:rPr>
                      <w:color w:val="000000" w:themeColor="text1"/>
                      <w:szCs w:val="21"/>
                    </w:rPr>
                  </w:pPr>
                </w:p>
              </w:tc>
              <w:tc>
                <w:tcPr>
                  <w:tcW w:w="419" w:type="pct"/>
                  <w:vMerge w:val="continue"/>
                  <w:vAlign w:val="center"/>
                </w:tcPr>
                <w:p>
                  <w:pPr>
                    <w:pStyle w:val="32"/>
                    <w:spacing w:line="360" w:lineRule="exact"/>
                    <w:rPr>
                      <w:color w:val="000000" w:themeColor="text1"/>
                      <w:szCs w:val="21"/>
                    </w:rPr>
                  </w:pPr>
                </w:p>
              </w:tc>
              <w:tc>
                <w:tcPr>
                  <w:tcW w:w="622" w:type="pct"/>
                  <w:vAlign w:val="center"/>
                </w:tcPr>
                <w:p>
                  <w:pPr>
                    <w:pStyle w:val="32"/>
                    <w:spacing w:line="360" w:lineRule="exact"/>
                    <w:rPr>
                      <w:color w:val="000000" w:themeColor="text1"/>
                      <w:szCs w:val="21"/>
                    </w:rPr>
                  </w:pPr>
                  <w:r>
                    <w:rPr>
                      <w:color w:val="000000" w:themeColor="text1"/>
                      <w:szCs w:val="21"/>
                    </w:rPr>
                    <w:t>雾炮机</w:t>
                  </w:r>
                </w:p>
              </w:tc>
              <w:tc>
                <w:tcPr>
                  <w:tcW w:w="2914" w:type="pct"/>
                  <w:vAlign w:val="center"/>
                </w:tcPr>
                <w:p>
                  <w:pPr>
                    <w:pStyle w:val="32"/>
                    <w:spacing w:line="360" w:lineRule="exact"/>
                    <w:ind w:firstLine="210" w:firstLineChars="100"/>
                    <w:jc w:val="both"/>
                    <w:rPr>
                      <w:color w:val="000000" w:themeColor="text1"/>
                      <w:szCs w:val="21"/>
                    </w:rPr>
                  </w:pPr>
                  <w:r>
                    <w:rPr>
                      <w:color w:val="000000" w:themeColor="text1"/>
                      <w:szCs w:val="21"/>
                    </w:rPr>
                    <w:t>项目</w:t>
                  </w:r>
                  <w:r>
                    <w:rPr>
                      <w:rFonts w:hint="eastAsia"/>
                      <w:color w:val="000000" w:themeColor="text1"/>
                      <w:szCs w:val="21"/>
                    </w:rPr>
                    <w:t>一期工程</w:t>
                  </w:r>
                  <w:r>
                    <w:rPr>
                      <w:color w:val="000000" w:themeColor="text1"/>
                      <w:szCs w:val="21"/>
                    </w:rPr>
                    <w:t>拟设置1台雾炮机对厂区内废石采装、卸料及运输过程扬尘进行洒水抑尘。</w:t>
                  </w:r>
                </w:p>
              </w:tc>
              <w:tc>
                <w:tcPr>
                  <w:tcW w:w="619" w:type="pct"/>
                  <w:vAlign w:val="center"/>
                </w:tcPr>
                <w:p>
                  <w:pPr>
                    <w:pStyle w:val="32"/>
                    <w:spacing w:line="360" w:lineRule="exact"/>
                    <w:rPr>
                      <w:color w:val="000000" w:themeColor="text1"/>
                      <w:szCs w:val="21"/>
                    </w:rPr>
                  </w:pPr>
                  <w:r>
                    <w:rPr>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2"/>
                    <w:spacing w:line="360" w:lineRule="exact"/>
                    <w:rPr>
                      <w:color w:val="000000" w:themeColor="text1"/>
                      <w:szCs w:val="21"/>
                    </w:rPr>
                  </w:pPr>
                </w:p>
              </w:tc>
              <w:tc>
                <w:tcPr>
                  <w:tcW w:w="419" w:type="pct"/>
                  <w:vMerge w:val="continue"/>
                  <w:vAlign w:val="center"/>
                </w:tcPr>
                <w:p>
                  <w:pPr>
                    <w:pStyle w:val="32"/>
                    <w:spacing w:line="360" w:lineRule="exact"/>
                    <w:rPr>
                      <w:color w:val="000000" w:themeColor="text1"/>
                      <w:szCs w:val="21"/>
                    </w:rPr>
                  </w:pPr>
                </w:p>
              </w:tc>
              <w:tc>
                <w:tcPr>
                  <w:tcW w:w="622" w:type="pct"/>
                  <w:vAlign w:val="center"/>
                </w:tcPr>
                <w:p>
                  <w:pPr>
                    <w:pStyle w:val="32"/>
                    <w:spacing w:line="360" w:lineRule="exact"/>
                    <w:rPr>
                      <w:color w:val="000000" w:themeColor="text1"/>
                      <w:szCs w:val="21"/>
                    </w:rPr>
                  </w:pPr>
                  <w:r>
                    <w:rPr>
                      <w:color w:val="000000" w:themeColor="text1"/>
                      <w:szCs w:val="21"/>
                    </w:rPr>
                    <w:t>破碎筛分系统加水作业</w:t>
                  </w:r>
                </w:p>
              </w:tc>
              <w:tc>
                <w:tcPr>
                  <w:tcW w:w="2914" w:type="pct"/>
                  <w:vAlign w:val="center"/>
                </w:tcPr>
                <w:p>
                  <w:pPr>
                    <w:pStyle w:val="32"/>
                    <w:spacing w:line="360" w:lineRule="exact"/>
                    <w:ind w:firstLine="210" w:firstLineChars="100"/>
                    <w:jc w:val="both"/>
                    <w:rPr>
                      <w:color w:val="000000" w:themeColor="text1"/>
                      <w:szCs w:val="21"/>
                    </w:rPr>
                  </w:pPr>
                  <w:r>
                    <w:rPr>
                      <w:color w:val="000000" w:themeColor="text1"/>
                      <w:szCs w:val="21"/>
                    </w:rPr>
                    <w:t>项目</w:t>
                  </w:r>
                  <w:r>
                    <w:rPr>
                      <w:rFonts w:hint="eastAsia"/>
                      <w:color w:val="000000" w:themeColor="text1"/>
                      <w:szCs w:val="21"/>
                    </w:rPr>
                    <w:t>一期工程</w:t>
                  </w:r>
                  <w:r>
                    <w:rPr>
                      <w:color w:val="000000" w:themeColor="text1"/>
                      <w:szCs w:val="21"/>
                    </w:rPr>
                    <w:t>砂石骨料生产线整个破碎筛分系统均采用加水作业，可有效降低该系统扬尘。</w:t>
                  </w:r>
                </w:p>
              </w:tc>
              <w:tc>
                <w:tcPr>
                  <w:tcW w:w="619" w:type="pct"/>
                  <w:vAlign w:val="center"/>
                </w:tcPr>
                <w:p>
                  <w:pPr>
                    <w:pStyle w:val="32"/>
                    <w:spacing w:line="360" w:lineRule="exact"/>
                    <w:rPr>
                      <w:color w:val="000000" w:themeColor="text1"/>
                      <w:szCs w:val="21"/>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2"/>
                    <w:spacing w:line="360" w:lineRule="exact"/>
                    <w:rPr>
                      <w:color w:val="000000" w:themeColor="text1"/>
                      <w:szCs w:val="21"/>
                    </w:rPr>
                  </w:pPr>
                </w:p>
              </w:tc>
              <w:tc>
                <w:tcPr>
                  <w:tcW w:w="419" w:type="pct"/>
                  <w:vMerge w:val="continue"/>
                  <w:vAlign w:val="center"/>
                </w:tcPr>
                <w:p>
                  <w:pPr>
                    <w:pStyle w:val="32"/>
                    <w:spacing w:line="360" w:lineRule="exact"/>
                    <w:rPr>
                      <w:color w:val="000000" w:themeColor="text1"/>
                      <w:szCs w:val="21"/>
                    </w:rPr>
                  </w:pPr>
                </w:p>
              </w:tc>
              <w:tc>
                <w:tcPr>
                  <w:tcW w:w="622" w:type="pct"/>
                  <w:vAlign w:val="center"/>
                </w:tcPr>
                <w:p>
                  <w:pPr>
                    <w:pStyle w:val="32"/>
                    <w:spacing w:line="360" w:lineRule="exact"/>
                    <w:rPr>
                      <w:color w:val="000000" w:themeColor="text1"/>
                      <w:szCs w:val="21"/>
                    </w:rPr>
                  </w:pPr>
                  <w:r>
                    <w:rPr>
                      <w:color w:val="000000" w:themeColor="text1"/>
                      <w:szCs w:val="21"/>
                    </w:rPr>
                    <w:t>密闭运输</w:t>
                  </w:r>
                </w:p>
              </w:tc>
              <w:tc>
                <w:tcPr>
                  <w:tcW w:w="2914" w:type="pct"/>
                  <w:vAlign w:val="center"/>
                </w:tcPr>
                <w:p>
                  <w:pPr>
                    <w:pStyle w:val="32"/>
                    <w:spacing w:line="360" w:lineRule="exact"/>
                    <w:ind w:firstLine="210" w:firstLineChars="100"/>
                    <w:jc w:val="both"/>
                    <w:rPr>
                      <w:color w:val="000000" w:themeColor="text1"/>
                      <w:szCs w:val="21"/>
                      <w:highlight w:val="yellow"/>
                    </w:rPr>
                  </w:pPr>
                  <w:r>
                    <w:rPr>
                      <w:color w:val="000000" w:themeColor="text1"/>
                      <w:szCs w:val="21"/>
                    </w:rPr>
                    <w:t>根据设计，为降低扬尘对环境的影响，</w:t>
                  </w:r>
                  <w:r>
                    <w:rPr>
                      <w:rFonts w:hint="eastAsia"/>
                      <w:color w:val="000000" w:themeColor="text1"/>
                      <w:szCs w:val="21"/>
                    </w:rPr>
                    <w:t>一期工程</w:t>
                  </w:r>
                  <w:r>
                    <w:rPr>
                      <w:color w:val="000000" w:themeColor="text1"/>
                      <w:szCs w:val="21"/>
                    </w:rPr>
                    <w:t>砂石骨料生产线各工段之间的粉料运输均采用皮带机密闭运输。</w:t>
                  </w:r>
                </w:p>
              </w:tc>
              <w:tc>
                <w:tcPr>
                  <w:tcW w:w="619" w:type="pct"/>
                  <w:vAlign w:val="center"/>
                </w:tcPr>
                <w:p>
                  <w:pPr>
                    <w:pStyle w:val="32"/>
                    <w:spacing w:line="360" w:lineRule="exact"/>
                    <w:rPr>
                      <w:color w:val="000000" w:themeColor="text1"/>
                      <w:szCs w:val="21"/>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2"/>
                    <w:spacing w:line="360" w:lineRule="exact"/>
                    <w:rPr>
                      <w:color w:val="000000" w:themeColor="text1"/>
                      <w:szCs w:val="21"/>
                    </w:rPr>
                  </w:pPr>
                </w:p>
              </w:tc>
              <w:tc>
                <w:tcPr>
                  <w:tcW w:w="1041" w:type="pct"/>
                  <w:gridSpan w:val="2"/>
                  <w:vAlign w:val="center"/>
                </w:tcPr>
                <w:p>
                  <w:pPr>
                    <w:pStyle w:val="32"/>
                    <w:spacing w:line="360" w:lineRule="exact"/>
                    <w:rPr>
                      <w:color w:val="000000" w:themeColor="text1"/>
                      <w:szCs w:val="21"/>
                    </w:rPr>
                  </w:pPr>
                  <w:r>
                    <w:rPr>
                      <w:color w:val="000000" w:themeColor="text1"/>
                      <w:szCs w:val="21"/>
                    </w:rPr>
                    <w:t>雨污分流</w:t>
                  </w:r>
                </w:p>
              </w:tc>
              <w:tc>
                <w:tcPr>
                  <w:tcW w:w="2914" w:type="pct"/>
                  <w:vAlign w:val="center"/>
                </w:tcPr>
                <w:p>
                  <w:pPr>
                    <w:pStyle w:val="32"/>
                    <w:spacing w:line="360" w:lineRule="exact"/>
                    <w:ind w:firstLine="210" w:firstLineChars="100"/>
                    <w:jc w:val="both"/>
                    <w:rPr>
                      <w:color w:val="000000" w:themeColor="text1"/>
                      <w:szCs w:val="21"/>
                    </w:rPr>
                  </w:pPr>
                  <w:r>
                    <w:rPr>
                      <w:color w:val="000000" w:themeColor="text1"/>
                      <w:szCs w:val="21"/>
                    </w:rPr>
                    <w:t>根据调查，项目区已设置了雨污分流设施。</w:t>
                  </w:r>
                </w:p>
              </w:tc>
              <w:tc>
                <w:tcPr>
                  <w:tcW w:w="619" w:type="pct"/>
                  <w:vAlign w:val="center"/>
                </w:tcPr>
                <w:p>
                  <w:pPr>
                    <w:pStyle w:val="32"/>
                    <w:spacing w:line="360" w:lineRule="exact"/>
                    <w:rPr>
                      <w:color w:val="000000" w:themeColor="text1"/>
                      <w:szCs w:val="21"/>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2"/>
                    <w:spacing w:line="360" w:lineRule="exact"/>
                    <w:rPr>
                      <w:color w:val="000000" w:themeColor="text1"/>
                      <w:szCs w:val="21"/>
                    </w:rPr>
                  </w:pPr>
                </w:p>
              </w:tc>
              <w:tc>
                <w:tcPr>
                  <w:tcW w:w="419" w:type="pct"/>
                  <w:vMerge w:val="restart"/>
                  <w:vAlign w:val="center"/>
                </w:tcPr>
                <w:p>
                  <w:pPr>
                    <w:pStyle w:val="32"/>
                    <w:spacing w:line="360" w:lineRule="exact"/>
                    <w:rPr>
                      <w:color w:val="000000" w:themeColor="text1"/>
                      <w:szCs w:val="21"/>
                    </w:rPr>
                  </w:pPr>
                  <w:r>
                    <w:rPr>
                      <w:color w:val="000000" w:themeColor="text1"/>
                      <w:szCs w:val="21"/>
                    </w:rPr>
                    <w:t>废水</w:t>
                  </w:r>
                </w:p>
              </w:tc>
              <w:tc>
                <w:tcPr>
                  <w:tcW w:w="622" w:type="pct"/>
                  <w:vAlign w:val="center"/>
                </w:tcPr>
                <w:p>
                  <w:pPr>
                    <w:pStyle w:val="32"/>
                    <w:spacing w:line="360" w:lineRule="exact"/>
                    <w:rPr>
                      <w:color w:val="000000" w:themeColor="text1"/>
                      <w:szCs w:val="21"/>
                    </w:rPr>
                  </w:pPr>
                  <w:r>
                    <w:rPr>
                      <w:color w:val="000000" w:themeColor="text1"/>
                      <w:szCs w:val="21"/>
                    </w:rPr>
                    <w:t>砂石骨料生产废水处理系统</w:t>
                  </w:r>
                </w:p>
              </w:tc>
              <w:tc>
                <w:tcPr>
                  <w:tcW w:w="2914" w:type="pct"/>
                  <w:vAlign w:val="center"/>
                </w:tcPr>
                <w:p>
                  <w:pPr>
                    <w:pStyle w:val="32"/>
                    <w:spacing w:line="360" w:lineRule="exact"/>
                    <w:ind w:firstLine="210" w:firstLineChars="100"/>
                    <w:jc w:val="both"/>
                    <w:rPr>
                      <w:rFonts w:hint="eastAsia"/>
                      <w:color w:val="FF0000"/>
                      <w:szCs w:val="21"/>
                    </w:rPr>
                  </w:pPr>
                  <w:r>
                    <w:rPr>
                      <w:color w:val="000000" w:themeColor="text1"/>
                      <w:szCs w:val="21"/>
                    </w:rPr>
                    <w:t>根据设计，项目拟设置1套砂石骨料生产废水处理系统对生产废水进行处理，</w:t>
                  </w:r>
                  <w:r>
                    <w:rPr>
                      <w:color w:val="FF0000"/>
                      <w:szCs w:val="21"/>
                    </w:rPr>
                    <w:t>该系统由1组有效容积为60m³的三级沉淀池、1个10m³回水池和回水管道组成。</w:t>
                  </w:r>
                </w:p>
                <w:p>
                  <w:pPr>
                    <w:pStyle w:val="32"/>
                    <w:spacing w:line="360" w:lineRule="exact"/>
                    <w:ind w:firstLine="210" w:firstLineChars="100"/>
                    <w:jc w:val="both"/>
                    <w:rPr>
                      <w:color w:val="000000" w:themeColor="text1"/>
                      <w:szCs w:val="21"/>
                    </w:rPr>
                  </w:pPr>
                  <w:r>
                    <w:rPr>
                      <w:color w:val="000000" w:themeColor="text1"/>
                      <w:szCs w:val="21"/>
                    </w:rPr>
                    <w:t>砂石骨料生产废水主要污染物为CODcr、SS和石油类，首先进入三级沉淀池进行沉淀，沉淀后，约90%的上层清水进入回水池回用于骨料生产系统，而三级沉淀池产生的的含水污泥则进入建设单位建设的昆明市东川金水矿业有限责任公司牛厂坪尾矿充填环境综合治理项目进行井下充填处理。</w:t>
                  </w:r>
                </w:p>
              </w:tc>
              <w:tc>
                <w:tcPr>
                  <w:tcW w:w="619" w:type="pct"/>
                  <w:vAlign w:val="center"/>
                </w:tcPr>
                <w:p>
                  <w:pPr>
                    <w:pStyle w:val="32"/>
                    <w:spacing w:line="360" w:lineRule="exact"/>
                    <w:rPr>
                      <w:color w:val="000000" w:themeColor="text1"/>
                      <w:szCs w:val="21"/>
                      <w:highlight w:val="yellow"/>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2"/>
                    <w:spacing w:line="360" w:lineRule="exact"/>
                    <w:rPr>
                      <w:color w:val="000000" w:themeColor="text1"/>
                      <w:szCs w:val="21"/>
                    </w:rPr>
                  </w:pPr>
                </w:p>
              </w:tc>
              <w:tc>
                <w:tcPr>
                  <w:tcW w:w="419" w:type="pct"/>
                  <w:vMerge w:val="continue"/>
                  <w:vAlign w:val="center"/>
                </w:tcPr>
                <w:p>
                  <w:pPr>
                    <w:pStyle w:val="32"/>
                    <w:spacing w:line="360" w:lineRule="exact"/>
                    <w:rPr>
                      <w:color w:val="000000" w:themeColor="text1"/>
                      <w:szCs w:val="21"/>
                    </w:rPr>
                  </w:pPr>
                </w:p>
              </w:tc>
              <w:tc>
                <w:tcPr>
                  <w:tcW w:w="622" w:type="pct"/>
                  <w:vAlign w:val="center"/>
                </w:tcPr>
                <w:p>
                  <w:pPr>
                    <w:pStyle w:val="32"/>
                    <w:spacing w:line="360" w:lineRule="exact"/>
                    <w:rPr>
                      <w:color w:val="000000" w:themeColor="text1"/>
                      <w:szCs w:val="21"/>
                    </w:rPr>
                  </w:pPr>
                  <w:r>
                    <w:rPr>
                      <w:rFonts w:hint="eastAsia"/>
                      <w:color w:val="000000" w:themeColor="text1"/>
                      <w:szCs w:val="21"/>
                    </w:rPr>
                    <w:t>一期工程</w:t>
                  </w:r>
                  <w:r>
                    <w:rPr>
                      <w:color w:val="000000" w:themeColor="text1"/>
                      <w:szCs w:val="21"/>
                    </w:rPr>
                    <w:t>初期雨水收集系统</w:t>
                  </w:r>
                </w:p>
              </w:tc>
              <w:tc>
                <w:tcPr>
                  <w:tcW w:w="2914" w:type="pct"/>
                  <w:vAlign w:val="center"/>
                </w:tcPr>
                <w:p>
                  <w:pPr>
                    <w:pStyle w:val="32"/>
                    <w:spacing w:line="360" w:lineRule="exact"/>
                    <w:ind w:firstLine="210" w:firstLineChars="100"/>
                    <w:jc w:val="both"/>
                    <w:rPr>
                      <w:color w:val="000000" w:themeColor="text1"/>
                      <w:szCs w:val="21"/>
                    </w:rPr>
                  </w:pPr>
                  <w:r>
                    <w:rPr>
                      <w:color w:val="000000" w:themeColor="text1"/>
                      <w:szCs w:val="21"/>
                    </w:rPr>
                    <w:t>根据设计，项目</w:t>
                  </w:r>
                  <w:r>
                    <w:rPr>
                      <w:rFonts w:hint="eastAsia"/>
                      <w:color w:val="000000" w:themeColor="text1"/>
                      <w:szCs w:val="21"/>
                    </w:rPr>
                    <w:t>一期工程</w:t>
                  </w:r>
                  <w:r>
                    <w:rPr>
                      <w:color w:val="000000" w:themeColor="text1"/>
                      <w:szCs w:val="21"/>
                    </w:rPr>
                    <w:t>拟设置初期雨水处理系统对初期雨水进行处理，该系统由截排水沟和初期雨水收集池组成，具体如下：</w:t>
                  </w:r>
                </w:p>
                <w:p>
                  <w:pPr>
                    <w:pStyle w:val="32"/>
                    <w:spacing w:line="360" w:lineRule="exact"/>
                    <w:ind w:firstLine="210" w:firstLineChars="100"/>
                    <w:jc w:val="both"/>
                    <w:rPr>
                      <w:color w:val="000000" w:themeColor="text1"/>
                      <w:szCs w:val="21"/>
                    </w:rPr>
                  </w:pPr>
                  <w:r>
                    <w:rPr>
                      <w:color w:val="000000" w:themeColor="text1"/>
                      <w:szCs w:val="21"/>
                    </w:rPr>
                    <w:t>①截排水沟</w:t>
                  </w:r>
                </w:p>
                <w:p>
                  <w:pPr>
                    <w:pStyle w:val="32"/>
                    <w:spacing w:line="360" w:lineRule="exact"/>
                    <w:ind w:firstLine="210" w:firstLineChars="100"/>
                    <w:jc w:val="both"/>
                    <w:rPr>
                      <w:color w:val="000000" w:themeColor="text1"/>
                      <w:szCs w:val="21"/>
                    </w:rPr>
                  </w:pPr>
                  <w:r>
                    <w:rPr>
                      <w:color w:val="000000" w:themeColor="text1"/>
                      <w:szCs w:val="21"/>
                    </w:rPr>
                    <w:t>项目</w:t>
                  </w:r>
                  <w:r>
                    <w:rPr>
                      <w:rFonts w:hint="eastAsia"/>
                      <w:color w:val="000000" w:themeColor="text1"/>
                      <w:szCs w:val="21"/>
                    </w:rPr>
                    <w:t>一期工程</w:t>
                  </w:r>
                  <w:r>
                    <w:rPr>
                      <w:color w:val="000000" w:themeColor="text1"/>
                      <w:szCs w:val="21"/>
                    </w:rPr>
                    <w:t>为了防止雨天地表径流进入废石堆场、产品堆场及生产区，使项目区域砂石料流失，造成环境污染，项目</w:t>
                  </w:r>
                  <w:r>
                    <w:rPr>
                      <w:rFonts w:hint="eastAsia"/>
                      <w:color w:val="000000" w:themeColor="text1"/>
                      <w:szCs w:val="21"/>
                    </w:rPr>
                    <w:t>一期工程</w:t>
                  </w:r>
                  <w:r>
                    <w:rPr>
                      <w:color w:val="000000" w:themeColor="text1"/>
                      <w:szCs w:val="21"/>
                    </w:rPr>
                    <w:t>拟在厂房外围及厂区周围设置截排水沟对雨天厂区产生的初期雨水及地表径流进行疏导。</w:t>
                  </w:r>
                </w:p>
                <w:p>
                  <w:pPr>
                    <w:pStyle w:val="32"/>
                    <w:spacing w:line="360" w:lineRule="exact"/>
                    <w:ind w:firstLine="210" w:firstLineChars="100"/>
                    <w:jc w:val="both"/>
                    <w:rPr>
                      <w:color w:val="000000" w:themeColor="text1"/>
                      <w:szCs w:val="21"/>
                    </w:rPr>
                  </w:pPr>
                  <w:r>
                    <w:rPr>
                      <w:color w:val="000000" w:themeColor="text1"/>
                      <w:szCs w:val="21"/>
                    </w:rPr>
                    <w:t>②初期雨水收集池</w:t>
                  </w:r>
                </w:p>
                <w:p>
                  <w:pPr>
                    <w:pStyle w:val="32"/>
                    <w:spacing w:line="360" w:lineRule="exact"/>
                    <w:ind w:firstLine="210" w:firstLineChars="100"/>
                    <w:jc w:val="both"/>
                    <w:rPr>
                      <w:color w:val="000000" w:themeColor="text1"/>
                      <w:szCs w:val="21"/>
                    </w:rPr>
                  </w:pPr>
                  <w:r>
                    <w:rPr>
                      <w:color w:val="000000" w:themeColor="text1"/>
                      <w:szCs w:val="21"/>
                    </w:rPr>
                    <w:t>该项目</w:t>
                  </w:r>
                  <w:r>
                    <w:rPr>
                      <w:rFonts w:hint="eastAsia"/>
                      <w:color w:val="000000" w:themeColor="text1"/>
                      <w:szCs w:val="21"/>
                    </w:rPr>
                    <w:t>一期工程</w:t>
                  </w:r>
                  <w:r>
                    <w:rPr>
                      <w:color w:val="000000" w:themeColor="text1"/>
                      <w:szCs w:val="21"/>
                    </w:rPr>
                    <w:t>拟配套设置1个有效容积为</w:t>
                  </w:r>
                  <w:r>
                    <w:rPr>
                      <w:rFonts w:hint="eastAsia"/>
                      <w:color w:val="000000" w:themeColor="text1"/>
                      <w:szCs w:val="21"/>
                    </w:rPr>
                    <w:t>9</w:t>
                  </w:r>
                  <w:r>
                    <w:rPr>
                      <w:color w:val="000000" w:themeColor="text1"/>
                      <w:szCs w:val="21"/>
                    </w:rPr>
                    <w:t>m³的初期雨水收集池对厂区</w:t>
                  </w:r>
                  <w:r>
                    <w:rPr>
                      <w:rFonts w:hint="eastAsia"/>
                      <w:color w:val="000000" w:themeColor="text1"/>
                      <w:szCs w:val="21"/>
                    </w:rPr>
                    <w:t>一期工程范围</w:t>
                  </w:r>
                  <w:r>
                    <w:rPr>
                      <w:color w:val="000000" w:themeColor="text1"/>
                      <w:szCs w:val="21"/>
                    </w:rPr>
                    <w:t>的初期雨水进行收集</w:t>
                  </w:r>
                  <w:r>
                    <w:rPr>
                      <w:rFonts w:hint="eastAsia"/>
                      <w:color w:val="000000" w:themeColor="text1"/>
                      <w:szCs w:val="21"/>
                    </w:rPr>
                    <w:t>，</w:t>
                  </w:r>
                  <w:r>
                    <w:rPr>
                      <w:color w:val="000000" w:themeColor="text1"/>
                      <w:szCs w:val="21"/>
                    </w:rPr>
                    <w:t>收集后用于该项目生产用水，不外排。</w:t>
                  </w:r>
                </w:p>
              </w:tc>
              <w:tc>
                <w:tcPr>
                  <w:tcW w:w="619" w:type="pct"/>
                  <w:vAlign w:val="center"/>
                </w:tcPr>
                <w:p>
                  <w:pPr>
                    <w:pStyle w:val="32"/>
                    <w:spacing w:line="360" w:lineRule="exact"/>
                    <w:rPr>
                      <w:color w:val="000000" w:themeColor="text1"/>
                      <w:szCs w:val="21"/>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2"/>
                    <w:spacing w:line="360" w:lineRule="exact"/>
                    <w:rPr>
                      <w:color w:val="000000" w:themeColor="text1"/>
                      <w:szCs w:val="21"/>
                    </w:rPr>
                  </w:pPr>
                </w:p>
              </w:tc>
              <w:tc>
                <w:tcPr>
                  <w:tcW w:w="419" w:type="pct"/>
                  <w:vMerge w:val="continue"/>
                  <w:vAlign w:val="center"/>
                </w:tcPr>
                <w:p>
                  <w:pPr>
                    <w:pStyle w:val="32"/>
                    <w:spacing w:line="360" w:lineRule="exact"/>
                    <w:rPr>
                      <w:color w:val="000000" w:themeColor="text1"/>
                      <w:szCs w:val="21"/>
                    </w:rPr>
                  </w:pPr>
                </w:p>
              </w:tc>
              <w:tc>
                <w:tcPr>
                  <w:tcW w:w="622" w:type="pct"/>
                  <w:vAlign w:val="center"/>
                </w:tcPr>
                <w:p>
                  <w:pPr>
                    <w:pStyle w:val="32"/>
                    <w:spacing w:line="360" w:lineRule="exact"/>
                    <w:rPr>
                      <w:color w:val="000000" w:themeColor="text1"/>
                      <w:szCs w:val="21"/>
                    </w:rPr>
                  </w:pPr>
                  <w:r>
                    <w:rPr>
                      <w:rFonts w:eastAsiaTheme="minorEastAsia"/>
                      <w:color w:val="000000" w:themeColor="text1"/>
                      <w:szCs w:val="21"/>
                    </w:rPr>
                    <w:t>生活污水处理系统</w:t>
                  </w:r>
                </w:p>
              </w:tc>
              <w:tc>
                <w:tcPr>
                  <w:tcW w:w="2914" w:type="pct"/>
                  <w:vAlign w:val="center"/>
                </w:tcPr>
                <w:p>
                  <w:pPr>
                    <w:pStyle w:val="32"/>
                    <w:spacing w:line="360" w:lineRule="exact"/>
                    <w:ind w:firstLine="210" w:firstLineChars="100"/>
                    <w:jc w:val="both"/>
                    <w:rPr>
                      <w:color w:val="FF0000"/>
                      <w:szCs w:val="21"/>
                    </w:rPr>
                  </w:pPr>
                  <w:r>
                    <w:rPr>
                      <w:color w:val="FF0000"/>
                      <w:szCs w:val="21"/>
                    </w:rPr>
                    <w:t>根据设计，项目生活污水处理系统有化粪池、一体化污水处理设施和清水池组成。具体如下：</w:t>
                  </w:r>
                </w:p>
                <w:p>
                  <w:pPr>
                    <w:pStyle w:val="32"/>
                    <w:spacing w:line="360" w:lineRule="exact"/>
                    <w:ind w:firstLine="210" w:firstLineChars="100"/>
                    <w:jc w:val="both"/>
                    <w:rPr>
                      <w:color w:val="000000" w:themeColor="text1"/>
                      <w:szCs w:val="21"/>
                    </w:rPr>
                  </w:pPr>
                  <w:r>
                    <w:rPr>
                      <w:color w:val="000000" w:themeColor="text1"/>
                      <w:szCs w:val="21"/>
                    </w:rPr>
                    <w:t>①化粪池</w:t>
                  </w:r>
                </w:p>
                <w:p>
                  <w:pPr>
                    <w:pStyle w:val="32"/>
                    <w:spacing w:line="360" w:lineRule="exact"/>
                    <w:ind w:firstLine="210" w:firstLineChars="100"/>
                    <w:jc w:val="both"/>
                    <w:rPr>
                      <w:color w:val="000000" w:themeColor="text1"/>
                      <w:szCs w:val="21"/>
                    </w:rPr>
                  </w:pPr>
                  <w:r>
                    <w:rPr>
                      <w:color w:val="000000" w:themeColor="text1"/>
                      <w:szCs w:val="21"/>
                    </w:rPr>
                    <w:t>环评要求，针对项目生活污水，拟建设1个有效容积为3m³的化粪池，对生活污水进行预处理。</w:t>
                  </w:r>
                </w:p>
                <w:p>
                  <w:pPr>
                    <w:pStyle w:val="32"/>
                    <w:spacing w:line="360" w:lineRule="exact"/>
                    <w:ind w:firstLine="210" w:firstLineChars="100"/>
                    <w:jc w:val="both"/>
                    <w:rPr>
                      <w:color w:val="000000" w:themeColor="text1"/>
                      <w:szCs w:val="21"/>
                    </w:rPr>
                  </w:pPr>
                  <w:r>
                    <w:rPr>
                      <w:color w:val="000000" w:themeColor="text1"/>
                      <w:szCs w:val="21"/>
                    </w:rPr>
                    <w:t>②一体化污水处理设施</w:t>
                  </w:r>
                </w:p>
                <w:p>
                  <w:pPr>
                    <w:pStyle w:val="32"/>
                    <w:spacing w:line="360" w:lineRule="exact"/>
                    <w:ind w:firstLine="210" w:firstLineChars="100"/>
                    <w:jc w:val="both"/>
                    <w:rPr>
                      <w:color w:val="000000" w:themeColor="text1"/>
                      <w:szCs w:val="21"/>
                    </w:rPr>
                  </w:pPr>
                  <w:r>
                    <w:rPr>
                      <w:color w:val="000000" w:themeColor="text1"/>
                      <w:szCs w:val="21"/>
                    </w:rPr>
                    <w:t>环评要求，项目区域未配套建设污水管网，不具备排水条件，因此项目拟配套设置1套处理能力为3m³/d的一体化污水处理设施对生活污水进行处理达到《城市污水再生利用 城市杂用水水质》（GB/T18920-2020）城市绿化标准后，回用于项目区绿化，不外排。</w:t>
                  </w:r>
                </w:p>
                <w:p>
                  <w:pPr>
                    <w:pStyle w:val="32"/>
                    <w:spacing w:line="360" w:lineRule="exact"/>
                    <w:ind w:firstLine="210" w:firstLineChars="100"/>
                    <w:jc w:val="both"/>
                    <w:rPr>
                      <w:color w:val="000000" w:themeColor="text1"/>
                      <w:szCs w:val="21"/>
                    </w:rPr>
                  </w:pPr>
                  <w:r>
                    <w:rPr>
                      <w:rFonts w:hint="eastAsia" w:ascii="宋体" w:hAnsi="宋体" w:cs="宋体"/>
                      <w:color w:val="000000" w:themeColor="text1"/>
                      <w:szCs w:val="21"/>
                    </w:rPr>
                    <w:t>③</w:t>
                  </w:r>
                  <w:r>
                    <w:rPr>
                      <w:color w:val="000000" w:themeColor="text1"/>
                      <w:szCs w:val="21"/>
                    </w:rPr>
                    <w:t>清水池</w:t>
                  </w:r>
                </w:p>
                <w:p>
                  <w:pPr>
                    <w:pStyle w:val="32"/>
                    <w:spacing w:line="360" w:lineRule="exact"/>
                    <w:ind w:firstLine="210" w:firstLineChars="100"/>
                    <w:jc w:val="both"/>
                    <w:rPr>
                      <w:color w:val="000000" w:themeColor="text1"/>
                      <w:szCs w:val="21"/>
                    </w:rPr>
                  </w:pPr>
                  <w:r>
                    <w:rPr>
                      <w:color w:val="000000" w:themeColor="text1"/>
                      <w:szCs w:val="21"/>
                    </w:rPr>
                    <w:t>生活污水经处理后将回用于绿化，为满足雨天等特殊情况，处理后生活污水的暂存要求，项目拟配套设置1个有效容积为10m³的清水池对处理后的生活污水进行暂存。</w:t>
                  </w:r>
                </w:p>
              </w:tc>
              <w:tc>
                <w:tcPr>
                  <w:tcW w:w="619" w:type="pct"/>
                  <w:vAlign w:val="center"/>
                </w:tcPr>
                <w:p>
                  <w:pPr>
                    <w:pStyle w:val="32"/>
                    <w:spacing w:line="360" w:lineRule="exact"/>
                    <w:rPr>
                      <w:color w:val="000000" w:themeColor="text1"/>
                      <w:szCs w:val="21"/>
                    </w:rPr>
                  </w:pPr>
                  <w:r>
                    <w:rPr>
                      <w:rFonts w:eastAsiaTheme="minorEastAsia"/>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2"/>
                    <w:spacing w:line="360" w:lineRule="exact"/>
                    <w:rPr>
                      <w:color w:val="000000" w:themeColor="text1"/>
                      <w:szCs w:val="21"/>
                    </w:rPr>
                  </w:pPr>
                </w:p>
              </w:tc>
              <w:tc>
                <w:tcPr>
                  <w:tcW w:w="419" w:type="pct"/>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地下水防渗</w:t>
                  </w:r>
                </w:p>
              </w:tc>
              <w:tc>
                <w:tcPr>
                  <w:tcW w:w="622" w:type="pc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重点防渗区</w:t>
                  </w:r>
                </w:p>
              </w:tc>
              <w:tc>
                <w:tcPr>
                  <w:tcW w:w="2914" w:type="pct"/>
                  <w:vAlign w:val="center"/>
                </w:tcPr>
                <w:p>
                  <w:pPr>
                    <w:pStyle w:val="32"/>
                    <w:spacing w:line="360" w:lineRule="exact"/>
                    <w:ind w:firstLine="210" w:firstLineChars="100"/>
                    <w:jc w:val="both"/>
                    <w:rPr>
                      <w:color w:val="000000" w:themeColor="text1"/>
                      <w:szCs w:val="21"/>
                    </w:rPr>
                  </w:pPr>
                  <w:r>
                    <w:rPr>
                      <w:color w:val="000000" w:themeColor="text1"/>
                      <w:szCs w:val="21"/>
                    </w:rPr>
                    <w:t>项目重点防渗区为危险废物贮存间：危险废物贮存间地面和裙墙应采用不低于2mm厚的HDPE膜或其他人工防渗材料进行防渗，使其渗透系数≤10</w:t>
                  </w:r>
                  <w:r>
                    <w:rPr>
                      <w:color w:val="000000" w:themeColor="text1"/>
                      <w:szCs w:val="21"/>
                      <w:vertAlign w:val="superscript"/>
                    </w:rPr>
                    <w:t>-10</w:t>
                  </w:r>
                  <w:r>
                    <w:rPr>
                      <w:color w:val="000000" w:themeColor="text1"/>
                      <w:szCs w:val="21"/>
                    </w:rPr>
                    <w:t>cm/s；</w:t>
                  </w:r>
                </w:p>
              </w:tc>
              <w:tc>
                <w:tcPr>
                  <w:tcW w:w="619" w:type="pct"/>
                  <w:vAlign w:val="center"/>
                </w:tcPr>
                <w:p>
                  <w:pPr>
                    <w:pStyle w:val="32"/>
                    <w:spacing w:line="360" w:lineRule="exact"/>
                    <w:rPr>
                      <w:color w:val="000000" w:themeColor="text1"/>
                      <w:szCs w:val="21"/>
                    </w:rPr>
                  </w:pPr>
                  <w:r>
                    <w:rPr>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2"/>
                    <w:spacing w:line="360" w:lineRule="exact"/>
                    <w:rPr>
                      <w:color w:val="000000" w:themeColor="text1"/>
                      <w:szCs w:val="21"/>
                    </w:rPr>
                  </w:pPr>
                </w:p>
              </w:tc>
              <w:tc>
                <w:tcPr>
                  <w:tcW w:w="419" w:type="pct"/>
                  <w:vMerge w:val="continue"/>
                  <w:vAlign w:val="center"/>
                </w:tcPr>
                <w:p>
                  <w:pPr>
                    <w:pStyle w:val="32"/>
                    <w:spacing w:line="360" w:lineRule="exact"/>
                    <w:rPr>
                      <w:rFonts w:eastAsiaTheme="minorEastAsia"/>
                      <w:color w:val="000000" w:themeColor="text1"/>
                      <w:szCs w:val="21"/>
                    </w:rPr>
                  </w:pPr>
                </w:p>
              </w:tc>
              <w:tc>
                <w:tcPr>
                  <w:tcW w:w="622" w:type="pc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一般防渗区</w:t>
                  </w:r>
                </w:p>
              </w:tc>
              <w:tc>
                <w:tcPr>
                  <w:tcW w:w="2914" w:type="pct"/>
                  <w:vAlign w:val="center"/>
                </w:tcPr>
                <w:p>
                  <w:pPr>
                    <w:pStyle w:val="32"/>
                    <w:spacing w:line="360" w:lineRule="exact"/>
                    <w:ind w:firstLine="210" w:firstLineChars="100"/>
                    <w:jc w:val="both"/>
                    <w:rPr>
                      <w:color w:val="000000" w:themeColor="text1"/>
                      <w:szCs w:val="21"/>
                    </w:rPr>
                  </w:pPr>
                  <w:r>
                    <w:rPr>
                      <w:color w:val="000000" w:themeColor="text1"/>
                      <w:szCs w:val="21"/>
                    </w:rPr>
                    <w:t>根据分区防渗规范要求，项目</w:t>
                  </w:r>
                  <w:r>
                    <w:rPr>
                      <w:rFonts w:hint="eastAsia"/>
                      <w:color w:val="000000" w:themeColor="text1"/>
                      <w:szCs w:val="21"/>
                    </w:rPr>
                    <w:t>一期工程</w:t>
                  </w:r>
                  <w:r>
                    <w:rPr>
                      <w:color w:val="000000" w:themeColor="text1"/>
                      <w:szCs w:val="21"/>
                    </w:rPr>
                    <w:t>生产区、砂石骨料生产废水处理系统、</w:t>
                  </w:r>
                  <w:r>
                    <w:rPr>
                      <w:rFonts w:hint="eastAsia"/>
                      <w:color w:val="000000" w:themeColor="text1"/>
                      <w:szCs w:val="21"/>
                    </w:rPr>
                    <w:t>一期工程</w:t>
                  </w:r>
                  <w:r>
                    <w:rPr>
                      <w:color w:val="000000" w:themeColor="text1"/>
                      <w:szCs w:val="21"/>
                    </w:rPr>
                    <w:t>初期雨水收集系统和生活污水处理系统区域划定为一般防渗区，一般防渗区措施在地面采取粘土铺底，并在上层铺30cm的混凝土进行硬化。确保防渗性能，使其渗透系数≤1.0×10</w:t>
                  </w:r>
                  <w:r>
                    <w:rPr>
                      <w:color w:val="000000" w:themeColor="text1"/>
                      <w:szCs w:val="21"/>
                      <w:vertAlign w:val="superscript"/>
                    </w:rPr>
                    <w:t>-7</w:t>
                  </w:r>
                  <w:r>
                    <w:rPr>
                      <w:color w:val="000000" w:themeColor="text1"/>
                      <w:szCs w:val="21"/>
                    </w:rPr>
                    <w:t>cm/s。</w:t>
                  </w:r>
                </w:p>
              </w:tc>
              <w:tc>
                <w:tcPr>
                  <w:tcW w:w="619" w:type="pct"/>
                  <w:vAlign w:val="center"/>
                </w:tcPr>
                <w:p>
                  <w:pPr>
                    <w:pStyle w:val="32"/>
                    <w:spacing w:line="360" w:lineRule="exact"/>
                    <w:rPr>
                      <w:color w:val="000000" w:themeColor="text1"/>
                      <w:szCs w:val="21"/>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2"/>
                    <w:spacing w:line="360" w:lineRule="exact"/>
                    <w:rPr>
                      <w:color w:val="000000" w:themeColor="text1"/>
                      <w:szCs w:val="21"/>
                    </w:rPr>
                  </w:pPr>
                </w:p>
              </w:tc>
              <w:tc>
                <w:tcPr>
                  <w:tcW w:w="419" w:type="pct"/>
                  <w:vAlign w:val="center"/>
                </w:tcPr>
                <w:p>
                  <w:pPr>
                    <w:pStyle w:val="32"/>
                    <w:spacing w:line="360" w:lineRule="exact"/>
                    <w:rPr>
                      <w:color w:val="000000" w:themeColor="text1"/>
                      <w:szCs w:val="21"/>
                    </w:rPr>
                  </w:pPr>
                  <w:r>
                    <w:rPr>
                      <w:color w:val="000000" w:themeColor="text1"/>
                      <w:szCs w:val="21"/>
                    </w:rPr>
                    <w:t>噪声</w:t>
                  </w:r>
                </w:p>
              </w:tc>
              <w:tc>
                <w:tcPr>
                  <w:tcW w:w="622" w:type="pct"/>
                  <w:vAlign w:val="center"/>
                </w:tcPr>
                <w:p>
                  <w:pPr>
                    <w:pStyle w:val="32"/>
                    <w:spacing w:line="360" w:lineRule="exact"/>
                    <w:rPr>
                      <w:color w:val="000000" w:themeColor="text1"/>
                      <w:szCs w:val="21"/>
                    </w:rPr>
                  </w:pPr>
                  <w:r>
                    <w:rPr>
                      <w:color w:val="000000" w:themeColor="text1"/>
                      <w:szCs w:val="21"/>
                    </w:rPr>
                    <w:t>设备噪声</w:t>
                  </w:r>
                </w:p>
              </w:tc>
              <w:tc>
                <w:tcPr>
                  <w:tcW w:w="2914" w:type="pct"/>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一期工程</w:t>
                  </w:r>
                  <w:r>
                    <w:rPr>
                      <w:color w:val="000000" w:themeColor="text1"/>
                      <w:szCs w:val="21"/>
                    </w:rPr>
                    <w:t>设备基础加装减震垫、消声器等。</w:t>
                  </w:r>
                </w:p>
              </w:tc>
              <w:tc>
                <w:tcPr>
                  <w:tcW w:w="619" w:type="pct"/>
                  <w:vAlign w:val="center"/>
                </w:tcPr>
                <w:p>
                  <w:pPr>
                    <w:pStyle w:val="32"/>
                    <w:spacing w:line="360" w:lineRule="exact"/>
                    <w:rPr>
                      <w:color w:val="000000" w:themeColor="text1"/>
                      <w:szCs w:val="21"/>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2"/>
                    <w:spacing w:line="360" w:lineRule="exact"/>
                    <w:rPr>
                      <w:color w:val="000000" w:themeColor="text1"/>
                      <w:szCs w:val="21"/>
                    </w:rPr>
                  </w:pPr>
                </w:p>
              </w:tc>
              <w:tc>
                <w:tcPr>
                  <w:tcW w:w="419" w:type="pct"/>
                  <w:vMerge w:val="restart"/>
                  <w:vAlign w:val="center"/>
                </w:tcPr>
                <w:p>
                  <w:pPr>
                    <w:pStyle w:val="32"/>
                    <w:spacing w:line="360" w:lineRule="exact"/>
                    <w:rPr>
                      <w:color w:val="000000" w:themeColor="text1"/>
                      <w:szCs w:val="21"/>
                    </w:rPr>
                  </w:pPr>
                  <w:r>
                    <w:rPr>
                      <w:color w:val="000000" w:themeColor="text1"/>
                      <w:szCs w:val="21"/>
                    </w:rPr>
                    <w:t>固废</w:t>
                  </w:r>
                </w:p>
              </w:tc>
              <w:tc>
                <w:tcPr>
                  <w:tcW w:w="622" w:type="pct"/>
                  <w:vAlign w:val="center"/>
                </w:tcPr>
                <w:p>
                  <w:pPr>
                    <w:pStyle w:val="32"/>
                    <w:spacing w:line="360" w:lineRule="exact"/>
                    <w:rPr>
                      <w:color w:val="000000" w:themeColor="text1"/>
                      <w:szCs w:val="21"/>
                    </w:rPr>
                  </w:pPr>
                  <w:r>
                    <w:rPr>
                      <w:color w:val="000000" w:themeColor="text1"/>
                      <w:szCs w:val="21"/>
                    </w:rPr>
                    <w:t>危险废物贮存间</w:t>
                  </w:r>
                </w:p>
              </w:tc>
              <w:tc>
                <w:tcPr>
                  <w:tcW w:w="2914" w:type="pct"/>
                  <w:vAlign w:val="center"/>
                </w:tcPr>
                <w:p>
                  <w:pPr>
                    <w:pStyle w:val="32"/>
                    <w:spacing w:line="360" w:lineRule="exact"/>
                    <w:ind w:firstLine="210" w:firstLineChars="100"/>
                    <w:jc w:val="both"/>
                    <w:rPr>
                      <w:color w:val="000000" w:themeColor="text1"/>
                    </w:rPr>
                  </w:pPr>
                  <w:r>
                    <w:rPr>
                      <w:color w:val="000000" w:themeColor="text1"/>
                    </w:rPr>
                    <w:t>针对项目产生的废机油和废弃沾油抹布，厂区拟建设了1个10m²的危险废物贮存间对项目区产生的危险废物进行分类暂存。废机油部分用于生产设备润滑使用，无法使用部分委托有资质的单位处置。</w:t>
                  </w:r>
                </w:p>
              </w:tc>
              <w:tc>
                <w:tcPr>
                  <w:tcW w:w="619" w:type="pct"/>
                  <w:vAlign w:val="center"/>
                </w:tcPr>
                <w:p>
                  <w:pPr>
                    <w:pStyle w:val="32"/>
                    <w:spacing w:line="360" w:lineRule="exact"/>
                    <w:rPr>
                      <w:color w:val="000000" w:themeColor="text1"/>
                      <w:szCs w:val="21"/>
                    </w:rPr>
                  </w:pPr>
                  <w:r>
                    <w:rPr>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2"/>
                    <w:spacing w:line="360" w:lineRule="exact"/>
                    <w:rPr>
                      <w:color w:val="000000" w:themeColor="text1"/>
                      <w:szCs w:val="21"/>
                    </w:rPr>
                  </w:pPr>
                </w:p>
              </w:tc>
              <w:tc>
                <w:tcPr>
                  <w:tcW w:w="419" w:type="pct"/>
                  <w:vMerge w:val="continue"/>
                  <w:vAlign w:val="center"/>
                </w:tcPr>
                <w:p>
                  <w:pPr>
                    <w:pStyle w:val="32"/>
                    <w:spacing w:line="360" w:lineRule="exact"/>
                    <w:rPr>
                      <w:color w:val="000000" w:themeColor="text1"/>
                      <w:szCs w:val="21"/>
                    </w:rPr>
                  </w:pPr>
                </w:p>
              </w:tc>
              <w:tc>
                <w:tcPr>
                  <w:tcW w:w="622" w:type="pct"/>
                  <w:vAlign w:val="center"/>
                </w:tcPr>
                <w:p>
                  <w:pPr>
                    <w:pStyle w:val="32"/>
                    <w:spacing w:line="360" w:lineRule="exact"/>
                    <w:rPr>
                      <w:color w:val="000000" w:themeColor="text1"/>
                      <w:szCs w:val="21"/>
                    </w:rPr>
                  </w:pPr>
                  <w:r>
                    <w:rPr>
                      <w:color w:val="000000" w:themeColor="text1"/>
                      <w:szCs w:val="21"/>
                    </w:rPr>
                    <w:t>生活垃圾桶</w:t>
                  </w:r>
                </w:p>
              </w:tc>
              <w:tc>
                <w:tcPr>
                  <w:tcW w:w="2914" w:type="pct"/>
                  <w:vAlign w:val="center"/>
                </w:tcPr>
                <w:p>
                  <w:pPr>
                    <w:pStyle w:val="32"/>
                    <w:spacing w:line="360" w:lineRule="exact"/>
                    <w:ind w:firstLine="210" w:firstLineChars="100"/>
                    <w:jc w:val="both"/>
                    <w:rPr>
                      <w:color w:val="000000" w:themeColor="text1"/>
                    </w:rPr>
                  </w:pPr>
                  <w:r>
                    <w:rPr>
                      <w:color w:val="000000" w:themeColor="text1"/>
                    </w:rPr>
                    <w:t>项目拟设置生活垃圾桶，对生活垃圾收集后委托环卫部门进行处理。</w:t>
                  </w:r>
                </w:p>
              </w:tc>
              <w:tc>
                <w:tcPr>
                  <w:tcW w:w="619" w:type="pct"/>
                  <w:vAlign w:val="center"/>
                </w:tcPr>
                <w:p>
                  <w:pPr>
                    <w:pStyle w:val="32"/>
                    <w:spacing w:line="360" w:lineRule="exact"/>
                    <w:rPr>
                      <w:color w:val="000000" w:themeColor="text1"/>
                      <w:szCs w:val="21"/>
                    </w:rPr>
                  </w:pPr>
                  <w:r>
                    <w:rPr>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2"/>
                    <w:spacing w:line="360" w:lineRule="exact"/>
                    <w:rPr>
                      <w:color w:val="000000" w:themeColor="text1"/>
                      <w:szCs w:val="21"/>
                    </w:rPr>
                  </w:pPr>
                </w:p>
              </w:tc>
              <w:tc>
                <w:tcPr>
                  <w:tcW w:w="419" w:type="pct"/>
                  <w:vMerge w:val="restart"/>
                  <w:vAlign w:val="center"/>
                </w:tcPr>
                <w:p>
                  <w:pPr>
                    <w:pStyle w:val="32"/>
                    <w:spacing w:line="360" w:lineRule="exact"/>
                    <w:rPr>
                      <w:color w:val="000000" w:themeColor="text1"/>
                      <w:szCs w:val="21"/>
                    </w:rPr>
                  </w:pPr>
                  <w:r>
                    <w:rPr>
                      <w:color w:val="000000" w:themeColor="text1"/>
                      <w:szCs w:val="21"/>
                    </w:rPr>
                    <w:t>其他</w:t>
                  </w:r>
                </w:p>
              </w:tc>
              <w:tc>
                <w:tcPr>
                  <w:tcW w:w="622" w:type="pct"/>
                  <w:vAlign w:val="center"/>
                </w:tcPr>
                <w:p>
                  <w:pPr>
                    <w:pStyle w:val="32"/>
                    <w:spacing w:line="360" w:lineRule="exact"/>
                    <w:rPr>
                      <w:color w:val="000000" w:themeColor="text1"/>
                      <w:szCs w:val="21"/>
                    </w:rPr>
                  </w:pPr>
                  <w:r>
                    <w:rPr>
                      <w:color w:val="000000" w:themeColor="text1"/>
                      <w:szCs w:val="21"/>
                    </w:rPr>
                    <w:t>标识牌</w:t>
                  </w:r>
                </w:p>
              </w:tc>
              <w:tc>
                <w:tcPr>
                  <w:tcW w:w="2914" w:type="pct"/>
                  <w:vAlign w:val="center"/>
                </w:tcPr>
                <w:p>
                  <w:pPr>
                    <w:pStyle w:val="32"/>
                    <w:spacing w:line="360" w:lineRule="exact"/>
                    <w:ind w:firstLine="210" w:firstLineChars="100"/>
                    <w:jc w:val="both"/>
                    <w:rPr>
                      <w:color w:val="000000" w:themeColor="text1"/>
                      <w:szCs w:val="21"/>
                    </w:rPr>
                  </w:pPr>
                  <w:r>
                    <w:rPr>
                      <w:color w:val="000000" w:themeColor="text1"/>
                      <w:szCs w:val="21"/>
                    </w:rPr>
                    <w:t>建设单位按照危险废物管理的规范要求，设置危险废物识别标志、环境保护图形标志。</w:t>
                  </w:r>
                </w:p>
              </w:tc>
              <w:tc>
                <w:tcPr>
                  <w:tcW w:w="619" w:type="pct"/>
                  <w:vAlign w:val="center"/>
                </w:tcPr>
                <w:p>
                  <w:pPr>
                    <w:pStyle w:val="32"/>
                    <w:spacing w:line="360" w:lineRule="exact"/>
                    <w:rPr>
                      <w:color w:val="000000" w:themeColor="text1"/>
                      <w:szCs w:val="21"/>
                    </w:rPr>
                  </w:pPr>
                  <w:r>
                    <w:rPr>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2"/>
                    <w:spacing w:line="360" w:lineRule="exact"/>
                    <w:rPr>
                      <w:color w:val="000000" w:themeColor="text1"/>
                      <w:szCs w:val="21"/>
                    </w:rPr>
                  </w:pPr>
                </w:p>
              </w:tc>
              <w:tc>
                <w:tcPr>
                  <w:tcW w:w="419" w:type="pct"/>
                  <w:vMerge w:val="continue"/>
                  <w:vAlign w:val="center"/>
                </w:tcPr>
                <w:p>
                  <w:pPr>
                    <w:pStyle w:val="32"/>
                    <w:spacing w:line="360" w:lineRule="exact"/>
                    <w:rPr>
                      <w:color w:val="000000" w:themeColor="text1"/>
                      <w:szCs w:val="21"/>
                    </w:rPr>
                  </w:pPr>
                </w:p>
              </w:tc>
              <w:tc>
                <w:tcPr>
                  <w:tcW w:w="622" w:type="pct"/>
                  <w:vAlign w:val="center"/>
                </w:tcPr>
                <w:p>
                  <w:pPr>
                    <w:pStyle w:val="32"/>
                    <w:spacing w:line="360" w:lineRule="exact"/>
                    <w:rPr>
                      <w:color w:val="000000" w:themeColor="text1"/>
                      <w:szCs w:val="21"/>
                    </w:rPr>
                  </w:pPr>
                  <w:r>
                    <w:rPr>
                      <w:color w:val="000000" w:themeColor="text1"/>
                      <w:szCs w:val="21"/>
                    </w:rPr>
                    <w:t>绿化</w:t>
                  </w:r>
                </w:p>
              </w:tc>
              <w:tc>
                <w:tcPr>
                  <w:tcW w:w="2914" w:type="pct"/>
                  <w:vAlign w:val="center"/>
                </w:tcPr>
                <w:p>
                  <w:pPr>
                    <w:pStyle w:val="32"/>
                    <w:spacing w:line="360" w:lineRule="exact"/>
                    <w:ind w:firstLine="210" w:firstLineChars="100"/>
                    <w:jc w:val="both"/>
                    <w:rPr>
                      <w:color w:val="000000" w:themeColor="text1"/>
                      <w:szCs w:val="21"/>
                    </w:rPr>
                  </w:pPr>
                  <w:r>
                    <w:rPr>
                      <w:color w:val="000000" w:themeColor="text1"/>
                      <w:szCs w:val="21"/>
                    </w:rPr>
                    <w:t>根据设计，项目区将设置1500</w:t>
                  </w:r>
                  <w:r>
                    <w:rPr>
                      <w:color w:val="000000" w:themeColor="text1"/>
                    </w:rPr>
                    <w:t>m²的绿化区域。</w:t>
                  </w:r>
                </w:p>
              </w:tc>
              <w:tc>
                <w:tcPr>
                  <w:tcW w:w="619" w:type="pct"/>
                  <w:vAlign w:val="center"/>
                </w:tcPr>
                <w:p>
                  <w:pPr>
                    <w:pStyle w:val="32"/>
                    <w:spacing w:line="360" w:lineRule="exact"/>
                    <w:rPr>
                      <w:color w:val="000000" w:themeColor="text1"/>
                      <w:szCs w:val="21"/>
                    </w:rPr>
                  </w:pPr>
                  <w:r>
                    <w:rPr>
                      <w:color w:val="000000" w:themeColor="text1"/>
                      <w:szCs w:val="21"/>
                    </w:rPr>
                    <w:t>设计提出</w:t>
                  </w:r>
                </w:p>
              </w:tc>
            </w:tr>
          </w:tbl>
          <w:p>
            <w:pPr>
              <w:spacing w:beforeLines="50" w:line="360" w:lineRule="auto"/>
              <w:ind w:firstLine="482" w:firstLineChars="200"/>
              <w:rPr>
                <w:rFonts w:ascii="Times New Roman" w:hAnsi="Times New Roman" w:cs="Times New Roman"/>
                <w:b/>
                <w:color w:val="000000" w:themeColor="text1"/>
                <w:sz w:val="24"/>
                <w:szCs w:val="24"/>
              </w:rPr>
            </w:pPr>
            <w:bookmarkStart w:id="0" w:name="_Toc433544969"/>
            <w:bookmarkStart w:id="1" w:name="_Toc493693536"/>
            <w:r>
              <w:rPr>
                <w:rFonts w:hint="eastAsia" w:ascii="Times New Roman" w:hAnsi="Times New Roman" w:cs="Times New Roman"/>
                <w:b/>
                <w:color w:val="000000" w:themeColor="text1"/>
                <w:sz w:val="24"/>
                <w:szCs w:val="24"/>
              </w:rPr>
              <w:t>②二期工程建设内容</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二期工程</w:t>
            </w:r>
            <w:r>
              <w:rPr>
                <w:rFonts w:ascii="Times New Roman" w:hAnsi="Times New Roman" w:cs="Times New Roman"/>
                <w:color w:val="000000" w:themeColor="text1"/>
                <w:sz w:val="24"/>
                <w:szCs w:val="24"/>
              </w:rPr>
              <w:t>主要工程内容如下表所示。</w:t>
            </w:r>
          </w:p>
          <w:p>
            <w:pPr>
              <w:pStyle w:val="34"/>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表2.1-</w:t>
            </w:r>
            <w:r>
              <w:rPr>
                <w:rFonts w:hint="eastAsia" w:hAnsi="Times New Roman" w:eastAsiaTheme="minorEastAsia"/>
                <w:bCs/>
                <w:snapToGrid w:val="0"/>
                <w:color w:val="000000" w:themeColor="text1"/>
                <w:sz w:val="21"/>
                <w:szCs w:val="21"/>
              </w:rPr>
              <w:t>2</w:t>
            </w:r>
            <w:r>
              <w:rPr>
                <w:rFonts w:hAnsi="Times New Roman" w:eastAsiaTheme="minorEastAsia"/>
                <w:bCs/>
                <w:snapToGrid w:val="0"/>
                <w:color w:val="000000" w:themeColor="text1"/>
                <w:sz w:val="21"/>
                <w:szCs w:val="21"/>
              </w:rPr>
              <w:t xml:space="preserve"> </w:t>
            </w:r>
            <w:r>
              <w:rPr>
                <w:rFonts w:hint="eastAsia" w:hAnsi="Times New Roman" w:eastAsiaTheme="minorEastAsia"/>
                <w:bCs/>
                <w:snapToGrid w:val="0"/>
                <w:color w:val="000000" w:themeColor="text1"/>
                <w:sz w:val="21"/>
                <w:szCs w:val="21"/>
              </w:rPr>
              <w:t>二期工程</w:t>
            </w:r>
            <w:r>
              <w:rPr>
                <w:rFonts w:hAnsi="Times New Roman" w:eastAsiaTheme="minorEastAsia"/>
                <w:bCs/>
                <w:snapToGrid w:val="0"/>
                <w:color w:val="000000" w:themeColor="text1"/>
                <w:sz w:val="21"/>
                <w:szCs w:val="21"/>
              </w:rPr>
              <w:t>建设内容组成一览表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21"/>
              <w:gridCol w:w="1070"/>
              <w:gridCol w:w="501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pPr>
                    <w:pStyle w:val="32"/>
                    <w:spacing w:line="360" w:lineRule="exact"/>
                    <w:rPr>
                      <w:color w:val="000000" w:themeColor="text1"/>
                      <w:szCs w:val="21"/>
                    </w:rPr>
                  </w:pPr>
                  <w:r>
                    <w:rPr>
                      <w:color w:val="000000" w:themeColor="text1"/>
                      <w:szCs w:val="21"/>
                    </w:rPr>
                    <w:t>类别</w:t>
                  </w:r>
                </w:p>
              </w:tc>
              <w:tc>
                <w:tcPr>
                  <w:tcW w:w="1041" w:type="pct"/>
                  <w:gridSpan w:val="2"/>
                  <w:vAlign w:val="center"/>
                </w:tcPr>
                <w:p>
                  <w:pPr>
                    <w:pStyle w:val="32"/>
                    <w:spacing w:line="360" w:lineRule="exact"/>
                    <w:rPr>
                      <w:color w:val="000000" w:themeColor="text1"/>
                      <w:szCs w:val="21"/>
                    </w:rPr>
                  </w:pPr>
                  <w:r>
                    <w:rPr>
                      <w:color w:val="000000" w:themeColor="text1"/>
                      <w:szCs w:val="21"/>
                    </w:rPr>
                    <w:t>工程内容</w:t>
                  </w:r>
                </w:p>
              </w:tc>
              <w:tc>
                <w:tcPr>
                  <w:tcW w:w="2914" w:type="pct"/>
                  <w:vAlign w:val="center"/>
                </w:tcPr>
                <w:p>
                  <w:pPr>
                    <w:pStyle w:val="32"/>
                    <w:spacing w:line="360" w:lineRule="exact"/>
                    <w:rPr>
                      <w:color w:val="000000" w:themeColor="text1"/>
                      <w:szCs w:val="21"/>
                    </w:rPr>
                  </w:pPr>
                  <w:r>
                    <w:rPr>
                      <w:color w:val="000000" w:themeColor="text1"/>
                      <w:szCs w:val="21"/>
                    </w:rPr>
                    <w:t>建筑内容及规模</w:t>
                  </w:r>
                </w:p>
              </w:tc>
              <w:tc>
                <w:tcPr>
                  <w:tcW w:w="619" w:type="pct"/>
                  <w:vAlign w:val="center"/>
                </w:tcPr>
                <w:p>
                  <w:pPr>
                    <w:pStyle w:val="32"/>
                    <w:spacing w:line="360" w:lineRule="exact"/>
                    <w:rPr>
                      <w:color w:val="000000" w:themeColor="text1"/>
                      <w:szCs w:val="21"/>
                    </w:rPr>
                  </w:pPr>
                  <w:r>
                    <w:rPr>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restart"/>
                  <w:vAlign w:val="center"/>
                </w:tcPr>
                <w:p>
                  <w:pPr>
                    <w:pStyle w:val="32"/>
                    <w:spacing w:line="360" w:lineRule="exact"/>
                    <w:rPr>
                      <w:color w:val="000000" w:themeColor="text1"/>
                      <w:szCs w:val="21"/>
                    </w:rPr>
                  </w:pPr>
                  <w:r>
                    <w:rPr>
                      <w:color w:val="000000" w:themeColor="text1"/>
                      <w:szCs w:val="21"/>
                    </w:rPr>
                    <w:t>主体工程</w:t>
                  </w:r>
                </w:p>
              </w:tc>
              <w:tc>
                <w:tcPr>
                  <w:tcW w:w="419" w:type="pct"/>
                  <w:vMerge w:val="restart"/>
                  <w:vAlign w:val="center"/>
                </w:tcPr>
                <w:p>
                  <w:pPr>
                    <w:pStyle w:val="32"/>
                    <w:spacing w:line="360" w:lineRule="exact"/>
                    <w:rPr>
                      <w:color w:val="000000" w:themeColor="text1"/>
                      <w:szCs w:val="21"/>
                    </w:rPr>
                  </w:pPr>
                  <w:r>
                    <w:rPr>
                      <w:color w:val="000000" w:themeColor="text1"/>
                      <w:szCs w:val="21"/>
                    </w:rPr>
                    <w:t>混凝土砖生产线</w:t>
                  </w:r>
                </w:p>
              </w:tc>
              <w:tc>
                <w:tcPr>
                  <w:tcW w:w="622" w:type="pct"/>
                  <w:vAlign w:val="center"/>
                </w:tcPr>
                <w:p>
                  <w:pPr>
                    <w:pStyle w:val="32"/>
                    <w:spacing w:line="360" w:lineRule="exact"/>
                    <w:rPr>
                      <w:color w:val="000000" w:themeColor="text1"/>
                      <w:szCs w:val="21"/>
                    </w:rPr>
                  </w:pPr>
                  <w:r>
                    <w:rPr>
                      <w:color w:val="000000" w:themeColor="text1"/>
                      <w:szCs w:val="21"/>
                    </w:rPr>
                    <w:t>搅拌混合车间</w:t>
                  </w:r>
                </w:p>
              </w:tc>
              <w:tc>
                <w:tcPr>
                  <w:tcW w:w="2914" w:type="pct"/>
                  <w:vAlign w:val="center"/>
                </w:tcPr>
                <w:p>
                  <w:pPr>
                    <w:pStyle w:val="32"/>
                    <w:spacing w:line="360" w:lineRule="exact"/>
                    <w:ind w:firstLine="210" w:firstLineChars="100"/>
                    <w:jc w:val="both"/>
                    <w:rPr>
                      <w:color w:val="000000" w:themeColor="text1"/>
                      <w:szCs w:val="21"/>
                    </w:rPr>
                  </w:pPr>
                  <w:r>
                    <w:rPr>
                      <w:color w:val="000000" w:themeColor="text1"/>
                      <w:szCs w:val="21"/>
                    </w:rPr>
                    <w:t>根据设计，</w:t>
                  </w:r>
                  <w:r>
                    <w:rPr>
                      <w:rFonts w:hint="eastAsia"/>
                      <w:color w:val="000000" w:themeColor="text1"/>
                      <w:szCs w:val="21"/>
                    </w:rPr>
                    <w:t>二期工程</w:t>
                  </w:r>
                  <w:r>
                    <w:rPr>
                      <w:color w:val="000000" w:themeColor="text1"/>
                      <w:szCs w:val="21"/>
                    </w:rPr>
                    <w:t>拟设置1个建筑面积约为120m²的搅拌混合车间，该车间内配套设置1台提升斗、2台配料仓和1台搅拌机，将水泥、砂石骨料（Φ0-7mm）和砂石骨料（Φ0-5mm）按照4:15:10的比例进行混合，并加水搅拌，使其充分混合，搅拌后的物料含水率约为20%。</w:t>
                  </w:r>
                </w:p>
              </w:tc>
              <w:tc>
                <w:tcPr>
                  <w:tcW w:w="619" w:type="pct"/>
                  <w:vAlign w:val="center"/>
                </w:tcPr>
                <w:p>
                  <w:pPr>
                    <w:pStyle w:val="32"/>
                    <w:spacing w:line="360" w:lineRule="exact"/>
                    <w:rPr>
                      <w:color w:val="000000" w:themeColor="text1"/>
                      <w:szCs w:val="21"/>
                    </w:rPr>
                  </w:pPr>
                  <w:r>
                    <w:rPr>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2"/>
                    <w:spacing w:line="360" w:lineRule="exact"/>
                    <w:rPr>
                      <w:color w:val="000000" w:themeColor="text1"/>
                      <w:szCs w:val="21"/>
                    </w:rPr>
                  </w:pPr>
                </w:p>
              </w:tc>
              <w:tc>
                <w:tcPr>
                  <w:tcW w:w="419" w:type="pct"/>
                  <w:vMerge w:val="continue"/>
                  <w:vAlign w:val="center"/>
                </w:tcPr>
                <w:p>
                  <w:pPr>
                    <w:pStyle w:val="32"/>
                    <w:spacing w:line="360" w:lineRule="exact"/>
                    <w:rPr>
                      <w:color w:val="000000" w:themeColor="text1"/>
                      <w:szCs w:val="21"/>
                    </w:rPr>
                  </w:pPr>
                </w:p>
              </w:tc>
              <w:tc>
                <w:tcPr>
                  <w:tcW w:w="622" w:type="pct"/>
                  <w:vAlign w:val="center"/>
                </w:tcPr>
                <w:p>
                  <w:pPr>
                    <w:pStyle w:val="32"/>
                    <w:spacing w:line="360" w:lineRule="exact"/>
                    <w:rPr>
                      <w:color w:val="000000" w:themeColor="text1"/>
                      <w:szCs w:val="21"/>
                    </w:rPr>
                  </w:pPr>
                  <w:r>
                    <w:rPr>
                      <w:color w:val="000000" w:themeColor="text1"/>
                      <w:szCs w:val="21"/>
                    </w:rPr>
                    <w:t>成型车间</w:t>
                  </w:r>
                </w:p>
              </w:tc>
              <w:tc>
                <w:tcPr>
                  <w:tcW w:w="2914" w:type="pct"/>
                  <w:vAlign w:val="center"/>
                </w:tcPr>
                <w:p>
                  <w:pPr>
                    <w:pStyle w:val="32"/>
                    <w:spacing w:line="360" w:lineRule="exact"/>
                    <w:ind w:firstLine="210" w:firstLineChars="100"/>
                    <w:jc w:val="both"/>
                    <w:rPr>
                      <w:color w:val="000000" w:themeColor="text1"/>
                      <w:szCs w:val="21"/>
                    </w:rPr>
                  </w:pPr>
                  <w:r>
                    <w:rPr>
                      <w:color w:val="000000" w:themeColor="text1"/>
                      <w:szCs w:val="21"/>
                    </w:rPr>
                    <w:t>根据设计，</w:t>
                  </w:r>
                  <w:r>
                    <w:rPr>
                      <w:rFonts w:hint="eastAsia"/>
                      <w:color w:val="000000" w:themeColor="text1"/>
                      <w:szCs w:val="21"/>
                    </w:rPr>
                    <w:t>二期工程</w:t>
                  </w:r>
                  <w:r>
                    <w:rPr>
                      <w:color w:val="000000" w:themeColor="text1"/>
                      <w:szCs w:val="21"/>
                    </w:rPr>
                    <w:t>拟设置1个建筑面积约为180m²的成型车间，该车间内配套设置1台QT18-18型砌块成型机和模板架，对搅拌均匀的物料进行砌块成型。</w:t>
                  </w:r>
                </w:p>
              </w:tc>
              <w:tc>
                <w:tcPr>
                  <w:tcW w:w="619" w:type="pct"/>
                  <w:vAlign w:val="center"/>
                </w:tcPr>
                <w:p>
                  <w:pPr>
                    <w:pStyle w:val="32"/>
                    <w:spacing w:line="360" w:lineRule="exact"/>
                    <w:rPr>
                      <w:color w:val="000000" w:themeColor="text1"/>
                      <w:szCs w:val="21"/>
                    </w:rPr>
                  </w:pPr>
                  <w:r>
                    <w:rPr>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2"/>
                    <w:spacing w:line="360" w:lineRule="exact"/>
                    <w:rPr>
                      <w:color w:val="000000" w:themeColor="text1"/>
                      <w:szCs w:val="21"/>
                    </w:rPr>
                  </w:pPr>
                </w:p>
              </w:tc>
              <w:tc>
                <w:tcPr>
                  <w:tcW w:w="419" w:type="pct"/>
                  <w:vMerge w:val="continue"/>
                  <w:vAlign w:val="center"/>
                </w:tcPr>
                <w:p>
                  <w:pPr>
                    <w:pStyle w:val="32"/>
                    <w:spacing w:line="360" w:lineRule="exact"/>
                    <w:rPr>
                      <w:color w:val="000000" w:themeColor="text1"/>
                      <w:szCs w:val="21"/>
                    </w:rPr>
                  </w:pPr>
                </w:p>
              </w:tc>
              <w:tc>
                <w:tcPr>
                  <w:tcW w:w="622" w:type="pct"/>
                  <w:vAlign w:val="center"/>
                </w:tcPr>
                <w:p>
                  <w:pPr>
                    <w:pStyle w:val="32"/>
                    <w:spacing w:line="360" w:lineRule="exact"/>
                    <w:rPr>
                      <w:color w:val="000000" w:themeColor="text1"/>
                      <w:szCs w:val="21"/>
                    </w:rPr>
                  </w:pPr>
                  <w:r>
                    <w:rPr>
                      <w:color w:val="000000" w:themeColor="text1"/>
                      <w:szCs w:val="21"/>
                    </w:rPr>
                    <w:t>养护区</w:t>
                  </w:r>
                </w:p>
              </w:tc>
              <w:tc>
                <w:tcPr>
                  <w:tcW w:w="2914" w:type="pct"/>
                  <w:vAlign w:val="center"/>
                </w:tcPr>
                <w:p>
                  <w:pPr>
                    <w:pStyle w:val="32"/>
                    <w:spacing w:line="360" w:lineRule="exact"/>
                    <w:ind w:firstLine="210" w:firstLineChars="100"/>
                    <w:jc w:val="both"/>
                    <w:rPr>
                      <w:color w:val="000000" w:themeColor="text1"/>
                      <w:szCs w:val="21"/>
                    </w:rPr>
                  </w:pPr>
                  <w:r>
                    <w:rPr>
                      <w:color w:val="000000" w:themeColor="text1"/>
                      <w:szCs w:val="21"/>
                    </w:rPr>
                    <w:t>根据设计，</w:t>
                  </w:r>
                  <w:r>
                    <w:rPr>
                      <w:rFonts w:hint="eastAsia"/>
                      <w:color w:val="000000" w:themeColor="text1"/>
                      <w:szCs w:val="21"/>
                    </w:rPr>
                    <w:t>二期工程</w:t>
                  </w:r>
                  <w:r>
                    <w:rPr>
                      <w:color w:val="000000" w:themeColor="text1"/>
                      <w:szCs w:val="21"/>
                    </w:rPr>
                    <w:t>拟设置1个建筑面积约为800m²的养护区，对成型后的水泥砖进行养护；养护区分为养护棚和养护场，其中养护棚的面积约为100m²，为单层彩钢瓦结构，而养护场地为室外，面积约为700m²。</w:t>
                  </w:r>
                </w:p>
              </w:tc>
              <w:tc>
                <w:tcPr>
                  <w:tcW w:w="619" w:type="pct"/>
                  <w:vAlign w:val="center"/>
                </w:tcPr>
                <w:p>
                  <w:pPr>
                    <w:pStyle w:val="32"/>
                    <w:spacing w:line="360" w:lineRule="exact"/>
                    <w:rPr>
                      <w:color w:val="000000" w:themeColor="text1"/>
                      <w:szCs w:val="21"/>
                    </w:rPr>
                  </w:pPr>
                  <w:r>
                    <w:rPr>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restart"/>
                  <w:shd w:val="clear" w:color="auto" w:fill="auto"/>
                  <w:vAlign w:val="center"/>
                </w:tcPr>
                <w:p>
                  <w:pPr>
                    <w:pStyle w:val="32"/>
                    <w:spacing w:line="360" w:lineRule="exact"/>
                    <w:rPr>
                      <w:color w:val="000000" w:themeColor="text1"/>
                      <w:szCs w:val="21"/>
                    </w:rPr>
                  </w:pPr>
                  <w:r>
                    <w:rPr>
                      <w:color w:val="000000" w:themeColor="text1"/>
                      <w:szCs w:val="21"/>
                    </w:rPr>
                    <w:t>储运工程</w:t>
                  </w:r>
                </w:p>
              </w:tc>
              <w:tc>
                <w:tcPr>
                  <w:tcW w:w="1041" w:type="pct"/>
                  <w:gridSpan w:val="2"/>
                  <w:vAlign w:val="center"/>
                </w:tcPr>
                <w:p>
                  <w:pPr>
                    <w:pStyle w:val="32"/>
                    <w:spacing w:line="360" w:lineRule="exact"/>
                    <w:rPr>
                      <w:color w:val="000000" w:themeColor="text1"/>
                      <w:szCs w:val="21"/>
                    </w:rPr>
                  </w:pPr>
                  <w:r>
                    <w:rPr>
                      <w:color w:val="000000" w:themeColor="text1"/>
                      <w:szCs w:val="21"/>
                    </w:rPr>
                    <w:t>水泥仓</w:t>
                  </w:r>
                </w:p>
              </w:tc>
              <w:tc>
                <w:tcPr>
                  <w:tcW w:w="2914" w:type="pct"/>
                  <w:shd w:val="clear" w:color="auto" w:fill="auto"/>
                  <w:vAlign w:val="center"/>
                </w:tcPr>
                <w:p>
                  <w:pPr>
                    <w:pStyle w:val="32"/>
                    <w:spacing w:line="360" w:lineRule="exact"/>
                    <w:ind w:firstLine="210" w:firstLineChars="100"/>
                    <w:jc w:val="both"/>
                    <w:rPr>
                      <w:color w:val="000000" w:themeColor="text1"/>
                      <w:szCs w:val="21"/>
                    </w:rPr>
                  </w:pPr>
                  <w:r>
                    <w:rPr>
                      <w:color w:val="000000" w:themeColor="text1"/>
                      <w:szCs w:val="21"/>
                    </w:rPr>
                    <w:t>根据设计，</w:t>
                  </w:r>
                  <w:r>
                    <w:rPr>
                      <w:rFonts w:hint="eastAsia"/>
                      <w:color w:val="000000" w:themeColor="text1"/>
                      <w:szCs w:val="21"/>
                    </w:rPr>
                    <w:t>二期工程</w:t>
                  </w:r>
                  <w:r>
                    <w:rPr>
                      <w:color w:val="000000" w:themeColor="text1"/>
                      <w:szCs w:val="21"/>
                    </w:rPr>
                    <w:t>区拟设置1个100t水泥仓对水泥砖生产用水泥进行罐装。</w:t>
                  </w:r>
                </w:p>
              </w:tc>
              <w:tc>
                <w:tcPr>
                  <w:tcW w:w="619" w:type="pct"/>
                  <w:vAlign w:val="center"/>
                </w:tcPr>
                <w:p>
                  <w:pPr>
                    <w:pStyle w:val="32"/>
                    <w:spacing w:line="360" w:lineRule="exact"/>
                    <w:ind w:firstLine="210" w:firstLineChars="100"/>
                    <w:jc w:val="both"/>
                    <w:rPr>
                      <w:color w:val="000000" w:themeColor="text1"/>
                      <w:szCs w:val="21"/>
                    </w:rPr>
                  </w:pPr>
                  <w:r>
                    <w:rPr>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shd w:val="clear" w:color="auto" w:fill="auto"/>
                  <w:vAlign w:val="center"/>
                </w:tcPr>
                <w:p>
                  <w:pPr>
                    <w:pStyle w:val="32"/>
                    <w:spacing w:line="360" w:lineRule="exact"/>
                    <w:rPr>
                      <w:color w:val="000000" w:themeColor="text1"/>
                      <w:szCs w:val="21"/>
                    </w:rPr>
                  </w:pPr>
                </w:p>
              </w:tc>
              <w:tc>
                <w:tcPr>
                  <w:tcW w:w="1041" w:type="pct"/>
                  <w:gridSpan w:val="2"/>
                  <w:vAlign w:val="center"/>
                </w:tcPr>
                <w:p>
                  <w:pPr>
                    <w:pStyle w:val="32"/>
                    <w:spacing w:line="360" w:lineRule="exact"/>
                    <w:rPr>
                      <w:color w:val="000000" w:themeColor="text1"/>
                      <w:szCs w:val="21"/>
                    </w:rPr>
                  </w:pPr>
                  <w:r>
                    <w:rPr>
                      <w:color w:val="000000" w:themeColor="text1"/>
                      <w:szCs w:val="21"/>
                    </w:rPr>
                    <w:t>产品堆场</w:t>
                  </w:r>
                </w:p>
              </w:tc>
              <w:tc>
                <w:tcPr>
                  <w:tcW w:w="2914" w:type="pct"/>
                  <w:shd w:val="clear" w:color="auto" w:fill="auto"/>
                  <w:vAlign w:val="center"/>
                </w:tcPr>
                <w:p>
                  <w:pPr>
                    <w:pStyle w:val="32"/>
                    <w:spacing w:line="360" w:lineRule="exact"/>
                    <w:ind w:firstLine="210" w:firstLineChars="100"/>
                    <w:jc w:val="both"/>
                    <w:rPr>
                      <w:color w:val="000000" w:themeColor="text1"/>
                      <w:szCs w:val="21"/>
                    </w:rPr>
                  </w:pPr>
                  <w:r>
                    <w:rPr>
                      <w:color w:val="000000" w:themeColor="text1"/>
                      <w:szCs w:val="21"/>
                    </w:rPr>
                    <w:t>根据设计，</w:t>
                  </w:r>
                  <w:r>
                    <w:rPr>
                      <w:rFonts w:hint="eastAsia"/>
                      <w:color w:val="000000" w:themeColor="text1"/>
                      <w:szCs w:val="21"/>
                    </w:rPr>
                    <w:t>二期工程</w:t>
                  </w:r>
                  <w:r>
                    <w:rPr>
                      <w:color w:val="000000" w:themeColor="text1"/>
                      <w:szCs w:val="21"/>
                    </w:rPr>
                    <w:t>水泥砖直接养护后外运，不单独设置产品堆场</w:t>
                  </w:r>
                  <w:r>
                    <w:rPr>
                      <w:rFonts w:hint="eastAsia"/>
                      <w:color w:val="000000" w:themeColor="text1"/>
                      <w:szCs w:val="21"/>
                    </w:rPr>
                    <w:t>。</w:t>
                  </w:r>
                </w:p>
              </w:tc>
              <w:tc>
                <w:tcPr>
                  <w:tcW w:w="619" w:type="pct"/>
                  <w:vAlign w:val="center"/>
                </w:tcPr>
                <w:p>
                  <w:pPr>
                    <w:pStyle w:val="32"/>
                    <w:spacing w:line="360" w:lineRule="exact"/>
                    <w:ind w:firstLine="210" w:firstLineChars="100"/>
                    <w:jc w:val="both"/>
                    <w:rPr>
                      <w:color w:val="000000" w:themeColor="text1"/>
                      <w:szCs w:val="21"/>
                    </w:rPr>
                  </w:pPr>
                  <w:r>
                    <w:rPr>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shd w:val="clear" w:color="auto" w:fill="auto"/>
                  <w:vAlign w:val="center"/>
                </w:tcPr>
                <w:p>
                  <w:pPr>
                    <w:pStyle w:val="32"/>
                    <w:spacing w:line="360" w:lineRule="exact"/>
                    <w:rPr>
                      <w:color w:val="000000" w:themeColor="text1"/>
                      <w:szCs w:val="21"/>
                    </w:rPr>
                  </w:pPr>
                  <w:r>
                    <w:rPr>
                      <w:color w:val="000000" w:themeColor="text1"/>
                      <w:szCs w:val="21"/>
                    </w:rPr>
                    <w:t>辅助工程</w:t>
                  </w:r>
                </w:p>
              </w:tc>
              <w:tc>
                <w:tcPr>
                  <w:tcW w:w="1041" w:type="pct"/>
                  <w:gridSpan w:val="2"/>
                  <w:vAlign w:val="center"/>
                </w:tcPr>
                <w:p>
                  <w:pPr>
                    <w:pStyle w:val="32"/>
                    <w:spacing w:line="360" w:lineRule="exact"/>
                    <w:rPr>
                      <w:color w:val="000000" w:themeColor="text1"/>
                      <w:szCs w:val="21"/>
                    </w:rPr>
                  </w:pPr>
                  <w:r>
                    <w:rPr>
                      <w:color w:val="000000" w:themeColor="text1"/>
                      <w:szCs w:val="21"/>
                    </w:rPr>
                    <w:t>办公生活区</w:t>
                  </w:r>
                </w:p>
              </w:tc>
              <w:tc>
                <w:tcPr>
                  <w:tcW w:w="2914" w:type="pct"/>
                  <w:shd w:val="clear" w:color="auto" w:fill="auto"/>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由一期工程统一建设，详见“</w:t>
                  </w:r>
                  <w:r>
                    <w:rPr>
                      <w:color w:val="000000" w:themeColor="text1"/>
                      <w:szCs w:val="21"/>
                    </w:rPr>
                    <w:t xml:space="preserve">表2.1-1 </w:t>
                  </w:r>
                  <w:r>
                    <w:rPr>
                      <w:rFonts w:hint="eastAsia"/>
                      <w:color w:val="000000" w:themeColor="text1"/>
                      <w:szCs w:val="21"/>
                    </w:rPr>
                    <w:t>一期工程</w:t>
                  </w:r>
                  <w:r>
                    <w:rPr>
                      <w:color w:val="000000" w:themeColor="text1"/>
                      <w:szCs w:val="21"/>
                    </w:rPr>
                    <w:t>建设内容组成一览表</w:t>
                  </w:r>
                  <w:r>
                    <w:rPr>
                      <w:rFonts w:hint="eastAsia"/>
                      <w:color w:val="000000" w:themeColor="text1"/>
                      <w:szCs w:val="21"/>
                    </w:rPr>
                    <w:t>”。</w:t>
                  </w:r>
                </w:p>
              </w:tc>
              <w:tc>
                <w:tcPr>
                  <w:tcW w:w="619" w:type="pct"/>
                  <w:vAlign w:val="center"/>
                </w:tcPr>
                <w:p>
                  <w:pPr>
                    <w:pStyle w:val="32"/>
                    <w:spacing w:line="360" w:lineRule="exact"/>
                    <w:rPr>
                      <w:color w:val="000000" w:themeColor="text1"/>
                      <w:szCs w:val="21"/>
                    </w:rPr>
                  </w:pPr>
                  <w:r>
                    <w:rPr>
                      <w:rFonts w:hint="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restart"/>
                  <w:vAlign w:val="center"/>
                </w:tcPr>
                <w:p>
                  <w:pPr>
                    <w:pStyle w:val="32"/>
                    <w:spacing w:line="360" w:lineRule="exact"/>
                    <w:rPr>
                      <w:color w:val="000000" w:themeColor="text1"/>
                      <w:szCs w:val="21"/>
                    </w:rPr>
                  </w:pPr>
                  <w:r>
                    <w:rPr>
                      <w:color w:val="000000" w:themeColor="text1"/>
                      <w:szCs w:val="21"/>
                    </w:rPr>
                    <w:t>公用工程</w:t>
                  </w:r>
                </w:p>
              </w:tc>
              <w:tc>
                <w:tcPr>
                  <w:tcW w:w="1041" w:type="pct"/>
                  <w:gridSpan w:val="2"/>
                  <w:vAlign w:val="center"/>
                </w:tcPr>
                <w:p>
                  <w:pPr>
                    <w:pStyle w:val="32"/>
                    <w:spacing w:line="360" w:lineRule="exact"/>
                    <w:rPr>
                      <w:color w:val="000000" w:themeColor="text1"/>
                      <w:szCs w:val="21"/>
                    </w:rPr>
                  </w:pPr>
                  <w:r>
                    <w:rPr>
                      <w:color w:val="000000" w:themeColor="text1"/>
                      <w:szCs w:val="21"/>
                    </w:rPr>
                    <w:t>供电</w:t>
                  </w:r>
                </w:p>
              </w:tc>
              <w:tc>
                <w:tcPr>
                  <w:tcW w:w="2914" w:type="pct"/>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由一期工程统一建设，详见“</w:t>
                  </w:r>
                  <w:r>
                    <w:rPr>
                      <w:color w:val="000000" w:themeColor="text1"/>
                      <w:szCs w:val="21"/>
                    </w:rPr>
                    <w:t xml:space="preserve">表2.1-1 </w:t>
                  </w:r>
                  <w:r>
                    <w:rPr>
                      <w:rFonts w:hint="eastAsia"/>
                      <w:color w:val="000000" w:themeColor="text1"/>
                      <w:szCs w:val="21"/>
                    </w:rPr>
                    <w:t>一期工程</w:t>
                  </w:r>
                  <w:r>
                    <w:rPr>
                      <w:color w:val="000000" w:themeColor="text1"/>
                      <w:szCs w:val="21"/>
                    </w:rPr>
                    <w:t>建设内容组成一览表</w:t>
                  </w:r>
                  <w:r>
                    <w:rPr>
                      <w:rFonts w:hint="eastAsia"/>
                      <w:color w:val="000000" w:themeColor="text1"/>
                      <w:szCs w:val="21"/>
                    </w:rPr>
                    <w:t>”。</w:t>
                  </w:r>
                </w:p>
              </w:tc>
              <w:tc>
                <w:tcPr>
                  <w:tcW w:w="619" w:type="pct"/>
                  <w:vAlign w:val="center"/>
                </w:tcPr>
                <w:p>
                  <w:pPr>
                    <w:pStyle w:val="32"/>
                    <w:spacing w:line="360" w:lineRule="exact"/>
                    <w:rPr>
                      <w:color w:val="000000" w:themeColor="text1"/>
                      <w:szCs w:val="21"/>
                    </w:rPr>
                  </w:pPr>
                  <w:r>
                    <w:rPr>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2"/>
                    <w:spacing w:line="360" w:lineRule="exact"/>
                    <w:rPr>
                      <w:color w:val="000000" w:themeColor="text1"/>
                      <w:szCs w:val="21"/>
                    </w:rPr>
                  </w:pPr>
                </w:p>
              </w:tc>
              <w:tc>
                <w:tcPr>
                  <w:tcW w:w="1041" w:type="pct"/>
                  <w:gridSpan w:val="2"/>
                  <w:vAlign w:val="center"/>
                </w:tcPr>
                <w:p>
                  <w:pPr>
                    <w:pStyle w:val="32"/>
                    <w:spacing w:line="360" w:lineRule="exact"/>
                    <w:rPr>
                      <w:color w:val="000000" w:themeColor="text1"/>
                      <w:szCs w:val="21"/>
                    </w:rPr>
                  </w:pPr>
                  <w:r>
                    <w:rPr>
                      <w:color w:val="000000" w:themeColor="text1"/>
                      <w:szCs w:val="21"/>
                    </w:rPr>
                    <w:t>给水</w:t>
                  </w:r>
                </w:p>
              </w:tc>
              <w:tc>
                <w:tcPr>
                  <w:tcW w:w="2914" w:type="pct"/>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由一期工程统一建设，详见“</w:t>
                  </w:r>
                  <w:r>
                    <w:rPr>
                      <w:color w:val="000000" w:themeColor="text1"/>
                      <w:szCs w:val="21"/>
                    </w:rPr>
                    <w:t xml:space="preserve">表2.1-1 </w:t>
                  </w:r>
                  <w:r>
                    <w:rPr>
                      <w:rFonts w:hint="eastAsia"/>
                      <w:color w:val="000000" w:themeColor="text1"/>
                      <w:szCs w:val="21"/>
                    </w:rPr>
                    <w:t>一期工程</w:t>
                  </w:r>
                  <w:r>
                    <w:rPr>
                      <w:color w:val="000000" w:themeColor="text1"/>
                      <w:szCs w:val="21"/>
                    </w:rPr>
                    <w:t>建设内容组成一览表</w:t>
                  </w:r>
                  <w:r>
                    <w:rPr>
                      <w:rFonts w:hint="eastAsia"/>
                      <w:color w:val="000000" w:themeColor="text1"/>
                      <w:szCs w:val="21"/>
                    </w:rPr>
                    <w:t>”。</w:t>
                  </w:r>
                </w:p>
              </w:tc>
              <w:tc>
                <w:tcPr>
                  <w:tcW w:w="619" w:type="pct"/>
                  <w:vAlign w:val="center"/>
                </w:tcPr>
                <w:p>
                  <w:pPr>
                    <w:pStyle w:val="32"/>
                    <w:spacing w:line="360" w:lineRule="exact"/>
                    <w:rPr>
                      <w:color w:val="000000" w:themeColor="text1"/>
                      <w:szCs w:val="21"/>
                    </w:rPr>
                  </w:pPr>
                  <w:r>
                    <w:rPr>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2"/>
                    <w:spacing w:line="360" w:lineRule="exact"/>
                    <w:rPr>
                      <w:color w:val="000000" w:themeColor="text1"/>
                      <w:szCs w:val="21"/>
                    </w:rPr>
                  </w:pPr>
                </w:p>
              </w:tc>
              <w:tc>
                <w:tcPr>
                  <w:tcW w:w="1041" w:type="pct"/>
                  <w:gridSpan w:val="2"/>
                  <w:vAlign w:val="center"/>
                </w:tcPr>
                <w:p>
                  <w:pPr>
                    <w:pStyle w:val="32"/>
                    <w:spacing w:line="360" w:lineRule="exact"/>
                    <w:rPr>
                      <w:color w:val="000000" w:themeColor="text1"/>
                      <w:szCs w:val="21"/>
                    </w:rPr>
                  </w:pPr>
                  <w:r>
                    <w:rPr>
                      <w:color w:val="000000" w:themeColor="text1"/>
                      <w:szCs w:val="21"/>
                    </w:rPr>
                    <w:t>排水</w:t>
                  </w:r>
                </w:p>
              </w:tc>
              <w:tc>
                <w:tcPr>
                  <w:tcW w:w="2914" w:type="pct"/>
                  <w:vAlign w:val="center"/>
                </w:tcPr>
                <w:p>
                  <w:pPr>
                    <w:pStyle w:val="32"/>
                    <w:spacing w:line="360" w:lineRule="exact"/>
                    <w:ind w:firstLine="210" w:firstLineChars="100"/>
                    <w:jc w:val="both"/>
                    <w:rPr>
                      <w:color w:val="000000" w:themeColor="text1"/>
                      <w:szCs w:val="21"/>
                    </w:rPr>
                  </w:pPr>
                  <w:r>
                    <w:rPr>
                      <w:color w:val="000000" w:themeColor="text1"/>
                      <w:szCs w:val="21"/>
                    </w:rPr>
                    <w:t>根据项目特点，该项目二期工程废水主要为养护废水、初期雨水和生活污水。</w:t>
                  </w:r>
                </w:p>
                <w:p>
                  <w:pPr>
                    <w:pStyle w:val="32"/>
                    <w:spacing w:line="360" w:lineRule="exact"/>
                    <w:ind w:firstLine="210" w:firstLineChars="100"/>
                    <w:jc w:val="both"/>
                    <w:rPr>
                      <w:color w:val="000000" w:themeColor="text1"/>
                      <w:szCs w:val="21"/>
                    </w:rPr>
                  </w:pPr>
                  <w:r>
                    <w:rPr>
                      <w:rFonts w:hint="eastAsia"/>
                      <w:color w:val="000000" w:themeColor="text1"/>
                      <w:szCs w:val="21"/>
                    </w:rPr>
                    <w:t>①</w:t>
                  </w:r>
                  <w:r>
                    <w:rPr>
                      <w:color w:val="000000" w:themeColor="text1"/>
                      <w:szCs w:val="21"/>
                    </w:rPr>
                    <w:t>养护废水</w:t>
                  </w:r>
                </w:p>
                <w:p>
                  <w:pPr>
                    <w:pStyle w:val="32"/>
                    <w:spacing w:line="360" w:lineRule="exact"/>
                    <w:ind w:firstLine="210" w:firstLineChars="100"/>
                    <w:jc w:val="both"/>
                    <w:rPr>
                      <w:color w:val="000000" w:themeColor="text1"/>
                      <w:szCs w:val="21"/>
                    </w:rPr>
                  </w:pPr>
                  <w:r>
                    <w:rPr>
                      <w:color w:val="000000" w:themeColor="text1"/>
                      <w:szCs w:val="21"/>
                    </w:rPr>
                    <w:t>针对养护废水，项目拟设置一个有效容积不低于6m³的养护废水收集池，沉淀后回用于养护场养护，不外排。</w:t>
                  </w:r>
                </w:p>
                <w:p>
                  <w:pPr>
                    <w:pStyle w:val="32"/>
                    <w:spacing w:line="360" w:lineRule="exact"/>
                    <w:ind w:firstLine="210" w:firstLineChars="100"/>
                    <w:jc w:val="both"/>
                    <w:rPr>
                      <w:color w:val="000000" w:themeColor="text1"/>
                      <w:szCs w:val="21"/>
                    </w:rPr>
                  </w:pPr>
                  <w:r>
                    <w:rPr>
                      <w:color w:val="000000" w:themeColor="text1"/>
                      <w:szCs w:val="21"/>
                    </w:rPr>
                    <w:t>②初期雨水</w:t>
                  </w:r>
                </w:p>
                <w:p>
                  <w:pPr>
                    <w:pStyle w:val="32"/>
                    <w:spacing w:line="360" w:lineRule="exact"/>
                    <w:ind w:firstLine="210" w:firstLineChars="100"/>
                    <w:jc w:val="both"/>
                    <w:rPr>
                      <w:color w:val="000000" w:themeColor="text1"/>
                      <w:szCs w:val="21"/>
                    </w:rPr>
                  </w:pPr>
                  <w:r>
                    <w:rPr>
                      <w:color w:val="000000" w:themeColor="text1"/>
                      <w:szCs w:val="21"/>
                    </w:rPr>
                    <w:t>项目拟采取雨污分流，因此</w:t>
                  </w:r>
                  <w:r>
                    <w:rPr>
                      <w:rFonts w:hint="eastAsia"/>
                      <w:color w:val="000000" w:themeColor="text1"/>
                      <w:szCs w:val="21"/>
                    </w:rPr>
                    <w:t>二期工程拟配套设置1个有效容积为5m³的初期雨水收集池对厂区二期范围初期雨水进行收集</w:t>
                  </w:r>
                  <w:r>
                    <w:rPr>
                      <w:color w:val="000000" w:themeColor="text1"/>
                      <w:szCs w:val="21"/>
                    </w:rPr>
                    <w:t>；收集后用于该项目生产</w:t>
                  </w:r>
                  <w:r>
                    <w:rPr>
                      <w:rFonts w:hint="eastAsia"/>
                      <w:color w:val="000000" w:themeColor="text1"/>
                      <w:szCs w:val="21"/>
                    </w:rPr>
                    <w:t>，</w:t>
                  </w:r>
                  <w:r>
                    <w:rPr>
                      <w:color w:val="000000" w:themeColor="text1"/>
                      <w:szCs w:val="21"/>
                    </w:rPr>
                    <w:t>不外排。</w:t>
                  </w:r>
                </w:p>
                <w:p>
                  <w:pPr>
                    <w:pStyle w:val="32"/>
                    <w:spacing w:line="360" w:lineRule="exact"/>
                    <w:ind w:firstLine="210" w:firstLineChars="100"/>
                    <w:jc w:val="both"/>
                    <w:rPr>
                      <w:color w:val="000000" w:themeColor="text1"/>
                      <w:szCs w:val="21"/>
                    </w:rPr>
                  </w:pPr>
                  <w:r>
                    <w:rPr>
                      <w:color w:val="000000" w:themeColor="text1"/>
                      <w:szCs w:val="21"/>
                    </w:rPr>
                    <w:t>③生活污水</w:t>
                  </w:r>
                </w:p>
                <w:p>
                  <w:pPr>
                    <w:pStyle w:val="32"/>
                    <w:spacing w:line="360" w:lineRule="exact"/>
                    <w:ind w:firstLine="210" w:firstLineChars="100"/>
                    <w:jc w:val="both"/>
                    <w:rPr>
                      <w:color w:val="000000" w:themeColor="text1"/>
                      <w:szCs w:val="21"/>
                    </w:rPr>
                  </w:pPr>
                  <w:r>
                    <w:rPr>
                      <w:color w:val="000000" w:themeColor="text1"/>
                      <w:szCs w:val="21"/>
                    </w:rPr>
                    <w:t>根据调查，项目区域未配套建设污水管网，不具备排水条件，项目拟配套设置化粪池和一体化污水处理设施对生活污水进行处理达到《城市污水再生利用 城市杂用水水质》（GB/T18920-2020）城市绿化标准后，回用于项目区绿化，不外排。</w:t>
                  </w:r>
                </w:p>
              </w:tc>
              <w:tc>
                <w:tcPr>
                  <w:tcW w:w="619" w:type="pct"/>
                  <w:vAlign w:val="center"/>
                </w:tcPr>
                <w:p>
                  <w:pPr>
                    <w:pStyle w:val="32"/>
                    <w:spacing w:line="360" w:lineRule="exact"/>
                    <w:rPr>
                      <w:color w:val="000000" w:themeColor="text1"/>
                      <w:szCs w:val="21"/>
                    </w:rPr>
                  </w:pPr>
                  <w:r>
                    <w:rPr>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restart"/>
                  <w:vAlign w:val="center"/>
                </w:tcPr>
                <w:p>
                  <w:pPr>
                    <w:pStyle w:val="32"/>
                    <w:spacing w:line="360" w:lineRule="exact"/>
                    <w:rPr>
                      <w:color w:val="000000" w:themeColor="text1"/>
                      <w:szCs w:val="21"/>
                    </w:rPr>
                  </w:pPr>
                  <w:r>
                    <w:rPr>
                      <w:color w:val="000000" w:themeColor="text1"/>
                      <w:szCs w:val="21"/>
                    </w:rPr>
                    <w:t>环保工程</w:t>
                  </w:r>
                </w:p>
              </w:tc>
              <w:tc>
                <w:tcPr>
                  <w:tcW w:w="419" w:type="pct"/>
                  <w:vMerge w:val="restart"/>
                  <w:vAlign w:val="center"/>
                </w:tcPr>
                <w:p>
                  <w:pPr>
                    <w:pStyle w:val="32"/>
                    <w:spacing w:line="360" w:lineRule="exact"/>
                    <w:rPr>
                      <w:color w:val="000000" w:themeColor="text1"/>
                      <w:szCs w:val="21"/>
                    </w:rPr>
                  </w:pPr>
                  <w:r>
                    <w:rPr>
                      <w:color w:val="000000" w:themeColor="text1"/>
                      <w:szCs w:val="21"/>
                    </w:rPr>
                    <w:t>废气</w:t>
                  </w:r>
                </w:p>
              </w:tc>
              <w:tc>
                <w:tcPr>
                  <w:tcW w:w="622" w:type="pct"/>
                  <w:vAlign w:val="center"/>
                </w:tcPr>
                <w:p>
                  <w:pPr>
                    <w:pStyle w:val="32"/>
                    <w:spacing w:line="360" w:lineRule="exact"/>
                    <w:rPr>
                      <w:color w:val="000000" w:themeColor="text1"/>
                      <w:szCs w:val="21"/>
                    </w:rPr>
                  </w:pPr>
                  <w:r>
                    <w:rPr>
                      <w:color w:val="000000" w:themeColor="text1"/>
                      <w:szCs w:val="21"/>
                    </w:rPr>
                    <w:t>集气罩</w:t>
                  </w:r>
                </w:p>
              </w:tc>
              <w:tc>
                <w:tcPr>
                  <w:tcW w:w="2914" w:type="pct"/>
                  <w:vAlign w:val="center"/>
                </w:tcPr>
                <w:p>
                  <w:pPr>
                    <w:pStyle w:val="32"/>
                    <w:spacing w:line="360" w:lineRule="exact"/>
                    <w:ind w:firstLine="210" w:firstLineChars="100"/>
                    <w:jc w:val="both"/>
                    <w:rPr>
                      <w:color w:val="000000" w:themeColor="text1"/>
                      <w:szCs w:val="21"/>
                    </w:rPr>
                  </w:pPr>
                  <w:r>
                    <w:rPr>
                      <w:color w:val="000000" w:themeColor="text1"/>
                      <w:szCs w:val="21"/>
                    </w:rPr>
                    <w:t>根据设计，</w:t>
                  </w:r>
                  <w:r>
                    <w:rPr>
                      <w:rFonts w:hint="eastAsia"/>
                      <w:color w:val="000000" w:themeColor="text1"/>
                      <w:szCs w:val="21"/>
                    </w:rPr>
                    <w:t>二期工程</w:t>
                  </w:r>
                  <w:r>
                    <w:rPr>
                      <w:color w:val="000000" w:themeColor="text1"/>
                      <w:szCs w:val="21"/>
                    </w:rPr>
                    <w:t>水泥砖生产线搅拌混合过程中会产生粉尘，因此项目拟对该工序产尘点进行密闭，并设置集气罩，将粉尘进行有效收集。</w:t>
                  </w:r>
                </w:p>
                <w:p>
                  <w:pPr>
                    <w:pStyle w:val="32"/>
                    <w:spacing w:line="360" w:lineRule="exact"/>
                    <w:ind w:firstLine="210" w:firstLineChars="100"/>
                    <w:jc w:val="both"/>
                    <w:rPr>
                      <w:color w:val="000000" w:themeColor="text1"/>
                      <w:szCs w:val="21"/>
                    </w:rPr>
                  </w:pPr>
                  <w:r>
                    <w:rPr>
                      <w:color w:val="000000" w:themeColor="text1"/>
                      <w:szCs w:val="21"/>
                    </w:rPr>
                    <w:t>项目共设置1个集气罩，集气效率不低于90%，集气罩风量为5000m³/h。</w:t>
                  </w:r>
                </w:p>
              </w:tc>
              <w:tc>
                <w:tcPr>
                  <w:tcW w:w="619" w:type="pct"/>
                  <w:vAlign w:val="center"/>
                </w:tcPr>
                <w:p>
                  <w:pPr>
                    <w:pStyle w:val="32"/>
                    <w:spacing w:line="360" w:lineRule="exact"/>
                    <w:rPr>
                      <w:color w:val="000000" w:themeColor="text1"/>
                      <w:szCs w:val="21"/>
                      <w:highlight w:val="yellow"/>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2"/>
                    <w:spacing w:line="360" w:lineRule="exact"/>
                    <w:rPr>
                      <w:color w:val="000000" w:themeColor="text1"/>
                      <w:szCs w:val="21"/>
                    </w:rPr>
                  </w:pPr>
                </w:p>
              </w:tc>
              <w:tc>
                <w:tcPr>
                  <w:tcW w:w="419" w:type="pct"/>
                  <w:vMerge w:val="continue"/>
                  <w:vAlign w:val="center"/>
                </w:tcPr>
                <w:p>
                  <w:pPr>
                    <w:pStyle w:val="32"/>
                    <w:spacing w:line="360" w:lineRule="exact"/>
                    <w:rPr>
                      <w:color w:val="000000" w:themeColor="text1"/>
                      <w:szCs w:val="21"/>
                    </w:rPr>
                  </w:pPr>
                </w:p>
              </w:tc>
              <w:tc>
                <w:tcPr>
                  <w:tcW w:w="622" w:type="pct"/>
                  <w:vAlign w:val="center"/>
                </w:tcPr>
                <w:p>
                  <w:pPr>
                    <w:pStyle w:val="32"/>
                    <w:spacing w:line="360" w:lineRule="exact"/>
                    <w:rPr>
                      <w:color w:val="000000" w:themeColor="text1"/>
                      <w:szCs w:val="21"/>
                    </w:rPr>
                  </w:pPr>
                  <w:r>
                    <w:rPr>
                      <w:color w:val="000000" w:themeColor="text1"/>
                      <w:szCs w:val="21"/>
                    </w:rPr>
                    <w:t>袋式除尘器</w:t>
                  </w:r>
                </w:p>
              </w:tc>
              <w:tc>
                <w:tcPr>
                  <w:tcW w:w="2914" w:type="pct"/>
                  <w:vAlign w:val="center"/>
                </w:tcPr>
                <w:p>
                  <w:pPr>
                    <w:pStyle w:val="32"/>
                    <w:spacing w:line="360" w:lineRule="exact"/>
                    <w:ind w:firstLine="210" w:firstLineChars="100"/>
                    <w:jc w:val="both"/>
                    <w:rPr>
                      <w:color w:val="000000" w:themeColor="text1"/>
                      <w:szCs w:val="21"/>
                    </w:rPr>
                  </w:pPr>
                  <w:r>
                    <w:rPr>
                      <w:color w:val="000000" w:themeColor="text1"/>
                      <w:szCs w:val="21"/>
                    </w:rPr>
                    <w:t>项目</w:t>
                  </w:r>
                  <w:r>
                    <w:rPr>
                      <w:rFonts w:hint="eastAsia"/>
                      <w:color w:val="000000" w:themeColor="text1"/>
                      <w:szCs w:val="21"/>
                    </w:rPr>
                    <w:t>二期工程</w:t>
                  </w:r>
                  <w:r>
                    <w:rPr>
                      <w:color w:val="000000" w:themeColor="text1"/>
                      <w:szCs w:val="21"/>
                    </w:rPr>
                    <w:t>袋式除尘器设置于水泥砖生产线水泥仓和搅拌混合两工段。</w:t>
                  </w:r>
                </w:p>
                <w:p>
                  <w:pPr>
                    <w:pStyle w:val="32"/>
                    <w:spacing w:line="360" w:lineRule="exact"/>
                    <w:ind w:firstLine="210" w:firstLineChars="100"/>
                    <w:jc w:val="both"/>
                    <w:rPr>
                      <w:color w:val="000000" w:themeColor="text1"/>
                      <w:szCs w:val="21"/>
                    </w:rPr>
                  </w:pPr>
                  <w:r>
                    <w:rPr>
                      <w:color w:val="000000" w:themeColor="text1"/>
                      <w:szCs w:val="21"/>
                    </w:rPr>
                    <w:t>①1#袋式除尘器</w:t>
                  </w:r>
                </w:p>
                <w:p>
                  <w:pPr>
                    <w:pStyle w:val="32"/>
                    <w:spacing w:line="360" w:lineRule="exact"/>
                    <w:ind w:firstLine="210" w:firstLineChars="100"/>
                    <w:jc w:val="both"/>
                    <w:rPr>
                      <w:color w:val="000000" w:themeColor="text1"/>
                      <w:szCs w:val="21"/>
                    </w:rPr>
                  </w:pPr>
                  <w:r>
                    <w:rPr>
                      <w:color w:val="000000" w:themeColor="text1"/>
                      <w:szCs w:val="21"/>
                    </w:rPr>
                    <w:t>根据设计，水泥在装卸、储存、输送过程会产生一定量粉尘，水泥仓顶端设置1#袋式除尘器对其处理后通过（DA001）外排。</w:t>
                  </w:r>
                </w:p>
                <w:p>
                  <w:pPr>
                    <w:pStyle w:val="32"/>
                    <w:spacing w:line="360" w:lineRule="exact"/>
                    <w:ind w:firstLine="210" w:firstLineChars="100"/>
                    <w:jc w:val="both"/>
                    <w:rPr>
                      <w:color w:val="000000" w:themeColor="text1"/>
                      <w:szCs w:val="21"/>
                    </w:rPr>
                  </w:pPr>
                  <w:r>
                    <w:rPr>
                      <w:color w:val="000000" w:themeColor="text1"/>
                      <w:szCs w:val="21"/>
                    </w:rPr>
                    <w:t>②2#袋式除尘器</w:t>
                  </w:r>
                </w:p>
                <w:p>
                  <w:pPr>
                    <w:pStyle w:val="32"/>
                    <w:spacing w:line="360" w:lineRule="exact"/>
                    <w:ind w:firstLine="210" w:firstLineChars="100"/>
                    <w:jc w:val="both"/>
                    <w:rPr>
                      <w:color w:val="000000" w:themeColor="text1"/>
                      <w:szCs w:val="21"/>
                    </w:rPr>
                  </w:pPr>
                  <w:r>
                    <w:rPr>
                      <w:color w:val="000000" w:themeColor="text1"/>
                      <w:szCs w:val="21"/>
                    </w:rPr>
                    <w:t>根据设计，针对搅拌混合工序的粉尘，项目拟对该工序产尘点配套设置了集气罩，将其有效统一收集后，通过1台2#袋式除尘器进行处理，处理后通过1根15m高排气筒（DA002）外排。</w:t>
                  </w:r>
                </w:p>
                <w:p>
                  <w:pPr>
                    <w:pStyle w:val="32"/>
                    <w:spacing w:line="360" w:lineRule="exact"/>
                    <w:ind w:firstLine="210" w:firstLineChars="100"/>
                    <w:jc w:val="both"/>
                    <w:rPr>
                      <w:color w:val="000000" w:themeColor="text1"/>
                      <w:szCs w:val="21"/>
                    </w:rPr>
                  </w:pPr>
                  <w:r>
                    <w:rPr>
                      <w:color w:val="000000" w:themeColor="text1"/>
                      <w:szCs w:val="21"/>
                    </w:rPr>
                    <w:t>根据《排放源统计调查产排污核算方法和系数手册》中“3021水泥制品制造行业系数手册”，上述两工序袋式除尘器的平均除尘效率为99.7%。</w:t>
                  </w:r>
                </w:p>
              </w:tc>
              <w:tc>
                <w:tcPr>
                  <w:tcW w:w="619" w:type="pct"/>
                  <w:vAlign w:val="center"/>
                </w:tcPr>
                <w:p>
                  <w:pPr>
                    <w:pStyle w:val="32"/>
                    <w:spacing w:line="360" w:lineRule="exact"/>
                    <w:rPr>
                      <w:color w:val="000000" w:themeColor="text1"/>
                      <w:szCs w:val="21"/>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2"/>
                    <w:spacing w:line="360" w:lineRule="exact"/>
                    <w:rPr>
                      <w:color w:val="000000" w:themeColor="text1"/>
                      <w:szCs w:val="21"/>
                    </w:rPr>
                  </w:pPr>
                </w:p>
              </w:tc>
              <w:tc>
                <w:tcPr>
                  <w:tcW w:w="419" w:type="pct"/>
                  <w:vMerge w:val="continue"/>
                  <w:vAlign w:val="center"/>
                </w:tcPr>
                <w:p>
                  <w:pPr>
                    <w:pStyle w:val="32"/>
                    <w:spacing w:line="360" w:lineRule="exact"/>
                    <w:rPr>
                      <w:color w:val="000000" w:themeColor="text1"/>
                      <w:szCs w:val="21"/>
                    </w:rPr>
                  </w:pPr>
                </w:p>
              </w:tc>
              <w:tc>
                <w:tcPr>
                  <w:tcW w:w="622" w:type="pct"/>
                  <w:vAlign w:val="center"/>
                </w:tcPr>
                <w:p>
                  <w:pPr>
                    <w:pStyle w:val="32"/>
                    <w:spacing w:line="360" w:lineRule="exact"/>
                    <w:rPr>
                      <w:color w:val="000000" w:themeColor="text1"/>
                      <w:szCs w:val="21"/>
                    </w:rPr>
                  </w:pPr>
                  <w:r>
                    <w:rPr>
                      <w:color w:val="000000" w:themeColor="text1"/>
                      <w:szCs w:val="21"/>
                    </w:rPr>
                    <w:t>排气筒</w:t>
                  </w:r>
                </w:p>
              </w:tc>
              <w:tc>
                <w:tcPr>
                  <w:tcW w:w="2914" w:type="pct"/>
                  <w:vAlign w:val="center"/>
                </w:tcPr>
                <w:p>
                  <w:pPr>
                    <w:pStyle w:val="32"/>
                    <w:spacing w:line="360" w:lineRule="exact"/>
                    <w:ind w:firstLine="210" w:firstLineChars="100"/>
                    <w:jc w:val="both"/>
                    <w:rPr>
                      <w:color w:val="000000" w:themeColor="text1"/>
                      <w:szCs w:val="21"/>
                    </w:rPr>
                  </w:pPr>
                  <w:r>
                    <w:rPr>
                      <w:color w:val="000000" w:themeColor="text1"/>
                      <w:szCs w:val="21"/>
                    </w:rPr>
                    <w:t>根据设计，项目</w:t>
                  </w:r>
                  <w:r>
                    <w:rPr>
                      <w:rFonts w:hint="eastAsia"/>
                      <w:color w:val="000000" w:themeColor="text1"/>
                      <w:szCs w:val="21"/>
                    </w:rPr>
                    <w:t>二期工程</w:t>
                  </w:r>
                  <w:r>
                    <w:rPr>
                      <w:color w:val="000000" w:themeColor="text1"/>
                      <w:szCs w:val="21"/>
                    </w:rPr>
                    <w:t>拟配套设置1个排气口和1根排气筒，具体如下：</w:t>
                  </w:r>
                </w:p>
                <w:p>
                  <w:pPr>
                    <w:pStyle w:val="32"/>
                    <w:spacing w:line="360" w:lineRule="exact"/>
                    <w:ind w:firstLine="210" w:firstLineChars="100"/>
                    <w:jc w:val="both"/>
                    <w:rPr>
                      <w:color w:val="000000" w:themeColor="text1"/>
                      <w:szCs w:val="21"/>
                    </w:rPr>
                  </w:pPr>
                  <w:r>
                    <w:rPr>
                      <w:color w:val="000000" w:themeColor="text1"/>
                      <w:szCs w:val="21"/>
                    </w:rPr>
                    <w:t>①排气口编号为：DA001，为水泥仓</w:t>
                  </w:r>
                  <w:r>
                    <w:rPr>
                      <w:rFonts w:hint="eastAsia"/>
                      <w:color w:val="000000" w:themeColor="text1"/>
                      <w:szCs w:val="21"/>
                    </w:rPr>
                    <w:t>1#</w:t>
                  </w:r>
                  <w:r>
                    <w:rPr>
                      <w:color w:val="000000" w:themeColor="text1"/>
                      <w:szCs w:val="21"/>
                    </w:rPr>
                    <w:t>袋式除尘器处理后的排气口，该排气口Φ0.2m、离地高为15m，排放水泥仓经袋式除尘器处理后的粉尘。</w:t>
                  </w:r>
                </w:p>
                <w:p>
                  <w:pPr>
                    <w:pStyle w:val="32"/>
                    <w:spacing w:line="360" w:lineRule="exact"/>
                    <w:ind w:firstLine="210" w:firstLineChars="100"/>
                    <w:jc w:val="both"/>
                    <w:rPr>
                      <w:color w:val="000000" w:themeColor="text1"/>
                      <w:szCs w:val="21"/>
                    </w:rPr>
                  </w:pPr>
                  <w:r>
                    <w:rPr>
                      <w:rFonts w:hint="eastAsia" w:ascii="宋体" w:hAnsi="宋体" w:cs="宋体"/>
                      <w:color w:val="000000" w:themeColor="text1"/>
                      <w:szCs w:val="21"/>
                    </w:rPr>
                    <w:t>②</w:t>
                  </w:r>
                  <w:r>
                    <w:rPr>
                      <w:color w:val="000000" w:themeColor="text1"/>
                      <w:szCs w:val="21"/>
                    </w:rPr>
                    <w:t>排气筒编号为：DA002，排气筒Φ0.4m，高15m，</w:t>
                  </w:r>
                  <w:r>
                    <w:rPr>
                      <w:rFonts w:hint="eastAsia"/>
                      <w:color w:val="000000" w:themeColor="text1"/>
                      <w:szCs w:val="21"/>
                    </w:rPr>
                    <w:t>排放2#</w:t>
                  </w:r>
                  <w:r>
                    <w:rPr>
                      <w:color w:val="000000" w:themeColor="text1"/>
                      <w:szCs w:val="21"/>
                    </w:rPr>
                    <w:t>袋式除尘器处理后的</w:t>
                  </w:r>
                  <w:r>
                    <w:rPr>
                      <w:rFonts w:hint="eastAsia"/>
                      <w:color w:val="000000" w:themeColor="text1"/>
                      <w:szCs w:val="21"/>
                    </w:rPr>
                    <w:t>粉尘</w:t>
                  </w:r>
                  <w:r>
                    <w:rPr>
                      <w:color w:val="000000" w:themeColor="text1"/>
                      <w:szCs w:val="21"/>
                    </w:rPr>
                    <w:t>。</w:t>
                  </w:r>
                </w:p>
              </w:tc>
              <w:tc>
                <w:tcPr>
                  <w:tcW w:w="619" w:type="pct"/>
                  <w:vAlign w:val="center"/>
                </w:tcPr>
                <w:p>
                  <w:pPr>
                    <w:pStyle w:val="32"/>
                    <w:spacing w:line="360" w:lineRule="exact"/>
                    <w:rPr>
                      <w:color w:val="000000" w:themeColor="text1"/>
                      <w:szCs w:val="21"/>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2"/>
                    <w:spacing w:line="360" w:lineRule="exact"/>
                    <w:rPr>
                      <w:color w:val="000000" w:themeColor="text1"/>
                      <w:szCs w:val="21"/>
                    </w:rPr>
                  </w:pPr>
                </w:p>
              </w:tc>
              <w:tc>
                <w:tcPr>
                  <w:tcW w:w="1041" w:type="pct"/>
                  <w:gridSpan w:val="2"/>
                  <w:vAlign w:val="center"/>
                </w:tcPr>
                <w:p>
                  <w:pPr>
                    <w:pStyle w:val="32"/>
                    <w:spacing w:line="360" w:lineRule="exact"/>
                    <w:rPr>
                      <w:color w:val="000000" w:themeColor="text1"/>
                      <w:szCs w:val="21"/>
                    </w:rPr>
                  </w:pPr>
                  <w:r>
                    <w:rPr>
                      <w:color w:val="000000" w:themeColor="text1"/>
                      <w:szCs w:val="21"/>
                    </w:rPr>
                    <w:t>雨污分流</w:t>
                  </w:r>
                </w:p>
              </w:tc>
              <w:tc>
                <w:tcPr>
                  <w:tcW w:w="2914" w:type="pct"/>
                  <w:vAlign w:val="center"/>
                </w:tcPr>
                <w:p>
                  <w:pPr>
                    <w:pStyle w:val="32"/>
                    <w:spacing w:line="360" w:lineRule="exact"/>
                    <w:ind w:firstLine="210" w:firstLineChars="100"/>
                    <w:jc w:val="both"/>
                    <w:rPr>
                      <w:color w:val="000000" w:themeColor="text1"/>
                      <w:szCs w:val="21"/>
                    </w:rPr>
                  </w:pPr>
                  <w:r>
                    <w:rPr>
                      <w:color w:val="000000" w:themeColor="text1"/>
                      <w:szCs w:val="21"/>
                    </w:rPr>
                    <w:t>根据调查，项目区已设置了雨污分流设施。</w:t>
                  </w:r>
                </w:p>
              </w:tc>
              <w:tc>
                <w:tcPr>
                  <w:tcW w:w="619" w:type="pct"/>
                  <w:vAlign w:val="center"/>
                </w:tcPr>
                <w:p>
                  <w:pPr>
                    <w:pStyle w:val="32"/>
                    <w:spacing w:line="360" w:lineRule="exact"/>
                    <w:rPr>
                      <w:color w:val="000000" w:themeColor="text1"/>
                      <w:szCs w:val="21"/>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2"/>
                    <w:spacing w:line="360" w:lineRule="exact"/>
                    <w:rPr>
                      <w:color w:val="000000" w:themeColor="text1"/>
                      <w:szCs w:val="21"/>
                    </w:rPr>
                  </w:pPr>
                </w:p>
              </w:tc>
              <w:tc>
                <w:tcPr>
                  <w:tcW w:w="419" w:type="pct"/>
                  <w:vMerge w:val="restart"/>
                  <w:vAlign w:val="center"/>
                </w:tcPr>
                <w:p>
                  <w:pPr>
                    <w:pStyle w:val="32"/>
                    <w:spacing w:line="360" w:lineRule="exact"/>
                    <w:rPr>
                      <w:color w:val="000000" w:themeColor="text1"/>
                      <w:szCs w:val="21"/>
                    </w:rPr>
                  </w:pPr>
                  <w:r>
                    <w:rPr>
                      <w:color w:val="000000" w:themeColor="text1"/>
                      <w:szCs w:val="21"/>
                    </w:rPr>
                    <w:t>废水</w:t>
                  </w:r>
                </w:p>
              </w:tc>
              <w:tc>
                <w:tcPr>
                  <w:tcW w:w="622" w:type="pct"/>
                  <w:vAlign w:val="center"/>
                </w:tcPr>
                <w:p>
                  <w:pPr>
                    <w:pStyle w:val="32"/>
                    <w:spacing w:line="360" w:lineRule="exact"/>
                    <w:rPr>
                      <w:color w:val="000000" w:themeColor="text1"/>
                      <w:szCs w:val="21"/>
                    </w:rPr>
                  </w:pPr>
                  <w:r>
                    <w:rPr>
                      <w:color w:val="000000" w:themeColor="text1"/>
                      <w:szCs w:val="21"/>
                    </w:rPr>
                    <w:t>养护废水处理系统</w:t>
                  </w:r>
                </w:p>
              </w:tc>
              <w:tc>
                <w:tcPr>
                  <w:tcW w:w="2914" w:type="pct"/>
                  <w:vAlign w:val="center"/>
                </w:tcPr>
                <w:p>
                  <w:pPr>
                    <w:pStyle w:val="32"/>
                    <w:spacing w:line="360" w:lineRule="exact"/>
                    <w:ind w:firstLine="210" w:firstLineChars="100"/>
                    <w:jc w:val="both"/>
                    <w:rPr>
                      <w:color w:val="000000" w:themeColor="text1"/>
                      <w:szCs w:val="21"/>
                    </w:rPr>
                  </w:pPr>
                  <w:r>
                    <w:rPr>
                      <w:color w:val="000000" w:themeColor="text1"/>
                      <w:szCs w:val="21"/>
                    </w:rPr>
                    <w:t>根据设计，</w:t>
                  </w:r>
                  <w:r>
                    <w:rPr>
                      <w:rFonts w:hint="eastAsia"/>
                      <w:color w:val="000000" w:themeColor="text1"/>
                      <w:szCs w:val="21"/>
                    </w:rPr>
                    <w:t>二期工程</w:t>
                  </w:r>
                  <w:r>
                    <w:rPr>
                      <w:color w:val="000000" w:themeColor="text1"/>
                      <w:szCs w:val="21"/>
                    </w:rPr>
                    <w:t>养护废水处理系统由养护废水收集池和回水管道组成。</w:t>
                  </w:r>
                </w:p>
                <w:p>
                  <w:pPr>
                    <w:pStyle w:val="32"/>
                    <w:spacing w:line="360" w:lineRule="exact"/>
                    <w:ind w:firstLine="210" w:firstLineChars="100"/>
                    <w:jc w:val="both"/>
                    <w:rPr>
                      <w:color w:val="000000" w:themeColor="text1"/>
                      <w:szCs w:val="21"/>
                    </w:rPr>
                  </w:pPr>
                  <w:r>
                    <w:rPr>
                      <w:color w:val="000000" w:themeColor="text1"/>
                      <w:szCs w:val="21"/>
                    </w:rPr>
                    <w:t>该项目拟设置1个有效容积为6m³的养护废水收集池对其进行收集后，返回养护工序使用，不外排。</w:t>
                  </w:r>
                </w:p>
              </w:tc>
              <w:tc>
                <w:tcPr>
                  <w:tcW w:w="619" w:type="pct"/>
                  <w:vAlign w:val="center"/>
                </w:tcPr>
                <w:p>
                  <w:pPr>
                    <w:pStyle w:val="32"/>
                    <w:spacing w:line="360" w:lineRule="exact"/>
                    <w:rPr>
                      <w:color w:val="000000" w:themeColor="text1"/>
                      <w:szCs w:val="21"/>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2"/>
                    <w:spacing w:line="360" w:lineRule="exact"/>
                    <w:rPr>
                      <w:color w:val="000000" w:themeColor="text1"/>
                      <w:szCs w:val="21"/>
                    </w:rPr>
                  </w:pPr>
                </w:p>
              </w:tc>
              <w:tc>
                <w:tcPr>
                  <w:tcW w:w="419" w:type="pct"/>
                  <w:vMerge w:val="continue"/>
                  <w:vAlign w:val="center"/>
                </w:tcPr>
                <w:p>
                  <w:pPr>
                    <w:pStyle w:val="32"/>
                    <w:spacing w:line="360" w:lineRule="exact"/>
                    <w:rPr>
                      <w:color w:val="000000" w:themeColor="text1"/>
                      <w:szCs w:val="21"/>
                    </w:rPr>
                  </w:pPr>
                </w:p>
              </w:tc>
              <w:tc>
                <w:tcPr>
                  <w:tcW w:w="622" w:type="pct"/>
                  <w:vAlign w:val="center"/>
                </w:tcPr>
                <w:p>
                  <w:pPr>
                    <w:pStyle w:val="32"/>
                    <w:spacing w:line="360" w:lineRule="exact"/>
                    <w:rPr>
                      <w:color w:val="000000" w:themeColor="text1"/>
                      <w:szCs w:val="21"/>
                    </w:rPr>
                  </w:pPr>
                  <w:r>
                    <w:rPr>
                      <w:rFonts w:hint="eastAsia"/>
                      <w:color w:val="000000" w:themeColor="text1"/>
                      <w:szCs w:val="21"/>
                    </w:rPr>
                    <w:t>二期工程</w:t>
                  </w:r>
                  <w:r>
                    <w:rPr>
                      <w:color w:val="000000" w:themeColor="text1"/>
                      <w:szCs w:val="21"/>
                    </w:rPr>
                    <w:t>初期雨水收集系统</w:t>
                  </w:r>
                </w:p>
              </w:tc>
              <w:tc>
                <w:tcPr>
                  <w:tcW w:w="2914" w:type="pct"/>
                  <w:vAlign w:val="center"/>
                </w:tcPr>
                <w:p>
                  <w:pPr>
                    <w:pStyle w:val="32"/>
                    <w:spacing w:line="360" w:lineRule="exact"/>
                    <w:ind w:firstLine="210" w:firstLineChars="100"/>
                    <w:jc w:val="both"/>
                    <w:rPr>
                      <w:color w:val="000000" w:themeColor="text1"/>
                      <w:szCs w:val="21"/>
                    </w:rPr>
                  </w:pPr>
                  <w:r>
                    <w:rPr>
                      <w:color w:val="000000" w:themeColor="text1"/>
                      <w:szCs w:val="21"/>
                    </w:rPr>
                    <w:t>根据设计，项目</w:t>
                  </w:r>
                  <w:r>
                    <w:rPr>
                      <w:rFonts w:hint="eastAsia"/>
                      <w:color w:val="000000" w:themeColor="text1"/>
                      <w:szCs w:val="21"/>
                    </w:rPr>
                    <w:t>二期工程</w:t>
                  </w:r>
                  <w:r>
                    <w:rPr>
                      <w:color w:val="000000" w:themeColor="text1"/>
                      <w:szCs w:val="21"/>
                    </w:rPr>
                    <w:t>拟设置初期雨水处理系统对初期雨水进行处理，该系统由截排水沟和初期雨水收集池组成，具体如下：</w:t>
                  </w:r>
                </w:p>
                <w:p>
                  <w:pPr>
                    <w:pStyle w:val="32"/>
                    <w:spacing w:line="360" w:lineRule="exact"/>
                    <w:ind w:firstLine="210" w:firstLineChars="100"/>
                    <w:jc w:val="both"/>
                    <w:rPr>
                      <w:color w:val="000000" w:themeColor="text1"/>
                      <w:szCs w:val="21"/>
                    </w:rPr>
                  </w:pPr>
                  <w:r>
                    <w:rPr>
                      <w:color w:val="000000" w:themeColor="text1"/>
                      <w:szCs w:val="21"/>
                    </w:rPr>
                    <w:t>①截排水沟</w:t>
                  </w:r>
                </w:p>
                <w:p>
                  <w:pPr>
                    <w:pStyle w:val="32"/>
                    <w:spacing w:line="360" w:lineRule="exact"/>
                    <w:ind w:firstLine="210" w:firstLineChars="100"/>
                    <w:jc w:val="both"/>
                    <w:rPr>
                      <w:color w:val="000000" w:themeColor="text1"/>
                      <w:szCs w:val="21"/>
                    </w:rPr>
                  </w:pPr>
                  <w:r>
                    <w:rPr>
                      <w:color w:val="000000" w:themeColor="text1"/>
                      <w:szCs w:val="21"/>
                    </w:rPr>
                    <w:t>项目</w:t>
                  </w:r>
                  <w:r>
                    <w:rPr>
                      <w:rFonts w:hint="eastAsia"/>
                      <w:color w:val="000000" w:themeColor="text1"/>
                      <w:szCs w:val="21"/>
                    </w:rPr>
                    <w:t>二期工程</w:t>
                  </w:r>
                  <w:r>
                    <w:rPr>
                      <w:color w:val="000000" w:themeColor="text1"/>
                      <w:szCs w:val="21"/>
                    </w:rPr>
                    <w:t>为了防止雨天地表径流进入生产区，使项目区域砂石料流失，造成环境污染，项目拟在厂房外围及厂区周围设置截排水沟对雨天厂区产生的初期雨水及地表径流进行疏导。</w:t>
                  </w:r>
                </w:p>
                <w:p>
                  <w:pPr>
                    <w:pStyle w:val="32"/>
                    <w:spacing w:line="360" w:lineRule="exact"/>
                    <w:ind w:firstLine="210" w:firstLineChars="100"/>
                    <w:jc w:val="both"/>
                    <w:rPr>
                      <w:color w:val="000000" w:themeColor="text1"/>
                      <w:szCs w:val="21"/>
                    </w:rPr>
                  </w:pPr>
                  <w:r>
                    <w:rPr>
                      <w:color w:val="000000" w:themeColor="text1"/>
                      <w:szCs w:val="21"/>
                    </w:rPr>
                    <w:t>②初期雨水收集池</w:t>
                  </w:r>
                </w:p>
                <w:p>
                  <w:pPr>
                    <w:pStyle w:val="32"/>
                    <w:spacing w:line="360" w:lineRule="exact"/>
                    <w:ind w:firstLine="210" w:firstLineChars="100"/>
                    <w:jc w:val="both"/>
                    <w:rPr>
                      <w:color w:val="000000" w:themeColor="text1"/>
                      <w:szCs w:val="21"/>
                    </w:rPr>
                  </w:pPr>
                  <w:r>
                    <w:rPr>
                      <w:color w:val="000000" w:themeColor="text1"/>
                      <w:szCs w:val="21"/>
                    </w:rPr>
                    <w:t>该项目</w:t>
                  </w:r>
                  <w:r>
                    <w:rPr>
                      <w:rFonts w:hint="eastAsia"/>
                      <w:color w:val="000000" w:themeColor="text1"/>
                      <w:szCs w:val="21"/>
                    </w:rPr>
                    <w:t>二期工程</w:t>
                  </w:r>
                  <w:r>
                    <w:rPr>
                      <w:color w:val="000000" w:themeColor="text1"/>
                      <w:szCs w:val="21"/>
                    </w:rPr>
                    <w:t>拟配套设置1个有效容积为</w:t>
                  </w:r>
                  <w:r>
                    <w:rPr>
                      <w:rFonts w:hint="eastAsia"/>
                      <w:color w:val="000000" w:themeColor="text1"/>
                      <w:szCs w:val="21"/>
                    </w:rPr>
                    <w:t>5</w:t>
                  </w:r>
                  <w:r>
                    <w:rPr>
                      <w:color w:val="000000" w:themeColor="text1"/>
                      <w:szCs w:val="21"/>
                    </w:rPr>
                    <w:t>m³的初期雨水收集池对厂区</w:t>
                  </w:r>
                  <w:r>
                    <w:rPr>
                      <w:rFonts w:hint="eastAsia"/>
                      <w:color w:val="000000" w:themeColor="text1"/>
                      <w:szCs w:val="21"/>
                    </w:rPr>
                    <w:t>二期工程范围</w:t>
                  </w:r>
                  <w:r>
                    <w:rPr>
                      <w:color w:val="000000" w:themeColor="text1"/>
                      <w:szCs w:val="21"/>
                    </w:rPr>
                    <w:t>的初期雨水进行收集</w:t>
                  </w:r>
                  <w:r>
                    <w:rPr>
                      <w:rFonts w:hint="eastAsia"/>
                      <w:color w:val="000000" w:themeColor="text1"/>
                      <w:szCs w:val="21"/>
                    </w:rPr>
                    <w:t>，</w:t>
                  </w:r>
                  <w:r>
                    <w:rPr>
                      <w:color w:val="000000" w:themeColor="text1"/>
                      <w:szCs w:val="21"/>
                    </w:rPr>
                    <w:t>收集后用于该项目生产用水，不外排。</w:t>
                  </w:r>
                </w:p>
              </w:tc>
              <w:tc>
                <w:tcPr>
                  <w:tcW w:w="619" w:type="pct"/>
                  <w:vAlign w:val="center"/>
                </w:tcPr>
                <w:p>
                  <w:pPr>
                    <w:pStyle w:val="32"/>
                    <w:spacing w:line="360" w:lineRule="exact"/>
                    <w:rPr>
                      <w:color w:val="000000" w:themeColor="text1"/>
                      <w:szCs w:val="21"/>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2"/>
                    <w:spacing w:line="360" w:lineRule="exact"/>
                    <w:rPr>
                      <w:color w:val="000000" w:themeColor="text1"/>
                      <w:szCs w:val="21"/>
                    </w:rPr>
                  </w:pPr>
                </w:p>
              </w:tc>
              <w:tc>
                <w:tcPr>
                  <w:tcW w:w="419" w:type="pct"/>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地下水防渗</w:t>
                  </w:r>
                </w:p>
              </w:tc>
              <w:tc>
                <w:tcPr>
                  <w:tcW w:w="622" w:type="pc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重点防渗区</w:t>
                  </w:r>
                </w:p>
              </w:tc>
              <w:tc>
                <w:tcPr>
                  <w:tcW w:w="2914" w:type="pct"/>
                  <w:vAlign w:val="center"/>
                </w:tcPr>
                <w:p>
                  <w:pPr>
                    <w:pStyle w:val="32"/>
                    <w:spacing w:line="360" w:lineRule="exact"/>
                    <w:ind w:firstLine="210" w:firstLineChars="100"/>
                    <w:jc w:val="both"/>
                    <w:rPr>
                      <w:color w:val="000000" w:themeColor="text1"/>
                      <w:szCs w:val="21"/>
                    </w:rPr>
                  </w:pPr>
                  <w:r>
                    <w:rPr>
                      <w:color w:val="000000" w:themeColor="text1"/>
                      <w:szCs w:val="21"/>
                    </w:rPr>
                    <w:t>项目重点防渗区为危险废物贮存间</w:t>
                  </w:r>
                  <w:r>
                    <w:rPr>
                      <w:rFonts w:hint="eastAsia"/>
                      <w:color w:val="000000" w:themeColor="text1"/>
                      <w:szCs w:val="21"/>
                    </w:rPr>
                    <w:t>，由一期工程统一建设，详见“</w:t>
                  </w:r>
                  <w:r>
                    <w:rPr>
                      <w:color w:val="000000" w:themeColor="text1"/>
                      <w:szCs w:val="21"/>
                    </w:rPr>
                    <w:t xml:space="preserve">表2.1-1 </w:t>
                  </w:r>
                  <w:r>
                    <w:rPr>
                      <w:rFonts w:hint="eastAsia"/>
                      <w:color w:val="000000" w:themeColor="text1"/>
                      <w:szCs w:val="21"/>
                    </w:rPr>
                    <w:t>一期工程</w:t>
                  </w:r>
                  <w:r>
                    <w:rPr>
                      <w:color w:val="000000" w:themeColor="text1"/>
                      <w:szCs w:val="21"/>
                    </w:rPr>
                    <w:t>建设内容组成一览表</w:t>
                  </w:r>
                  <w:r>
                    <w:rPr>
                      <w:rFonts w:hint="eastAsia"/>
                      <w:color w:val="000000" w:themeColor="text1"/>
                      <w:szCs w:val="21"/>
                    </w:rPr>
                    <w:t>”。</w:t>
                  </w:r>
                </w:p>
              </w:tc>
              <w:tc>
                <w:tcPr>
                  <w:tcW w:w="619" w:type="pct"/>
                  <w:vAlign w:val="center"/>
                </w:tcPr>
                <w:p>
                  <w:pPr>
                    <w:pStyle w:val="32"/>
                    <w:spacing w:line="360" w:lineRule="exact"/>
                    <w:rPr>
                      <w:color w:val="000000" w:themeColor="text1"/>
                      <w:szCs w:val="21"/>
                    </w:rPr>
                  </w:pPr>
                  <w:r>
                    <w:rPr>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2"/>
                    <w:spacing w:line="360" w:lineRule="exact"/>
                    <w:rPr>
                      <w:color w:val="000000" w:themeColor="text1"/>
                      <w:szCs w:val="21"/>
                    </w:rPr>
                  </w:pPr>
                </w:p>
              </w:tc>
              <w:tc>
                <w:tcPr>
                  <w:tcW w:w="419" w:type="pct"/>
                  <w:vMerge w:val="continue"/>
                  <w:vAlign w:val="center"/>
                </w:tcPr>
                <w:p>
                  <w:pPr>
                    <w:pStyle w:val="32"/>
                    <w:spacing w:line="360" w:lineRule="exact"/>
                    <w:rPr>
                      <w:rFonts w:eastAsiaTheme="minorEastAsia"/>
                      <w:color w:val="000000" w:themeColor="text1"/>
                      <w:szCs w:val="21"/>
                    </w:rPr>
                  </w:pPr>
                </w:p>
              </w:tc>
              <w:tc>
                <w:tcPr>
                  <w:tcW w:w="622" w:type="pc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一般防渗区</w:t>
                  </w:r>
                </w:p>
              </w:tc>
              <w:tc>
                <w:tcPr>
                  <w:tcW w:w="2914" w:type="pct"/>
                  <w:vAlign w:val="center"/>
                </w:tcPr>
                <w:p>
                  <w:pPr>
                    <w:pStyle w:val="32"/>
                    <w:spacing w:line="360" w:lineRule="exact"/>
                    <w:ind w:firstLine="210" w:firstLineChars="100"/>
                    <w:jc w:val="both"/>
                    <w:rPr>
                      <w:color w:val="000000" w:themeColor="text1"/>
                      <w:szCs w:val="21"/>
                    </w:rPr>
                  </w:pPr>
                  <w:r>
                    <w:rPr>
                      <w:color w:val="000000" w:themeColor="text1"/>
                      <w:szCs w:val="21"/>
                    </w:rPr>
                    <w:t>根据分区防渗规范要求，项目</w:t>
                  </w:r>
                  <w:r>
                    <w:rPr>
                      <w:rFonts w:hint="eastAsia"/>
                      <w:color w:val="000000" w:themeColor="text1"/>
                      <w:szCs w:val="21"/>
                    </w:rPr>
                    <w:t>二期工程</w:t>
                  </w:r>
                  <w:r>
                    <w:rPr>
                      <w:color w:val="000000" w:themeColor="text1"/>
                      <w:szCs w:val="21"/>
                    </w:rPr>
                    <w:t>生产区、养护废水处理系统、</w:t>
                  </w:r>
                  <w:r>
                    <w:rPr>
                      <w:rFonts w:hint="eastAsia"/>
                      <w:color w:val="000000" w:themeColor="text1"/>
                      <w:szCs w:val="21"/>
                    </w:rPr>
                    <w:t>二期工程</w:t>
                  </w:r>
                  <w:r>
                    <w:rPr>
                      <w:color w:val="000000" w:themeColor="text1"/>
                      <w:szCs w:val="21"/>
                    </w:rPr>
                    <w:t>初期雨水收集系统区域划定为一般防渗区，一般防渗区措施在地面采取粘土铺底，并在上层铺30cm的混凝土进行硬化。确保防渗性能，使其渗透系数≤1.0×10</w:t>
                  </w:r>
                  <w:r>
                    <w:rPr>
                      <w:color w:val="000000" w:themeColor="text1"/>
                      <w:szCs w:val="21"/>
                      <w:vertAlign w:val="superscript"/>
                    </w:rPr>
                    <w:t>-7</w:t>
                  </w:r>
                  <w:r>
                    <w:rPr>
                      <w:color w:val="000000" w:themeColor="text1"/>
                      <w:szCs w:val="21"/>
                    </w:rPr>
                    <w:t>cm/s。</w:t>
                  </w:r>
                </w:p>
              </w:tc>
              <w:tc>
                <w:tcPr>
                  <w:tcW w:w="619" w:type="pct"/>
                  <w:vAlign w:val="center"/>
                </w:tcPr>
                <w:p>
                  <w:pPr>
                    <w:pStyle w:val="32"/>
                    <w:spacing w:line="360" w:lineRule="exact"/>
                    <w:rPr>
                      <w:color w:val="000000" w:themeColor="text1"/>
                      <w:szCs w:val="21"/>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2"/>
                    <w:spacing w:line="360" w:lineRule="exact"/>
                    <w:rPr>
                      <w:color w:val="000000" w:themeColor="text1"/>
                      <w:szCs w:val="21"/>
                    </w:rPr>
                  </w:pPr>
                </w:p>
              </w:tc>
              <w:tc>
                <w:tcPr>
                  <w:tcW w:w="419" w:type="pct"/>
                  <w:vAlign w:val="center"/>
                </w:tcPr>
                <w:p>
                  <w:pPr>
                    <w:pStyle w:val="32"/>
                    <w:spacing w:line="360" w:lineRule="exact"/>
                    <w:rPr>
                      <w:color w:val="000000" w:themeColor="text1"/>
                      <w:szCs w:val="21"/>
                    </w:rPr>
                  </w:pPr>
                  <w:r>
                    <w:rPr>
                      <w:color w:val="000000" w:themeColor="text1"/>
                      <w:szCs w:val="21"/>
                    </w:rPr>
                    <w:t>噪声</w:t>
                  </w:r>
                </w:p>
              </w:tc>
              <w:tc>
                <w:tcPr>
                  <w:tcW w:w="622" w:type="pct"/>
                  <w:vAlign w:val="center"/>
                </w:tcPr>
                <w:p>
                  <w:pPr>
                    <w:pStyle w:val="32"/>
                    <w:spacing w:line="360" w:lineRule="exact"/>
                    <w:rPr>
                      <w:color w:val="000000" w:themeColor="text1"/>
                      <w:szCs w:val="21"/>
                    </w:rPr>
                  </w:pPr>
                  <w:r>
                    <w:rPr>
                      <w:color w:val="000000" w:themeColor="text1"/>
                      <w:szCs w:val="21"/>
                    </w:rPr>
                    <w:t>设备噪声</w:t>
                  </w:r>
                </w:p>
              </w:tc>
              <w:tc>
                <w:tcPr>
                  <w:tcW w:w="2914" w:type="pct"/>
                  <w:vAlign w:val="center"/>
                </w:tcPr>
                <w:p>
                  <w:pPr>
                    <w:pStyle w:val="32"/>
                    <w:spacing w:line="360" w:lineRule="exact"/>
                    <w:ind w:firstLine="210" w:firstLineChars="100"/>
                    <w:jc w:val="both"/>
                    <w:rPr>
                      <w:color w:val="000000" w:themeColor="text1"/>
                      <w:szCs w:val="21"/>
                    </w:rPr>
                  </w:pPr>
                  <w:r>
                    <w:rPr>
                      <w:color w:val="000000" w:themeColor="text1"/>
                      <w:szCs w:val="21"/>
                    </w:rPr>
                    <w:t>设备基础加装减震垫、消声器等。</w:t>
                  </w:r>
                </w:p>
              </w:tc>
              <w:tc>
                <w:tcPr>
                  <w:tcW w:w="619" w:type="pct"/>
                  <w:vAlign w:val="center"/>
                </w:tcPr>
                <w:p>
                  <w:pPr>
                    <w:pStyle w:val="32"/>
                    <w:spacing w:line="360" w:lineRule="exact"/>
                    <w:rPr>
                      <w:color w:val="000000" w:themeColor="text1"/>
                      <w:szCs w:val="21"/>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2"/>
                    <w:spacing w:line="360" w:lineRule="exact"/>
                    <w:rPr>
                      <w:color w:val="000000" w:themeColor="text1"/>
                      <w:szCs w:val="21"/>
                    </w:rPr>
                  </w:pPr>
                </w:p>
              </w:tc>
              <w:tc>
                <w:tcPr>
                  <w:tcW w:w="419" w:type="pct"/>
                  <w:vMerge w:val="restart"/>
                  <w:vAlign w:val="center"/>
                </w:tcPr>
                <w:p>
                  <w:pPr>
                    <w:pStyle w:val="32"/>
                    <w:spacing w:line="360" w:lineRule="exact"/>
                    <w:rPr>
                      <w:color w:val="000000" w:themeColor="text1"/>
                      <w:szCs w:val="21"/>
                    </w:rPr>
                  </w:pPr>
                  <w:r>
                    <w:rPr>
                      <w:color w:val="000000" w:themeColor="text1"/>
                      <w:szCs w:val="21"/>
                    </w:rPr>
                    <w:t>固废</w:t>
                  </w:r>
                </w:p>
              </w:tc>
              <w:tc>
                <w:tcPr>
                  <w:tcW w:w="622" w:type="pct"/>
                  <w:vAlign w:val="center"/>
                </w:tcPr>
                <w:p>
                  <w:pPr>
                    <w:pStyle w:val="32"/>
                    <w:spacing w:line="360" w:lineRule="exact"/>
                    <w:rPr>
                      <w:color w:val="000000" w:themeColor="text1"/>
                      <w:szCs w:val="21"/>
                    </w:rPr>
                  </w:pPr>
                  <w:r>
                    <w:rPr>
                      <w:color w:val="000000" w:themeColor="text1"/>
                      <w:szCs w:val="21"/>
                    </w:rPr>
                    <w:t>危险废物贮存间</w:t>
                  </w:r>
                </w:p>
              </w:tc>
              <w:tc>
                <w:tcPr>
                  <w:tcW w:w="2914" w:type="pct"/>
                  <w:vAlign w:val="center"/>
                </w:tcPr>
                <w:p>
                  <w:pPr>
                    <w:pStyle w:val="32"/>
                    <w:spacing w:line="360" w:lineRule="exact"/>
                    <w:ind w:firstLine="210" w:firstLineChars="100"/>
                    <w:jc w:val="both"/>
                    <w:rPr>
                      <w:color w:val="000000" w:themeColor="text1"/>
                    </w:rPr>
                  </w:pPr>
                  <w:r>
                    <w:rPr>
                      <w:color w:val="000000" w:themeColor="text1"/>
                      <w:szCs w:val="21"/>
                    </w:rPr>
                    <w:t>危险废物贮存间</w:t>
                  </w:r>
                  <w:r>
                    <w:rPr>
                      <w:rFonts w:hint="eastAsia"/>
                      <w:color w:val="000000" w:themeColor="text1"/>
                      <w:szCs w:val="21"/>
                    </w:rPr>
                    <w:t>由一期工程统一建设，详见“</w:t>
                  </w:r>
                  <w:r>
                    <w:rPr>
                      <w:color w:val="000000" w:themeColor="text1"/>
                      <w:szCs w:val="21"/>
                    </w:rPr>
                    <w:t xml:space="preserve">表2.1-1 </w:t>
                  </w:r>
                  <w:r>
                    <w:rPr>
                      <w:rFonts w:hint="eastAsia"/>
                      <w:color w:val="000000" w:themeColor="text1"/>
                      <w:szCs w:val="21"/>
                    </w:rPr>
                    <w:t>一期工程</w:t>
                  </w:r>
                  <w:r>
                    <w:rPr>
                      <w:color w:val="000000" w:themeColor="text1"/>
                      <w:szCs w:val="21"/>
                    </w:rPr>
                    <w:t>建设内容组成一览表</w:t>
                  </w:r>
                  <w:r>
                    <w:rPr>
                      <w:rFonts w:hint="eastAsia"/>
                      <w:color w:val="000000" w:themeColor="text1"/>
                      <w:szCs w:val="21"/>
                    </w:rPr>
                    <w:t>”。</w:t>
                  </w:r>
                </w:p>
              </w:tc>
              <w:tc>
                <w:tcPr>
                  <w:tcW w:w="619" w:type="pct"/>
                  <w:vAlign w:val="center"/>
                </w:tcPr>
                <w:p>
                  <w:pPr>
                    <w:pStyle w:val="32"/>
                    <w:spacing w:line="360" w:lineRule="exact"/>
                    <w:rPr>
                      <w:color w:val="000000" w:themeColor="text1"/>
                      <w:szCs w:val="21"/>
                    </w:rPr>
                  </w:pPr>
                  <w:r>
                    <w:rPr>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2"/>
                    <w:spacing w:line="360" w:lineRule="exact"/>
                    <w:rPr>
                      <w:color w:val="000000" w:themeColor="text1"/>
                      <w:szCs w:val="21"/>
                    </w:rPr>
                  </w:pPr>
                </w:p>
              </w:tc>
              <w:tc>
                <w:tcPr>
                  <w:tcW w:w="419" w:type="pct"/>
                  <w:vMerge w:val="continue"/>
                  <w:vAlign w:val="center"/>
                </w:tcPr>
                <w:p>
                  <w:pPr>
                    <w:pStyle w:val="32"/>
                    <w:spacing w:line="360" w:lineRule="exact"/>
                    <w:rPr>
                      <w:color w:val="000000" w:themeColor="text1"/>
                      <w:szCs w:val="21"/>
                    </w:rPr>
                  </w:pPr>
                </w:p>
              </w:tc>
              <w:tc>
                <w:tcPr>
                  <w:tcW w:w="622" w:type="pct"/>
                  <w:vAlign w:val="center"/>
                </w:tcPr>
                <w:p>
                  <w:pPr>
                    <w:pStyle w:val="32"/>
                    <w:spacing w:line="360" w:lineRule="exact"/>
                    <w:rPr>
                      <w:color w:val="000000" w:themeColor="text1"/>
                      <w:szCs w:val="21"/>
                    </w:rPr>
                  </w:pPr>
                  <w:r>
                    <w:rPr>
                      <w:color w:val="000000" w:themeColor="text1"/>
                      <w:szCs w:val="21"/>
                    </w:rPr>
                    <w:t>生活垃圾桶</w:t>
                  </w:r>
                </w:p>
              </w:tc>
              <w:tc>
                <w:tcPr>
                  <w:tcW w:w="2914" w:type="pct"/>
                  <w:vAlign w:val="center"/>
                </w:tcPr>
                <w:p>
                  <w:pPr>
                    <w:pStyle w:val="32"/>
                    <w:spacing w:line="360" w:lineRule="exact"/>
                    <w:ind w:firstLine="210" w:firstLineChars="100"/>
                    <w:jc w:val="both"/>
                    <w:rPr>
                      <w:color w:val="000000" w:themeColor="text1"/>
                    </w:rPr>
                  </w:pPr>
                  <w:r>
                    <w:rPr>
                      <w:color w:val="000000" w:themeColor="text1"/>
                      <w:szCs w:val="21"/>
                    </w:rPr>
                    <w:t>生活垃圾桶</w:t>
                  </w:r>
                  <w:r>
                    <w:rPr>
                      <w:rFonts w:hint="eastAsia"/>
                      <w:color w:val="000000" w:themeColor="text1"/>
                      <w:szCs w:val="21"/>
                    </w:rPr>
                    <w:t>由一期工程统一建设，详见“</w:t>
                  </w:r>
                  <w:r>
                    <w:rPr>
                      <w:color w:val="000000" w:themeColor="text1"/>
                      <w:szCs w:val="21"/>
                    </w:rPr>
                    <w:t xml:space="preserve">表2.1-1 </w:t>
                  </w:r>
                  <w:r>
                    <w:rPr>
                      <w:rFonts w:hint="eastAsia"/>
                      <w:color w:val="000000" w:themeColor="text1"/>
                      <w:szCs w:val="21"/>
                    </w:rPr>
                    <w:t>一期工程</w:t>
                  </w:r>
                  <w:r>
                    <w:rPr>
                      <w:color w:val="000000" w:themeColor="text1"/>
                      <w:szCs w:val="21"/>
                    </w:rPr>
                    <w:t>建设内容组成一览表</w:t>
                  </w:r>
                  <w:r>
                    <w:rPr>
                      <w:rFonts w:hint="eastAsia"/>
                      <w:color w:val="000000" w:themeColor="text1"/>
                      <w:szCs w:val="21"/>
                    </w:rPr>
                    <w:t>”。</w:t>
                  </w:r>
                </w:p>
              </w:tc>
              <w:tc>
                <w:tcPr>
                  <w:tcW w:w="619" w:type="pct"/>
                  <w:vAlign w:val="center"/>
                </w:tcPr>
                <w:p>
                  <w:pPr>
                    <w:pStyle w:val="32"/>
                    <w:spacing w:line="360" w:lineRule="exact"/>
                    <w:rPr>
                      <w:color w:val="000000" w:themeColor="text1"/>
                      <w:szCs w:val="21"/>
                    </w:rPr>
                  </w:pPr>
                  <w:r>
                    <w:rPr>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2"/>
                    <w:spacing w:line="360" w:lineRule="exact"/>
                    <w:rPr>
                      <w:color w:val="000000" w:themeColor="text1"/>
                      <w:szCs w:val="21"/>
                    </w:rPr>
                  </w:pPr>
                </w:p>
              </w:tc>
              <w:tc>
                <w:tcPr>
                  <w:tcW w:w="419" w:type="pct"/>
                  <w:vMerge w:val="restart"/>
                  <w:vAlign w:val="center"/>
                </w:tcPr>
                <w:p>
                  <w:pPr>
                    <w:pStyle w:val="32"/>
                    <w:spacing w:line="360" w:lineRule="exact"/>
                    <w:rPr>
                      <w:color w:val="000000" w:themeColor="text1"/>
                      <w:szCs w:val="21"/>
                    </w:rPr>
                  </w:pPr>
                  <w:r>
                    <w:rPr>
                      <w:color w:val="000000" w:themeColor="text1"/>
                      <w:szCs w:val="21"/>
                    </w:rPr>
                    <w:t>其他</w:t>
                  </w:r>
                </w:p>
              </w:tc>
              <w:tc>
                <w:tcPr>
                  <w:tcW w:w="622" w:type="pct"/>
                  <w:vAlign w:val="center"/>
                </w:tcPr>
                <w:p>
                  <w:pPr>
                    <w:pStyle w:val="32"/>
                    <w:spacing w:line="360" w:lineRule="exact"/>
                    <w:rPr>
                      <w:color w:val="000000" w:themeColor="text1"/>
                      <w:szCs w:val="21"/>
                    </w:rPr>
                  </w:pPr>
                  <w:r>
                    <w:rPr>
                      <w:color w:val="000000" w:themeColor="text1"/>
                      <w:szCs w:val="21"/>
                    </w:rPr>
                    <w:t>标识牌</w:t>
                  </w:r>
                </w:p>
              </w:tc>
              <w:tc>
                <w:tcPr>
                  <w:tcW w:w="2914" w:type="pct"/>
                  <w:vAlign w:val="center"/>
                </w:tcPr>
                <w:p>
                  <w:pPr>
                    <w:pStyle w:val="32"/>
                    <w:spacing w:line="360" w:lineRule="exact"/>
                    <w:ind w:firstLine="210" w:firstLineChars="100"/>
                    <w:jc w:val="both"/>
                    <w:rPr>
                      <w:color w:val="000000" w:themeColor="text1"/>
                      <w:szCs w:val="21"/>
                    </w:rPr>
                  </w:pPr>
                  <w:r>
                    <w:rPr>
                      <w:color w:val="000000" w:themeColor="text1"/>
                      <w:szCs w:val="21"/>
                    </w:rPr>
                    <w:t>建设单位按照危险废物管理的规范要求，设置危险废物识别标志、环境保护图形标志。</w:t>
                  </w:r>
                </w:p>
              </w:tc>
              <w:tc>
                <w:tcPr>
                  <w:tcW w:w="619" w:type="pct"/>
                  <w:vAlign w:val="center"/>
                </w:tcPr>
                <w:p>
                  <w:pPr>
                    <w:pStyle w:val="32"/>
                    <w:spacing w:line="360" w:lineRule="exact"/>
                    <w:rPr>
                      <w:color w:val="000000" w:themeColor="text1"/>
                      <w:szCs w:val="21"/>
                    </w:rPr>
                  </w:pPr>
                  <w:r>
                    <w:rPr>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2"/>
                    <w:spacing w:line="360" w:lineRule="exact"/>
                    <w:rPr>
                      <w:color w:val="000000" w:themeColor="text1"/>
                      <w:szCs w:val="21"/>
                    </w:rPr>
                  </w:pPr>
                </w:p>
              </w:tc>
              <w:tc>
                <w:tcPr>
                  <w:tcW w:w="419" w:type="pct"/>
                  <w:vMerge w:val="continue"/>
                  <w:vAlign w:val="center"/>
                </w:tcPr>
                <w:p>
                  <w:pPr>
                    <w:pStyle w:val="32"/>
                    <w:spacing w:line="360" w:lineRule="exact"/>
                    <w:rPr>
                      <w:color w:val="000000" w:themeColor="text1"/>
                      <w:szCs w:val="21"/>
                    </w:rPr>
                  </w:pPr>
                </w:p>
              </w:tc>
              <w:tc>
                <w:tcPr>
                  <w:tcW w:w="622" w:type="pct"/>
                  <w:vAlign w:val="center"/>
                </w:tcPr>
                <w:p>
                  <w:pPr>
                    <w:pStyle w:val="32"/>
                    <w:spacing w:line="360" w:lineRule="exact"/>
                    <w:rPr>
                      <w:color w:val="000000" w:themeColor="text1"/>
                      <w:szCs w:val="21"/>
                    </w:rPr>
                  </w:pPr>
                  <w:r>
                    <w:rPr>
                      <w:color w:val="000000" w:themeColor="text1"/>
                      <w:szCs w:val="21"/>
                    </w:rPr>
                    <w:t>绿化</w:t>
                  </w:r>
                </w:p>
              </w:tc>
              <w:tc>
                <w:tcPr>
                  <w:tcW w:w="2914" w:type="pct"/>
                  <w:vAlign w:val="center"/>
                </w:tcPr>
                <w:p>
                  <w:pPr>
                    <w:pStyle w:val="32"/>
                    <w:spacing w:line="360" w:lineRule="exact"/>
                    <w:ind w:firstLine="210" w:firstLineChars="100"/>
                    <w:jc w:val="both"/>
                    <w:rPr>
                      <w:color w:val="000000" w:themeColor="text1"/>
                      <w:szCs w:val="21"/>
                    </w:rPr>
                  </w:pPr>
                  <w:r>
                    <w:rPr>
                      <w:color w:val="000000" w:themeColor="text1"/>
                      <w:szCs w:val="21"/>
                    </w:rPr>
                    <w:t>绿化</w:t>
                  </w:r>
                  <w:r>
                    <w:rPr>
                      <w:rFonts w:hint="eastAsia"/>
                      <w:color w:val="000000" w:themeColor="text1"/>
                      <w:szCs w:val="21"/>
                    </w:rPr>
                    <w:t>由一期工程统一建设，详见“</w:t>
                  </w:r>
                  <w:r>
                    <w:rPr>
                      <w:color w:val="000000" w:themeColor="text1"/>
                      <w:szCs w:val="21"/>
                    </w:rPr>
                    <w:t xml:space="preserve">表2.1-1 </w:t>
                  </w:r>
                  <w:r>
                    <w:rPr>
                      <w:rFonts w:hint="eastAsia"/>
                      <w:color w:val="000000" w:themeColor="text1"/>
                      <w:szCs w:val="21"/>
                    </w:rPr>
                    <w:t>一期工程</w:t>
                  </w:r>
                  <w:r>
                    <w:rPr>
                      <w:color w:val="000000" w:themeColor="text1"/>
                      <w:szCs w:val="21"/>
                    </w:rPr>
                    <w:t>建设内容组成一览表</w:t>
                  </w:r>
                  <w:r>
                    <w:rPr>
                      <w:rFonts w:hint="eastAsia"/>
                      <w:color w:val="000000" w:themeColor="text1"/>
                      <w:szCs w:val="21"/>
                    </w:rPr>
                    <w:t>”。</w:t>
                  </w:r>
                </w:p>
              </w:tc>
              <w:tc>
                <w:tcPr>
                  <w:tcW w:w="619" w:type="pct"/>
                  <w:vAlign w:val="center"/>
                </w:tcPr>
                <w:p>
                  <w:pPr>
                    <w:pStyle w:val="32"/>
                    <w:spacing w:line="360" w:lineRule="exact"/>
                    <w:rPr>
                      <w:color w:val="000000" w:themeColor="text1"/>
                      <w:szCs w:val="21"/>
                    </w:rPr>
                  </w:pPr>
                  <w:r>
                    <w:rPr>
                      <w:color w:val="000000" w:themeColor="text1"/>
                      <w:szCs w:val="21"/>
                    </w:rPr>
                    <w:t>设计提出</w:t>
                  </w:r>
                </w:p>
              </w:tc>
            </w:tr>
          </w:tbl>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2.2 总平面布置</w:t>
            </w:r>
            <w:bookmarkEnd w:id="0"/>
            <w:bookmarkEnd w:id="1"/>
            <w:r>
              <w:rPr>
                <w:rFonts w:ascii="Times New Roman" w:hAnsi="Times New Roman" w:cs="Times New Roman"/>
                <w:b/>
                <w:color w:val="000000" w:themeColor="text1"/>
                <w:sz w:val="24"/>
                <w:szCs w:val="24"/>
              </w:rPr>
              <w:t>及其合理性</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根据设计，项目共设置两条生产线</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砂石骨料生产线和水泥砖生产线</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分两期建设，</w:t>
            </w:r>
            <w:r>
              <w:rPr>
                <w:rFonts w:ascii="Times New Roman" w:hAnsi="Times New Roman" w:cs="Times New Roman"/>
                <w:color w:val="000000" w:themeColor="text1"/>
                <w:sz w:val="24"/>
                <w:szCs w:val="24"/>
              </w:rPr>
              <w:t>按照场地的结构进行布置，</w:t>
            </w:r>
            <w:r>
              <w:rPr>
                <w:rFonts w:hint="eastAsia" w:ascii="Times New Roman" w:hAnsi="Times New Roman" w:cs="Times New Roman"/>
                <w:color w:val="000000" w:themeColor="text1"/>
                <w:sz w:val="24"/>
                <w:szCs w:val="24"/>
              </w:rPr>
              <w:t>具体如下：</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2.2.1 一期工程平面布置</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一期工程建设</w:t>
            </w:r>
            <w:r>
              <w:rPr>
                <w:rFonts w:ascii="Times New Roman" w:hAnsi="Times New Roman" w:cs="Times New Roman"/>
                <w:color w:val="000000" w:themeColor="text1"/>
                <w:sz w:val="24"/>
                <w:szCs w:val="24"/>
              </w:rPr>
              <w:t>砂石骨料生产线位于项目区南侧、办公生活区位于项目区西侧。在砂石骨料生产线中废石堆场、破碎筛分车间、洗砂车间和产品堆场（1#料场、2#料场和3#料场）由南向北布设，项目</w:t>
            </w: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配套的环保设施均位于相应主体或辅助工程旁。根据项目特点可知，该项目</w:t>
            </w: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生产工艺的平面布置对环境影响不大，因此项目平面布置合理。</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2.2.2 二期工程平面布置</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二期工程建设</w:t>
            </w:r>
            <w:r>
              <w:rPr>
                <w:rFonts w:ascii="Times New Roman" w:hAnsi="Times New Roman" w:cs="Times New Roman"/>
                <w:color w:val="000000" w:themeColor="text1"/>
                <w:sz w:val="24"/>
                <w:szCs w:val="24"/>
              </w:rPr>
              <w:t>水泥砖生产线位于项目区北侧，而水泥砖生产线中水泥仓、搅拌混合车间、成型车间和养护区由西向东布设。项目</w:t>
            </w:r>
            <w:r>
              <w:rPr>
                <w:rFonts w:hint="eastAsia" w:ascii="Times New Roman" w:hAnsi="Times New Roman" w:cs="Times New Roman"/>
                <w:color w:val="000000" w:themeColor="text1"/>
                <w:sz w:val="24"/>
                <w:szCs w:val="24"/>
              </w:rPr>
              <w:t>二期工程</w:t>
            </w:r>
            <w:r>
              <w:rPr>
                <w:rFonts w:ascii="Times New Roman" w:hAnsi="Times New Roman" w:cs="Times New Roman"/>
                <w:color w:val="000000" w:themeColor="text1"/>
                <w:sz w:val="24"/>
                <w:szCs w:val="24"/>
              </w:rPr>
              <w:t>配套的环保设施均位于相应主体工程旁。根据项目特点可知，该项目</w:t>
            </w:r>
            <w:r>
              <w:rPr>
                <w:rFonts w:hint="eastAsia" w:ascii="Times New Roman" w:hAnsi="Times New Roman" w:cs="Times New Roman"/>
                <w:color w:val="000000" w:themeColor="text1"/>
                <w:sz w:val="24"/>
                <w:szCs w:val="24"/>
              </w:rPr>
              <w:t>二期工程</w:t>
            </w:r>
            <w:r>
              <w:rPr>
                <w:rFonts w:ascii="Times New Roman" w:hAnsi="Times New Roman" w:cs="Times New Roman"/>
                <w:color w:val="000000" w:themeColor="text1"/>
                <w:sz w:val="24"/>
                <w:szCs w:val="24"/>
              </w:rPr>
              <w:t>生产工艺的平面布置对环境影响不大，因此项目平面布置合理。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项目生产车间平面布置详见附图2  项目区平面布置示意图。</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2.3 主要产品及产能</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2.3.1 一期工程产品</w:t>
            </w:r>
            <w:r>
              <w:rPr>
                <w:rFonts w:ascii="Times New Roman" w:hAnsi="Times New Roman" w:cs="Times New Roman"/>
                <w:b/>
                <w:color w:val="000000" w:themeColor="text1"/>
                <w:sz w:val="24"/>
                <w:szCs w:val="24"/>
              </w:rPr>
              <w:t>及产能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w:t>
            </w: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主要产品包括砂石骨料。根据设计，项目生产砂石骨料90万t/a（包括制砖砂（Φ0-5mm）20万t/a、制砖砂（Φ0-7mm）20万t/a和公分石（Φ20-30mm）50万t/a）；项目</w:t>
            </w: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主要产品及产能具体如下表所示。</w:t>
            </w:r>
          </w:p>
          <w:p>
            <w:pPr>
              <w:pStyle w:val="34"/>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表2.3</w:t>
            </w:r>
            <w:r>
              <w:rPr>
                <w:rFonts w:hint="eastAsia" w:hAnsi="Times New Roman" w:eastAsiaTheme="minorEastAsia"/>
                <w:bCs/>
                <w:snapToGrid w:val="0"/>
                <w:color w:val="000000" w:themeColor="text1"/>
                <w:sz w:val="21"/>
                <w:szCs w:val="21"/>
              </w:rPr>
              <w:t>.2</w:t>
            </w:r>
            <w:r>
              <w:rPr>
                <w:rFonts w:hAnsi="Times New Roman" w:eastAsiaTheme="minorEastAsia"/>
                <w:bCs/>
                <w:snapToGrid w:val="0"/>
                <w:color w:val="000000" w:themeColor="text1"/>
                <w:sz w:val="21"/>
                <w:szCs w:val="21"/>
              </w:rPr>
              <w:t>-1 项目</w:t>
            </w:r>
            <w:r>
              <w:rPr>
                <w:rFonts w:hint="eastAsia" w:hAnsi="Times New Roman" w:eastAsiaTheme="minorEastAsia"/>
                <w:bCs/>
                <w:snapToGrid w:val="0"/>
                <w:color w:val="000000" w:themeColor="text1"/>
                <w:sz w:val="21"/>
                <w:szCs w:val="21"/>
              </w:rPr>
              <w:t>一期工程</w:t>
            </w:r>
            <w:r>
              <w:rPr>
                <w:rFonts w:hAnsi="Times New Roman" w:eastAsiaTheme="minorEastAsia"/>
                <w:bCs/>
                <w:snapToGrid w:val="0"/>
                <w:color w:val="000000" w:themeColor="text1"/>
                <w:sz w:val="21"/>
                <w:szCs w:val="21"/>
              </w:rPr>
              <w:t>主要产品及产能一览表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987"/>
              <w:gridCol w:w="1224"/>
              <w:gridCol w:w="2755"/>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9" w:type="pc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主要产品</w:t>
                  </w:r>
                </w:p>
              </w:tc>
              <w:tc>
                <w:tcPr>
                  <w:tcW w:w="1154" w:type="pc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产品规格</w:t>
                  </w:r>
                </w:p>
              </w:tc>
              <w:tc>
                <w:tcPr>
                  <w:tcW w:w="711" w:type="pc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重量</w:t>
                  </w:r>
                </w:p>
              </w:tc>
              <w:tc>
                <w:tcPr>
                  <w:tcW w:w="1601" w:type="pc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产能</w:t>
                  </w:r>
                </w:p>
              </w:tc>
              <w:tc>
                <w:tcPr>
                  <w:tcW w:w="1024" w:type="pc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砂石骨料</w:t>
                  </w:r>
                </w:p>
              </w:tc>
              <w:tc>
                <w:tcPr>
                  <w:tcW w:w="1154" w:type="pc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Φ0-5mm</w:t>
                  </w:r>
                </w:p>
              </w:tc>
              <w:tc>
                <w:tcPr>
                  <w:tcW w:w="711" w:type="pc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c>
                <w:tcPr>
                  <w:tcW w:w="1601" w:type="pc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20万t/a（12.2万m³/a）</w:t>
                  </w:r>
                </w:p>
              </w:tc>
              <w:tc>
                <w:tcPr>
                  <w:tcW w:w="1024" w:type="pct"/>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制砖砂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154" w:type="pc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Φ0-7mm</w:t>
                  </w:r>
                </w:p>
              </w:tc>
              <w:tc>
                <w:tcPr>
                  <w:tcW w:w="711" w:type="pc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c>
                <w:tcPr>
                  <w:tcW w:w="1601" w:type="pc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20万t/a（12.1万m³/a）</w:t>
                  </w:r>
                </w:p>
              </w:tc>
              <w:tc>
                <w:tcPr>
                  <w:tcW w:w="1024" w:type="pct"/>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154" w:type="pc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Φ20-30mm</w:t>
                  </w:r>
                </w:p>
              </w:tc>
              <w:tc>
                <w:tcPr>
                  <w:tcW w:w="711" w:type="pc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c>
                <w:tcPr>
                  <w:tcW w:w="1601" w:type="pc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50万t/a</w:t>
                  </w:r>
                </w:p>
              </w:tc>
              <w:tc>
                <w:tcPr>
                  <w:tcW w:w="1024" w:type="pc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公分石</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2.3.2 二期工程产品</w:t>
            </w:r>
            <w:r>
              <w:rPr>
                <w:rFonts w:ascii="Times New Roman" w:hAnsi="Times New Roman" w:cs="Times New Roman"/>
                <w:b/>
                <w:color w:val="000000" w:themeColor="text1"/>
                <w:sz w:val="24"/>
                <w:szCs w:val="24"/>
              </w:rPr>
              <w:t>及产能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w:t>
            </w:r>
            <w:r>
              <w:rPr>
                <w:rFonts w:hint="eastAsia" w:ascii="Times New Roman" w:hAnsi="Times New Roman" w:cs="Times New Roman"/>
                <w:color w:val="000000" w:themeColor="text1"/>
                <w:sz w:val="24"/>
                <w:szCs w:val="24"/>
              </w:rPr>
              <w:t>二期工程</w:t>
            </w:r>
            <w:r>
              <w:rPr>
                <w:rFonts w:ascii="Times New Roman" w:hAnsi="Times New Roman" w:cs="Times New Roman"/>
                <w:color w:val="000000" w:themeColor="text1"/>
                <w:sz w:val="24"/>
                <w:szCs w:val="24"/>
              </w:rPr>
              <w:t>主要产品包括水泥砖。根据设计，项目生产水泥砖21.6万m²/a，水泥标砖尺寸为240mm×115mm×53mm</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重量为2.45kg/块，则水泥砖约为782.6万块/a·标砖（约19173.7t/a）。项目主要产品及产能具体如下表所示。</w:t>
            </w:r>
          </w:p>
          <w:p>
            <w:pPr>
              <w:pStyle w:val="34"/>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表2.3</w:t>
            </w:r>
            <w:r>
              <w:rPr>
                <w:rFonts w:hint="eastAsia" w:hAnsi="Times New Roman" w:eastAsiaTheme="minorEastAsia"/>
                <w:bCs/>
                <w:snapToGrid w:val="0"/>
                <w:color w:val="000000" w:themeColor="text1"/>
                <w:sz w:val="21"/>
                <w:szCs w:val="21"/>
              </w:rPr>
              <w:t>.2</w:t>
            </w:r>
            <w:r>
              <w:rPr>
                <w:rFonts w:hAnsi="Times New Roman" w:eastAsiaTheme="minorEastAsia"/>
                <w:bCs/>
                <w:snapToGrid w:val="0"/>
                <w:color w:val="000000" w:themeColor="text1"/>
                <w:sz w:val="21"/>
                <w:szCs w:val="21"/>
              </w:rPr>
              <w:t>-</w:t>
            </w:r>
            <w:r>
              <w:rPr>
                <w:rFonts w:hint="eastAsia" w:hAnsi="Times New Roman" w:eastAsiaTheme="minorEastAsia"/>
                <w:bCs/>
                <w:snapToGrid w:val="0"/>
                <w:color w:val="000000" w:themeColor="text1"/>
                <w:sz w:val="21"/>
                <w:szCs w:val="21"/>
              </w:rPr>
              <w:t>2</w:t>
            </w:r>
            <w:r>
              <w:rPr>
                <w:rFonts w:hAnsi="Times New Roman" w:eastAsiaTheme="minorEastAsia"/>
                <w:bCs/>
                <w:snapToGrid w:val="0"/>
                <w:color w:val="000000" w:themeColor="text1"/>
                <w:sz w:val="21"/>
                <w:szCs w:val="21"/>
              </w:rPr>
              <w:t xml:space="preserve"> 项目主要产品及产能一览表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988"/>
              <w:gridCol w:w="1224"/>
              <w:gridCol w:w="2459"/>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主要产品</w:t>
                  </w:r>
                </w:p>
              </w:tc>
              <w:tc>
                <w:tcPr>
                  <w:tcW w:w="1155" w:type="pc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产品规格</w:t>
                  </w:r>
                </w:p>
              </w:tc>
              <w:tc>
                <w:tcPr>
                  <w:tcW w:w="711" w:type="pc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重量</w:t>
                  </w:r>
                </w:p>
              </w:tc>
              <w:tc>
                <w:tcPr>
                  <w:tcW w:w="1429" w:type="pc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产能</w:t>
                  </w:r>
                </w:p>
              </w:tc>
              <w:tc>
                <w:tcPr>
                  <w:tcW w:w="1196" w:type="pc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水泥砖</w:t>
                  </w:r>
                </w:p>
              </w:tc>
              <w:tc>
                <w:tcPr>
                  <w:tcW w:w="1155" w:type="pc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240mm×115mm×53mm</w:t>
                  </w:r>
                </w:p>
              </w:tc>
              <w:tc>
                <w:tcPr>
                  <w:tcW w:w="711" w:type="pc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2.45kg/块</w:t>
                  </w:r>
                </w:p>
              </w:tc>
              <w:tc>
                <w:tcPr>
                  <w:tcW w:w="1429" w:type="pc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782.6万块/a·标砖（约19173.7t/a）</w:t>
                  </w:r>
                </w:p>
              </w:tc>
              <w:tc>
                <w:tcPr>
                  <w:tcW w:w="1196" w:type="pct"/>
                  <w:vAlign w:val="center"/>
                </w:tcPr>
                <w:p>
                  <w:pPr>
                    <w:spacing w:line="360" w:lineRule="exact"/>
                    <w:ind w:firstLine="210" w:firstLineChars="100"/>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《普通混凝土小型砌块》（GB/T8239-2014）</w:t>
                  </w:r>
                </w:p>
              </w:tc>
            </w:tr>
          </w:tbl>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2.4 主要生产单元、主要工艺、生产设施及设施参数</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2.4.1 一期工程</w:t>
            </w:r>
            <w:r>
              <w:rPr>
                <w:rFonts w:ascii="Times New Roman" w:hAnsi="Times New Roman" w:cs="Times New Roman"/>
                <w:b/>
                <w:color w:val="000000" w:themeColor="text1"/>
                <w:sz w:val="24"/>
                <w:szCs w:val="24"/>
              </w:rPr>
              <w:t>主要生产单元、主要工艺、生产设施及设施参数</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根据设计，项目</w:t>
            </w:r>
            <w:r>
              <w:rPr>
                <w:rFonts w:hint="eastAsia" w:ascii="Times New Roman" w:hAnsi="Times New Roman" w:cs="Times New Roman"/>
                <w:bCs/>
                <w:color w:val="000000" w:themeColor="text1"/>
                <w:sz w:val="24"/>
                <w:szCs w:val="24"/>
              </w:rPr>
              <w:t>一期工程</w:t>
            </w:r>
            <w:r>
              <w:rPr>
                <w:rFonts w:ascii="Times New Roman" w:hAnsi="Times New Roman" w:cs="Times New Roman"/>
                <w:bCs/>
                <w:color w:val="000000" w:themeColor="text1"/>
                <w:sz w:val="24"/>
                <w:szCs w:val="24"/>
              </w:rPr>
              <w:t>主要生产单元、主要工艺、生产设施及设施参数如下表所示。</w:t>
            </w:r>
          </w:p>
          <w:p>
            <w:pPr>
              <w:pStyle w:val="34"/>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表2.4</w:t>
            </w:r>
            <w:r>
              <w:rPr>
                <w:rFonts w:hint="eastAsia" w:hAnsi="Times New Roman" w:eastAsiaTheme="minorEastAsia"/>
                <w:bCs/>
                <w:snapToGrid w:val="0"/>
                <w:color w:val="000000" w:themeColor="text1"/>
                <w:sz w:val="21"/>
                <w:szCs w:val="21"/>
              </w:rPr>
              <w:t>.1</w:t>
            </w:r>
            <w:r>
              <w:rPr>
                <w:rFonts w:hAnsi="Times New Roman" w:eastAsiaTheme="minorEastAsia"/>
                <w:bCs/>
                <w:snapToGrid w:val="0"/>
                <w:color w:val="000000" w:themeColor="text1"/>
                <w:sz w:val="21"/>
                <w:szCs w:val="21"/>
              </w:rPr>
              <w:t xml:space="preserve">-1 </w:t>
            </w:r>
            <w:r>
              <w:rPr>
                <w:rFonts w:hint="eastAsia" w:hAnsi="Times New Roman" w:eastAsiaTheme="minorEastAsia"/>
                <w:bCs/>
                <w:snapToGrid w:val="0"/>
                <w:color w:val="000000" w:themeColor="text1"/>
                <w:sz w:val="21"/>
                <w:szCs w:val="21"/>
              </w:rPr>
              <w:t>一期工程</w:t>
            </w:r>
            <w:r>
              <w:rPr>
                <w:rFonts w:hAnsi="Times New Roman" w:eastAsiaTheme="minorEastAsia"/>
                <w:bCs/>
                <w:snapToGrid w:val="0"/>
                <w:color w:val="000000" w:themeColor="text1"/>
                <w:sz w:val="21"/>
                <w:szCs w:val="21"/>
              </w:rPr>
              <w:t>主要生产单元、主要工艺、生产设施及设施参数表</w:t>
            </w:r>
          </w:p>
          <w:tbl>
            <w:tblPr>
              <w:tblStyle w:val="21"/>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79"/>
              <w:gridCol w:w="971"/>
              <w:gridCol w:w="1578"/>
              <w:gridCol w:w="1485"/>
              <w:gridCol w:w="1638"/>
              <w:gridCol w:w="1083"/>
              <w:gridCol w:w="97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9"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主要生产单元</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主要工艺</w:t>
                  </w:r>
                </w:p>
              </w:tc>
              <w:tc>
                <w:tcPr>
                  <w:tcW w:w="3063" w:type="dxa"/>
                  <w:gridSpan w:val="2"/>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生产设施</w:t>
                  </w:r>
                </w:p>
              </w:tc>
              <w:tc>
                <w:tcPr>
                  <w:tcW w:w="1638"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规格型号</w:t>
                  </w:r>
                </w:p>
              </w:tc>
              <w:tc>
                <w:tcPr>
                  <w:tcW w:w="1083"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设施参数</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9"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主体工程</w:t>
                  </w:r>
                </w:p>
              </w:tc>
              <w:tc>
                <w:tcPr>
                  <w:tcW w:w="971"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砂石骨料生产线</w:t>
                  </w:r>
                </w:p>
              </w:tc>
              <w:tc>
                <w:tcPr>
                  <w:tcW w:w="1578" w:type="dxa"/>
                  <w:vMerge w:val="restart"/>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破碎筛分车间</w:t>
                  </w:r>
                </w:p>
              </w:tc>
              <w:tc>
                <w:tcPr>
                  <w:tcW w:w="1485"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板式给料机</w:t>
                  </w:r>
                </w:p>
              </w:tc>
              <w:tc>
                <w:tcPr>
                  <w:tcW w:w="1638"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GBZ1000×6000</w:t>
                  </w:r>
                </w:p>
              </w:tc>
              <w:tc>
                <w:tcPr>
                  <w:tcW w:w="1083" w:type="dxa"/>
                  <w:vAlign w:val="center"/>
                </w:tcPr>
                <w:p>
                  <w:pPr>
                    <w:widowControl/>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187.5t/h</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9"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7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578"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85"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颚式破碎机</w:t>
                  </w:r>
                </w:p>
              </w:tc>
              <w:tc>
                <w:tcPr>
                  <w:tcW w:w="1638"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MC1000</w:t>
                  </w:r>
                </w:p>
              </w:tc>
              <w:tc>
                <w:tcPr>
                  <w:tcW w:w="1083" w:type="dxa"/>
                  <w:vAlign w:val="center"/>
                </w:tcPr>
                <w:p>
                  <w:pPr>
                    <w:widowControl/>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187.5t/h</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9"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7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578"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85"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反击破碎机</w:t>
                  </w:r>
                </w:p>
              </w:tc>
              <w:tc>
                <w:tcPr>
                  <w:tcW w:w="1638"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H3800</w:t>
                  </w:r>
                </w:p>
              </w:tc>
              <w:tc>
                <w:tcPr>
                  <w:tcW w:w="1083" w:type="dxa"/>
                  <w:vAlign w:val="center"/>
                </w:tcPr>
                <w:p>
                  <w:pPr>
                    <w:widowControl/>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187.5t/h</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9"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7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578"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85" w:type="dxa"/>
                  <w:tcBorders>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圆振筛</w:t>
                  </w:r>
                </w:p>
              </w:tc>
              <w:tc>
                <w:tcPr>
                  <w:tcW w:w="1638" w:type="dxa"/>
                  <w:tcBorders>
                    <w:left w:val="single" w:color="auto" w:sz="4" w:space="0"/>
                    <w:bottom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3YKR2460</w:t>
                  </w:r>
                </w:p>
              </w:tc>
              <w:tc>
                <w:tcPr>
                  <w:tcW w:w="1083" w:type="dxa"/>
                  <w:vAlign w:val="center"/>
                </w:tcPr>
                <w:p>
                  <w:pPr>
                    <w:widowControl/>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93.8t/h</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2台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9"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7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578"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85" w:type="dxa"/>
                  <w:tcBorders>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立轴制砂机</w:t>
                  </w:r>
                </w:p>
              </w:tc>
              <w:tc>
                <w:tcPr>
                  <w:tcW w:w="1638" w:type="dxa"/>
                  <w:tcBorders>
                    <w:left w:val="single" w:color="auto" w:sz="4" w:space="0"/>
                    <w:bottom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1750</w:t>
                  </w:r>
                </w:p>
              </w:tc>
              <w:tc>
                <w:tcPr>
                  <w:tcW w:w="1083" w:type="dxa"/>
                  <w:vAlign w:val="center"/>
                </w:tcPr>
                <w:p>
                  <w:pPr>
                    <w:widowControl/>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93.8t/h</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2台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9"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7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578"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85" w:type="dxa"/>
                  <w:tcBorders>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球磨机</w:t>
                  </w:r>
                </w:p>
              </w:tc>
              <w:tc>
                <w:tcPr>
                  <w:tcW w:w="1638" w:type="dxa"/>
                  <w:tcBorders>
                    <w:left w:val="single" w:color="auto" w:sz="4" w:space="0"/>
                    <w:bottom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QM2836</w:t>
                  </w:r>
                </w:p>
              </w:tc>
              <w:tc>
                <w:tcPr>
                  <w:tcW w:w="1083" w:type="dxa"/>
                  <w:vAlign w:val="center"/>
                </w:tcPr>
                <w:p>
                  <w:pPr>
                    <w:widowControl/>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93.8t/h</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2台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9"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7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578"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85" w:type="dxa"/>
                  <w:tcBorders>
                    <w:top w:val="single" w:color="auto" w:sz="4" w:space="0"/>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皮带运输机</w:t>
                  </w:r>
                </w:p>
              </w:tc>
              <w:tc>
                <w:tcPr>
                  <w:tcW w:w="1638" w:type="dxa"/>
                  <w:tcBorders>
                    <w:top w:val="single" w:color="auto" w:sz="4" w:space="0"/>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0.80m</w:t>
                  </w:r>
                </w:p>
              </w:tc>
              <w:tc>
                <w:tcPr>
                  <w:tcW w:w="1083" w:type="dxa"/>
                  <w:vAlign w:val="center"/>
                </w:tcPr>
                <w:p>
                  <w:pPr>
                    <w:widowControl/>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20.9t/h</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9套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7" w:hRule="atLeast"/>
                <w:jc w:val="center"/>
              </w:trPr>
              <w:tc>
                <w:tcPr>
                  <w:tcW w:w="879"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7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578" w:type="dxa"/>
                  <w:vMerge w:val="restart"/>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洗沙车间</w:t>
                  </w:r>
                </w:p>
              </w:tc>
              <w:tc>
                <w:tcPr>
                  <w:tcW w:w="1485"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轮式洗砂机</w:t>
                  </w:r>
                </w:p>
              </w:tc>
              <w:tc>
                <w:tcPr>
                  <w:tcW w:w="1638"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轮式</w:t>
                  </w:r>
                </w:p>
              </w:tc>
              <w:tc>
                <w:tcPr>
                  <w:tcW w:w="1083" w:type="dxa"/>
                  <w:vAlign w:val="center"/>
                </w:tcPr>
                <w:p>
                  <w:pPr>
                    <w:widowControl/>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46.9t/h</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4台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9"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7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578"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85"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细砂回收机</w:t>
                  </w:r>
                </w:p>
              </w:tc>
              <w:tc>
                <w:tcPr>
                  <w:tcW w:w="1638"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立体式</w:t>
                  </w:r>
                </w:p>
              </w:tc>
              <w:tc>
                <w:tcPr>
                  <w:tcW w:w="1083" w:type="dxa"/>
                  <w:vAlign w:val="center"/>
                </w:tcPr>
                <w:p>
                  <w:pPr>
                    <w:widowControl/>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93.8t/h</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2台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9"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71" w:type="dxa"/>
                  <w:vMerge w:val="continue"/>
                  <w:tcBorders>
                    <w:bottom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578"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85"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高频振脱水筛</w:t>
                  </w:r>
                </w:p>
              </w:tc>
              <w:tc>
                <w:tcPr>
                  <w:tcW w:w="1638"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1836</w:t>
                  </w:r>
                </w:p>
              </w:tc>
              <w:tc>
                <w:tcPr>
                  <w:tcW w:w="1083" w:type="dxa"/>
                  <w:vAlign w:val="center"/>
                </w:tcPr>
                <w:p>
                  <w:pPr>
                    <w:widowControl/>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93.8t/h</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2台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9"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储运工程</w:t>
                  </w:r>
                </w:p>
              </w:tc>
              <w:tc>
                <w:tcPr>
                  <w:tcW w:w="971"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储运</w:t>
                  </w:r>
                </w:p>
              </w:tc>
              <w:tc>
                <w:tcPr>
                  <w:tcW w:w="1578" w:type="dxa"/>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废石堆场</w:t>
                  </w:r>
                </w:p>
              </w:tc>
              <w:tc>
                <w:tcPr>
                  <w:tcW w:w="1485"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履带式挖掘机</w:t>
                  </w:r>
                </w:p>
              </w:tc>
              <w:tc>
                <w:tcPr>
                  <w:tcW w:w="1638"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c>
                <w:tcPr>
                  <w:tcW w:w="1083" w:type="dxa"/>
                  <w:vAlign w:val="center"/>
                </w:tcPr>
                <w:p>
                  <w:pPr>
                    <w:widowControl/>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2台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9"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7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578" w:type="dxa"/>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产品堆场</w:t>
                  </w:r>
                </w:p>
              </w:tc>
              <w:tc>
                <w:tcPr>
                  <w:tcW w:w="1485" w:type="dxa"/>
                  <w:tcBorders>
                    <w:left w:val="single" w:color="auto" w:sz="4" w:space="0"/>
                    <w:right w:val="single" w:color="auto" w:sz="4" w:space="0"/>
                  </w:tcBorders>
                  <w:vAlign w:val="center"/>
                </w:tcPr>
                <w:p>
                  <w:pPr>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轮式装载机</w:t>
                  </w:r>
                </w:p>
              </w:tc>
              <w:tc>
                <w:tcPr>
                  <w:tcW w:w="1638" w:type="dxa"/>
                  <w:tcBorders>
                    <w:left w:val="single" w:color="auto" w:sz="4" w:space="0"/>
                  </w:tcBorders>
                  <w:vAlign w:val="center"/>
                </w:tcPr>
                <w:p>
                  <w:pPr>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LG870</w:t>
                  </w:r>
                </w:p>
              </w:tc>
              <w:tc>
                <w:tcPr>
                  <w:tcW w:w="1083" w:type="dxa"/>
                  <w:vAlign w:val="center"/>
                </w:tcPr>
                <w:p>
                  <w:pPr>
                    <w:widowControl/>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4台</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2.4.2 二期工程</w:t>
            </w:r>
            <w:r>
              <w:rPr>
                <w:rFonts w:ascii="Times New Roman" w:hAnsi="Times New Roman" w:cs="Times New Roman"/>
                <w:b/>
                <w:color w:val="000000" w:themeColor="text1"/>
                <w:sz w:val="24"/>
                <w:szCs w:val="24"/>
              </w:rPr>
              <w:t>主要生产单元、主要工艺、生产设施及设施参数</w:t>
            </w:r>
          </w:p>
          <w:p>
            <w:pPr>
              <w:spacing w:line="360" w:lineRule="auto"/>
              <w:ind w:firstLine="480" w:firstLineChars="200"/>
              <w:rPr>
                <w:rFonts w:hint="eastAsia"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根据设计，项目</w:t>
            </w:r>
            <w:r>
              <w:rPr>
                <w:rFonts w:hint="eastAsia" w:ascii="Times New Roman" w:hAnsi="Times New Roman" w:cs="Times New Roman"/>
                <w:bCs/>
                <w:color w:val="000000" w:themeColor="text1"/>
                <w:sz w:val="24"/>
                <w:szCs w:val="24"/>
              </w:rPr>
              <w:t>二期工程</w:t>
            </w:r>
            <w:r>
              <w:rPr>
                <w:rFonts w:ascii="Times New Roman" w:hAnsi="Times New Roman" w:cs="Times New Roman"/>
                <w:bCs/>
                <w:color w:val="000000" w:themeColor="text1"/>
                <w:sz w:val="24"/>
                <w:szCs w:val="24"/>
              </w:rPr>
              <w:t>主要生产单元、主要工艺、生产设施及设施参数如下表所示。</w:t>
            </w:r>
          </w:p>
          <w:p>
            <w:pPr>
              <w:spacing w:line="360" w:lineRule="auto"/>
              <w:ind w:firstLine="480" w:firstLineChars="200"/>
              <w:rPr>
                <w:rFonts w:hint="eastAsia" w:ascii="Times New Roman" w:hAnsi="Times New Roman" w:cs="Times New Roman"/>
                <w:bCs/>
                <w:color w:val="000000" w:themeColor="text1"/>
                <w:sz w:val="24"/>
                <w:szCs w:val="24"/>
              </w:rPr>
            </w:pPr>
          </w:p>
          <w:p>
            <w:pPr>
              <w:spacing w:line="360" w:lineRule="auto"/>
              <w:ind w:firstLine="480" w:firstLineChars="200"/>
              <w:rPr>
                <w:rFonts w:hint="eastAsia" w:ascii="Times New Roman" w:hAnsi="Times New Roman" w:cs="Times New Roman"/>
                <w:bCs/>
                <w:color w:val="000000" w:themeColor="text1"/>
                <w:sz w:val="24"/>
                <w:szCs w:val="24"/>
              </w:rPr>
            </w:pPr>
          </w:p>
          <w:p>
            <w:pPr>
              <w:spacing w:line="360" w:lineRule="auto"/>
              <w:ind w:firstLine="480" w:firstLineChars="200"/>
              <w:rPr>
                <w:rFonts w:hint="eastAsia"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pStyle w:val="34"/>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表2.4</w:t>
            </w:r>
            <w:r>
              <w:rPr>
                <w:rFonts w:hint="eastAsia" w:hAnsi="Times New Roman" w:eastAsiaTheme="minorEastAsia"/>
                <w:bCs/>
                <w:snapToGrid w:val="0"/>
                <w:color w:val="000000" w:themeColor="text1"/>
                <w:sz w:val="21"/>
                <w:szCs w:val="21"/>
              </w:rPr>
              <w:t>.2</w:t>
            </w:r>
            <w:r>
              <w:rPr>
                <w:rFonts w:hAnsi="Times New Roman" w:eastAsiaTheme="minorEastAsia"/>
                <w:bCs/>
                <w:snapToGrid w:val="0"/>
                <w:color w:val="000000" w:themeColor="text1"/>
                <w:sz w:val="21"/>
                <w:szCs w:val="21"/>
              </w:rPr>
              <w:t xml:space="preserve">-1 </w:t>
            </w:r>
            <w:r>
              <w:rPr>
                <w:rFonts w:hint="eastAsia" w:hAnsi="Times New Roman" w:eastAsiaTheme="minorEastAsia"/>
                <w:bCs/>
                <w:snapToGrid w:val="0"/>
                <w:color w:val="000000" w:themeColor="text1"/>
                <w:sz w:val="21"/>
                <w:szCs w:val="21"/>
              </w:rPr>
              <w:t>二期工程</w:t>
            </w:r>
            <w:r>
              <w:rPr>
                <w:rFonts w:hAnsi="Times New Roman" w:eastAsiaTheme="minorEastAsia"/>
                <w:bCs/>
                <w:snapToGrid w:val="0"/>
                <w:color w:val="000000" w:themeColor="text1"/>
                <w:sz w:val="21"/>
                <w:szCs w:val="21"/>
              </w:rPr>
              <w:t>主要生产单元、主要工艺、生产设施及设施参数表</w:t>
            </w:r>
          </w:p>
          <w:tbl>
            <w:tblPr>
              <w:tblStyle w:val="21"/>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79"/>
              <w:gridCol w:w="971"/>
              <w:gridCol w:w="1578"/>
              <w:gridCol w:w="1485"/>
              <w:gridCol w:w="1638"/>
              <w:gridCol w:w="1083"/>
              <w:gridCol w:w="97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9"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主要生产单元</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主要工艺</w:t>
                  </w:r>
                </w:p>
              </w:tc>
              <w:tc>
                <w:tcPr>
                  <w:tcW w:w="3063" w:type="dxa"/>
                  <w:gridSpan w:val="2"/>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生产设施</w:t>
                  </w:r>
                </w:p>
              </w:tc>
              <w:tc>
                <w:tcPr>
                  <w:tcW w:w="1638"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规格型号</w:t>
                  </w:r>
                </w:p>
              </w:tc>
              <w:tc>
                <w:tcPr>
                  <w:tcW w:w="1083"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设施参数</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9" w:type="dxa"/>
                  <w:vMerge w:val="restart"/>
                  <w:tcBorders>
                    <w:top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主体工程</w:t>
                  </w:r>
                </w:p>
              </w:tc>
              <w:tc>
                <w:tcPr>
                  <w:tcW w:w="971" w:type="dxa"/>
                  <w:vMerge w:val="restart"/>
                  <w:tcBorders>
                    <w:top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混凝土砖生产线</w:t>
                  </w:r>
                </w:p>
              </w:tc>
              <w:tc>
                <w:tcPr>
                  <w:tcW w:w="1578" w:type="dxa"/>
                  <w:vMerge w:val="restart"/>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搅拌混合车间</w:t>
                  </w:r>
                </w:p>
              </w:tc>
              <w:tc>
                <w:tcPr>
                  <w:tcW w:w="1485"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提升斗</w:t>
                  </w:r>
                </w:p>
              </w:tc>
              <w:tc>
                <w:tcPr>
                  <w:tcW w:w="1638"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c>
                <w:tcPr>
                  <w:tcW w:w="1083" w:type="dxa"/>
                  <w:vAlign w:val="center"/>
                </w:tcPr>
                <w:p>
                  <w:pPr>
                    <w:widowControl/>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3.85t/h</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9"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7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578"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85"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水泥仓</w:t>
                  </w:r>
                </w:p>
              </w:tc>
              <w:tc>
                <w:tcPr>
                  <w:tcW w:w="1638"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100t</w:t>
                  </w:r>
                </w:p>
              </w:tc>
              <w:tc>
                <w:tcPr>
                  <w:tcW w:w="1083" w:type="dxa"/>
                  <w:vAlign w:val="center"/>
                </w:tcPr>
                <w:p>
                  <w:pPr>
                    <w:widowControl/>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3.85t/h</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9"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7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578"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85"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配料仓</w:t>
                  </w:r>
                </w:p>
              </w:tc>
              <w:tc>
                <w:tcPr>
                  <w:tcW w:w="1638"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c>
                <w:tcPr>
                  <w:tcW w:w="1083" w:type="dxa"/>
                  <w:vAlign w:val="center"/>
                </w:tcPr>
                <w:p>
                  <w:pPr>
                    <w:widowControl/>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1.93t/h</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2台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9"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7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578"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85"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搅拌机</w:t>
                  </w:r>
                </w:p>
              </w:tc>
              <w:tc>
                <w:tcPr>
                  <w:tcW w:w="1638"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QT750</w:t>
                  </w:r>
                </w:p>
              </w:tc>
              <w:tc>
                <w:tcPr>
                  <w:tcW w:w="1083" w:type="dxa"/>
                  <w:vAlign w:val="center"/>
                </w:tcPr>
                <w:p>
                  <w:pPr>
                    <w:widowControl/>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3.85t/h</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 w:hRule="atLeast"/>
                <w:jc w:val="center"/>
              </w:trPr>
              <w:tc>
                <w:tcPr>
                  <w:tcW w:w="879"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7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578" w:type="dxa"/>
                  <w:vMerge w:val="restart"/>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成型车间</w:t>
                  </w:r>
                </w:p>
              </w:tc>
              <w:tc>
                <w:tcPr>
                  <w:tcW w:w="1485"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砌块成型机</w:t>
                  </w:r>
                </w:p>
              </w:tc>
              <w:tc>
                <w:tcPr>
                  <w:tcW w:w="1638"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QT18-18</w:t>
                  </w:r>
                </w:p>
              </w:tc>
              <w:tc>
                <w:tcPr>
                  <w:tcW w:w="1083" w:type="dxa"/>
                  <w:vAlign w:val="center"/>
                </w:tcPr>
                <w:p>
                  <w:pPr>
                    <w:widowControl/>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3.85t/h</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 w:hRule="atLeast"/>
                <w:jc w:val="center"/>
              </w:trPr>
              <w:tc>
                <w:tcPr>
                  <w:tcW w:w="879"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7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578"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85"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模板架</w:t>
                  </w:r>
                </w:p>
              </w:tc>
              <w:tc>
                <w:tcPr>
                  <w:tcW w:w="1638"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c>
                <w:tcPr>
                  <w:tcW w:w="1083" w:type="dxa"/>
                  <w:vAlign w:val="center"/>
                </w:tcPr>
                <w:p>
                  <w:pPr>
                    <w:widowControl/>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200个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9"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7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578" w:type="dxa"/>
                  <w:vMerge w:val="restart"/>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养护区</w:t>
                  </w:r>
                </w:p>
              </w:tc>
              <w:tc>
                <w:tcPr>
                  <w:tcW w:w="1485"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叠砖机</w:t>
                  </w:r>
                </w:p>
              </w:tc>
              <w:tc>
                <w:tcPr>
                  <w:tcW w:w="1638"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c>
                <w:tcPr>
                  <w:tcW w:w="1083" w:type="dxa"/>
                  <w:vAlign w:val="center"/>
                </w:tcPr>
                <w:p>
                  <w:pPr>
                    <w:widowControl/>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3.85t/h</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9"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7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578"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85" w:type="dxa"/>
                  <w:tcBorders>
                    <w:left w:val="single" w:color="auto" w:sz="4" w:space="0"/>
                    <w:right w:val="single" w:color="auto" w:sz="4" w:space="0"/>
                  </w:tcBorders>
                  <w:vAlign w:val="center"/>
                </w:tcPr>
                <w:p>
                  <w:pPr>
                    <w:widowControl/>
                    <w:jc w:val="center"/>
                    <w:textAlignment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合力叉车</w:t>
                  </w:r>
                </w:p>
              </w:tc>
              <w:tc>
                <w:tcPr>
                  <w:tcW w:w="1638"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3.5t</w:t>
                  </w:r>
                </w:p>
              </w:tc>
              <w:tc>
                <w:tcPr>
                  <w:tcW w:w="1083" w:type="dxa"/>
                  <w:vAlign w:val="center"/>
                </w:tcPr>
                <w:p>
                  <w:pPr>
                    <w:widowControl/>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c>
                <w:tcPr>
                  <w:tcW w:w="97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2台</w:t>
                  </w:r>
                </w:p>
              </w:tc>
            </w:tr>
          </w:tbl>
          <w:p>
            <w:pPr>
              <w:autoSpaceDE w:val="0"/>
              <w:autoSpaceDN w:val="0"/>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 原辅料来源及性质</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2.5.1 原辅料</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（1）生产用原辅料的用量及来源</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①一期工程原辅料用量</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根据设计，项目</w:t>
            </w: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主要利用昆明市东川金水矿业有限责任公司落雪铜矿在开采过程中产生大量的废石，生产砂石骨料。砂石骨料的主要原料为废石。</w:t>
            </w: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主要原辅料用量如下表所示。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表2.5.1-1  项目</w:t>
            </w:r>
            <w:r>
              <w:rPr>
                <w:rFonts w:hint="eastAsia" w:ascii="Times New Roman" w:hAnsi="Times New Roman" w:cs="Times New Roman"/>
                <w:b/>
                <w:color w:val="000000" w:themeColor="text1"/>
                <w:sz w:val="24"/>
                <w:szCs w:val="24"/>
              </w:rPr>
              <w:t>一期工程</w:t>
            </w:r>
            <w:r>
              <w:rPr>
                <w:rFonts w:ascii="Times New Roman" w:hAnsi="Times New Roman" w:cs="Times New Roman"/>
                <w:b/>
                <w:color w:val="000000" w:themeColor="text1"/>
                <w:szCs w:val="24"/>
              </w:rPr>
              <w:t>原辅量消耗表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808"/>
              <w:gridCol w:w="1337"/>
              <w:gridCol w:w="1204"/>
              <w:gridCol w:w="1205"/>
              <w:gridCol w:w="3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Merge w:val="restart"/>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序号</w:t>
                  </w:r>
                </w:p>
              </w:tc>
              <w:tc>
                <w:tcPr>
                  <w:tcW w:w="808" w:type="dxa"/>
                  <w:vMerge w:val="restart"/>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类型</w:t>
                  </w:r>
                </w:p>
              </w:tc>
              <w:tc>
                <w:tcPr>
                  <w:tcW w:w="1337" w:type="dxa"/>
                  <w:vMerge w:val="restart"/>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名称</w:t>
                  </w:r>
                </w:p>
              </w:tc>
              <w:tc>
                <w:tcPr>
                  <w:tcW w:w="2409" w:type="dxa"/>
                  <w:gridSpan w:val="2"/>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用量</w:t>
                  </w:r>
                </w:p>
              </w:tc>
              <w:tc>
                <w:tcPr>
                  <w:tcW w:w="3468" w:type="dxa"/>
                  <w:vMerge w:val="restart"/>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lang w:val="zh-CN"/>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Merge w:val="continue"/>
                  <w:vAlign w:val="center"/>
                </w:tcPr>
                <w:p>
                  <w:pPr>
                    <w:spacing w:line="360" w:lineRule="exact"/>
                    <w:jc w:val="center"/>
                    <w:rPr>
                      <w:rFonts w:ascii="Times New Roman" w:hAnsi="Times New Roman" w:eastAsia="宋体" w:cs="Times New Roman"/>
                      <w:bCs/>
                      <w:snapToGrid w:val="0"/>
                      <w:color w:val="000000" w:themeColor="text1"/>
                      <w:kern w:val="32"/>
                    </w:rPr>
                  </w:pPr>
                </w:p>
              </w:tc>
              <w:tc>
                <w:tcPr>
                  <w:tcW w:w="808" w:type="dxa"/>
                  <w:vMerge w:val="continue"/>
                  <w:vAlign w:val="center"/>
                </w:tcPr>
                <w:p>
                  <w:pPr>
                    <w:spacing w:line="360" w:lineRule="exact"/>
                    <w:jc w:val="center"/>
                    <w:rPr>
                      <w:rFonts w:ascii="Times New Roman" w:hAnsi="Times New Roman" w:eastAsia="宋体" w:cs="Times New Roman"/>
                      <w:bCs/>
                      <w:snapToGrid w:val="0"/>
                      <w:color w:val="000000" w:themeColor="text1"/>
                      <w:kern w:val="32"/>
                    </w:rPr>
                  </w:pPr>
                </w:p>
              </w:tc>
              <w:tc>
                <w:tcPr>
                  <w:tcW w:w="1337" w:type="dxa"/>
                  <w:vMerge w:val="continue"/>
                  <w:vAlign w:val="center"/>
                </w:tcPr>
                <w:p>
                  <w:pPr>
                    <w:spacing w:line="360" w:lineRule="exact"/>
                    <w:jc w:val="center"/>
                    <w:rPr>
                      <w:rFonts w:ascii="Times New Roman" w:hAnsi="Times New Roman" w:eastAsia="宋体" w:cs="Times New Roman"/>
                      <w:bCs/>
                      <w:snapToGrid w:val="0"/>
                      <w:color w:val="000000" w:themeColor="text1"/>
                      <w:kern w:val="32"/>
                    </w:rPr>
                  </w:pPr>
                </w:p>
              </w:tc>
              <w:tc>
                <w:tcPr>
                  <w:tcW w:w="1204"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m³/a</w:t>
                  </w:r>
                </w:p>
              </w:tc>
              <w:tc>
                <w:tcPr>
                  <w:tcW w:w="1205"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t/a</w:t>
                  </w:r>
                </w:p>
              </w:tc>
              <w:tc>
                <w:tcPr>
                  <w:tcW w:w="3468" w:type="dxa"/>
                  <w:vMerge w:val="continue"/>
                  <w:vAlign w:val="center"/>
                </w:tcPr>
                <w:p>
                  <w:pPr>
                    <w:spacing w:line="360" w:lineRule="exact"/>
                    <w:jc w:val="center"/>
                    <w:rPr>
                      <w:rFonts w:ascii="Times New Roman" w:hAnsi="Times New Roman" w:eastAsia="宋体" w:cs="Times New Roman"/>
                      <w:bCs/>
                      <w:snapToGrid w:val="0"/>
                      <w:color w:val="000000" w:themeColor="text1"/>
                      <w:kern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1</w:t>
                  </w:r>
                </w:p>
              </w:tc>
              <w:tc>
                <w:tcPr>
                  <w:tcW w:w="808"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原料</w:t>
                  </w:r>
                </w:p>
              </w:tc>
              <w:tc>
                <w:tcPr>
                  <w:tcW w:w="1337"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废石</w:t>
                  </w:r>
                </w:p>
              </w:tc>
              <w:tc>
                <w:tcPr>
                  <w:tcW w:w="1204"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约54.5万</w:t>
                  </w:r>
                </w:p>
              </w:tc>
              <w:tc>
                <w:tcPr>
                  <w:tcW w:w="1205"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约90万</w:t>
                  </w:r>
                </w:p>
              </w:tc>
              <w:tc>
                <w:tcPr>
                  <w:tcW w:w="3468" w:type="dxa"/>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昆明市东川金水矿业有限责任公司落雪铜矿。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3</w:t>
                  </w:r>
                </w:p>
              </w:tc>
              <w:tc>
                <w:tcPr>
                  <w:tcW w:w="808"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辅料</w:t>
                  </w:r>
                </w:p>
              </w:tc>
              <w:tc>
                <w:tcPr>
                  <w:tcW w:w="1337"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新鲜水</w:t>
                  </w:r>
                </w:p>
              </w:tc>
              <w:tc>
                <w:tcPr>
                  <w:tcW w:w="2409" w:type="dxa"/>
                  <w:gridSpan w:val="2"/>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1</w:t>
                  </w:r>
                  <w:r>
                    <w:rPr>
                      <w:rFonts w:hint="eastAsia" w:ascii="Times New Roman" w:hAnsi="Times New Roman" w:eastAsia="宋体" w:cs="Times New Roman"/>
                      <w:bCs/>
                      <w:snapToGrid w:val="0"/>
                      <w:color w:val="000000" w:themeColor="text1"/>
                      <w:kern w:val="32"/>
                    </w:rPr>
                    <w:t>4851.66</w:t>
                  </w:r>
                  <w:r>
                    <w:rPr>
                      <w:rFonts w:ascii="Times New Roman" w:hAnsi="Times New Roman" w:eastAsia="宋体" w:cs="Times New Roman"/>
                      <w:bCs/>
                      <w:snapToGrid w:val="0"/>
                      <w:color w:val="000000" w:themeColor="text1"/>
                      <w:kern w:val="32"/>
                    </w:rPr>
                    <w:t>m³/a</w:t>
                  </w:r>
                </w:p>
              </w:tc>
              <w:tc>
                <w:tcPr>
                  <w:tcW w:w="3468" w:type="dxa"/>
                  <w:vAlign w:val="center"/>
                </w:tcPr>
                <w:p>
                  <w:pPr>
                    <w:spacing w:line="360" w:lineRule="exact"/>
                    <w:ind w:firstLine="210" w:firstLineChars="100"/>
                    <w:jc w:val="left"/>
                    <w:rPr>
                      <w:rFonts w:ascii="Times New Roman" w:hAnsi="Times New Roman" w:eastAsia="宋体" w:cs="Times New Roman"/>
                      <w:bCs/>
                      <w:snapToGrid w:val="0"/>
                      <w:color w:val="FF0000"/>
                      <w:kern w:val="32"/>
                      <w:lang w:val="zh-CN"/>
                    </w:rPr>
                  </w:pPr>
                  <w:r>
                    <w:rPr>
                      <w:color w:val="FF0000"/>
                    </w:rPr>
                    <w:t>建设单位旗下的</w:t>
                  </w:r>
                  <w:r>
                    <w:rPr>
                      <w:rFonts w:hint="eastAsia" w:ascii="Times New Roman" w:hAnsi="Times New Roman" w:cs="Times New Roman"/>
                      <w:color w:val="FF0000"/>
                    </w:rPr>
                    <w:t>三分厂</w:t>
                  </w:r>
                  <w:r>
                    <w:rPr>
                      <w:rFonts w:hint="eastAsia"/>
                      <w:color w:val="FF0000"/>
                    </w:rPr>
                    <w:t>供水管网进行供水。</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②二期工程原辅料用量</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根据设计，项目</w:t>
            </w:r>
            <w:r>
              <w:rPr>
                <w:rFonts w:hint="eastAsia" w:ascii="Times New Roman" w:hAnsi="Times New Roman" w:cs="Times New Roman"/>
                <w:color w:val="000000" w:themeColor="text1"/>
                <w:sz w:val="24"/>
                <w:szCs w:val="24"/>
              </w:rPr>
              <w:t>二期工程</w:t>
            </w:r>
            <w:r>
              <w:rPr>
                <w:rFonts w:ascii="Times New Roman" w:hAnsi="Times New Roman" w:cs="Times New Roman"/>
                <w:color w:val="000000" w:themeColor="text1"/>
                <w:sz w:val="24"/>
                <w:szCs w:val="24"/>
              </w:rPr>
              <w:t>水泥砖的主要原料为项目骨料生产线生产的砂石骨料（Φ0-5mm、Φ0-7mm）和水泥。</w:t>
            </w:r>
            <w:r>
              <w:rPr>
                <w:rFonts w:hint="eastAsia" w:ascii="Times New Roman" w:hAnsi="Times New Roman" w:cs="Times New Roman"/>
                <w:color w:val="000000" w:themeColor="text1"/>
                <w:sz w:val="24"/>
                <w:szCs w:val="24"/>
              </w:rPr>
              <w:t>二期工程</w:t>
            </w:r>
            <w:r>
              <w:rPr>
                <w:rFonts w:ascii="Times New Roman" w:hAnsi="Times New Roman" w:cs="Times New Roman"/>
                <w:color w:val="000000" w:themeColor="text1"/>
                <w:sz w:val="24"/>
                <w:szCs w:val="24"/>
              </w:rPr>
              <w:t>主要原辅料用量如下表所示。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表2.5.1-</w:t>
            </w:r>
            <w:r>
              <w:rPr>
                <w:rFonts w:hint="eastAsia" w:ascii="Times New Roman" w:hAnsi="Times New Roman" w:cs="Times New Roman"/>
                <w:b/>
                <w:color w:val="000000" w:themeColor="text1"/>
                <w:szCs w:val="24"/>
              </w:rPr>
              <w:t>2</w:t>
            </w:r>
            <w:r>
              <w:rPr>
                <w:rFonts w:ascii="Times New Roman" w:hAnsi="Times New Roman" w:cs="Times New Roman"/>
                <w:b/>
                <w:color w:val="000000" w:themeColor="text1"/>
                <w:szCs w:val="24"/>
              </w:rPr>
              <w:t xml:space="preserve">  项目</w:t>
            </w:r>
            <w:r>
              <w:rPr>
                <w:rFonts w:hint="eastAsia" w:ascii="Times New Roman" w:hAnsi="Times New Roman" w:cs="Times New Roman"/>
                <w:b/>
                <w:color w:val="000000" w:themeColor="text1"/>
                <w:szCs w:val="24"/>
              </w:rPr>
              <w:t>二期工程</w:t>
            </w:r>
            <w:r>
              <w:rPr>
                <w:rFonts w:ascii="Times New Roman" w:hAnsi="Times New Roman" w:cs="Times New Roman"/>
                <w:b/>
                <w:color w:val="000000" w:themeColor="text1"/>
                <w:szCs w:val="24"/>
              </w:rPr>
              <w:t>原辅量消耗表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808"/>
              <w:gridCol w:w="1895"/>
              <w:gridCol w:w="1418"/>
              <w:gridCol w:w="9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3" w:type="dxa"/>
                  <w:vMerge w:val="restart"/>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序号</w:t>
                  </w:r>
                </w:p>
              </w:tc>
              <w:tc>
                <w:tcPr>
                  <w:tcW w:w="808" w:type="dxa"/>
                  <w:vMerge w:val="restart"/>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类型</w:t>
                  </w:r>
                </w:p>
              </w:tc>
              <w:tc>
                <w:tcPr>
                  <w:tcW w:w="1895" w:type="dxa"/>
                  <w:vMerge w:val="restart"/>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名称</w:t>
                  </w:r>
                </w:p>
              </w:tc>
              <w:tc>
                <w:tcPr>
                  <w:tcW w:w="2410" w:type="dxa"/>
                  <w:gridSpan w:val="2"/>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用量</w:t>
                  </w:r>
                </w:p>
              </w:tc>
              <w:tc>
                <w:tcPr>
                  <w:tcW w:w="2909" w:type="dxa"/>
                  <w:vMerge w:val="restart"/>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lang w:val="zh-CN"/>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583" w:type="dxa"/>
                  <w:vMerge w:val="continue"/>
                  <w:vAlign w:val="center"/>
                </w:tcPr>
                <w:p>
                  <w:pPr>
                    <w:spacing w:line="360" w:lineRule="exact"/>
                    <w:jc w:val="center"/>
                    <w:rPr>
                      <w:rFonts w:ascii="Times New Roman" w:hAnsi="Times New Roman" w:eastAsia="宋体" w:cs="Times New Roman"/>
                      <w:bCs/>
                      <w:snapToGrid w:val="0"/>
                      <w:color w:val="000000" w:themeColor="text1"/>
                      <w:kern w:val="32"/>
                    </w:rPr>
                  </w:pPr>
                </w:p>
              </w:tc>
              <w:tc>
                <w:tcPr>
                  <w:tcW w:w="808" w:type="dxa"/>
                  <w:vMerge w:val="continue"/>
                  <w:vAlign w:val="center"/>
                </w:tcPr>
                <w:p>
                  <w:pPr>
                    <w:spacing w:line="360" w:lineRule="exact"/>
                    <w:jc w:val="center"/>
                    <w:rPr>
                      <w:rFonts w:ascii="Times New Roman" w:hAnsi="Times New Roman" w:eastAsia="宋体" w:cs="Times New Roman"/>
                      <w:bCs/>
                      <w:snapToGrid w:val="0"/>
                      <w:color w:val="000000" w:themeColor="text1"/>
                      <w:kern w:val="32"/>
                    </w:rPr>
                  </w:pPr>
                </w:p>
              </w:tc>
              <w:tc>
                <w:tcPr>
                  <w:tcW w:w="1895" w:type="dxa"/>
                  <w:vMerge w:val="continue"/>
                  <w:vAlign w:val="center"/>
                </w:tcPr>
                <w:p>
                  <w:pPr>
                    <w:spacing w:line="360" w:lineRule="exact"/>
                    <w:jc w:val="center"/>
                    <w:rPr>
                      <w:rFonts w:ascii="Times New Roman" w:hAnsi="Times New Roman" w:eastAsia="宋体" w:cs="Times New Roman"/>
                      <w:bCs/>
                      <w:snapToGrid w:val="0"/>
                      <w:color w:val="000000" w:themeColor="text1"/>
                      <w:kern w:val="32"/>
                    </w:rPr>
                  </w:pPr>
                </w:p>
              </w:tc>
              <w:tc>
                <w:tcPr>
                  <w:tcW w:w="1418"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m³/a</w:t>
                  </w:r>
                </w:p>
              </w:tc>
              <w:tc>
                <w:tcPr>
                  <w:tcW w:w="992"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t/a</w:t>
                  </w:r>
                </w:p>
              </w:tc>
              <w:tc>
                <w:tcPr>
                  <w:tcW w:w="2909" w:type="dxa"/>
                  <w:vMerge w:val="continue"/>
                  <w:vAlign w:val="center"/>
                </w:tcPr>
                <w:p>
                  <w:pPr>
                    <w:spacing w:line="360" w:lineRule="exact"/>
                    <w:jc w:val="center"/>
                    <w:rPr>
                      <w:rFonts w:ascii="Times New Roman" w:hAnsi="Times New Roman" w:eastAsia="宋体" w:cs="Times New Roman"/>
                      <w:bCs/>
                      <w:snapToGrid w:val="0"/>
                      <w:color w:val="000000" w:themeColor="text1"/>
                      <w:kern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Merge w:val="restart"/>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1</w:t>
                  </w:r>
                </w:p>
              </w:tc>
              <w:tc>
                <w:tcPr>
                  <w:tcW w:w="808" w:type="dxa"/>
                  <w:vMerge w:val="restart"/>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原料</w:t>
                  </w:r>
                </w:p>
              </w:tc>
              <w:tc>
                <w:tcPr>
                  <w:tcW w:w="1895"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Φ0-5mm砂石骨料</w:t>
                  </w:r>
                </w:p>
              </w:tc>
              <w:tc>
                <w:tcPr>
                  <w:tcW w:w="1418"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4003.71</w:t>
                  </w:r>
                </w:p>
              </w:tc>
              <w:tc>
                <w:tcPr>
                  <w:tcW w:w="992"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6611.63</w:t>
                  </w:r>
                </w:p>
              </w:tc>
              <w:tc>
                <w:tcPr>
                  <w:tcW w:w="2909" w:type="dxa"/>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一期工程生产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Merge w:val="continue"/>
                  <w:vAlign w:val="center"/>
                </w:tcPr>
                <w:p>
                  <w:pPr>
                    <w:spacing w:line="360" w:lineRule="exact"/>
                    <w:jc w:val="center"/>
                    <w:rPr>
                      <w:rFonts w:ascii="Times New Roman" w:hAnsi="Times New Roman" w:eastAsia="宋体" w:cs="Times New Roman"/>
                      <w:bCs/>
                      <w:snapToGrid w:val="0"/>
                      <w:color w:val="000000" w:themeColor="text1"/>
                      <w:kern w:val="32"/>
                    </w:rPr>
                  </w:pPr>
                </w:p>
              </w:tc>
              <w:tc>
                <w:tcPr>
                  <w:tcW w:w="808" w:type="dxa"/>
                  <w:vMerge w:val="continue"/>
                  <w:vAlign w:val="center"/>
                </w:tcPr>
                <w:p>
                  <w:pPr>
                    <w:spacing w:line="360" w:lineRule="exact"/>
                    <w:jc w:val="center"/>
                    <w:rPr>
                      <w:rFonts w:ascii="Times New Roman" w:hAnsi="Times New Roman" w:eastAsia="宋体" w:cs="Times New Roman"/>
                      <w:bCs/>
                      <w:snapToGrid w:val="0"/>
                      <w:color w:val="000000" w:themeColor="text1"/>
                      <w:kern w:val="32"/>
                    </w:rPr>
                  </w:pPr>
                </w:p>
              </w:tc>
              <w:tc>
                <w:tcPr>
                  <w:tcW w:w="1895"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Φ0-7mm砂石骨料</w:t>
                  </w:r>
                </w:p>
              </w:tc>
              <w:tc>
                <w:tcPr>
                  <w:tcW w:w="1418"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6005.56</w:t>
                  </w:r>
                </w:p>
              </w:tc>
              <w:tc>
                <w:tcPr>
                  <w:tcW w:w="992"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9917.44</w:t>
                  </w:r>
                </w:p>
              </w:tc>
              <w:tc>
                <w:tcPr>
                  <w:tcW w:w="2909" w:type="dxa"/>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一期工程生产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Merge w:val="continue"/>
                  <w:vAlign w:val="center"/>
                </w:tcPr>
                <w:p>
                  <w:pPr>
                    <w:spacing w:line="360" w:lineRule="exact"/>
                    <w:jc w:val="center"/>
                    <w:rPr>
                      <w:rFonts w:ascii="Times New Roman" w:hAnsi="Times New Roman" w:eastAsia="宋体" w:cs="Times New Roman"/>
                      <w:bCs/>
                      <w:snapToGrid w:val="0"/>
                      <w:color w:val="000000" w:themeColor="text1"/>
                      <w:kern w:val="32"/>
                    </w:rPr>
                  </w:pPr>
                </w:p>
              </w:tc>
              <w:tc>
                <w:tcPr>
                  <w:tcW w:w="808" w:type="dxa"/>
                  <w:vMerge w:val="continue"/>
                  <w:vAlign w:val="center"/>
                </w:tcPr>
                <w:p>
                  <w:pPr>
                    <w:spacing w:line="360" w:lineRule="exact"/>
                    <w:jc w:val="center"/>
                    <w:rPr>
                      <w:rFonts w:ascii="Times New Roman" w:hAnsi="Times New Roman" w:eastAsia="宋体" w:cs="Times New Roman"/>
                      <w:bCs/>
                      <w:snapToGrid w:val="0"/>
                      <w:color w:val="000000" w:themeColor="text1"/>
                      <w:kern w:val="32"/>
                    </w:rPr>
                  </w:pPr>
                </w:p>
              </w:tc>
              <w:tc>
                <w:tcPr>
                  <w:tcW w:w="1895"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水泥</w:t>
                  </w:r>
                </w:p>
              </w:tc>
              <w:tc>
                <w:tcPr>
                  <w:tcW w:w="1418"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w:t>
                  </w:r>
                </w:p>
              </w:tc>
              <w:tc>
                <w:tcPr>
                  <w:tcW w:w="992"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2644.65</w:t>
                  </w:r>
                </w:p>
              </w:tc>
              <w:tc>
                <w:tcPr>
                  <w:tcW w:w="2909" w:type="dxa"/>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市场购买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3</w:t>
                  </w:r>
                </w:p>
              </w:tc>
              <w:tc>
                <w:tcPr>
                  <w:tcW w:w="808"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辅料</w:t>
                  </w:r>
                </w:p>
              </w:tc>
              <w:tc>
                <w:tcPr>
                  <w:tcW w:w="1895" w:type="dxa"/>
                  <w:vAlign w:val="center"/>
                </w:tcPr>
                <w:p>
                  <w:pPr>
                    <w:spacing w:line="360" w:lineRule="exact"/>
                    <w:jc w:val="center"/>
                    <w:rPr>
                      <w:rFonts w:ascii="Times New Roman" w:hAnsi="Times New Roman" w:eastAsia="宋体" w:cs="Times New Roman"/>
                      <w:bCs/>
                      <w:snapToGrid w:val="0"/>
                      <w:color w:val="000000" w:themeColor="text1"/>
                      <w:kern w:val="32"/>
                    </w:rPr>
                  </w:pPr>
                  <w:r>
                    <w:rPr>
                      <w:rFonts w:ascii="Times New Roman" w:hAnsi="Times New Roman" w:eastAsia="宋体" w:cs="Times New Roman"/>
                      <w:bCs/>
                      <w:snapToGrid w:val="0"/>
                      <w:color w:val="000000" w:themeColor="text1"/>
                      <w:kern w:val="32"/>
                    </w:rPr>
                    <w:t>新鲜水</w:t>
                  </w:r>
                </w:p>
              </w:tc>
              <w:tc>
                <w:tcPr>
                  <w:tcW w:w="2410" w:type="dxa"/>
                  <w:gridSpan w:val="2"/>
                  <w:vAlign w:val="center"/>
                </w:tcPr>
                <w:p>
                  <w:pPr>
                    <w:spacing w:line="360" w:lineRule="exact"/>
                    <w:jc w:val="center"/>
                    <w:rPr>
                      <w:rFonts w:ascii="Times New Roman" w:hAnsi="Times New Roman" w:eastAsia="宋体" w:cs="Times New Roman"/>
                      <w:bCs/>
                      <w:snapToGrid w:val="0"/>
                      <w:color w:val="000000" w:themeColor="text1"/>
                      <w:kern w:val="32"/>
                    </w:rPr>
                  </w:pPr>
                  <w:r>
                    <w:rPr>
                      <w:rFonts w:hint="eastAsia" w:ascii="Times New Roman" w:hAnsi="Times New Roman" w:eastAsia="宋体" w:cs="Times New Roman"/>
                      <w:bCs/>
                      <w:snapToGrid w:val="0"/>
                      <w:color w:val="000000" w:themeColor="text1"/>
                      <w:kern w:val="32"/>
                    </w:rPr>
                    <w:t>3834.7</w:t>
                  </w:r>
                  <w:r>
                    <w:rPr>
                      <w:rFonts w:ascii="Times New Roman" w:hAnsi="Times New Roman" w:eastAsia="宋体" w:cs="Times New Roman"/>
                      <w:bCs/>
                      <w:snapToGrid w:val="0"/>
                      <w:color w:val="000000" w:themeColor="text1"/>
                      <w:kern w:val="32"/>
                    </w:rPr>
                    <w:t>4m³/a</w:t>
                  </w:r>
                </w:p>
              </w:tc>
              <w:tc>
                <w:tcPr>
                  <w:tcW w:w="2909" w:type="dxa"/>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color w:val="FF0000"/>
                    </w:rPr>
                    <w:t>建设单位旗下的</w:t>
                  </w:r>
                  <w:r>
                    <w:rPr>
                      <w:rFonts w:hint="eastAsia" w:ascii="Times New Roman" w:hAnsi="Times New Roman" w:cs="Times New Roman"/>
                      <w:color w:val="FF0000"/>
                    </w:rPr>
                    <w:t>三分厂</w:t>
                  </w:r>
                  <w:r>
                    <w:rPr>
                      <w:rFonts w:hint="eastAsia"/>
                      <w:color w:val="FF0000"/>
                    </w:rPr>
                    <w:t>供水管网进行供水。</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（2）废石的属性鉴别</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为确定昆明市东川金水矿业有限责任公司落雪铜矿产生的废石的固体废物属性，建设单位委托云南道达沣环境科技有限公司对废石进行了属性鉴别。</w:t>
            </w:r>
          </w:p>
          <w:p>
            <w:pPr>
              <w:spacing w:line="360" w:lineRule="auto"/>
              <w:ind w:firstLine="482" w:firstLineChars="200"/>
              <w:rPr>
                <w:rFonts w:ascii="Times New Roman" w:hAnsi="Times New Roman" w:eastAsia="宋体" w:cs="Times New Roman"/>
                <w:b/>
                <w:color w:val="000000" w:themeColor="text1"/>
                <w:sz w:val="24"/>
                <w:szCs w:val="24"/>
              </w:rPr>
            </w:pPr>
            <w:r>
              <w:rPr>
                <w:rFonts w:ascii="Times New Roman" w:hAnsi="Times New Roman" w:eastAsia="宋体" w:cs="Times New Roman"/>
                <w:b/>
                <w:color w:val="000000" w:themeColor="text1"/>
                <w:sz w:val="24"/>
                <w:szCs w:val="24"/>
              </w:rPr>
              <w:t>①酸浸鉴别结果（pH值水浸）</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根据监测报告，废石渣通过酸浸后，其腐蚀性及浸出毒性鉴别结果见下表。</w:t>
            </w:r>
          </w:p>
          <w:p>
            <w:pPr>
              <w:jc w:val="center"/>
              <w:rPr>
                <w:rFonts w:ascii="Times New Roman" w:hAnsi="Times New Roman" w:eastAsia="宋体" w:cs="Times New Roman"/>
                <w:b/>
                <w:color w:val="000000" w:themeColor="text1"/>
              </w:rPr>
            </w:pPr>
            <w:r>
              <w:rPr>
                <w:rFonts w:ascii="Times New Roman" w:hAnsi="Times New Roman" w:eastAsia="宋体" w:cs="Times New Roman"/>
                <w:b/>
                <w:color w:val="000000" w:themeColor="text1"/>
              </w:rPr>
              <w:t>表2.5.1-</w:t>
            </w:r>
            <w:r>
              <w:rPr>
                <w:rFonts w:hint="eastAsia" w:ascii="Times New Roman" w:hAnsi="Times New Roman" w:eastAsia="宋体" w:cs="Times New Roman"/>
                <w:b/>
                <w:color w:val="000000" w:themeColor="text1"/>
              </w:rPr>
              <w:t>3</w:t>
            </w:r>
            <w:r>
              <w:rPr>
                <w:rFonts w:ascii="Times New Roman" w:hAnsi="Times New Roman" w:eastAsia="宋体" w:cs="Times New Roman"/>
                <w:b/>
                <w:color w:val="000000" w:themeColor="text1"/>
              </w:rPr>
              <w:t xml:space="preserve"> 废石渣腐蚀性、浸出毒性检测结果一览表   单位：mg/L</w:t>
            </w:r>
          </w:p>
          <w:tbl>
            <w:tblPr>
              <w:tblStyle w:val="21"/>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3"/>
              <w:gridCol w:w="1341"/>
              <w:gridCol w:w="1631"/>
              <w:gridCol w:w="2034"/>
              <w:gridCol w:w="264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0" w:hRule="atLeast"/>
                <w:jc w:val="center"/>
              </w:trPr>
              <w:tc>
                <w:tcPr>
                  <w:tcW w:w="945" w:type="dxa"/>
                  <w:vAlign w:val="center"/>
                </w:tcPr>
                <w:p>
                  <w:pPr>
                    <w:pStyle w:val="32"/>
                    <w:spacing w:line="360" w:lineRule="exact"/>
                    <w:rPr>
                      <w:color w:val="000000" w:themeColor="text1"/>
                      <w:szCs w:val="21"/>
                    </w:rPr>
                  </w:pPr>
                  <w:r>
                    <w:rPr>
                      <w:color w:val="000000" w:themeColor="text1"/>
                      <w:szCs w:val="21"/>
                    </w:rPr>
                    <w:t>序号</w:t>
                  </w:r>
                </w:p>
              </w:tc>
              <w:tc>
                <w:tcPr>
                  <w:tcW w:w="2943" w:type="dxa"/>
                  <w:gridSpan w:val="2"/>
                  <w:vAlign w:val="center"/>
                </w:tcPr>
                <w:p>
                  <w:pPr>
                    <w:pStyle w:val="32"/>
                    <w:spacing w:line="360" w:lineRule="exact"/>
                    <w:rPr>
                      <w:color w:val="000000" w:themeColor="text1"/>
                      <w:szCs w:val="21"/>
                    </w:rPr>
                  </w:pPr>
                  <w:r>
                    <w:rPr>
                      <w:color w:val="000000" w:themeColor="text1"/>
                      <w:szCs w:val="21"/>
                    </w:rPr>
                    <w:t>污染因子</w:t>
                  </w:r>
                </w:p>
              </w:tc>
              <w:tc>
                <w:tcPr>
                  <w:tcW w:w="2014"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检出值</w:t>
                  </w:r>
                </w:p>
              </w:tc>
              <w:tc>
                <w:tcPr>
                  <w:tcW w:w="2620" w:type="dxa"/>
                  <w:vAlign w:val="center"/>
                </w:tcPr>
                <w:p>
                  <w:pPr>
                    <w:pStyle w:val="32"/>
                    <w:spacing w:line="360" w:lineRule="exact"/>
                    <w:rPr>
                      <w:color w:val="000000" w:themeColor="text1"/>
                      <w:szCs w:val="21"/>
                    </w:rPr>
                  </w:pPr>
                  <w:r>
                    <w:rPr>
                      <w:color w:val="000000" w:themeColor="text1"/>
                      <w:szCs w:val="21"/>
                    </w:rPr>
                    <w:t>危险废物参考标准值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5" w:type="dxa"/>
                  <w:vAlign w:val="center"/>
                </w:tcPr>
                <w:p>
                  <w:pPr>
                    <w:pStyle w:val="32"/>
                    <w:spacing w:line="360" w:lineRule="exact"/>
                    <w:rPr>
                      <w:color w:val="000000" w:themeColor="text1"/>
                      <w:szCs w:val="21"/>
                    </w:rPr>
                  </w:pPr>
                  <w:r>
                    <w:rPr>
                      <w:color w:val="000000" w:themeColor="text1"/>
                      <w:szCs w:val="21"/>
                    </w:rPr>
                    <w:t>1</w:t>
                  </w:r>
                </w:p>
              </w:tc>
              <w:tc>
                <w:tcPr>
                  <w:tcW w:w="2943" w:type="dxa"/>
                  <w:gridSpan w:val="2"/>
                  <w:vAlign w:val="center"/>
                </w:tcPr>
                <w:p>
                  <w:pPr>
                    <w:pStyle w:val="32"/>
                    <w:spacing w:line="360" w:lineRule="exact"/>
                    <w:rPr>
                      <w:color w:val="000000" w:themeColor="text1"/>
                      <w:szCs w:val="21"/>
                    </w:rPr>
                  </w:pPr>
                  <w:r>
                    <w:rPr>
                      <w:color w:val="000000" w:themeColor="text1"/>
                      <w:szCs w:val="21"/>
                    </w:rPr>
                    <w:t>pH值</w:t>
                  </w:r>
                </w:p>
              </w:tc>
              <w:tc>
                <w:tcPr>
                  <w:tcW w:w="2014" w:type="dxa"/>
                  <w:tcBorders>
                    <w:right w:val="single" w:color="auto" w:sz="4" w:space="0"/>
                  </w:tcBorders>
                </w:tcPr>
                <w:p>
                  <w:pPr>
                    <w:pStyle w:val="32"/>
                    <w:spacing w:line="360" w:lineRule="exact"/>
                    <w:rPr>
                      <w:color w:val="000000" w:themeColor="text1"/>
                      <w:szCs w:val="21"/>
                    </w:rPr>
                  </w:pPr>
                  <w:r>
                    <w:rPr>
                      <w:color w:val="000000" w:themeColor="text1"/>
                      <w:szCs w:val="21"/>
                    </w:rPr>
                    <w:t>8.07</w:t>
                  </w:r>
                </w:p>
              </w:tc>
              <w:tc>
                <w:tcPr>
                  <w:tcW w:w="2620" w:type="dxa"/>
                  <w:vAlign w:val="center"/>
                </w:tcPr>
                <w:p>
                  <w:pPr>
                    <w:pStyle w:val="32"/>
                    <w:spacing w:line="360" w:lineRule="exact"/>
                    <w:rPr>
                      <w:color w:val="000000" w:themeColor="text1"/>
                      <w:szCs w:val="21"/>
                    </w:rPr>
                  </w:pPr>
                  <w:r>
                    <w:rPr>
                      <w:color w:val="000000" w:themeColor="text1"/>
                      <w:szCs w:val="21"/>
                    </w:rPr>
                    <w:t>≥12.5或≤2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5" w:type="dxa"/>
                  <w:vAlign w:val="center"/>
                </w:tcPr>
                <w:p>
                  <w:pPr>
                    <w:pStyle w:val="32"/>
                    <w:spacing w:line="360" w:lineRule="exact"/>
                    <w:rPr>
                      <w:color w:val="000000" w:themeColor="text1"/>
                      <w:szCs w:val="21"/>
                    </w:rPr>
                  </w:pPr>
                  <w:r>
                    <w:rPr>
                      <w:color w:val="000000" w:themeColor="text1"/>
                      <w:szCs w:val="21"/>
                    </w:rPr>
                    <w:t>2</w:t>
                  </w:r>
                </w:p>
              </w:tc>
              <w:tc>
                <w:tcPr>
                  <w:tcW w:w="2943" w:type="dxa"/>
                  <w:gridSpan w:val="2"/>
                  <w:vAlign w:val="center"/>
                </w:tcPr>
                <w:p>
                  <w:pPr>
                    <w:pStyle w:val="32"/>
                    <w:spacing w:line="360" w:lineRule="exact"/>
                    <w:rPr>
                      <w:color w:val="000000" w:themeColor="text1"/>
                      <w:szCs w:val="21"/>
                    </w:rPr>
                  </w:pPr>
                  <w:r>
                    <w:rPr>
                      <w:color w:val="000000" w:themeColor="text1"/>
                      <w:szCs w:val="21"/>
                    </w:rPr>
                    <w:t>铜</w:t>
                  </w:r>
                </w:p>
              </w:tc>
              <w:tc>
                <w:tcPr>
                  <w:tcW w:w="2014" w:type="dxa"/>
                  <w:tcBorders>
                    <w:right w:val="single" w:color="auto" w:sz="4" w:space="0"/>
                  </w:tcBorders>
                </w:tcPr>
                <w:p>
                  <w:pPr>
                    <w:pStyle w:val="32"/>
                    <w:spacing w:line="360" w:lineRule="exact"/>
                    <w:rPr>
                      <w:color w:val="000000" w:themeColor="text1"/>
                      <w:szCs w:val="21"/>
                    </w:rPr>
                  </w:pPr>
                  <w:r>
                    <w:rPr>
                      <w:color w:val="000000" w:themeColor="text1"/>
                      <w:szCs w:val="21"/>
                    </w:rPr>
                    <w:t>0.02L</w:t>
                  </w:r>
                </w:p>
              </w:tc>
              <w:tc>
                <w:tcPr>
                  <w:tcW w:w="2620" w:type="dxa"/>
                  <w:vAlign w:val="center"/>
                </w:tcPr>
                <w:p>
                  <w:pPr>
                    <w:pStyle w:val="32"/>
                    <w:spacing w:line="360" w:lineRule="exact"/>
                    <w:rPr>
                      <w:color w:val="000000" w:themeColor="text1"/>
                      <w:szCs w:val="21"/>
                    </w:rPr>
                  </w:pPr>
                  <w:r>
                    <w:rPr>
                      <w:color w:val="000000" w:themeColor="text1"/>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5" w:type="dxa"/>
                  <w:vAlign w:val="center"/>
                </w:tcPr>
                <w:p>
                  <w:pPr>
                    <w:pStyle w:val="32"/>
                    <w:spacing w:line="360" w:lineRule="exact"/>
                    <w:rPr>
                      <w:color w:val="000000" w:themeColor="text1"/>
                      <w:szCs w:val="21"/>
                    </w:rPr>
                  </w:pPr>
                  <w:r>
                    <w:rPr>
                      <w:color w:val="000000" w:themeColor="text1"/>
                      <w:szCs w:val="21"/>
                    </w:rPr>
                    <w:t>3</w:t>
                  </w:r>
                </w:p>
              </w:tc>
              <w:tc>
                <w:tcPr>
                  <w:tcW w:w="2943" w:type="dxa"/>
                  <w:gridSpan w:val="2"/>
                  <w:vAlign w:val="center"/>
                </w:tcPr>
                <w:p>
                  <w:pPr>
                    <w:pStyle w:val="32"/>
                    <w:spacing w:line="360" w:lineRule="exact"/>
                    <w:rPr>
                      <w:color w:val="000000" w:themeColor="text1"/>
                      <w:szCs w:val="21"/>
                    </w:rPr>
                  </w:pPr>
                  <w:r>
                    <w:rPr>
                      <w:color w:val="000000" w:themeColor="text1"/>
                      <w:szCs w:val="21"/>
                    </w:rPr>
                    <w:t>锌</w:t>
                  </w:r>
                </w:p>
              </w:tc>
              <w:tc>
                <w:tcPr>
                  <w:tcW w:w="2014" w:type="dxa"/>
                  <w:tcBorders>
                    <w:right w:val="single" w:color="auto" w:sz="4" w:space="0"/>
                  </w:tcBorders>
                </w:tcPr>
                <w:p>
                  <w:pPr>
                    <w:pStyle w:val="32"/>
                    <w:spacing w:line="360" w:lineRule="exact"/>
                    <w:rPr>
                      <w:color w:val="000000" w:themeColor="text1"/>
                      <w:szCs w:val="21"/>
                    </w:rPr>
                  </w:pPr>
                  <w:r>
                    <w:rPr>
                      <w:color w:val="000000" w:themeColor="text1"/>
                      <w:szCs w:val="21"/>
                    </w:rPr>
                    <w:t>0.048</w:t>
                  </w:r>
                </w:p>
              </w:tc>
              <w:tc>
                <w:tcPr>
                  <w:tcW w:w="2620" w:type="dxa"/>
                  <w:vAlign w:val="center"/>
                </w:tcPr>
                <w:p>
                  <w:pPr>
                    <w:pStyle w:val="32"/>
                    <w:spacing w:line="360" w:lineRule="exact"/>
                    <w:rPr>
                      <w:color w:val="000000" w:themeColor="text1"/>
                      <w:szCs w:val="21"/>
                    </w:rPr>
                  </w:pPr>
                  <w:r>
                    <w:rPr>
                      <w:color w:val="000000" w:themeColor="text1"/>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5" w:type="dxa"/>
                  <w:vAlign w:val="center"/>
                </w:tcPr>
                <w:p>
                  <w:pPr>
                    <w:pStyle w:val="32"/>
                    <w:spacing w:line="360" w:lineRule="exact"/>
                    <w:rPr>
                      <w:color w:val="000000" w:themeColor="text1"/>
                      <w:szCs w:val="21"/>
                    </w:rPr>
                  </w:pPr>
                  <w:r>
                    <w:rPr>
                      <w:color w:val="000000" w:themeColor="text1"/>
                      <w:szCs w:val="21"/>
                    </w:rPr>
                    <w:t>4</w:t>
                  </w:r>
                </w:p>
              </w:tc>
              <w:tc>
                <w:tcPr>
                  <w:tcW w:w="2943" w:type="dxa"/>
                  <w:gridSpan w:val="2"/>
                  <w:vAlign w:val="center"/>
                </w:tcPr>
                <w:p>
                  <w:pPr>
                    <w:pStyle w:val="32"/>
                    <w:spacing w:line="360" w:lineRule="exact"/>
                    <w:rPr>
                      <w:color w:val="000000" w:themeColor="text1"/>
                      <w:szCs w:val="21"/>
                    </w:rPr>
                  </w:pPr>
                  <w:r>
                    <w:rPr>
                      <w:color w:val="000000" w:themeColor="text1"/>
                      <w:szCs w:val="21"/>
                    </w:rPr>
                    <w:t>镉</w:t>
                  </w:r>
                </w:p>
              </w:tc>
              <w:tc>
                <w:tcPr>
                  <w:tcW w:w="2014" w:type="dxa"/>
                  <w:tcBorders>
                    <w:right w:val="single" w:color="auto" w:sz="4" w:space="0"/>
                  </w:tcBorders>
                </w:tcPr>
                <w:p>
                  <w:pPr>
                    <w:pStyle w:val="32"/>
                    <w:spacing w:line="360" w:lineRule="exact"/>
                    <w:rPr>
                      <w:color w:val="000000" w:themeColor="text1"/>
                      <w:szCs w:val="21"/>
                    </w:rPr>
                  </w:pPr>
                  <w:r>
                    <w:rPr>
                      <w:color w:val="000000" w:themeColor="text1"/>
                      <w:szCs w:val="21"/>
                    </w:rPr>
                    <w:t>0.071</w:t>
                  </w:r>
                </w:p>
              </w:tc>
              <w:tc>
                <w:tcPr>
                  <w:tcW w:w="2620" w:type="dxa"/>
                  <w:vAlign w:val="center"/>
                </w:tcPr>
                <w:p>
                  <w:pPr>
                    <w:pStyle w:val="32"/>
                    <w:spacing w:line="360" w:lineRule="exact"/>
                    <w:rPr>
                      <w:color w:val="000000" w:themeColor="text1"/>
                      <w:szCs w:val="21"/>
                    </w:rPr>
                  </w:pPr>
                  <w:r>
                    <w:rPr>
                      <w:color w:val="000000" w:themeColor="text1"/>
                      <w:szCs w:val="21"/>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5" w:type="dxa"/>
                  <w:vAlign w:val="center"/>
                </w:tcPr>
                <w:p>
                  <w:pPr>
                    <w:pStyle w:val="32"/>
                    <w:spacing w:line="360" w:lineRule="exact"/>
                    <w:rPr>
                      <w:color w:val="000000" w:themeColor="text1"/>
                      <w:szCs w:val="21"/>
                    </w:rPr>
                  </w:pPr>
                  <w:r>
                    <w:rPr>
                      <w:color w:val="000000" w:themeColor="text1"/>
                      <w:szCs w:val="21"/>
                    </w:rPr>
                    <w:t>5</w:t>
                  </w:r>
                </w:p>
              </w:tc>
              <w:tc>
                <w:tcPr>
                  <w:tcW w:w="2943" w:type="dxa"/>
                  <w:gridSpan w:val="2"/>
                  <w:vAlign w:val="center"/>
                </w:tcPr>
                <w:p>
                  <w:pPr>
                    <w:pStyle w:val="32"/>
                    <w:spacing w:line="360" w:lineRule="exact"/>
                    <w:rPr>
                      <w:color w:val="000000" w:themeColor="text1"/>
                      <w:szCs w:val="21"/>
                    </w:rPr>
                  </w:pPr>
                  <w:r>
                    <w:rPr>
                      <w:color w:val="000000" w:themeColor="text1"/>
                      <w:szCs w:val="21"/>
                    </w:rPr>
                    <w:t>铅</w:t>
                  </w:r>
                </w:p>
              </w:tc>
              <w:tc>
                <w:tcPr>
                  <w:tcW w:w="2014" w:type="dxa"/>
                  <w:tcBorders>
                    <w:right w:val="single" w:color="auto" w:sz="4" w:space="0"/>
                  </w:tcBorders>
                </w:tcPr>
                <w:p>
                  <w:pPr>
                    <w:pStyle w:val="32"/>
                    <w:spacing w:line="360" w:lineRule="exact"/>
                    <w:rPr>
                      <w:color w:val="000000" w:themeColor="text1"/>
                      <w:szCs w:val="21"/>
                    </w:rPr>
                  </w:pPr>
                  <w:r>
                    <w:rPr>
                      <w:color w:val="000000" w:themeColor="text1"/>
                      <w:szCs w:val="21"/>
                    </w:rPr>
                    <w:t>0.264</w:t>
                  </w:r>
                </w:p>
              </w:tc>
              <w:tc>
                <w:tcPr>
                  <w:tcW w:w="2620" w:type="dxa"/>
                  <w:vAlign w:val="center"/>
                </w:tcPr>
                <w:p>
                  <w:pPr>
                    <w:pStyle w:val="32"/>
                    <w:spacing w:line="360" w:lineRule="exact"/>
                    <w:rPr>
                      <w:color w:val="000000" w:themeColor="text1"/>
                      <w:szCs w:val="21"/>
                    </w:rPr>
                  </w:pPr>
                  <w:r>
                    <w:rPr>
                      <w:color w:val="000000" w:themeColor="text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5" w:type="dxa"/>
                  <w:vAlign w:val="center"/>
                </w:tcPr>
                <w:p>
                  <w:pPr>
                    <w:pStyle w:val="32"/>
                    <w:spacing w:line="360" w:lineRule="exact"/>
                    <w:rPr>
                      <w:color w:val="000000" w:themeColor="text1"/>
                      <w:szCs w:val="21"/>
                    </w:rPr>
                  </w:pPr>
                  <w:r>
                    <w:rPr>
                      <w:color w:val="000000" w:themeColor="text1"/>
                      <w:szCs w:val="21"/>
                    </w:rPr>
                    <w:t>6</w:t>
                  </w:r>
                </w:p>
              </w:tc>
              <w:tc>
                <w:tcPr>
                  <w:tcW w:w="2943" w:type="dxa"/>
                  <w:gridSpan w:val="2"/>
                  <w:vAlign w:val="center"/>
                </w:tcPr>
                <w:p>
                  <w:pPr>
                    <w:pStyle w:val="32"/>
                    <w:spacing w:line="360" w:lineRule="exact"/>
                    <w:rPr>
                      <w:color w:val="000000" w:themeColor="text1"/>
                      <w:szCs w:val="21"/>
                    </w:rPr>
                  </w:pPr>
                  <w:r>
                    <w:rPr>
                      <w:color w:val="000000" w:themeColor="text1"/>
                      <w:szCs w:val="21"/>
                    </w:rPr>
                    <w:t>总铬</w:t>
                  </w:r>
                </w:p>
              </w:tc>
              <w:tc>
                <w:tcPr>
                  <w:tcW w:w="2014" w:type="dxa"/>
                  <w:tcBorders>
                    <w:right w:val="single" w:color="auto" w:sz="4" w:space="0"/>
                  </w:tcBorders>
                </w:tcPr>
                <w:p>
                  <w:pPr>
                    <w:pStyle w:val="32"/>
                    <w:spacing w:line="360" w:lineRule="exact"/>
                    <w:rPr>
                      <w:color w:val="000000" w:themeColor="text1"/>
                      <w:szCs w:val="21"/>
                    </w:rPr>
                  </w:pPr>
                  <w:r>
                    <w:rPr>
                      <w:color w:val="000000" w:themeColor="text1"/>
                      <w:szCs w:val="21"/>
                    </w:rPr>
                    <w:t>0.321</w:t>
                  </w:r>
                </w:p>
              </w:tc>
              <w:tc>
                <w:tcPr>
                  <w:tcW w:w="2620" w:type="dxa"/>
                  <w:vAlign w:val="center"/>
                </w:tcPr>
                <w:p>
                  <w:pPr>
                    <w:pStyle w:val="32"/>
                    <w:spacing w:line="360" w:lineRule="exact"/>
                    <w:rPr>
                      <w:color w:val="000000" w:themeColor="text1"/>
                      <w:szCs w:val="21"/>
                    </w:rPr>
                  </w:pPr>
                  <w:r>
                    <w:rPr>
                      <w:color w:val="000000" w:themeColor="text1"/>
                      <w:szCs w:val="21"/>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 w:hRule="atLeast"/>
                <w:jc w:val="center"/>
              </w:trPr>
              <w:tc>
                <w:tcPr>
                  <w:tcW w:w="945" w:type="dxa"/>
                  <w:vMerge w:val="restart"/>
                  <w:vAlign w:val="center"/>
                </w:tcPr>
                <w:p>
                  <w:pPr>
                    <w:pStyle w:val="32"/>
                    <w:spacing w:line="360" w:lineRule="exact"/>
                    <w:rPr>
                      <w:color w:val="000000" w:themeColor="text1"/>
                      <w:szCs w:val="21"/>
                    </w:rPr>
                  </w:pPr>
                  <w:r>
                    <w:rPr>
                      <w:color w:val="000000" w:themeColor="text1"/>
                      <w:szCs w:val="21"/>
                    </w:rPr>
                    <w:t>7</w:t>
                  </w:r>
                </w:p>
              </w:tc>
              <w:tc>
                <w:tcPr>
                  <w:tcW w:w="1328" w:type="dxa"/>
                  <w:vMerge w:val="restart"/>
                  <w:vAlign w:val="center"/>
                </w:tcPr>
                <w:p>
                  <w:pPr>
                    <w:pStyle w:val="32"/>
                    <w:spacing w:line="360" w:lineRule="exact"/>
                    <w:rPr>
                      <w:color w:val="000000" w:themeColor="text1"/>
                      <w:szCs w:val="21"/>
                    </w:rPr>
                  </w:pPr>
                  <w:r>
                    <w:rPr>
                      <w:color w:val="000000" w:themeColor="text1"/>
                      <w:szCs w:val="21"/>
                    </w:rPr>
                    <w:t>烷基汞</w:t>
                  </w:r>
                </w:p>
              </w:tc>
              <w:tc>
                <w:tcPr>
                  <w:tcW w:w="1615" w:type="dxa"/>
                  <w:vAlign w:val="center"/>
                </w:tcPr>
                <w:p>
                  <w:pPr>
                    <w:pStyle w:val="32"/>
                    <w:spacing w:line="360" w:lineRule="exact"/>
                    <w:rPr>
                      <w:color w:val="000000" w:themeColor="text1"/>
                      <w:szCs w:val="21"/>
                    </w:rPr>
                  </w:pPr>
                  <w:r>
                    <w:rPr>
                      <w:color w:val="000000" w:themeColor="text1"/>
                      <w:szCs w:val="21"/>
                    </w:rPr>
                    <w:t>甲基汞</w:t>
                  </w:r>
                </w:p>
              </w:tc>
              <w:tc>
                <w:tcPr>
                  <w:tcW w:w="2014" w:type="dxa"/>
                  <w:tcBorders>
                    <w:right w:val="single" w:color="auto" w:sz="4" w:space="0"/>
                  </w:tcBorders>
                </w:tcPr>
                <w:p>
                  <w:pPr>
                    <w:pStyle w:val="32"/>
                    <w:spacing w:line="360" w:lineRule="exact"/>
                    <w:rPr>
                      <w:color w:val="000000" w:themeColor="text1"/>
                      <w:szCs w:val="21"/>
                    </w:rPr>
                  </w:pPr>
                  <w:r>
                    <w:rPr>
                      <w:color w:val="000000" w:themeColor="text1"/>
                      <w:szCs w:val="21"/>
                    </w:rPr>
                    <w:t>/</w:t>
                  </w:r>
                </w:p>
              </w:tc>
              <w:tc>
                <w:tcPr>
                  <w:tcW w:w="2620" w:type="dxa"/>
                  <w:vMerge w:val="restart"/>
                  <w:vAlign w:val="center"/>
                </w:tcPr>
                <w:p>
                  <w:pPr>
                    <w:pStyle w:val="32"/>
                    <w:spacing w:line="360" w:lineRule="exact"/>
                    <w:rPr>
                      <w:color w:val="000000" w:themeColor="text1"/>
                      <w:szCs w:val="21"/>
                    </w:rPr>
                  </w:pPr>
                  <w:r>
                    <w:rPr>
                      <w:color w:val="000000" w:themeColor="text1"/>
                      <w:szCs w:val="21"/>
                    </w:rPr>
                    <w:t>不得检出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 w:hRule="atLeast"/>
                <w:jc w:val="center"/>
              </w:trPr>
              <w:tc>
                <w:tcPr>
                  <w:tcW w:w="945" w:type="dxa"/>
                  <w:vMerge w:val="continue"/>
                  <w:vAlign w:val="center"/>
                </w:tcPr>
                <w:p>
                  <w:pPr>
                    <w:pStyle w:val="32"/>
                    <w:spacing w:line="360" w:lineRule="exact"/>
                    <w:rPr>
                      <w:color w:val="000000" w:themeColor="text1"/>
                      <w:szCs w:val="21"/>
                    </w:rPr>
                  </w:pPr>
                </w:p>
              </w:tc>
              <w:tc>
                <w:tcPr>
                  <w:tcW w:w="1328" w:type="dxa"/>
                  <w:vMerge w:val="continue"/>
                  <w:vAlign w:val="center"/>
                </w:tcPr>
                <w:p>
                  <w:pPr>
                    <w:pStyle w:val="32"/>
                    <w:spacing w:line="360" w:lineRule="exact"/>
                    <w:rPr>
                      <w:color w:val="000000" w:themeColor="text1"/>
                      <w:szCs w:val="21"/>
                    </w:rPr>
                  </w:pPr>
                </w:p>
              </w:tc>
              <w:tc>
                <w:tcPr>
                  <w:tcW w:w="1615" w:type="dxa"/>
                  <w:vAlign w:val="center"/>
                </w:tcPr>
                <w:p>
                  <w:pPr>
                    <w:pStyle w:val="32"/>
                    <w:spacing w:line="360" w:lineRule="exact"/>
                    <w:rPr>
                      <w:color w:val="000000" w:themeColor="text1"/>
                      <w:szCs w:val="21"/>
                    </w:rPr>
                  </w:pPr>
                  <w:r>
                    <w:rPr>
                      <w:color w:val="000000" w:themeColor="text1"/>
                      <w:szCs w:val="21"/>
                    </w:rPr>
                    <w:t>乙基汞</w:t>
                  </w:r>
                </w:p>
              </w:tc>
              <w:tc>
                <w:tcPr>
                  <w:tcW w:w="2014" w:type="dxa"/>
                  <w:tcBorders>
                    <w:right w:val="single" w:color="auto" w:sz="4" w:space="0"/>
                  </w:tcBorders>
                </w:tcPr>
                <w:p>
                  <w:pPr>
                    <w:pStyle w:val="32"/>
                    <w:spacing w:line="360" w:lineRule="exact"/>
                    <w:rPr>
                      <w:color w:val="000000" w:themeColor="text1"/>
                      <w:szCs w:val="21"/>
                    </w:rPr>
                  </w:pPr>
                  <w:r>
                    <w:rPr>
                      <w:color w:val="000000" w:themeColor="text1"/>
                      <w:szCs w:val="21"/>
                    </w:rPr>
                    <w:t>/</w:t>
                  </w:r>
                </w:p>
              </w:tc>
              <w:tc>
                <w:tcPr>
                  <w:tcW w:w="2620" w:type="dxa"/>
                  <w:vMerge w:val="continue"/>
                  <w:vAlign w:val="center"/>
                </w:tcPr>
                <w:p>
                  <w:pPr>
                    <w:pStyle w:val="32"/>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5" w:type="dxa"/>
                  <w:vAlign w:val="center"/>
                </w:tcPr>
                <w:p>
                  <w:pPr>
                    <w:pStyle w:val="32"/>
                    <w:spacing w:line="360" w:lineRule="exact"/>
                    <w:rPr>
                      <w:color w:val="000000" w:themeColor="text1"/>
                      <w:szCs w:val="21"/>
                    </w:rPr>
                  </w:pPr>
                  <w:r>
                    <w:rPr>
                      <w:color w:val="000000" w:themeColor="text1"/>
                      <w:szCs w:val="21"/>
                    </w:rPr>
                    <w:t>8</w:t>
                  </w:r>
                </w:p>
              </w:tc>
              <w:tc>
                <w:tcPr>
                  <w:tcW w:w="2943" w:type="dxa"/>
                  <w:gridSpan w:val="2"/>
                  <w:vAlign w:val="center"/>
                </w:tcPr>
                <w:p>
                  <w:pPr>
                    <w:pStyle w:val="32"/>
                    <w:spacing w:line="360" w:lineRule="exact"/>
                    <w:rPr>
                      <w:color w:val="000000" w:themeColor="text1"/>
                      <w:szCs w:val="21"/>
                    </w:rPr>
                  </w:pPr>
                  <w:r>
                    <w:rPr>
                      <w:color w:val="000000" w:themeColor="text1"/>
                      <w:szCs w:val="21"/>
                    </w:rPr>
                    <w:t>六价铬</w:t>
                  </w:r>
                </w:p>
              </w:tc>
              <w:tc>
                <w:tcPr>
                  <w:tcW w:w="2014" w:type="dxa"/>
                  <w:tcBorders>
                    <w:right w:val="single" w:color="auto" w:sz="4" w:space="0"/>
                  </w:tcBorders>
                </w:tcPr>
                <w:p>
                  <w:pPr>
                    <w:pStyle w:val="32"/>
                    <w:spacing w:line="360" w:lineRule="exact"/>
                    <w:rPr>
                      <w:color w:val="000000" w:themeColor="text1"/>
                      <w:szCs w:val="21"/>
                    </w:rPr>
                  </w:pPr>
                  <w:r>
                    <w:rPr>
                      <w:color w:val="000000" w:themeColor="text1"/>
                      <w:szCs w:val="21"/>
                    </w:rPr>
                    <w:t>0.008</w:t>
                  </w:r>
                </w:p>
              </w:tc>
              <w:tc>
                <w:tcPr>
                  <w:tcW w:w="2620" w:type="dxa"/>
                  <w:vAlign w:val="center"/>
                </w:tcPr>
                <w:p>
                  <w:pPr>
                    <w:pStyle w:val="32"/>
                    <w:spacing w:line="360" w:lineRule="exact"/>
                    <w:rPr>
                      <w:color w:val="000000" w:themeColor="text1"/>
                      <w:szCs w:val="21"/>
                    </w:rPr>
                  </w:pPr>
                  <w:r>
                    <w:rPr>
                      <w:color w:val="000000" w:themeColor="text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5" w:type="dxa"/>
                  <w:vAlign w:val="center"/>
                </w:tcPr>
                <w:p>
                  <w:pPr>
                    <w:pStyle w:val="32"/>
                    <w:spacing w:line="360" w:lineRule="exact"/>
                    <w:rPr>
                      <w:color w:val="000000" w:themeColor="text1"/>
                      <w:szCs w:val="21"/>
                    </w:rPr>
                  </w:pPr>
                  <w:r>
                    <w:rPr>
                      <w:color w:val="000000" w:themeColor="text1"/>
                      <w:szCs w:val="21"/>
                    </w:rPr>
                    <w:t>9</w:t>
                  </w:r>
                </w:p>
              </w:tc>
              <w:tc>
                <w:tcPr>
                  <w:tcW w:w="2943" w:type="dxa"/>
                  <w:gridSpan w:val="2"/>
                  <w:vAlign w:val="center"/>
                </w:tcPr>
                <w:p>
                  <w:pPr>
                    <w:pStyle w:val="32"/>
                    <w:spacing w:line="360" w:lineRule="exact"/>
                    <w:rPr>
                      <w:color w:val="000000" w:themeColor="text1"/>
                      <w:szCs w:val="21"/>
                    </w:rPr>
                  </w:pPr>
                  <w:r>
                    <w:rPr>
                      <w:color w:val="000000" w:themeColor="text1"/>
                      <w:szCs w:val="21"/>
                    </w:rPr>
                    <w:t>汞</w:t>
                  </w:r>
                </w:p>
              </w:tc>
              <w:tc>
                <w:tcPr>
                  <w:tcW w:w="2014" w:type="dxa"/>
                  <w:tcBorders>
                    <w:right w:val="single" w:color="auto" w:sz="4" w:space="0"/>
                  </w:tcBorders>
                </w:tcPr>
                <w:p>
                  <w:pPr>
                    <w:pStyle w:val="32"/>
                    <w:spacing w:line="360" w:lineRule="exact"/>
                    <w:rPr>
                      <w:color w:val="000000" w:themeColor="text1"/>
                      <w:szCs w:val="21"/>
                    </w:rPr>
                  </w:pPr>
                  <w:r>
                    <w:rPr>
                      <w:color w:val="000000" w:themeColor="text1"/>
                      <w:szCs w:val="21"/>
                    </w:rPr>
                    <w:t>0.010</w:t>
                  </w:r>
                </w:p>
              </w:tc>
              <w:tc>
                <w:tcPr>
                  <w:tcW w:w="2620" w:type="dxa"/>
                  <w:vAlign w:val="center"/>
                </w:tcPr>
                <w:p>
                  <w:pPr>
                    <w:pStyle w:val="32"/>
                    <w:spacing w:line="360" w:lineRule="exact"/>
                    <w:rPr>
                      <w:color w:val="000000" w:themeColor="text1"/>
                      <w:szCs w:val="21"/>
                    </w:rPr>
                  </w:pPr>
                  <w:r>
                    <w:rPr>
                      <w:color w:val="000000" w:themeColor="text1"/>
                      <w:szCs w:val="21"/>
                    </w:rPr>
                    <w:t>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5" w:type="dxa"/>
                  <w:vAlign w:val="center"/>
                </w:tcPr>
                <w:p>
                  <w:pPr>
                    <w:pStyle w:val="32"/>
                    <w:spacing w:line="360" w:lineRule="exact"/>
                    <w:rPr>
                      <w:color w:val="000000" w:themeColor="text1"/>
                      <w:szCs w:val="21"/>
                    </w:rPr>
                  </w:pPr>
                  <w:r>
                    <w:rPr>
                      <w:color w:val="000000" w:themeColor="text1"/>
                      <w:szCs w:val="21"/>
                    </w:rPr>
                    <w:t>10</w:t>
                  </w:r>
                </w:p>
              </w:tc>
              <w:tc>
                <w:tcPr>
                  <w:tcW w:w="2943" w:type="dxa"/>
                  <w:gridSpan w:val="2"/>
                  <w:vAlign w:val="center"/>
                </w:tcPr>
                <w:p>
                  <w:pPr>
                    <w:pStyle w:val="32"/>
                    <w:spacing w:line="360" w:lineRule="exact"/>
                    <w:rPr>
                      <w:color w:val="000000" w:themeColor="text1"/>
                      <w:szCs w:val="21"/>
                    </w:rPr>
                  </w:pPr>
                  <w:r>
                    <w:rPr>
                      <w:color w:val="000000" w:themeColor="text1"/>
                      <w:szCs w:val="21"/>
                    </w:rPr>
                    <w:t>铍</w:t>
                  </w:r>
                </w:p>
              </w:tc>
              <w:tc>
                <w:tcPr>
                  <w:tcW w:w="2014" w:type="dxa"/>
                  <w:tcBorders>
                    <w:right w:val="single" w:color="auto" w:sz="4" w:space="0"/>
                  </w:tcBorders>
                </w:tcPr>
                <w:p>
                  <w:pPr>
                    <w:pStyle w:val="32"/>
                    <w:spacing w:line="360" w:lineRule="exact"/>
                    <w:rPr>
                      <w:color w:val="000000" w:themeColor="text1"/>
                      <w:szCs w:val="21"/>
                    </w:rPr>
                  </w:pPr>
                  <w:r>
                    <w:rPr>
                      <w:color w:val="000000" w:themeColor="text1"/>
                      <w:szCs w:val="21"/>
                    </w:rPr>
                    <w:t>0.0020</w:t>
                  </w:r>
                </w:p>
              </w:tc>
              <w:tc>
                <w:tcPr>
                  <w:tcW w:w="2620" w:type="dxa"/>
                  <w:vAlign w:val="center"/>
                </w:tcPr>
                <w:p>
                  <w:pPr>
                    <w:pStyle w:val="32"/>
                    <w:spacing w:line="360" w:lineRule="exact"/>
                    <w:rPr>
                      <w:color w:val="000000" w:themeColor="text1"/>
                      <w:szCs w:val="21"/>
                    </w:rPr>
                  </w:pPr>
                  <w:r>
                    <w:rPr>
                      <w:color w:val="000000" w:themeColor="text1"/>
                      <w:szCs w:val="21"/>
                    </w:rPr>
                    <w:t>0.02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5" w:type="dxa"/>
                  <w:vAlign w:val="center"/>
                </w:tcPr>
                <w:p>
                  <w:pPr>
                    <w:pStyle w:val="32"/>
                    <w:spacing w:line="360" w:lineRule="exact"/>
                    <w:rPr>
                      <w:color w:val="000000" w:themeColor="text1"/>
                      <w:szCs w:val="21"/>
                    </w:rPr>
                  </w:pPr>
                  <w:r>
                    <w:rPr>
                      <w:color w:val="000000" w:themeColor="text1"/>
                      <w:szCs w:val="21"/>
                    </w:rPr>
                    <w:t>11</w:t>
                  </w:r>
                </w:p>
              </w:tc>
              <w:tc>
                <w:tcPr>
                  <w:tcW w:w="2943" w:type="dxa"/>
                  <w:gridSpan w:val="2"/>
                  <w:vAlign w:val="center"/>
                </w:tcPr>
                <w:p>
                  <w:pPr>
                    <w:pStyle w:val="32"/>
                    <w:spacing w:line="360" w:lineRule="exact"/>
                    <w:rPr>
                      <w:color w:val="000000" w:themeColor="text1"/>
                      <w:szCs w:val="21"/>
                    </w:rPr>
                  </w:pPr>
                  <w:r>
                    <w:rPr>
                      <w:color w:val="000000" w:themeColor="text1"/>
                      <w:szCs w:val="21"/>
                    </w:rPr>
                    <w:t>钡</w:t>
                  </w:r>
                </w:p>
              </w:tc>
              <w:tc>
                <w:tcPr>
                  <w:tcW w:w="2014" w:type="dxa"/>
                  <w:tcBorders>
                    <w:right w:val="single" w:color="auto" w:sz="4" w:space="0"/>
                  </w:tcBorders>
                </w:tcPr>
                <w:p>
                  <w:pPr>
                    <w:pStyle w:val="32"/>
                    <w:spacing w:line="360" w:lineRule="exact"/>
                    <w:rPr>
                      <w:color w:val="000000" w:themeColor="text1"/>
                      <w:szCs w:val="21"/>
                    </w:rPr>
                  </w:pPr>
                  <w:r>
                    <w:rPr>
                      <w:color w:val="000000" w:themeColor="text1"/>
                      <w:szCs w:val="21"/>
                    </w:rPr>
                    <w:t>0.136</w:t>
                  </w:r>
                </w:p>
              </w:tc>
              <w:tc>
                <w:tcPr>
                  <w:tcW w:w="2620" w:type="dxa"/>
                  <w:vAlign w:val="center"/>
                </w:tcPr>
                <w:p>
                  <w:pPr>
                    <w:pStyle w:val="32"/>
                    <w:spacing w:line="360" w:lineRule="exact"/>
                    <w:rPr>
                      <w:color w:val="000000" w:themeColor="text1"/>
                      <w:szCs w:val="21"/>
                    </w:rPr>
                  </w:pPr>
                  <w:r>
                    <w:rPr>
                      <w:color w:val="000000" w:themeColor="text1"/>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5" w:type="dxa"/>
                  <w:vAlign w:val="center"/>
                </w:tcPr>
                <w:p>
                  <w:pPr>
                    <w:pStyle w:val="32"/>
                    <w:spacing w:line="360" w:lineRule="exact"/>
                    <w:rPr>
                      <w:color w:val="000000" w:themeColor="text1"/>
                      <w:szCs w:val="21"/>
                    </w:rPr>
                  </w:pPr>
                  <w:r>
                    <w:rPr>
                      <w:color w:val="000000" w:themeColor="text1"/>
                      <w:szCs w:val="21"/>
                    </w:rPr>
                    <w:t>12</w:t>
                  </w:r>
                </w:p>
              </w:tc>
              <w:tc>
                <w:tcPr>
                  <w:tcW w:w="2943" w:type="dxa"/>
                  <w:gridSpan w:val="2"/>
                  <w:vAlign w:val="center"/>
                </w:tcPr>
                <w:p>
                  <w:pPr>
                    <w:pStyle w:val="32"/>
                    <w:spacing w:line="360" w:lineRule="exact"/>
                    <w:rPr>
                      <w:color w:val="000000" w:themeColor="text1"/>
                      <w:szCs w:val="21"/>
                    </w:rPr>
                  </w:pPr>
                  <w:r>
                    <w:rPr>
                      <w:color w:val="000000" w:themeColor="text1"/>
                      <w:szCs w:val="21"/>
                    </w:rPr>
                    <w:t>镍</w:t>
                  </w:r>
                </w:p>
              </w:tc>
              <w:tc>
                <w:tcPr>
                  <w:tcW w:w="2014" w:type="dxa"/>
                  <w:tcBorders>
                    <w:right w:val="single" w:color="auto" w:sz="4" w:space="0"/>
                  </w:tcBorders>
                </w:tcPr>
                <w:p>
                  <w:pPr>
                    <w:pStyle w:val="32"/>
                    <w:spacing w:line="360" w:lineRule="exact"/>
                    <w:rPr>
                      <w:color w:val="000000" w:themeColor="text1"/>
                      <w:szCs w:val="21"/>
                    </w:rPr>
                  </w:pPr>
                  <w:r>
                    <w:rPr>
                      <w:color w:val="000000" w:themeColor="text1"/>
                      <w:szCs w:val="21"/>
                    </w:rPr>
                    <w:t>0.04L</w:t>
                  </w:r>
                </w:p>
              </w:tc>
              <w:tc>
                <w:tcPr>
                  <w:tcW w:w="2620" w:type="dxa"/>
                  <w:vAlign w:val="center"/>
                </w:tcPr>
                <w:p>
                  <w:pPr>
                    <w:pStyle w:val="32"/>
                    <w:spacing w:line="360" w:lineRule="exact"/>
                    <w:rPr>
                      <w:color w:val="000000" w:themeColor="text1"/>
                      <w:szCs w:val="21"/>
                    </w:rPr>
                  </w:pPr>
                  <w:r>
                    <w:rPr>
                      <w:color w:val="000000" w:themeColor="text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5" w:type="dxa"/>
                  <w:vAlign w:val="center"/>
                </w:tcPr>
                <w:p>
                  <w:pPr>
                    <w:pStyle w:val="32"/>
                    <w:spacing w:line="360" w:lineRule="exact"/>
                    <w:rPr>
                      <w:color w:val="000000" w:themeColor="text1"/>
                      <w:szCs w:val="21"/>
                    </w:rPr>
                  </w:pPr>
                  <w:r>
                    <w:rPr>
                      <w:color w:val="000000" w:themeColor="text1"/>
                      <w:szCs w:val="21"/>
                    </w:rPr>
                    <w:t>13</w:t>
                  </w:r>
                </w:p>
              </w:tc>
              <w:tc>
                <w:tcPr>
                  <w:tcW w:w="2943" w:type="dxa"/>
                  <w:gridSpan w:val="2"/>
                  <w:vAlign w:val="center"/>
                </w:tcPr>
                <w:p>
                  <w:pPr>
                    <w:pStyle w:val="32"/>
                    <w:spacing w:line="360" w:lineRule="exact"/>
                    <w:rPr>
                      <w:color w:val="000000" w:themeColor="text1"/>
                      <w:szCs w:val="21"/>
                    </w:rPr>
                  </w:pPr>
                  <w:r>
                    <w:rPr>
                      <w:color w:val="000000" w:themeColor="text1"/>
                      <w:szCs w:val="21"/>
                    </w:rPr>
                    <w:t>总银</w:t>
                  </w:r>
                </w:p>
              </w:tc>
              <w:tc>
                <w:tcPr>
                  <w:tcW w:w="2014"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0.01L</w:t>
                  </w:r>
                </w:p>
              </w:tc>
              <w:tc>
                <w:tcPr>
                  <w:tcW w:w="2620" w:type="dxa"/>
                  <w:vAlign w:val="center"/>
                </w:tcPr>
                <w:p>
                  <w:pPr>
                    <w:pStyle w:val="32"/>
                    <w:spacing w:line="360" w:lineRule="exact"/>
                    <w:rPr>
                      <w:color w:val="000000" w:themeColor="text1"/>
                      <w:szCs w:val="21"/>
                    </w:rPr>
                  </w:pPr>
                  <w:r>
                    <w:rPr>
                      <w:color w:val="000000" w:themeColor="text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5" w:type="dxa"/>
                  <w:vAlign w:val="center"/>
                </w:tcPr>
                <w:p>
                  <w:pPr>
                    <w:pStyle w:val="32"/>
                    <w:spacing w:line="360" w:lineRule="exact"/>
                    <w:rPr>
                      <w:color w:val="000000" w:themeColor="text1"/>
                      <w:szCs w:val="21"/>
                    </w:rPr>
                  </w:pPr>
                  <w:r>
                    <w:rPr>
                      <w:color w:val="000000" w:themeColor="text1"/>
                      <w:szCs w:val="21"/>
                    </w:rPr>
                    <w:t>14</w:t>
                  </w:r>
                </w:p>
              </w:tc>
              <w:tc>
                <w:tcPr>
                  <w:tcW w:w="2943" w:type="dxa"/>
                  <w:gridSpan w:val="2"/>
                  <w:vAlign w:val="center"/>
                </w:tcPr>
                <w:p>
                  <w:pPr>
                    <w:pStyle w:val="32"/>
                    <w:spacing w:line="360" w:lineRule="exact"/>
                    <w:rPr>
                      <w:color w:val="000000" w:themeColor="text1"/>
                      <w:szCs w:val="21"/>
                    </w:rPr>
                  </w:pPr>
                  <w:r>
                    <w:rPr>
                      <w:color w:val="000000" w:themeColor="text1"/>
                      <w:szCs w:val="21"/>
                    </w:rPr>
                    <w:t>砷</w:t>
                  </w:r>
                </w:p>
              </w:tc>
              <w:tc>
                <w:tcPr>
                  <w:tcW w:w="2014"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0.006</w:t>
                  </w:r>
                </w:p>
              </w:tc>
              <w:tc>
                <w:tcPr>
                  <w:tcW w:w="2620" w:type="dxa"/>
                  <w:vAlign w:val="center"/>
                </w:tcPr>
                <w:p>
                  <w:pPr>
                    <w:pStyle w:val="32"/>
                    <w:spacing w:line="360" w:lineRule="exact"/>
                    <w:rPr>
                      <w:color w:val="000000" w:themeColor="text1"/>
                      <w:szCs w:val="21"/>
                    </w:rPr>
                  </w:pPr>
                  <w:r>
                    <w:rPr>
                      <w:color w:val="000000" w:themeColor="text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5" w:type="dxa"/>
                  <w:vAlign w:val="center"/>
                </w:tcPr>
                <w:p>
                  <w:pPr>
                    <w:pStyle w:val="32"/>
                    <w:spacing w:line="360" w:lineRule="exact"/>
                    <w:rPr>
                      <w:color w:val="000000" w:themeColor="text1"/>
                      <w:szCs w:val="21"/>
                    </w:rPr>
                  </w:pPr>
                  <w:r>
                    <w:rPr>
                      <w:color w:val="000000" w:themeColor="text1"/>
                      <w:szCs w:val="21"/>
                    </w:rPr>
                    <w:t>15</w:t>
                  </w:r>
                </w:p>
              </w:tc>
              <w:tc>
                <w:tcPr>
                  <w:tcW w:w="2943" w:type="dxa"/>
                  <w:gridSpan w:val="2"/>
                  <w:vAlign w:val="center"/>
                </w:tcPr>
                <w:p>
                  <w:pPr>
                    <w:pStyle w:val="32"/>
                    <w:spacing w:line="360" w:lineRule="exact"/>
                    <w:rPr>
                      <w:color w:val="000000" w:themeColor="text1"/>
                      <w:szCs w:val="21"/>
                    </w:rPr>
                  </w:pPr>
                  <w:r>
                    <w:rPr>
                      <w:color w:val="000000" w:themeColor="text1"/>
                      <w:szCs w:val="21"/>
                    </w:rPr>
                    <w:t>硒</w:t>
                  </w:r>
                </w:p>
              </w:tc>
              <w:tc>
                <w:tcPr>
                  <w:tcW w:w="2014" w:type="dxa"/>
                  <w:tcBorders>
                    <w:right w:val="single" w:color="auto" w:sz="4" w:space="0"/>
                  </w:tcBorders>
                </w:tcPr>
                <w:p>
                  <w:pPr>
                    <w:pStyle w:val="32"/>
                    <w:spacing w:line="360" w:lineRule="exact"/>
                    <w:rPr>
                      <w:color w:val="000000" w:themeColor="text1"/>
                      <w:szCs w:val="21"/>
                    </w:rPr>
                  </w:pPr>
                  <w:r>
                    <w:rPr>
                      <w:color w:val="000000" w:themeColor="text1"/>
                      <w:szCs w:val="21"/>
                    </w:rPr>
                    <w:t>0.0094</w:t>
                  </w:r>
                </w:p>
              </w:tc>
              <w:tc>
                <w:tcPr>
                  <w:tcW w:w="2620" w:type="dxa"/>
                  <w:vAlign w:val="center"/>
                </w:tcPr>
                <w:p>
                  <w:pPr>
                    <w:pStyle w:val="32"/>
                    <w:spacing w:line="360" w:lineRule="exact"/>
                    <w:rPr>
                      <w:color w:val="000000" w:themeColor="text1"/>
                      <w:szCs w:val="21"/>
                    </w:rPr>
                  </w:pPr>
                  <w:r>
                    <w:rPr>
                      <w:color w:val="000000" w:themeColor="text1"/>
                      <w:szCs w:val="21"/>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5" w:type="dxa"/>
                  <w:vAlign w:val="center"/>
                </w:tcPr>
                <w:p>
                  <w:pPr>
                    <w:pStyle w:val="32"/>
                    <w:spacing w:line="360" w:lineRule="exact"/>
                    <w:rPr>
                      <w:color w:val="000000" w:themeColor="text1"/>
                      <w:szCs w:val="21"/>
                    </w:rPr>
                  </w:pPr>
                  <w:r>
                    <w:rPr>
                      <w:color w:val="000000" w:themeColor="text1"/>
                      <w:szCs w:val="21"/>
                    </w:rPr>
                    <w:t>16</w:t>
                  </w:r>
                </w:p>
              </w:tc>
              <w:tc>
                <w:tcPr>
                  <w:tcW w:w="2943" w:type="dxa"/>
                  <w:gridSpan w:val="2"/>
                  <w:vAlign w:val="center"/>
                </w:tcPr>
                <w:p>
                  <w:pPr>
                    <w:pStyle w:val="32"/>
                    <w:spacing w:line="360" w:lineRule="exact"/>
                    <w:rPr>
                      <w:color w:val="000000" w:themeColor="text1"/>
                      <w:szCs w:val="21"/>
                    </w:rPr>
                  </w:pPr>
                  <w:r>
                    <w:rPr>
                      <w:color w:val="000000" w:themeColor="text1"/>
                      <w:szCs w:val="21"/>
                    </w:rPr>
                    <w:t>氟化物</w:t>
                  </w:r>
                </w:p>
              </w:tc>
              <w:tc>
                <w:tcPr>
                  <w:tcW w:w="2014" w:type="dxa"/>
                  <w:tcBorders>
                    <w:right w:val="single" w:color="auto" w:sz="4" w:space="0"/>
                  </w:tcBorders>
                </w:tcPr>
                <w:p>
                  <w:pPr>
                    <w:pStyle w:val="32"/>
                    <w:spacing w:line="360" w:lineRule="exact"/>
                    <w:rPr>
                      <w:color w:val="000000" w:themeColor="text1"/>
                      <w:szCs w:val="21"/>
                    </w:rPr>
                  </w:pPr>
                  <w:r>
                    <w:rPr>
                      <w:color w:val="000000" w:themeColor="text1"/>
                      <w:szCs w:val="21"/>
                    </w:rPr>
                    <w:t>0.28</w:t>
                  </w:r>
                </w:p>
              </w:tc>
              <w:tc>
                <w:tcPr>
                  <w:tcW w:w="2620" w:type="dxa"/>
                  <w:vAlign w:val="center"/>
                </w:tcPr>
                <w:p>
                  <w:pPr>
                    <w:pStyle w:val="32"/>
                    <w:spacing w:line="360" w:lineRule="exact"/>
                    <w:rPr>
                      <w:color w:val="000000" w:themeColor="text1"/>
                      <w:szCs w:val="21"/>
                    </w:rPr>
                  </w:pPr>
                  <w:r>
                    <w:rPr>
                      <w:color w:val="000000" w:themeColor="text1"/>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5" w:type="dxa"/>
                  <w:vAlign w:val="center"/>
                </w:tcPr>
                <w:p>
                  <w:pPr>
                    <w:pStyle w:val="32"/>
                    <w:spacing w:line="360" w:lineRule="exact"/>
                    <w:rPr>
                      <w:color w:val="000000" w:themeColor="text1"/>
                      <w:szCs w:val="21"/>
                    </w:rPr>
                  </w:pPr>
                  <w:r>
                    <w:rPr>
                      <w:color w:val="000000" w:themeColor="text1"/>
                      <w:szCs w:val="21"/>
                    </w:rPr>
                    <w:t>17</w:t>
                  </w:r>
                </w:p>
              </w:tc>
              <w:tc>
                <w:tcPr>
                  <w:tcW w:w="2943" w:type="dxa"/>
                  <w:gridSpan w:val="2"/>
                  <w:vAlign w:val="center"/>
                </w:tcPr>
                <w:p>
                  <w:pPr>
                    <w:pStyle w:val="32"/>
                    <w:spacing w:line="360" w:lineRule="exact"/>
                    <w:rPr>
                      <w:color w:val="000000" w:themeColor="text1"/>
                      <w:szCs w:val="21"/>
                    </w:rPr>
                  </w:pPr>
                  <w:r>
                    <w:rPr>
                      <w:color w:val="000000" w:themeColor="text1"/>
                      <w:szCs w:val="21"/>
                    </w:rPr>
                    <w:t>氰化物</w:t>
                  </w:r>
                </w:p>
              </w:tc>
              <w:tc>
                <w:tcPr>
                  <w:tcW w:w="2014" w:type="dxa"/>
                  <w:tcBorders>
                    <w:right w:val="single" w:color="auto" w:sz="4" w:space="0"/>
                  </w:tcBorders>
                </w:tcPr>
                <w:p>
                  <w:pPr>
                    <w:pStyle w:val="32"/>
                    <w:spacing w:line="360" w:lineRule="exact"/>
                    <w:rPr>
                      <w:color w:val="000000" w:themeColor="text1"/>
                      <w:szCs w:val="21"/>
                    </w:rPr>
                  </w:pPr>
                  <w:r>
                    <w:rPr>
                      <w:color w:val="000000" w:themeColor="text1"/>
                      <w:szCs w:val="21"/>
                    </w:rPr>
                    <w:t>0.004L</w:t>
                  </w:r>
                </w:p>
              </w:tc>
              <w:tc>
                <w:tcPr>
                  <w:tcW w:w="2620" w:type="dxa"/>
                  <w:vAlign w:val="center"/>
                </w:tcPr>
                <w:p>
                  <w:pPr>
                    <w:pStyle w:val="32"/>
                    <w:spacing w:line="360" w:lineRule="exact"/>
                    <w:rPr>
                      <w:color w:val="000000" w:themeColor="text1"/>
                      <w:szCs w:val="21"/>
                    </w:rPr>
                  </w:pPr>
                  <w:r>
                    <w:rPr>
                      <w:color w:val="000000" w:themeColor="text1"/>
                      <w:szCs w:val="21"/>
                    </w:rPr>
                    <w:t>5</w:t>
                  </w:r>
                </w:p>
              </w:tc>
            </w:tr>
          </w:tbl>
          <w:p>
            <w:pPr>
              <w:spacing w:beforeLines="50" w:line="360" w:lineRule="auto"/>
              <w:ind w:firstLine="480" w:firstLineChars="200"/>
              <w:rPr>
                <w:rFonts w:ascii="Times New Roman" w:hAnsi="Times New Roman" w:cs="Times New Roman"/>
                <w:bCs/>
                <w:color w:val="000000" w:themeColor="text1"/>
                <w:sz w:val="24"/>
                <w:szCs w:val="24"/>
              </w:rPr>
            </w:pPr>
            <w:r>
              <w:rPr>
                <w:rFonts w:ascii="Times New Roman" w:hAnsi="Times New Roman" w:eastAsia="宋体" w:cs="Times New Roman"/>
                <w:color w:val="000000" w:themeColor="text1"/>
                <w:sz w:val="24"/>
                <w:szCs w:val="24"/>
              </w:rPr>
              <w:t>由上表可知，废石渣的腐蚀性和浸出毒性不超过《危险废物鉴别标准 腐蚀性鉴别》（GB5085.1-2007）和《危险废物鉴别标准 浸出毒性鉴别》（GB5085.3-2007），该废石渣属于一般工业固体废物。</w:t>
            </w:r>
          </w:p>
          <w:p>
            <w:pPr>
              <w:spacing w:line="360" w:lineRule="auto"/>
              <w:ind w:firstLine="482" w:firstLineChars="200"/>
              <w:rPr>
                <w:rFonts w:ascii="Times New Roman" w:hAnsi="Times New Roman" w:eastAsia="宋体" w:cs="Times New Roman"/>
                <w:b/>
                <w:color w:val="000000" w:themeColor="text1"/>
                <w:sz w:val="24"/>
                <w:szCs w:val="24"/>
              </w:rPr>
            </w:pPr>
            <w:r>
              <w:rPr>
                <w:rFonts w:ascii="Times New Roman" w:hAnsi="Times New Roman" w:eastAsia="宋体" w:cs="Times New Roman"/>
                <w:b/>
                <w:color w:val="000000" w:themeColor="text1"/>
                <w:sz w:val="24"/>
                <w:szCs w:val="24"/>
              </w:rPr>
              <w:t>②水浸鉴别结果</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水浸鉴别结果如下表所示。</w:t>
            </w:r>
          </w:p>
          <w:p>
            <w:pPr>
              <w:spacing w:line="360" w:lineRule="auto"/>
              <w:ind w:firstLine="480" w:firstLineChars="200"/>
              <w:rPr>
                <w:rFonts w:ascii="Times New Roman" w:hAnsi="Times New Roman" w:eastAsia="宋体" w:cs="Times New Roman"/>
                <w:color w:val="000000" w:themeColor="text1"/>
                <w:sz w:val="24"/>
                <w:szCs w:val="24"/>
              </w:rPr>
            </w:pPr>
          </w:p>
          <w:p>
            <w:pPr>
              <w:jc w:val="center"/>
              <w:rPr>
                <w:rFonts w:ascii="Times New Roman" w:hAnsi="Times New Roman" w:eastAsia="宋体" w:cs="Times New Roman"/>
                <w:b/>
                <w:color w:val="000000" w:themeColor="text1"/>
              </w:rPr>
            </w:pPr>
            <w:r>
              <w:rPr>
                <w:rFonts w:ascii="Times New Roman" w:hAnsi="Times New Roman" w:eastAsia="宋体" w:cs="Times New Roman"/>
                <w:b/>
                <w:color w:val="000000" w:themeColor="text1"/>
              </w:rPr>
              <w:t>表2.5.1-</w:t>
            </w:r>
            <w:r>
              <w:rPr>
                <w:rFonts w:hint="eastAsia" w:ascii="Times New Roman" w:hAnsi="Times New Roman" w:eastAsia="宋体" w:cs="Times New Roman"/>
                <w:b/>
                <w:color w:val="000000" w:themeColor="text1"/>
              </w:rPr>
              <w:t>4</w:t>
            </w:r>
            <w:r>
              <w:rPr>
                <w:rFonts w:ascii="Times New Roman" w:hAnsi="Times New Roman" w:eastAsia="宋体" w:cs="Times New Roman"/>
                <w:b/>
                <w:color w:val="000000" w:themeColor="text1"/>
              </w:rPr>
              <w:t xml:space="preserve"> 废石水浸检测结果一览表  单位：mg/L</w:t>
            </w:r>
          </w:p>
          <w:tbl>
            <w:tblPr>
              <w:tblStyle w:val="21"/>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89"/>
              <w:gridCol w:w="1290"/>
              <w:gridCol w:w="1600"/>
              <w:gridCol w:w="2285"/>
              <w:gridCol w:w="23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0" w:hRule="atLeast"/>
                <w:jc w:val="center"/>
              </w:trPr>
              <w:tc>
                <w:tcPr>
                  <w:tcW w:w="1078" w:type="dxa"/>
                  <w:vAlign w:val="center"/>
                </w:tcPr>
                <w:p>
                  <w:pPr>
                    <w:pStyle w:val="32"/>
                    <w:spacing w:line="360" w:lineRule="exact"/>
                    <w:rPr>
                      <w:color w:val="000000" w:themeColor="text1"/>
                      <w:szCs w:val="21"/>
                    </w:rPr>
                  </w:pPr>
                  <w:r>
                    <w:rPr>
                      <w:color w:val="000000" w:themeColor="text1"/>
                      <w:szCs w:val="21"/>
                    </w:rPr>
                    <w:t>序号</w:t>
                  </w:r>
                </w:p>
              </w:tc>
              <w:tc>
                <w:tcPr>
                  <w:tcW w:w="2863" w:type="dxa"/>
                  <w:gridSpan w:val="2"/>
                  <w:vAlign w:val="center"/>
                </w:tcPr>
                <w:p>
                  <w:pPr>
                    <w:pStyle w:val="32"/>
                    <w:spacing w:line="360" w:lineRule="exact"/>
                    <w:rPr>
                      <w:color w:val="000000" w:themeColor="text1"/>
                      <w:szCs w:val="21"/>
                    </w:rPr>
                  </w:pPr>
                  <w:r>
                    <w:rPr>
                      <w:color w:val="000000" w:themeColor="text1"/>
                      <w:szCs w:val="21"/>
                    </w:rPr>
                    <w:t>污染因子</w:t>
                  </w:r>
                </w:p>
              </w:tc>
              <w:tc>
                <w:tcPr>
                  <w:tcW w:w="2263"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检出值</w:t>
                  </w:r>
                </w:p>
              </w:tc>
              <w:tc>
                <w:tcPr>
                  <w:tcW w:w="2318" w:type="dxa"/>
                  <w:vAlign w:val="center"/>
                </w:tcPr>
                <w:p>
                  <w:pPr>
                    <w:pStyle w:val="32"/>
                    <w:spacing w:line="360" w:lineRule="exact"/>
                    <w:rPr>
                      <w:color w:val="000000" w:themeColor="text1"/>
                      <w:szCs w:val="21"/>
                    </w:rPr>
                  </w:pPr>
                  <w:r>
                    <w:rPr>
                      <w:color w:val="000000" w:themeColor="text1"/>
                      <w:szCs w:val="21"/>
                    </w:rPr>
                    <w:t>第I类和第I I类一般工业固废临界值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8" w:type="dxa"/>
                  <w:vAlign w:val="center"/>
                </w:tcPr>
                <w:p>
                  <w:pPr>
                    <w:pStyle w:val="32"/>
                    <w:spacing w:line="360" w:lineRule="exact"/>
                    <w:rPr>
                      <w:color w:val="000000" w:themeColor="text1"/>
                      <w:szCs w:val="21"/>
                    </w:rPr>
                  </w:pPr>
                  <w:r>
                    <w:rPr>
                      <w:color w:val="000000" w:themeColor="text1"/>
                      <w:szCs w:val="21"/>
                    </w:rPr>
                    <w:t>1</w:t>
                  </w:r>
                </w:p>
              </w:tc>
              <w:tc>
                <w:tcPr>
                  <w:tcW w:w="2863" w:type="dxa"/>
                  <w:gridSpan w:val="2"/>
                  <w:vAlign w:val="center"/>
                </w:tcPr>
                <w:p>
                  <w:pPr>
                    <w:pStyle w:val="32"/>
                    <w:spacing w:line="360" w:lineRule="exact"/>
                    <w:rPr>
                      <w:color w:val="000000" w:themeColor="text1"/>
                      <w:szCs w:val="21"/>
                    </w:rPr>
                  </w:pPr>
                  <w:r>
                    <w:rPr>
                      <w:color w:val="000000" w:themeColor="text1"/>
                      <w:szCs w:val="21"/>
                    </w:rPr>
                    <w:t>pH值</w:t>
                  </w:r>
                </w:p>
              </w:tc>
              <w:tc>
                <w:tcPr>
                  <w:tcW w:w="2263" w:type="dxa"/>
                  <w:tcBorders>
                    <w:right w:val="single" w:color="auto" w:sz="4" w:space="0"/>
                  </w:tcBorders>
                </w:tcPr>
                <w:p>
                  <w:pPr>
                    <w:pStyle w:val="32"/>
                    <w:spacing w:line="360" w:lineRule="exact"/>
                    <w:rPr>
                      <w:color w:val="000000" w:themeColor="text1"/>
                      <w:szCs w:val="21"/>
                    </w:rPr>
                  </w:pPr>
                  <w:r>
                    <w:rPr>
                      <w:color w:val="000000" w:themeColor="text1"/>
                      <w:szCs w:val="21"/>
                    </w:rPr>
                    <w:t>8.07</w:t>
                  </w:r>
                </w:p>
              </w:tc>
              <w:tc>
                <w:tcPr>
                  <w:tcW w:w="2318" w:type="dxa"/>
                  <w:vAlign w:val="center"/>
                </w:tcPr>
                <w:p>
                  <w:pPr>
                    <w:pStyle w:val="32"/>
                    <w:spacing w:line="360" w:lineRule="exact"/>
                    <w:rPr>
                      <w:color w:val="000000" w:themeColor="text1"/>
                      <w:szCs w:val="21"/>
                    </w:rPr>
                  </w:pPr>
                  <w:r>
                    <w:rPr>
                      <w:color w:val="000000" w:themeColor="text1"/>
                      <w:szCs w:val="21"/>
                    </w:rPr>
                    <w:t>6-9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8" w:type="dxa"/>
                  <w:vAlign w:val="center"/>
                </w:tcPr>
                <w:p>
                  <w:pPr>
                    <w:pStyle w:val="32"/>
                    <w:spacing w:line="360" w:lineRule="exact"/>
                    <w:rPr>
                      <w:color w:val="000000" w:themeColor="text1"/>
                      <w:szCs w:val="21"/>
                    </w:rPr>
                  </w:pPr>
                  <w:r>
                    <w:rPr>
                      <w:color w:val="000000" w:themeColor="text1"/>
                      <w:szCs w:val="21"/>
                    </w:rPr>
                    <w:t>2</w:t>
                  </w:r>
                </w:p>
              </w:tc>
              <w:tc>
                <w:tcPr>
                  <w:tcW w:w="2863" w:type="dxa"/>
                  <w:gridSpan w:val="2"/>
                  <w:vAlign w:val="center"/>
                </w:tcPr>
                <w:p>
                  <w:pPr>
                    <w:pStyle w:val="32"/>
                    <w:spacing w:line="360" w:lineRule="exact"/>
                    <w:rPr>
                      <w:color w:val="000000" w:themeColor="text1"/>
                      <w:szCs w:val="21"/>
                    </w:rPr>
                  </w:pPr>
                  <w:r>
                    <w:rPr>
                      <w:color w:val="000000" w:themeColor="text1"/>
                      <w:szCs w:val="21"/>
                    </w:rPr>
                    <w:t>铜</w:t>
                  </w:r>
                </w:p>
              </w:tc>
              <w:tc>
                <w:tcPr>
                  <w:tcW w:w="2263" w:type="dxa"/>
                  <w:tcBorders>
                    <w:right w:val="single" w:color="auto" w:sz="4" w:space="0"/>
                  </w:tcBorders>
                </w:tcPr>
                <w:p>
                  <w:pPr>
                    <w:pStyle w:val="32"/>
                    <w:spacing w:line="360" w:lineRule="exact"/>
                    <w:rPr>
                      <w:color w:val="000000" w:themeColor="text1"/>
                      <w:szCs w:val="21"/>
                    </w:rPr>
                  </w:pPr>
                  <w:r>
                    <w:rPr>
                      <w:color w:val="000000" w:themeColor="text1"/>
                      <w:szCs w:val="21"/>
                    </w:rPr>
                    <w:t>0.02L</w:t>
                  </w:r>
                </w:p>
              </w:tc>
              <w:tc>
                <w:tcPr>
                  <w:tcW w:w="2318" w:type="dxa"/>
                  <w:vAlign w:val="center"/>
                </w:tcPr>
                <w:p>
                  <w:pPr>
                    <w:pStyle w:val="32"/>
                    <w:spacing w:line="360" w:lineRule="exact"/>
                    <w:rPr>
                      <w:color w:val="000000" w:themeColor="text1"/>
                      <w:szCs w:val="21"/>
                    </w:rPr>
                  </w:pPr>
                  <w:r>
                    <w:rPr>
                      <w:color w:val="000000" w:themeColor="text1"/>
                      <w:szCs w:val="21"/>
                    </w:rPr>
                    <w:t>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8" w:type="dxa"/>
                  <w:vAlign w:val="center"/>
                </w:tcPr>
                <w:p>
                  <w:pPr>
                    <w:pStyle w:val="32"/>
                    <w:spacing w:line="360" w:lineRule="exact"/>
                    <w:rPr>
                      <w:color w:val="000000" w:themeColor="text1"/>
                      <w:szCs w:val="21"/>
                    </w:rPr>
                  </w:pPr>
                  <w:r>
                    <w:rPr>
                      <w:color w:val="000000" w:themeColor="text1"/>
                      <w:szCs w:val="21"/>
                    </w:rPr>
                    <w:t>3</w:t>
                  </w:r>
                </w:p>
              </w:tc>
              <w:tc>
                <w:tcPr>
                  <w:tcW w:w="2863" w:type="dxa"/>
                  <w:gridSpan w:val="2"/>
                  <w:vAlign w:val="center"/>
                </w:tcPr>
                <w:p>
                  <w:pPr>
                    <w:pStyle w:val="32"/>
                    <w:spacing w:line="360" w:lineRule="exact"/>
                    <w:rPr>
                      <w:color w:val="000000" w:themeColor="text1"/>
                      <w:szCs w:val="21"/>
                    </w:rPr>
                  </w:pPr>
                  <w:r>
                    <w:rPr>
                      <w:color w:val="000000" w:themeColor="text1"/>
                      <w:szCs w:val="21"/>
                    </w:rPr>
                    <w:t>锌</w:t>
                  </w:r>
                </w:p>
              </w:tc>
              <w:tc>
                <w:tcPr>
                  <w:tcW w:w="2263" w:type="dxa"/>
                  <w:tcBorders>
                    <w:right w:val="single" w:color="auto" w:sz="4" w:space="0"/>
                  </w:tcBorders>
                </w:tcPr>
                <w:p>
                  <w:pPr>
                    <w:pStyle w:val="32"/>
                    <w:spacing w:line="360" w:lineRule="exact"/>
                    <w:rPr>
                      <w:color w:val="000000" w:themeColor="text1"/>
                      <w:szCs w:val="21"/>
                    </w:rPr>
                  </w:pPr>
                  <w:r>
                    <w:rPr>
                      <w:color w:val="000000" w:themeColor="text1"/>
                      <w:szCs w:val="21"/>
                    </w:rPr>
                    <w:t>0.034</w:t>
                  </w:r>
                </w:p>
              </w:tc>
              <w:tc>
                <w:tcPr>
                  <w:tcW w:w="2318" w:type="dxa"/>
                  <w:vAlign w:val="center"/>
                </w:tcPr>
                <w:p>
                  <w:pPr>
                    <w:pStyle w:val="32"/>
                    <w:spacing w:line="360" w:lineRule="exact"/>
                    <w:rPr>
                      <w:color w:val="000000" w:themeColor="text1"/>
                      <w:szCs w:val="21"/>
                    </w:rPr>
                  </w:pPr>
                  <w:r>
                    <w:rPr>
                      <w:color w:val="000000" w:themeColor="text1"/>
                      <w:szCs w:val="21"/>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8" w:type="dxa"/>
                  <w:vAlign w:val="center"/>
                </w:tcPr>
                <w:p>
                  <w:pPr>
                    <w:pStyle w:val="32"/>
                    <w:spacing w:line="360" w:lineRule="exact"/>
                    <w:rPr>
                      <w:color w:val="000000" w:themeColor="text1"/>
                      <w:szCs w:val="21"/>
                    </w:rPr>
                  </w:pPr>
                  <w:r>
                    <w:rPr>
                      <w:color w:val="000000" w:themeColor="text1"/>
                      <w:szCs w:val="21"/>
                    </w:rPr>
                    <w:t>4</w:t>
                  </w:r>
                </w:p>
              </w:tc>
              <w:tc>
                <w:tcPr>
                  <w:tcW w:w="2863" w:type="dxa"/>
                  <w:gridSpan w:val="2"/>
                  <w:vAlign w:val="center"/>
                </w:tcPr>
                <w:p>
                  <w:pPr>
                    <w:pStyle w:val="32"/>
                    <w:spacing w:line="360" w:lineRule="exact"/>
                    <w:rPr>
                      <w:color w:val="000000" w:themeColor="text1"/>
                      <w:szCs w:val="21"/>
                    </w:rPr>
                  </w:pPr>
                  <w:r>
                    <w:rPr>
                      <w:color w:val="000000" w:themeColor="text1"/>
                      <w:szCs w:val="21"/>
                    </w:rPr>
                    <w:t>镉</w:t>
                  </w:r>
                </w:p>
              </w:tc>
              <w:tc>
                <w:tcPr>
                  <w:tcW w:w="2263" w:type="dxa"/>
                  <w:tcBorders>
                    <w:right w:val="single" w:color="auto" w:sz="4" w:space="0"/>
                  </w:tcBorders>
                </w:tcPr>
                <w:p>
                  <w:pPr>
                    <w:pStyle w:val="32"/>
                    <w:spacing w:line="360" w:lineRule="exact"/>
                    <w:rPr>
                      <w:color w:val="000000" w:themeColor="text1"/>
                      <w:szCs w:val="21"/>
                    </w:rPr>
                  </w:pPr>
                  <w:r>
                    <w:rPr>
                      <w:color w:val="000000" w:themeColor="text1"/>
                      <w:szCs w:val="21"/>
                    </w:rPr>
                    <w:t>0.040</w:t>
                  </w:r>
                </w:p>
              </w:tc>
              <w:tc>
                <w:tcPr>
                  <w:tcW w:w="2318" w:type="dxa"/>
                  <w:vAlign w:val="center"/>
                </w:tcPr>
                <w:p>
                  <w:pPr>
                    <w:pStyle w:val="32"/>
                    <w:spacing w:line="360" w:lineRule="exact"/>
                    <w:rPr>
                      <w:color w:val="000000" w:themeColor="text1"/>
                      <w:szCs w:val="21"/>
                    </w:rPr>
                  </w:pPr>
                  <w:r>
                    <w:rPr>
                      <w:color w:val="000000" w:themeColor="text1"/>
                      <w:szCs w:val="21"/>
                    </w:rPr>
                    <w:t>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8" w:type="dxa"/>
                  <w:vAlign w:val="center"/>
                </w:tcPr>
                <w:p>
                  <w:pPr>
                    <w:pStyle w:val="32"/>
                    <w:spacing w:line="360" w:lineRule="exact"/>
                    <w:rPr>
                      <w:color w:val="000000" w:themeColor="text1"/>
                      <w:szCs w:val="21"/>
                    </w:rPr>
                  </w:pPr>
                  <w:r>
                    <w:rPr>
                      <w:color w:val="000000" w:themeColor="text1"/>
                      <w:szCs w:val="21"/>
                    </w:rPr>
                    <w:t>5</w:t>
                  </w:r>
                </w:p>
              </w:tc>
              <w:tc>
                <w:tcPr>
                  <w:tcW w:w="2863" w:type="dxa"/>
                  <w:gridSpan w:val="2"/>
                  <w:vAlign w:val="center"/>
                </w:tcPr>
                <w:p>
                  <w:pPr>
                    <w:pStyle w:val="32"/>
                    <w:spacing w:line="360" w:lineRule="exact"/>
                    <w:rPr>
                      <w:color w:val="000000" w:themeColor="text1"/>
                      <w:szCs w:val="21"/>
                    </w:rPr>
                  </w:pPr>
                  <w:r>
                    <w:rPr>
                      <w:color w:val="000000" w:themeColor="text1"/>
                      <w:szCs w:val="21"/>
                    </w:rPr>
                    <w:t>铅</w:t>
                  </w:r>
                </w:p>
              </w:tc>
              <w:tc>
                <w:tcPr>
                  <w:tcW w:w="2263" w:type="dxa"/>
                  <w:tcBorders>
                    <w:right w:val="single" w:color="auto" w:sz="4" w:space="0"/>
                  </w:tcBorders>
                </w:tcPr>
                <w:p>
                  <w:pPr>
                    <w:pStyle w:val="32"/>
                    <w:spacing w:line="360" w:lineRule="exact"/>
                    <w:rPr>
                      <w:color w:val="000000" w:themeColor="text1"/>
                      <w:szCs w:val="21"/>
                    </w:rPr>
                  </w:pPr>
                  <w:r>
                    <w:rPr>
                      <w:color w:val="000000" w:themeColor="text1"/>
                      <w:szCs w:val="21"/>
                    </w:rPr>
                    <w:t>0.231</w:t>
                  </w:r>
                </w:p>
              </w:tc>
              <w:tc>
                <w:tcPr>
                  <w:tcW w:w="2318" w:type="dxa"/>
                  <w:vAlign w:val="center"/>
                </w:tcPr>
                <w:p>
                  <w:pPr>
                    <w:pStyle w:val="32"/>
                    <w:spacing w:line="360" w:lineRule="exact"/>
                    <w:rPr>
                      <w:color w:val="000000" w:themeColor="text1"/>
                      <w:szCs w:val="21"/>
                    </w:rPr>
                  </w:pPr>
                  <w:r>
                    <w:rPr>
                      <w:color w:val="000000" w:themeColor="text1"/>
                      <w:szCs w:val="21"/>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8" w:type="dxa"/>
                  <w:vAlign w:val="center"/>
                </w:tcPr>
                <w:p>
                  <w:pPr>
                    <w:pStyle w:val="32"/>
                    <w:spacing w:line="360" w:lineRule="exact"/>
                    <w:rPr>
                      <w:color w:val="000000" w:themeColor="text1"/>
                      <w:szCs w:val="21"/>
                    </w:rPr>
                  </w:pPr>
                  <w:r>
                    <w:rPr>
                      <w:color w:val="000000" w:themeColor="text1"/>
                      <w:szCs w:val="21"/>
                    </w:rPr>
                    <w:t>6</w:t>
                  </w:r>
                </w:p>
              </w:tc>
              <w:tc>
                <w:tcPr>
                  <w:tcW w:w="2863" w:type="dxa"/>
                  <w:gridSpan w:val="2"/>
                  <w:vAlign w:val="center"/>
                </w:tcPr>
                <w:p>
                  <w:pPr>
                    <w:pStyle w:val="32"/>
                    <w:spacing w:line="360" w:lineRule="exact"/>
                    <w:rPr>
                      <w:color w:val="000000" w:themeColor="text1"/>
                      <w:szCs w:val="21"/>
                    </w:rPr>
                  </w:pPr>
                  <w:r>
                    <w:rPr>
                      <w:color w:val="000000" w:themeColor="text1"/>
                      <w:szCs w:val="21"/>
                    </w:rPr>
                    <w:t>总铬</w:t>
                  </w:r>
                </w:p>
              </w:tc>
              <w:tc>
                <w:tcPr>
                  <w:tcW w:w="2263" w:type="dxa"/>
                  <w:tcBorders>
                    <w:right w:val="single" w:color="auto" w:sz="4" w:space="0"/>
                  </w:tcBorders>
                </w:tcPr>
                <w:p>
                  <w:pPr>
                    <w:pStyle w:val="32"/>
                    <w:spacing w:line="360" w:lineRule="exact"/>
                    <w:rPr>
                      <w:color w:val="000000" w:themeColor="text1"/>
                      <w:szCs w:val="21"/>
                    </w:rPr>
                  </w:pPr>
                  <w:r>
                    <w:rPr>
                      <w:color w:val="000000" w:themeColor="text1"/>
                      <w:szCs w:val="21"/>
                    </w:rPr>
                    <w:t>0.171</w:t>
                  </w:r>
                </w:p>
              </w:tc>
              <w:tc>
                <w:tcPr>
                  <w:tcW w:w="2318" w:type="dxa"/>
                  <w:vAlign w:val="center"/>
                </w:tcPr>
                <w:p>
                  <w:pPr>
                    <w:pStyle w:val="32"/>
                    <w:spacing w:line="360" w:lineRule="exact"/>
                    <w:rPr>
                      <w:color w:val="000000" w:themeColor="text1"/>
                      <w:szCs w:val="21"/>
                    </w:rPr>
                  </w:pPr>
                  <w:r>
                    <w:rPr>
                      <w:color w:val="000000" w:themeColor="text1"/>
                      <w:szCs w:val="21"/>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 w:hRule="atLeast"/>
                <w:jc w:val="center"/>
              </w:trPr>
              <w:tc>
                <w:tcPr>
                  <w:tcW w:w="1078" w:type="dxa"/>
                  <w:vMerge w:val="restart"/>
                  <w:vAlign w:val="center"/>
                </w:tcPr>
                <w:p>
                  <w:pPr>
                    <w:pStyle w:val="32"/>
                    <w:spacing w:line="360" w:lineRule="exact"/>
                    <w:rPr>
                      <w:color w:val="000000" w:themeColor="text1"/>
                      <w:szCs w:val="21"/>
                    </w:rPr>
                  </w:pPr>
                  <w:r>
                    <w:rPr>
                      <w:color w:val="000000" w:themeColor="text1"/>
                      <w:szCs w:val="21"/>
                    </w:rPr>
                    <w:t>7</w:t>
                  </w:r>
                </w:p>
              </w:tc>
              <w:tc>
                <w:tcPr>
                  <w:tcW w:w="1278" w:type="dxa"/>
                  <w:vMerge w:val="restart"/>
                  <w:vAlign w:val="center"/>
                </w:tcPr>
                <w:p>
                  <w:pPr>
                    <w:pStyle w:val="32"/>
                    <w:spacing w:line="360" w:lineRule="exact"/>
                    <w:rPr>
                      <w:color w:val="000000" w:themeColor="text1"/>
                      <w:szCs w:val="21"/>
                    </w:rPr>
                  </w:pPr>
                  <w:r>
                    <w:rPr>
                      <w:color w:val="000000" w:themeColor="text1"/>
                      <w:szCs w:val="21"/>
                    </w:rPr>
                    <w:t>烷基汞</w:t>
                  </w:r>
                </w:p>
              </w:tc>
              <w:tc>
                <w:tcPr>
                  <w:tcW w:w="1585" w:type="dxa"/>
                  <w:vAlign w:val="center"/>
                </w:tcPr>
                <w:p>
                  <w:pPr>
                    <w:pStyle w:val="32"/>
                    <w:spacing w:line="360" w:lineRule="exact"/>
                    <w:rPr>
                      <w:color w:val="000000" w:themeColor="text1"/>
                      <w:szCs w:val="21"/>
                    </w:rPr>
                  </w:pPr>
                  <w:r>
                    <w:rPr>
                      <w:color w:val="000000" w:themeColor="text1"/>
                      <w:szCs w:val="21"/>
                    </w:rPr>
                    <w:t>甲基汞</w:t>
                  </w:r>
                </w:p>
              </w:tc>
              <w:tc>
                <w:tcPr>
                  <w:tcW w:w="2263" w:type="dxa"/>
                  <w:tcBorders>
                    <w:right w:val="single" w:color="auto" w:sz="4" w:space="0"/>
                  </w:tcBorders>
                </w:tcPr>
                <w:p>
                  <w:pPr>
                    <w:pStyle w:val="32"/>
                    <w:spacing w:line="360" w:lineRule="exact"/>
                    <w:rPr>
                      <w:color w:val="000000" w:themeColor="text1"/>
                      <w:szCs w:val="21"/>
                    </w:rPr>
                  </w:pPr>
                  <w:r>
                    <w:rPr>
                      <w:color w:val="000000" w:themeColor="text1"/>
                      <w:szCs w:val="21"/>
                    </w:rPr>
                    <w:t>10L</w:t>
                  </w:r>
                </w:p>
              </w:tc>
              <w:tc>
                <w:tcPr>
                  <w:tcW w:w="2318" w:type="dxa"/>
                  <w:vMerge w:val="restart"/>
                  <w:vAlign w:val="center"/>
                </w:tcPr>
                <w:p>
                  <w:pPr>
                    <w:pStyle w:val="32"/>
                    <w:spacing w:line="360" w:lineRule="exact"/>
                    <w:rPr>
                      <w:color w:val="000000" w:themeColor="text1"/>
                      <w:szCs w:val="21"/>
                    </w:rPr>
                  </w:pP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 w:hRule="atLeast"/>
                <w:jc w:val="center"/>
              </w:trPr>
              <w:tc>
                <w:tcPr>
                  <w:tcW w:w="1078" w:type="dxa"/>
                  <w:vMerge w:val="continue"/>
                  <w:vAlign w:val="center"/>
                </w:tcPr>
                <w:p>
                  <w:pPr>
                    <w:pStyle w:val="32"/>
                    <w:spacing w:line="360" w:lineRule="exact"/>
                    <w:rPr>
                      <w:color w:val="000000" w:themeColor="text1"/>
                      <w:szCs w:val="21"/>
                    </w:rPr>
                  </w:pPr>
                </w:p>
              </w:tc>
              <w:tc>
                <w:tcPr>
                  <w:tcW w:w="1278" w:type="dxa"/>
                  <w:vMerge w:val="continue"/>
                  <w:vAlign w:val="center"/>
                </w:tcPr>
                <w:p>
                  <w:pPr>
                    <w:pStyle w:val="32"/>
                    <w:spacing w:line="360" w:lineRule="exact"/>
                    <w:rPr>
                      <w:color w:val="000000" w:themeColor="text1"/>
                      <w:szCs w:val="21"/>
                    </w:rPr>
                  </w:pPr>
                </w:p>
              </w:tc>
              <w:tc>
                <w:tcPr>
                  <w:tcW w:w="1585" w:type="dxa"/>
                  <w:vAlign w:val="center"/>
                </w:tcPr>
                <w:p>
                  <w:pPr>
                    <w:pStyle w:val="32"/>
                    <w:spacing w:line="360" w:lineRule="exact"/>
                    <w:rPr>
                      <w:color w:val="000000" w:themeColor="text1"/>
                      <w:szCs w:val="21"/>
                    </w:rPr>
                  </w:pPr>
                  <w:r>
                    <w:rPr>
                      <w:color w:val="000000" w:themeColor="text1"/>
                      <w:szCs w:val="21"/>
                    </w:rPr>
                    <w:t>乙基汞</w:t>
                  </w:r>
                </w:p>
              </w:tc>
              <w:tc>
                <w:tcPr>
                  <w:tcW w:w="2263" w:type="dxa"/>
                  <w:tcBorders>
                    <w:right w:val="single" w:color="auto" w:sz="4" w:space="0"/>
                  </w:tcBorders>
                </w:tcPr>
                <w:p>
                  <w:pPr>
                    <w:pStyle w:val="32"/>
                    <w:spacing w:line="360" w:lineRule="exact"/>
                    <w:rPr>
                      <w:color w:val="000000" w:themeColor="text1"/>
                      <w:szCs w:val="21"/>
                    </w:rPr>
                  </w:pPr>
                  <w:r>
                    <w:rPr>
                      <w:color w:val="000000" w:themeColor="text1"/>
                      <w:szCs w:val="21"/>
                    </w:rPr>
                    <w:t>20L</w:t>
                  </w:r>
                </w:p>
              </w:tc>
              <w:tc>
                <w:tcPr>
                  <w:tcW w:w="2318" w:type="dxa"/>
                  <w:vMerge w:val="continue"/>
                  <w:vAlign w:val="center"/>
                </w:tcPr>
                <w:p>
                  <w:pPr>
                    <w:pStyle w:val="32"/>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8" w:type="dxa"/>
                  <w:vAlign w:val="center"/>
                </w:tcPr>
                <w:p>
                  <w:pPr>
                    <w:pStyle w:val="32"/>
                    <w:spacing w:line="360" w:lineRule="exact"/>
                    <w:rPr>
                      <w:color w:val="000000" w:themeColor="text1"/>
                      <w:szCs w:val="21"/>
                    </w:rPr>
                  </w:pPr>
                  <w:r>
                    <w:rPr>
                      <w:color w:val="000000" w:themeColor="text1"/>
                      <w:szCs w:val="21"/>
                    </w:rPr>
                    <w:t>8</w:t>
                  </w:r>
                </w:p>
              </w:tc>
              <w:tc>
                <w:tcPr>
                  <w:tcW w:w="2863" w:type="dxa"/>
                  <w:gridSpan w:val="2"/>
                  <w:vAlign w:val="center"/>
                </w:tcPr>
                <w:p>
                  <w:pPr>
                    <w:pStyle w:val="32"/>
                    <w:spacing w:line="360" w:lineRule="exact"/>
                    <w:rPr>
                      <w:color w:val="000000" w:themeColor="text1"/>
                      <w:szCs w:val="21"/>
                    </w:rPr>
                  </w:pPr>
                  <w:r>
                    <w:rPr>
                      <w:color w:val="000000" w:themeColor="text1"/>
                      <w:szCs w:val="21"/>
                    </w:rPr>
                    <w:t>六价铬</w:t>
                  </w:r>
                </w:p>
              </w:tc>
              <w:tc>
                <w:tcPr>
                  <w:tcW w:w="2263" w:type="dxa"/>
                  <w:tcBorders>
                    <w:right w:val="single" w:color="auto" w:sz="4" w:space="0"/>
                  </w:tcBorders>
                </w:tcPr>
                <w:p>
                  <w:pPr>
                    <w:pStyle w:val="32"/>
                    <w:spacing w:line="360" w:lineRule="exact"/>
                    <w:rPr>
                      <w:color w:val="000000" w:themeColor="text1"/>
                      <w:szCs w:val="21"/>
                    </w:rPr>
                  </w:pPr>
                  <w:r>
                    <w:rPr>
                      <w:color w:val="000000" w:themeColor="text1"/>
                      <w:szCs w:val="21"/>
                    </w:rPr>
                    <w:t>0.006</w:t>
                  </w:r>
                </w:p>
              </w:tc>
              <w:tc>
                <w:tcPr>
                  <w:tcW w:w="2318" w:type="dxa"/>
                  <w:vAlign w:val="center"/>
                </w:tcPr>
                <w:p>
                  <w:pPr>
                    <w:pStyle w:val="32"/>
                    <w:spacing w:line="360" w:lineRule="exact"/>
                    <w:rPr>
                      <w:color w:val="000000" w:themeColor="text1"/>
                      <w:szCs w:val="21"/>
                    </w:rPr>
                  </w:pPr>
                  <w:r>
                    <w:rPr>
                      <w:color w:val="000000" w:themeColor="text1"/>
                      <w:szCs w:val="21"/>
                    </w:rPr>
                    <w:t>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8" w:type="dxa"/>
                  <w:vAlign w:val="center"/>
                </w:tcPr>
                <w:p>
                  <w:pPr>
                    <w:pStyle w:val="32"/>
                    <w:spacing w:line="360" w:lineRule="exact"/>
                    <w:rPr>
                      <w:color w:val="000000" w:themeColor="text1"/>
                      <w:szCs w:val="21"/>
                    </w:rPr>
                  </w:pPr>
                  <w:r>
                    <w:rPr>
                      <w:color w:val="000000" w:themeColor="text1"/>
                      <w:szCs w:val="21"/>
                    </w:rPr>
                    <w:t>9</w:t>
                  </w:r>
                </w:p>
              </w:tc>
              <w:tc>
                <w:tcPr>
                  <w:tcW w:w="2863" w:type="dxa"/>
                  <w:gridSpan w:val="2"/>
                  <w:vAlign w:val="center"/>
                </w:tcPr>
                <w:p>
                  <w:pPr>
                    <w:pStyle w:val="32"/>
                    <w:spacing w:line="360" w:lineRule="exact"/>
                    <w:rPr>
                      <w:color w:val="000000" w:themeColor="text1"/>
                      <w:szCs w:val="21"/>
                    </w:rPr>
                  </w:pPr>
                  <w:r>
                    <w:rPr>
                      <w:color w:val="000000" w:themeColor="text1"/>
                      <w:szCs w:val="21"/>
                    </w:rPr>
                    <w:t>汞</w:t>
                  </w:r>
                </w:p>
              </w:tc>
              <w:tc>
                <w:tcPr>
                  <w:tcW w:w="2263" w:type="dxa"/>
                  <w:tcBorders>
                    <w:right w:val="single" w:color="auto" w:sz="4" w:space="0"/>
                  </w:tcBorders>
                </w:tcPr>
                <w:p>
                  <w:pPr>
                    <w:pStyle w:val="32"/>
                    <w:spacing w:line="360" w:lineRule="exact"/>
                    <w:rPr>
                      <w:color w:val="000000" w:themeColor="text1"/>
                      <w:szCs w:val="21"/>
                    </w:rPr>
                  </w:pPr>
                  <w:r>
                    <w:rPr>
                      <w:color w:val="000000" w:themeColor="text1"/>
                      <w:szCs w:val="21"/>
                    </w:rPr>
                    <w:t>0.009</w:t>
                  </w:r>
                </w:p>
              </w:tc>
              <w:tc>
                <w:tcPr>
                  <w:tcW w:w="2318" w:type="dxa"/>
                  <w:vAlign w:val="center"/>
                </w:tcPr>
                <w:p>
                  <w:pPr>
                    <w:pStyle w:val="32"/>
                    <w:spacing w:line="360" w:lineRule="exact"/>
                    <w:rPr>
                      <w:color w:val="000000" w:themeColor="text1"/>
                      <w:szCs w:val="21"/>
                    </w:rPr>
                  </w:pPr>
                  <w:r>
                    <w:rPr>
                      <w:color w:val="000000" w:themeColor="text1"/>
                      <w:szCs w:val="21"/>
                    </w:rPr>
                    <w:t>0.05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8" w:type="dxa"/>
                  <w:vAlign w:val="center"/>
                </w:tcPr>
                <w:p>
                  <w:pPr>
                    <w:pStyle w:val="32"/>
                    <w:spacing w:line="360" w:lineRule="exact"/>
                    <w:rPr>
                      <w:color w:val="000000" w:themeColor="text1"/>
                      <w:szCs w:val="21"/>
                    </w:rPr>
                  </w:pPr>
                  <w:r>
                    <w:rPr>
                      <w:color w:val="000000" w:themeColor="text1"/>
                      <w:szCs w:val="21"/>
                    </w:rPr>
                    <w:t>10</w:t>
                  </w:r>
                </w:p>
              </w:tc>
              <w:tc>
                <w:tcPr>
                  <w:tcW w:w="2863" w:type="dxa"/>
                  <w:gridSpan w:val="2"/>
                  <w:vAlign w:val="center"/>
                </w:tcPr>
                <w:p>
                  <w:pPr>
                    <w:pStyle w:val="32"/>
                    <w:spacing w:line="360" w:lineRule="exact"/>
                    <w:rPr>
                      <w:color w:val="000000" w:themeColor="text1"/>
                      <w:szCs w:val="21"/>
                    </w:rPr>
                  </w:pPr>
                  <w:r>
                    <w:rPr>
                      <w:color w:val="000000" w:themeColor="text1"/>
                      <w:szCs w:val="21"/>
                    </w:rPr>
                    <w:t>铍</w:t>
                  </w:r>
                </w:p>
              </w:tc>
              <w:tc>
                <w:tcPr>
                  <w:tcW w:w="2263" w:type="dxa"/>
                  <w:tcBorders>
                    <w:right w:val="single" w:color="auto" w:sz="4" w:space="0"/>
                  </w:tcBorders>
                </w:tcPr>
                <w:p>
                  <w:pPr>
                    <w:pStyle w:val="32"/>
                    <w:spacing w:line="360" w:lineRule="exact"/>
                    <w:rPr>
                      <w:color w:val="000000" w:themeColor="text1"/>
                      <w:szCs w:val="21"/>
                    </w:rPr>
                  </w:pPr>
                  <w:r>
                    <w:rPr>
                      <w:color w:val="000000" w:themeColor="text1"/>
                      <w:szCs w:val="21"/>
                    </w:rPr>
                    <w:t>0.0012</w:t>
                  </w:r>
                </w:p>
              </w:tc>
              <w:tc>
                <w:tcPr>
                  <w:tcW w:w="2318" w:type="dxa"/>
                  <w:vAlign w:val="center"/>
                </w:tcPr>
                <w:p>
                  <w:pPr>
                    <w:pStyle w:val="32"/>
                    <w:spacing w:line="360" w:lineRule="exact"/>
                    <w:rPr>
                      <w:color w:val="000000" w:themeColor="text1"/>
                      <w:szCs w:val="21"/>
                    </w:rPr>
                  </w:pPr>
                  <w:r>
                    <w:rPr>
                      <w:color w:val="000000" w:themeColor="text1"/>
                      <w:szCs w:val="21"/>
                    </w:rPr>
                    <w:t>0.005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8" w:type="dxa"/>
                  <w:vAlign w:val="center"/>
                </w:tcPr>
                <w:p>
                  <w:pPr>
                    <w:pStyle w:val="32"/>
                    <w:spacing w:line="360" w:lineRule="exact"/>
                    <w:rPr>
                      <w:color w:val="000000" w:themeColor="text1"/>
                      <w:szCs w:val="21"/>
                    </w:rPr>
                  </w:pPr>
                  <w:r>
                    <w:rPr>
                      <w:color w:val="000000" w:themeColor="text1"/>
                      <w:szCs w:val="21"/>
                    </w:rPr>
                    <w:t>11</w:t>
                  </w:r>
                </w:p>
              </w:tc>
              <w:tc>
                <w:tcPr>
                  <w:tcW w:w="2863" w:type="dxa"/>
                  <w:gridSpan w:val="2"/>
                  <w:vAlign w:val="center"/>
                </w:tcPr>
                <w:p>
                  <w:pPr>
                    <w:pStyle w:val="32"/>
                    <w:spacing w:line="360" w:lineRule="exact"/>
                    <w:rPr>
                      <w:color w:val="000000" w:themeColor="text1"/>
                      <w:szCs w:val="21"/>
                    </w:rPr>
                  </w:pPr>
                  <w:r>
                    <w:rPr>
                      <w:color w:val="000000" w:themeColor="text1"/>
                      <w:szCs w:val="21"/>
                    </w:rPr>
                    <w:t>钡</w:t>
                  </w:r>
                </w:p>
              </w:tc>
              <w:tc>
                <w:tcPr>
                  <w:tcW w:w="2263" w:type="dxa"/>
                  <w:tcBorders>
                    <w:right w:val="single" w:color="auto" w:sz="4" w:space="0"/>
                  </w:tcBorders>
                </w:tcPr>
                <w:p>
                  <w:pPr>
                    <w:pStyle w:val="32"/>
                    <w:spacing w:line="360" w:lineRule="exact"/>
                    <w:rPr>
                      <w:color w:val="000000" w:themeColor="text1"/>
                      <w:szCs w:val="21"/>
                    </w:rPr>
                  </w:pPr>
                  <w:r>
                    <w:rPr>
                      <w:color w:val="000000" w:themeColor="text1"/>
                      <w:szCs w:val="21"/>
                    </w:rPr>
                    <w:t>0.111</w:t>
                  </w:r>
                </w:p>
              </w:tc>
              <w:tc>
                <w:tcPr>
                  <w:tcW w:w="2318" w:type="dxa"/>
                  <w:vAlign w:val="center"/>
                </w:tcPr>
                <w:p>
                  <w:pPr>
                    <w:pStyle w:val="32"/>
                    <w:spacing w:line="360" w:lineRule="exact"/>
                    <w:rPr>
                      <w:color w:val="000000" w:themeColor="text1"/>
                      <w:szCs w:val="21"/>
                    </w:rPr>
                  </w:pP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8" w:type="dxa"/>
                  <w:vAlign w:val="center"/>
                </w:tcPr>
                <w:p>
                  <w:pPr>
                    <w:pStyle w:val="32"/>
                    <w:spacing w:line="360" w:lineRule="exact"/>
                    <w:rPr>
                      <w:color w:val="000000" w:themeColor="text1"/>
                      <w:szCs w:val="21"/>
                    </w:rPr>
                  </w:pPr>
                  <w:r>
                    <w:rPr>
                      <w:color w:val="000000" w:themeColor="text1"/>
                      <w:szCs w:val="21"/>
                    </w:rPr>
                    <w:t>12</w:t>
                  </w:r>
                </w:p>
              </w:tc>
              <w:tc>
                <w:tcPr>
                  <w:tcW w:w="2863" w:type="dxa"/>
                  <w:gridSpan w:val="2"/>
                  <w:vAlign w:val="center"/>
                </w:tcPr>
                <w:p>
                  <w:pPr>
                    <w:pStyle w:val="32"/>
                    <w:spacing w:line="360" w:lineRule="exact"/>
                    <w:rPr>
                      <w:color w:val="000000" w:themeColor="text1"/>
                      <w:szCs w:val="21"/>
                    </w:rPr>
                  </w:pPr>
                  <w:r>
                    <w:rPr>
                      <w:color w:val="000000" w:themeColor="text1"/>
                      <w:szCs w:val="21"/>
                    </w:rPr>
                    <w:t>镍</w:t>
                  </w:r>
                </w:p>
              </w:tc>
              <w:tc>
                <w:tcPr>
                  <w:tcW w:w="2263" w:type="dxa"/>
                  <w:tcBorders>
                    <w:right w:val="single" w:color="auto" w:sz="4" w:space="0"/>
                  </w:tcBorders>
                </w:tcPr>
                <w:p>
                  <w:pPr>
                    <w:pStyle w:val="32"/>
                    <w:spacing w:line="360" w:lineRule="exact"/>
                    <w:rPr>
                      <w:color w:val="000000" w:themeColor="text1"/>
                      <w:szCs w:val="21"/>
                    </w:rPr>
                  </w:pPr>
                  <w:r>
                    <w:rPr>
                      <w:color w:val="000000" w:themeColor="text1"/>
                      <w:szCs w:val="21"/>
                    </w:rPr>
                    <w:t>0.04L</w:t>
                  </w:r>
                </w:p>
              </w:tc>
              <w:tc>
                <w:tcPr>
                  <w:tcW w:w="2318" w:type="dxa"/>
                  <w:vAlign w:val="center"/>
                </w:tcPr>
                <w:p>
                  <w:pPr>
                    <w:pStyle w:val="32"/>
                    <w:spacing w:line="360" w:lineRule="exact"/>
                    <w:rPr>
                      <w:color w:val="000000" w:themeColor="text1"/>
                      <w:szCs w:val="21"/>
                    </w:rPr>
                  </w:pPr>
                  <w:r>
                    <w:rPr>
                      <w:color w:val="000000" w:themeColor="text1"/>
                      <w:szCs w:val="21"/>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8" w:type="dxa"/>
                  <w:vAlign w:val="center"/>
                </w:tcPr>
                <w:p>
                  <w:pPr>
                    <w:pStyle w:val="32"/>
                    <w:spacing w:line="360" w:lineRule="exact"/>
                    <w:rPr>
                      <w:color w:val="000000" w:themeColor="text1"/>
                      <w:szCs w:val="21"/>
                    </w:rPr>
                  </w:pPr>
                  <w:r>
                    <w:rPr>
                      <w:color w:val="000000" w:themeColor="text1"/>
                      <w:szCs w:val="21"/>
                    </w:rPr>
                    <w:t>13</w:t>
                  </w:r>
                </w:p>
              </w:tc>
              <w:tc>
                <w:tcPr>
                  <w:tcW w:w="2863" w:type="dxa"/>
                  <w:gridSpan w:val="2"/>
                  <w:vAlign w:val="center"/>
                </w:tcPr>
                <w:p>
                  <w:pPr>
                    <w:pStyle w:val="32"/>
                    <w:spacing w:line="360" w:lineRule="exact"/>
                    <w:rPr>
                      <w:color w:val="000000" w:themeColor="text1"/>
                      <w:szCs w:val="21"/>
                    </w:rPr>
                  </w:pPr>
                  <w:r>
                    <w:rPr>
                      <w:color w:val="000000" w:themeColor="text1"/>
                      <w:szCs w:val="21"/>
                    </w:rPr>
                    <w:t>总银</w:t>
                  </w:r>
                </w:p>
              </w:tc>
              <w:tc>
                <w:tcPr>
                  <w:tcW w:w="2263"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0.01L</w:t>
                  </w:r>
                </w:p>
              </w:tc>
              <w:tc>
                <w:tcPr>
                  <w:tcW w:w="2318" w:type="dxa"/>
                  <w:vAlign w:val="center"/>
                </w:tcPr>
                <w:p>
                  <w:pPr>
                    <w:pStyle w:val="32"/>
                    <w:spacing w:line="360" w:lineRule="exact"/>
                    <w:rPr>
                      <w:color w:val="000000" w:themeColor="text1"/>
                      <w:szCs w:val="21"/>
                    </w:rPr>
                  </w:pPr>
                  <w:r>
                    <w:rPr>
                      <w:color w:val="000000" w:themeColor="text1"/>
                      <w:szCs w:val="21"/>
                    </w:rPr>
                    <w:t>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8" w:type="dxa"/>
                  <w:vAlign w:val="center"/>
                </w:tcPr>
                <w:p>
                  <w:pPr>
                    <w:pStyle w:val="32"/>
                    <w:spacing w:line="360" w:lineRule="exact"/>
                    <w:rPr>
                      <w:color w:val="000000" w:themeColor="text1"/>
                      <w:szCs w:val="21"/>
                    </w:rPr>
                  </w:pPr>
                  <w:r>
                    <w:rPr>
                      <w:color w:val="000000" w:themeColor="text1"/>
                      <w:szCs w:val="21"/>
                    </w:rPr>
                    <w:t>14</w:t>
                  </w:r>
                </w:p>
              </w:tc>
              <w:tc>
                <w:tcPr>
                  <w:tcW w:w="2863" w:type="dxa"/>
                  <w:gridSpan w:val="2"/>
                  <w:vAlign w:val="center"/>
                </w:tcPr>
                <w:p>
                  <w:pPr>
                    <w:pStyle w:val="32"/>
                    <w:spacing w:line="360" w:lineRule="exact"/>
                    <w:rPr>
                      <w:color w:val="000000" w:themeColor="text1"/>
                      <w:szCs w:val="21"/>
                    </w:rPr>
                  </w:pPr>
                  <w:r>
                    <w:rPr>
                      <w:color w:val="000000" w:themeColor="text1"/>
                      <w:szCs w:val="21"/>
                    </w:rPr>
                    <w:t>砷</w:t>
                  </w:r>
                </w:p>
              </w:tc>
              <w:tc>
                <w:tcPr>
                  <w:tcW w:w="2263"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0.007L</w:t>
                  </w:r>
                </w:p>
              </w:tc>
              <w:tc>
                <w:tcPr>
                  <w:tcW w:w="2318" w:type="dxa"/>
                  <w:vAlign w:val="center"/>
                </w:tcPr>
                <w:p>
                  <w:pPr>
                    <w:pStyle w:val="32"/>
                    <w:spacing w:line="360" w:lineRule="exact"/>
                    <w:rPr>
                      <w:color w:val="000000" w:themeColor="text1"/>
                      <w:szCs w:val="21"/>
                    </w:rPr>
                  </w:pPr>
                  <w:r>
                    <w:rPr>
                      <w:color w:val="000000" w:themeColor="text1"/>
                      <w:szCs w:val="21"/>
                    </w:rPr>
                    <w:t>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8" w:type="dxa"/>
                  <w:vAlign w:val="center"/>
                </w:tcPr>
                <w:p>
                  <w:pPr>
                    <w:pStyle w:val="32"/>
                    <w:spacing w:line="360" w:lineRule="exact"/>
                    <w:rPr>
                      <w:color w:val="000000" w:themeColor="text1"/>
                      <w:szCs w:val="21"/>
                    </w:rPr>
                  </w:pPr>
                  <w:r>
                    <w:rPr>
                      <w:color w:val="000000" w:themeColor="text1"/>
                      <w:szCs w:val="21"/>
                    </w:rPr>
                    <w:t>15</w:t>
                  </w:r>
                </w:p>
              </w:tc>
              <w:tc>
                <w:tcPr>
                  <w:tcW w:w="2863" w:type="dxa"/>
                  <w:gridSpan w:val="2"/>
                  <w:vAlign w:val="center"/>
                </w:tcPr>
                <w:p>
                  <w:pPr>
                    <w:pStyle w:val="32"/>
                    <w:spacing w:line="360" w:lineRule="exact"/>
                    <w:rPr>
                      <w:color w:val="000000" w:themeColor="text1"/>
                      <w:szCs w:val="21"/>
                    </w:rPr>
                  </w:pPr>
                  <w:r>
                    <w:rPr>
                      <w:color w:val="000000" w:themeColor="text1"/>
                      <w:szCs w:val="21"/>
                    </w:rPr>
                    <w:t>硒</w:t>
                  </w:r>
                </w:p>
              </w:tc>
              <w:tc>
                <w:tcPr>
                  <w:tcW w:w="2263" w:type="dxa"/>
                  <w:tcBorders>
                    <w:right w:val="single" w:color="auto" w:sz="4" w:space="0"/>
                  </w:tcBorders>
                </w:tcPr>
                <w:p>
                  <w:pPr>
                    <w:pStyle w:val="32"/>
                    <w:spacing w:line="360" w:lineRule="exact"/>
                    <w:rPr>
                      <w:color w:val="000000" w:themeColor="text1"/>
                      <w:szCs w:val="21"/>
                    </w:rPr>
                  </w:pPr>
                  <w:r>
                    <w:rPr>
                      <w:color w:val="000000" w:themeColor="text1"/>
                      <w:szCs w:val="21"/>
                    </w:rPr>
                    <w:t>0.0069</w:t>
                  </w:r>
                </w:p>
              </w:tc>
              <w:tc>
                <w:tcPr>
                  <w:tcW w:w="2318" w:type="dxa"/>
                  <w:vAlign w:val="center"/>
                </w:tcPr>
                <w:p>
                  <w:pPr>
                    <w:pStyle w:val="32"/>
                    <w:spacing w:line="360" w:lineRule="exact"/>
                    <w:rPr>
                      <w:color w:val="000000" w:themeColor="text1"/>
                      <w:szCs w:val="21"/>
                    </w:rPr>
                  </w:pPr>
                  <w:r>
                    <w:rPr>
                      <w:color w:val="000000" w:themeColor="text1"/>
                      <w:szCs w:val="21"/>
                    </w:rPr>
                    <w:t>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8" w:type="dxa"/>
                  <w:vAlign w:val="center"/>
                </w:tcPr>
                <w:p>
                  <w:pPr>
                    <w:pStyle w:val="32"/>
                    <w:spacing w:line="360" w:lineRule="exact"/>
                    <w:rPr>
                      <w:color w:val="000000" w:themeColor="text1"/>
                      <w:szCs w:val="21"/>
                    </w:rPr>
                  </w:pPr>
                  <w:r>
                    <w:rPr>
                      <w:color w:val="000000" w:themeColor="text1"/>
                      <w:szCs w:val="21"/>
                    </w:rPr>
                    <w:t>16</w:t>
                  </w:r>
                </w:p>
              </w:tc>
              <w:tc>
                <w:tcPr>
                  <w:tcW w:w="2863" w:type="dxa"/>
                  <w:gridSpan w:val="2"/>
                  <w:vAlign w:val="center"/>
                </w:tcPr>
                <w:p>
                  <w:pPr>
                    <w:pStyle w:val="32"/>
                    <w:spacing w:line="360" w:lineRule="exact"/>
                    <w:rPr>
                      <w:color w:val="000000" w:themeColor="text1"/>
                      <w:szCs w:val="21"/>
                    </w:rPr>
                  </w:pPr>
                  <w:r>
                    <w:rPr>
                      <w:color w:val="000000" w:themeColor="text1"/>
                      <w:szCs w:val="21"/>
                    </w:rPr>
                    <w:t>氟化物</w:t>
                  </w:r>
                </w:p>
              </w:tc>
              <w:tc>
                <w:tcPr>
                  <w:tcW w:w="2263" w:type="dxa"/>
                  <w:tcBorders>
                    <w:right w:val="single" w:color="auto" w:sz="4" w:space="0"/>
                  </w:tcBorders>
                </w:tcPr>
                <w:p>
                  <w:pPr>
                    <w:pStyle w:val="32"/>
                    <w:spacing w:line="360" w:lineRule="exact"/>
                    <w:rPr>
                      <w:color w:val="000000" w:themeColor="text1"/>
                      <w:szCs w:val="21"/>
                    </w:rPr>
                  </w:pPr>
                  <w:r>
                    <w:rPr>
                      <w:color w:val="000000" w:themeColor="text1"/>
                      <w:szCs w:val="21"/>
                    </w:rPr>
                    <w:t>0.26</w:t>
                  </w:r>
                </w:p>
              </w:tc>
              <w:tc>
                <w:tcPr>
                  <w:tcW w:w="2318" w:type="dxa"/>
                  <w:vAlign w:val="center"/>
                </w:tcPr>
                <w:p>
                  <w:pPr>
                    <w:pStyle w:val="32"/>
                    <w:spacing w:line="360" w:lineRule="exact"/>
                    <w:rPr>
                      <w:color w:val="000000" w:themeColor="text1"/>
                      <w:szCs w:val="21"/>
                    </w:rPr>
                  </w:pPr>
                  <w:r>
                    <w:rPr>
                      <w:color w:val="000000" w:themeColor="text1"/>
                      <w:szCs w:val="21"/>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78" w:type="dxa"/>
                  <w:vAlign w:val="center"/>
                </w:tcPr>
                <w:p>
                  <w:pPr>
                    <w:pStyle w:val="32"/>
                    <w:spacing w:line="360" w:lineRule="exact"/>
                    <w:rPr>
                      <w:color w:val="000000" w:themeColor="text1"/>
                      <w:szCs w:val="21"/>
                    </w:rPr>
                  </w:pPr>
                  <w:r>
                    <w:rPr>
                      <w:color w:val="000000" w:themeColor="text1"/>
                      <w:szCs w:val="21"/>
                    </w:rPr>
                    <w:t>17</w:t>
                  </w:r>
                </w:p>
              </w:tc>
              <w:tc>
                <w:tcPr>
                  <w:tcW w:w="2863" w:type="dxa"/>
                  <w:gridSpan w:val="2"/>
                  <w:vAlign w:val="center"/>
                </w:tcPr>
                <w:p>
                  <w:pPr>
                    <w:pStyle w:val="32"/>
                    <w:spacing w:line="360" w:lineRule="exact"/>
                    <w:rPr>
                      <w:color w:val="000000" w:themeColor="text1"/>
                      <w:szCs w:val="21"/>
                    </w:rPr>
                  </w:pPr>
                  <w:r>
                    <w:rPr>
                      <w:color w:val="000000" w:themeColor="text1"/>
                      <w:szCs w:val="21"/>
                    </w:rPr>
                    <w:t>氰化物</w:t>
                  </w:r>
                </w:p>
              </w:tc>
              <w:tc>
                <w:tcPr>
                  <w:tcW w:w="2263" w:type="dxa"/>
                  <w:tcBorders>
                    <w:right w:val="single" w:color="auto" w:sz="4" w:space="0"/>
                  </w:tcBorders>
                </w:tcPr>
                <w:p>
                  <w:pPr>
                    <w:pStyle w:val="32"/>
                    <w:spacing w:line="360" w:lineRule="exact"/>
                    <w:rPr>
                      <w:color w:val="000000" w:themeColor="text1"/>
                      <w:szCs w:val="21"/>
                    </w:rPr>
                  </w:pPr>
                  <w:r>
                    <w:rPr>
                      <w:color w:val="000000" w:themeColor="text1"/>
                      <w:szCs w:val="21"/>
                    </w:rPr>
                    <w:t>0.004L</w:t>
                  </w:r>
                </w:p>
              </w:tc>
              <w:tc>
                <w:tcPr>
                  <w:tcW w:w="2318" w:type="dxa"/>
                  <w:vAlign w:val="center"/>
                </w:tcPr>
                <w:p>
                  <w:pPr>
                    <w:pStyle w:val="32"/>
                    <w:spacing w:line="360" w:lineRule="exact"/>
                    <w:rPr>
                      <w:color w:val="000000" w:themeColor="text1"/>
                      <w:szCs w:val="21"/>
                    </w:rPr>
                  </w:pPr>
                  <w:r>
                    <w:rPr>
                      <w:color w:val="000000" w:themeColor="text1"/>
                      <w:szCs w:val="21"/>
                    </w:rPr>
                    <w:t>0.5</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eastAsia="宋体" w:cs="Times New Roman"/>
                <w:color w:val="000000" w:themeColor="text1"/>
                <w:sz w:val="24"/>
                <w:szCs w:val="24"/>
              </w:rPr>
              <w:t>根据《一般工业固体废物贮存和填埋污染控制标准》（GB18599-2020）的规定，水浸实验获得的浸出液中，任何一种污染物的浓度均未超过《污水综合排放标准》（GB8978-1996）最高允许排放浓度，且pH值在6-9范围之内，因此该废石渣属于第I类一般工业固体废物。</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（3）一体化污水处理设施消毒剂用量及性质</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根据一体化污水处理设施的设计及其参数，使用次氯酸钠作为消毒剂，年使用量为50kg；由于其遇碱会发生反应，且用量极少，因此单独暂存于办公生活区内。其性质如下表所示。</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表2.5.1-</w:t>
            </w:r>
            <w:r>
              <w:rPr>
                <w:rFonts w:hint="eastAsia" w:ascii="Times New Roman" w:hAnsi="Times New Roman" w:cs="Times New Roman"/>
                <w:b/>
                <w:color w:val="000000" w:themeColor="text1"/>
                <w:szCs w:val="24"/>
              </w:rPr>
              <w:t>5</w:t>
            </w:r>
            <w:r>
              <w:rPr>
                <w:rFonts w:ascii="Times New Roman" w:hAnsi="Times New Roman" w:cs="Times New Roman"/>
                <w:b/>
                <w:color w:val="000000" w:themeColor="text1"/>
                <w:szCs w:val="24"/>
              </w:rPr>
              <w:t xml:space="preserve"> 次氯酸钠物质特性一览表</w:t>
            </w:r>
          </w:p>
          <w:tbl>
            <w:tblPr>
              <w:tblStyle w:val="2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00"/>
              <w:gridCol w:w="1488"/>
              <w:gridCol w:w="906"/>
              <w:gridCol w:w="1180"/>
              <w:gridCol w:w="37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87"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次氯酸钠</w:t>
                  </w:r>
                </w:p>
              </w:tc>
              <w:tc>
                <w:tcPr>
                  <w:tcW w:w="147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文别名：</w:t>
                  </w:r>
                </w:p>
              </w:tc>
              <w:tc>
                <w:tcPr>
                  <w:tcW w:w="89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次氯酸钠</w:t>
                  </w:r>
                </w:p>
              </w:tc>
              <w:tc>
                <w:tcPr>
                  <w:tcW w:w="1169"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英文名称：</w:t>
                  </w:r>
                </w:p>
              </w:tc>
              <w:tc>
                <w:tcPr>
                  <w:tcW w:w="369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8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7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CAS号：</w:t>
                  </w:r>
                </w:p>
              </w:tc>
              <w:tc>
                <w:tcPr>
                  <w:tcW w:w="89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7681-52-9</w:t>
                  </w:r>
                </w:p>
              </w:tc>
              <w:tc>
                <w:tcPr>
                  <w:tcW w:w="1169" w:type="dxa"/>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UN号：</w:t>
                  </w:r>
                </w:p>
              </w:tc>
              <w:tc>
                <w:tcPr>
                  <w:tcW w:w="369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1791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8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7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危险性类别：</w:t>
                  </w:r>
                </w:p>
              </w:tc>
              <w:tc>
                <w:tcPr>
                  <w:tcW w:w="5761"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皮肤腐蚀/刺激-类别1B，严重眼损伤/眼刺激-类别1，危害水生环境-急性危害-类别1，危害水生环境-长期危害-类别1，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8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7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GHS警示词：</w:t>
                  </w:r>
                </w:p>
              </w:tc>
              <w:tc>
                <w:tcPr>
                  <w:tcW w:w="5761"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危险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8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7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危险性说明：</w:t>
                  </w:r>
                </w:p>
              </w:tc>
              <w:tc>
                <w:tcPr>
                  <w:tcW w:w="5761"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H314:造成严重的皮肤灼伤和眼损伤H410；对水生生物毒性极大并具有长期持续影响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8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7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理化特性：</w:t>
                  </w:r>
                </w:p>
              </w:tc>
              <w:tc>
                <w:tcPr>
                  <w:tcW w:w="5761"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微黄色、有似氯气的气味，溶于水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8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7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燃烧与爆炸危险性</w:t>
                  </w:r>
                </w:p>
              </w:tc>
              <w:tc>
                <w:tcPr>
                  <w:tcW w:w="5761"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不燃，无特殊燃爆特性。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8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7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活性反应：</w:t>
                  </w:r>
                </w:p>
              </w:tc>
              <w:tc>
                <w:tcPr>
                  <w:tcW w:w="5761"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与强还原剂、易燃或可燃物等禁配物接触发生强烈反应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8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7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禁忌物：</w:t>
                  </w:r>
                </w:p>
              </w:tc>
              <w:tc>
                <w:tcPr>
                  <w:tcW w:w="5761"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碱类。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8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7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毒性：</w:t>
                  </w:r>
                </w:p>
              </w:tc>
              <w:tc>
                <w:tcPr>
                  <w:tcW w:w="5761"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LD50：8500mg/kg（大鼠腹腔）</w:t>
                  </w:r>
                </w:p>
              </w:tc>
            </w:tr>
          </w:tbl>
          <w:p>
            <w:pPr>
              <w:autoSpaceDE w:val="0"/>
              <w:autoSpaceDN w:val="0"/>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2.5.3 能源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项目使用能源主要电能。根据</w:t>
            </w:r>
            <w:r>
              <w:rPr>
                <w:rFonts w:hint="eastAsia" w:ascii="Times New Roman" w:hAnsi="Times New Roman" w:cs="Times New Roman"/>
                <w:color w:val="000000" w:themeColor="text1"/>
                <w:sz w:val="24"/>
                <w:szCs w:val="24"/>
              </w:rPr>
              <w:t>项目《节能报告》</w:t>
            </w:r>
            <w:r>
              <w:rPr>
                <w:rFonts w:ascii="Times New Roman" w:hAnsi="Times New Roman" w:cs="Times New Roman"/>
                <w:color w:val="000000" w:themeColor="text1"/>
                <w:sz w:val="24"/>
                <w:szCs w:val="24"/>
              </w:rPr>
              <w:t>，</w:t>
            </w:r>
            <w:r>
              <w:rPr>
                <w:rFonts w:ascii="Times New Roman" w:hAnsi="Times New Roman" w:cs="Times New Roman"/>
                <w:color w:val="FF0000"/>
                <w:sz w:val="24"/>
                <w:szCs w:val="24"/>
              </w:rPr>
              <w:t>项目全年耗电</w:t>
            </w:r>
            <w:r>
              <w:rPr>
                <w:rFonts w:hint="eastAsia" w:ascii="Times New Roman" w:hAnsi="Times New Roman" w:cs="Times New Roman"/>
                <w:color w:val="FF0000"/>
                <w:sz w:val="24"/>
                <w:szCs w:val="24"/>
              </w:rPr>
              <w:t>472.70万kWh。</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2.6 劳动定员及工作制度</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2.6.1 劳动定员</w:t>
            </w:r>
          </w:p>
          <w:p>
            <w:pPr>
              <w:spacing w:line="360" w:lineRule="auto"/>
              <w:ind w:firstLine="480" w:firstLineChars="200"/>
              <w:rPr>
                <w:rFonts w:hint="eastAsia" w:ascii="Times New Roman" w:hAnsi="Times New Roman" w:cs="Times New Roman"/>
                <w:bCs/>
                <w:color w:val="FF0000"/>
                <w:sz w:val="24"/>
                <w:szCs w:val="24"/>
              </w:rPr>
            </w:pPr>
            <w:r>
              <w:rPr>
                <w:rFonts w:ascii="Times New Roman" w:hAnsi="Times New Roman" w:cs="Times New Roman"/>
                <w:bCs/>
                <w:color w:val="FF0000"/>
                <w:sz w:val="24"/>
                <w:szCs w:val="24"/>
              </w:rPr>
              <w:t>根据项目特点，该项目拟设置员工20人</w:t>
            </w:r>
            <w:r>
              <w:rPr>
                <w:rFonts w:hint="eastAsia" w:ascii="Times New Roman" w:hAnsi="Times New Roman" w:cs="Times New Roman"/>
                <w:bCs/>
                <w:color w:val="FF0000"/>
                <w:sz w:val="24"/>
                <w:szCs w:val="24"/>
              </w:rPr>
              <w:t>，其中一期工程10人，二期工程10人，项目员工主要为附近居民，均不在项目区食宿。</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2.6.2 工作制度</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年工作300d，实行每天2班制，每班8h。</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2.7 项目建设进度</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根据调查，该项目还未建设；建设单位根据项目手续办理的实际情况，拟定</w:t>
            </w:r>
            <w:r>
              <w:rPr>
                <w:rFonts w:hint="eastAsia" w:ascii="Times New Roman" w:hAnsi="Times New Roman" w:cs="Times New Roman"/>
                <w:bCs/>
                <w:color w:val="000000" w:themeColor="text1"/>
                <w:sz w:val="24"/>
                <w:szCs w:val="24"/>
              </w:rPr>
              <w:t>一期工程</w:t>
            </w:r>
            <w:r>
              <w:rPr>
                <w:rFonts w:ascii="Times New Roman" w:hAnsi="Times New Roman" w:cs="Times New Roman"/>
                <w:bCs/>
                <w:color w:val="000000" w:themeColor="text1"/>
                <w:sz w:val="24"/>
                <w:szCs w:val="24"/>
              </w:rPr>
              <w:t>建设时间为2022年3月-202</w:t>
            </w:r>
            <w:r>
              <w:rPr>
                <w:rFonts w:hint="eastAsia" w:ascii="Times New Roman" w:hAnsi="Times New Roman" w:cs="Times New Roman"/>
                <w:bCs/>
                <w:color w:val="000000" w:themeColor="text1"/>
                <w:sz w:val="24"/>
                <w:szCs w:val="24"/>
              </w:rPr>
              <w:t>2</w:t>
            </w:r>
            <w:r>
              <w:rPr>
                <w:rFonts w:ascii="Times New Roman" w:hAnsi="Times New Roman" w:cs="Times New Roman"/>
                <w:bCs/>
                <w:color w:val="000000" w:themeColor="text1"/>
                <w:sz w:val="24"/>
                <w:szCs w:val="24"/>
              </w:rPr>
              <w:t>年</w:t>
            </w:r>
            <w:r>
              <w:rPr>
                <w:rFonts w:hint="eastAsia" w:ascii="Times New Roman" w:hAnsi="Times New Roman" w:cs="Times New Roman"/>
                <w:bCs/>
                <w:color w:val="000000" w:themeColor="text1"/>
                <w:sz w:val="24"/>
                <w:szCs w:val="24"/>
              </w:rPr>
              <w:t>12</w:t>
            </w:r>
            <w:r>
              <w:rPr>
                <w:rFonts w:ascii="Times New Roman" w:hAnsi="Times New Roman" w:cs="Times New Roman"/>
                <w:bCs/>
                <w:color w:val="000000" w:themeColor="text1"/>
                <w:sz w:val="24"/>
                <w:szCs w:val="24"/>
              </w:rPr>
              <w:t>月，</w:t>
            </w:r>
            <w:r>
              <w:rPr>
                <w:rFonts w:hint="eastAsia" w:ascii="Times New Roman" w:hAnsi="Times New Roman" w:cs="Times New Roman"/>
                <w:bCs/>
                <w:color w:val="FF0000"/>
                <w:sz w:val="24"/>
                <w:szCs w:val="24"/>
              </w:rPr>
              <w:t>二期工程根据一期工程运行情况及市场情况决定建设时间</w:t>
            </w:r>
            <w:r>
              <w:rPr>
                <w:rFonts w:ascii="Times New Roman" w:hAnsi="Times New Roman" w:cs="Times New Roman"/>
                <w:bCs/>
                <w:color w:val="FF0000"/>
                <w:sz w:val="24"/>
                <w:szCs w:val="24"/>
              </w:rPr>
              <w:t>。</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2.8 水平衡</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2.8.1 一期工程水平衡</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w:t>
            </w: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建设内容及生产工艺，该项目</w:t>
            </w: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用水环节包括洒水抑尘用水、砂石骨料生产用水、绿化用水和生活用水，而</w:t>
            </w: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废水产生类型包括砂石骨料生产废水、生活污水和初期雨水。具体产排情况核算如下：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eastAsia="宋体" w:cs="Times New Roman"/>
                <w:b/>
                <w:color w:val="000000" w:themeColor="text1"/>
                <w:sz w:val="24"/>
                <w:szCs w:val="24"/>
              </w:rPr>
              <w:t>①</w:t>
            </w:r>
            <w:r>
              <w:rPr>
                <w:rFonts w:ascii="Times New Roman" w:hAnsi="Times New Roman" w:cs="Times New Roman"/>
                <w:b/>
                <w:color w:val="000000" w:themeColor="text1"/>
                <w:sz w:val="24"/>
                <w:szCs w:val="24"/>
              </w:rPr>
              <w:t>洒水抑尘用水</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根据设计，项目</w:t>
            </w: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拟设置1台雾炮机对厂区内废石采装、卸料及运输过程扬尘进行洒水降尘。洒水抑尘用水量视天气和堆存量等具体情况而定，预计约为3m³/d；900m³/a，其产生的废水全部蒸发，因此洒水抑尘不产生废水。</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②砂石骨料生产废水</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根据生产工艺，本项目</w:t>
            </w: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生产工艺各环节均为湿法作业，项目生产设计用水定额为0.225m³/（t·产品），根据项目主要产品及产能，项目砂石骨料产品为90万t/a（3000t/d），则用水量为675m³/d，主要添加水的环节包括一段筛分、鄂破、反击破、二段筛分、球磨、制砂和水洗工序。</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1 \* GB2 </w:instrText>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⑴</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用水环节</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设计，为了保证各生产段的物料的含水率，各工段废水添加量情况具体如为：一段筛分加水量为180m³/d、鄂破加水量为54m³/d、反击破加水量为45m³/d、二段筛分加水量为144m³/d、球磨加水量为36m³/d、制砂加水量为27m³/d，水洗加水量为414m³/d，合计为900m³/d。</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2 \* GB2 </w:instrText>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⑵</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废水量</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根据《排放源统计调查产排污核算方法和系数手册》中“303砖瓦、石材等建筑材料制造行业系数手册”中“3039其他建筑材料制造”废水的产污系数如下表所示。</w:t>
            </w:r>
          </w:p>
          <w:p>
            <w:pPr>
              <w:jc w:val="center"/>
              <w:rPr>
                <w:rFonts w:ascii="Times New Roman" w:hAnsi="Times New Roman" w:eastAsia="宋体" w:cs="Times New Roman"/>
                <w:b/>
                <w:color w:val="000000" w:themeColor="text1"/>
                <w:szCs w:val="24"/>
              </w:rPr>
            </w:pPr>
            <w:r>
              <w:rPr>
                <w:rFonts w:ascii="Times New Roman" w:hAnsi="Times New Roman" w:eastAsia="宋体" w:cs="Times New Roman"/>
                <w:b/>
                <w:color w:val="000000" w:themeColor="text1"/>
                <w:szCs w:val="24"/>
              </w:rPr>
              <w:t>表</w:t>
            </w:r>
            <w:r>
              <w:rPr>
                <w:rFonts w:hint="eastAsia" w:ascii="Times New Roman" w:hAnsi="Times New Roman" w:eastAsia="宋体" w:cs="Times New Roman"/>
                <w:b/>
                <w:color w:val="000000" w:themeColor="text1"/>
                <w:szCs w:val="24"/>
              </w:rPr>
              <w:t>2.8.1</w:t>
            </w:r>
            <w:r>
              <w:rPr>
                <w:rFonts w:ascii="Times New Roman" w:hAnsi="Times New Roman" w:eastAsia="宋体" w:cs="Times New Roman"/>
                <w:b/>
                <w:color w:val="000000" w:themeColor="text1"/>
                <w:szCs w:val="24"/>
              </w:rPr>
              <w:t>-1   3039其他建筑材料制造行业系数表</w:t>
            </w:r>
          </w:p>
          <w:tbl>
            <w:tblPr>
              <w:tblStyle w:val="2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82"/>
              <w:gridCol w:w="716"/>
              <w:gridCol w:w="1180"/>
              <w:gridCol w:w="708"/>
              <w:gridCol w:w="567"/>
              <w:gridCol w:w="851"/>
              <w:gridCol w:w="992"/>
              <w:gridCol w:w="992"/>
              <w:gridCol w:w="864"/>
              <w:gridCol w:w="105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6" w:hRule="atLeast"/>
              </w:trPr>
              <w:tc>
                <w:tcPr>
                  <w:tcW w:w="682" w:type="dxa"/>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工段名称</w:t>
                  </w:r>
                </w:p>
              </w:tc>
              <w:tc>
                <w:tcPr>
                  <w:tcW w:w="716" w:type="dxa"/>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产品名称</w:t>
                  </w:r>
                </w:p>
              </w:tc>
              <w:tc>
                <w:tcPr>
                  <w:tcW w:w="1180" w:type="dxa"/>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工艺名称</w:t>
                  </w:r>
                </w:p>
              </w:tc>
              <w:tc>
                <w:tcPr>
                  <w:tcW w:w="708" w:type="dxa"/>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规模等级</w:t>
                  </w:r>
                </w:p>
              </w:tc>
              <w:tc>
                <w:tcPr>
                  <w:tcW w:w="1418" w:type="dxa"/>
                  <w:gridSpan w:val="2"/>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污染物指标</w:t>
                  </w:r>
                </w:p>
              </w:tc>
              <w:tc>
                <w:tcPr>
                  <w:tcW w:w="992" w:type="dxa"/>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系数单位</w:t>
                  </w:r>
                </w:p>
              </w:tc>
              <w:tc>
                <w:tcPr>
                  <w:tcW w:w="992" w:type="dxa"/>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产污系数</w:t>
                  </w:r>
                </w:p>
              </w:tc>
              <w:tc>
                <w:tcPr>
                  <w:tcW w:w="864" w:type="dxa"/>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末端治理技术</w:t>
                  </w:r>
                </w:p>
              </w:tc>
              <w:tc>
                <w:tcPr>
                  <w:tcW w:w="1053" w:type="dxa"/>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末端治理技术效率（%）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682" w:type="dxa"/>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w:t>
                  </w:r>
                </w:p>
              </w:tc>
              <w:tc>
                <w:tcPr>
                  <w:tcW w:w="716" w:type="dxa"/>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砂石骨料</w:t>
                  </w:r>
                </w:p>
              </w:tc>
              <w:tc>
                <w:tcPr>
                  <w:tcW w:w="1180" w:type="dxa"/>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岩石、矿石、建筑固体废弃物、尾矿等</w:t>
                  </w:r>
                </w:p>
              </w:tc>
              <w:tc>
                <w:tcPr>
                  <w:tcW w:w="708" w:type="dxa"/>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所有规模</w:t>
                  </w:r>
                </w:p>
              </w:tc>
              <w:tc>
                <w:tcPr>
                  <w:tcW w:w="567" w:type="dxa"/>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废水</w:t>
                  </w:r>
                </w:p>
              </w:tc>
              <w:tc>
                <w:tcPr>
                  <w:tcW w:w="851" w:type="dxa"/>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工业废水量</w:t>
                  </w:r>
                </w:p>
              </w:tc>
              <w:tc>
                <w:tcPr>
                  <w:tcW w:w="992" w:type="dxa"/>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吨/吨-产品</w:t>
                  </w:r>
                </w:p>
              </w:tc>
              <w:tc>
                <w:tcPr>
                  <w:tcW w:w="992" w:type="dxa"/>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0.14</w:t>
                  </w:r>
                </w:p>
              </w:tc>
              <w:tc>
                <w:tcPr>
                  <w:tcW w:w="864" w:type="dxa"/>
                  <w:tcBorders>
                    <w:bottom w:val="single" w:color="auto" w:sz="4" w:space="0"/>
                  </w:tcBorders>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w:t>
                  </w:r>
                </w:p>
              </w:tc>
              <w:tc>
                <w:tcPr>
                  <w:tcW w:w="1053" w:type="dxa"/>
                  <w:tcBorders>
                    <w:bottom w:val="single" w:color="auto" w:sz="4" w:space="0"/>
                  </w:tcBorders>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w:t>
                  </w:r>
                </w:p>
              </w:tc>
            </w:tr>
          </w:tbl>
          <w:p>
            <w:pPr>
              <w:spacing w:beforeLines="50"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由上表可知，项目砂石骨料年产量为90万t/a，则砂石骨料生产废水量为420m³/d（合计126000m³/a）</w:t>
            </w:r>
            <w:r>
              <w:rPr>
                <w:rFonts w:hint="eastAsia" w:ascii="Times New Roman" w:hAnsi="Times New Roman" w:cs="Times New Roman"/>
                <w:bCs/>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生产工艺，进入系统的水量损失环节主要包括各砂石骨料带走，其中规格为Φ0-5mm和Φ0-7mm砂石骨料的含水率为15%，规格为Φ20-30mm砂石骨料的含水率为6%，则Φ0-5mm产品带走水量为74.32m³/d、Φ0-07mm产品带走水量为74.32m³/d、ΦΦ20-30mm产品带走水量为106.36m³/d，则项目生产废水产排如下表。</w: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表</w:t>
            </w:r>
            <w:r>
              <w:rPr>
                <w:rFonts w:hint="eastAsia" w:ascii="Times New Roman" w:hAnsi="Times New Roman" w:cs="Times New Roman"/>
                <w:b/>
                <w:bCs/>
                <w:color w:val="000000" w:themeColor="text1"/>
                <w:kern w:val="0"/>
              </w:rPr>
              <w:t>2.8.1</w:t>
            </w:r>
            <w:r>
              <w:rPr>
                <w:rFonts w:ascii="Times New Roman" w:hAnsi="Times New Roman" w:cs="Times New Roman"/>
                <w:b/>
                <w:bCs/>
                <w:color w:val="000000" w:themeColor="text1"/>
                <w:kern w:val="0"/>
              </w:rPr>
              <w:t>-</w:t>
            </w:r>
            <w:r>
              <w:rPr>
                <w:rFonts w:hint="eastAsia" w:ascii="Times New Roman" w:hAnsi="Times New Roman" w:cs="Times New Roman"/>
                <w:b/>
                <w:bCs/>
                <w:color w:val="000000" w:themeColor="text1"/>
                <w:kern w:val="0"/>
              </w:rPr>
              <w:t>2</w:t>
            </w:r>
            <w:r>
              <w:rPr>
                <w:rFonts w:ascii="Times New Roman" w:hAnsi="Times New Roman" w:cs="Times New Roman"/>
                <w:b/>
                <w:bCs/>
                <w:color w:val="000000" w:themeColor="text1"/>
                <w:kern w:val="0"/>
              </w:rPr>
              <w:t xml:space="preserve"> 项目</w:t>
            </w:r>
            <w:r>
              <w:rPr>
                <w:rFonts w:hint="eastAsia" w:ascii="Times New Roman" w:hAnsi="Times New Roman" w:cs="Times New Roman"/>
                <w:b/>
                <w:bCs/>
                <w:color w:val="000000" w:themeColor="text1"/>
                <w:kern w:val="0"/>
              </w:rPr>
              <w:t>一期工程</w:t>
            </w:r>
            <w:r>
              <w:rPr>
                <w:rFonts w:ascii="Times New Roman" w:hAnsi="Times New Roman" w:cs="Times New Roman"/>
                <w:b/>
                <w:bCs/>
                <w:color w:val="000000" w:themeColor="text1"/>
                <w:kern w:val="0"/>
              </w:rPr>
              <w:t>生产废水产排情况一览表 m³/d</w:t>
            </w:r>
          </w:p>
          <w:tbl>
            <w:tblPr>
              <w:tblStyle w:val="20"/>
              <w:tblW w:w="8595" w:type="dxa"/>
              <w:jc w:val="center"/>
              <w:tblLayout w:type="fixed"/>
              <w:tblCellMar>
                <w:top w:w="0" w:type="dxa"/>
                <w:left w:w="108" w:type="dxa"/>
                <w:bottom w:w="0" w:type="dxa"/>
                <w:right w:w="108" w:type="dxa"/>
              </w:tblCellMar>
            </w:tblPr>
            <w:tblGrid>
              <w:gridCol w:w="725"/>
              <w:gridCol w:w="1572"/>
              <w:gridCol w:w="1144"/>
              <w:gridCol w:w="2392"/>
              <w:gridCol w:w="1276"/>
              <w:gridCol w:w="1486"/>
            </w:tblGrid>
            <w:tr>
              <w:tblPrEx>
                <w:tblCellMar>
                  <w:top w:w="0" w:type="dxa"/>
                  <w:left w:w="108" w:type="dxa"/>
                  <w:bottom w:w="0" w:type="dxa"/>
                  <w:right w:w="108" w:type="dxa"/>
                </w:tblCellMar>
              </w:tblPrEx>
              <w:trPr>
                <w:jc w:val="center"/>
              </w:trPr>
              <w:tc>
                <w:tcPr>
                  <w:tcW w:w="72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序号</w:t>
                  </w:r>
                </w:p>
              </w:tc>
              <w:tc>
                <w:tcPr>
                  <w:tcW w:w="2716" w:type="dxa"/>
                  <w:gridSpan w:val="2"/>
                  <w:tcBorders>
                    <w:top w:val="single" w:color="000000" w:sz="8" w:space="0"/>
                    <w:left w:val="nil"/>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用水环节</w:t>
                  </w:r>
                </w:p>
              </w:tc>
              <w:tc>
                <w:tcPr>
                  <w:tcW w:w="3668" w:type="dxa"/>
                  <w:gridSpan w:val="2"/>
                  <w:tcBorders>
                    <w:top w:val="single" w:color="000000" w:sz="8" w:space="0"/>
                    <w:left w:val="nil"/>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损失环节</w:t>
                  </w:r>
                </w:p>
              </w:tc>
              <w:tc>
                <w:tcPr>
                  <w:tcW w:w="1486" w:type="dxa"/>
                  <w:tcBorders>
                    <w:top w:val="single" w:color="000000" w:sz="8" w:space="0"/>
                    <w:left w:val="nil"/>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废水产生环节</w:t>
                  </w:r>
                </w:p>
              </w:tc>
            </w:tr>
            <w:tr>
              <w:tblPrEx>
                <w:tblCellMar>
                  <w:top w:w="0" w:type="dxa"/>
                  <w:left w:w="108" w:type="dxa"/>
                  <w:bottom w:w="0" w:type="dxa"/>
                  <w:right w:w="108" w:type="dxa"/>
                </w:tblCellMar>
              </w:tblPrEx>
              <w:trPr>
                <w:jc w:val="center"/>
              </w:trPr>
              <w:tc>
                <w:tcPr>
                  <w:tcW w:w="725" w:type="dxa"/>
                  <w:vMerge w:val="continue"/>
                  <w:tcBorders>
                    <w:top w:val="single" w:color="000000" w:sz="8" w:space="0"/>
                    <w:left w:val="single" w:color="000000" w:sz="8" w:space="0"/>
                    <w:bottom w:val="single" w:color="000000" w:sz="8" w:space="0"/>
                    <w:right w:val="single" w:color="000000" w:sz="8" w:space="0"/>
                  </w:tcBorders>
                  <w:vAlign w:val="center"/>
                </w:tcPr>
                <w:p>
                  <w:pPr>
                    <w:pStyle w:val="32"/>
                    <w:spacing w:before="100" w:beforeAutospacing="1" w:after="100" w:afterAutospacing="1" w:line="360" w:lineRule="exact"/>
                    <w:rPr>
                      <w:rFonts w:eastAsiaTheme="minorEastAsia"/>
                      <w:color w:val="000000" w:themeColor="text1"/>
                      <w:szCs w:val="21"/>
                    </w:rPr>
                  </w:pPr>
                </w:p>
              </w:tc>
              <w:tc>
                <w:tcPr>
                  <w:tcW w:w="1572" w:type="dxa"/>
                  <w:tcBorders>
                    <w:top w:val="nil"/>
                    <w:left w:val="nil"/>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用水工序</w:t>
                  </w:r>
                </w:p>
              </w:tc>
              <w:tc>
                <w:tcPr>
                  <w:tcW w:w="1144" w:type="dxa"/>
                  <w:tcBorders>
                    <w:top w:val="nil"/>
                    <w:left w:val="nil"/>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用水量</w:t>
                  </w:r>
                </w:p>
              </w:tc>
              <w:tc>
                <w:tcPr>
                  <w:tcW w:w="2392" w:type="dxa"/>
                  <w:tcBorders>
                    <w:top w:val="nil"/>
                    <w:left w:val="nil"/>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损失或废水产生工序</w:t>
                  </w:r>
                </w:p>
              </w:tc>
              <w:tc>
                <w:tcPr>
                  <w:tcW w:w="1276" w:type="dxa"/>
                  <w:tcBorders>
                    <w:top w:val="nil"/>
                    <w:left w:val="nil"/>
                    <w:bottom w:val="single" w:color="000000" w:sz="8" w:space="0"/>
                    <w:right w:val="single" w:color="auto"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损失量</w:t>
                  </w:r>
                </w:p>
              </w:tc>
              <w:tc>
                <w:tcPr>
                  <w:tcW w:w="1486" w:type="dxa"/>
                  <w:tcBorders>
                    <w:top w:val="nil"/>
                    <w:left w:val="nil"/>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废水量</w:t>
                  </w:r>
                </w:p>
              </w:tc>
            </w:tr>
            <w:tr>
              <w:tblPrEx>
                <w:tblCellMar>
                  <w:top w:w="0" w:type="dxa"/>
                  <w:left w:w="108" w:type="dxa"/>
                  <w:bottom w:w="0" w:type="dxa"/>
                  <w:right w:w="108" w:type="dxa"/>
                </w:tblCellMar>
              </w:tblPrEx>
              <w:trPr>
                <w:jc w:val="center"/>
              </w:trPr>
              <w:tc>
                <w:tcPr>
                  <w:tcW w:w="725" w:type="dxa"/>
                  <w:tcBorders>
                    <w:top w:val="nil"/>
                    <w:left w:val="single" w:color="000000" w:sz="8" w:space="0"/>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1</w:t>
                  </w:r>
                </w:p>
              </w:tc>
              <w:tc>
                <w:tcPr>
                  <w:tcW w:w="1572" w:type="dxa"/>
                  <w:tcBorders>
                    <w:top w:val="nil"/>
                    <w:left w:val="nil"/>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一段筛分</w:t>
                  </w:r>
                </w:p>
              </w:tc>
              <w:tc>
                <w:tcPr>
                  <w:tcW w:w="1144" w:type="dxa"/>
                  <w:tcBorders>
                    <w:top w:val="nil"/>
                    <w:left w:val="nil"/>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135</w:t>
                  </w:r>
                </w:p>
              </w:tc>
              <w:tc>
                <w:tcPr>
                  <w:tcW w:w="2392" w:type="dxa"/>
                  <w:tcBorders>
                    <w:top w:val="nil"/>
                    <w:left w:val="nil"/>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Φ0-5mm产品带走</w:t>
                  </w:r>
                </w:p>
              </w:tc>
              <w:tc>
                <w:tcPr>
                  <w:tcW w:w="1276" w:type="dxa"/>
                  <w:tcBorders>
                    <w:top w:val="nil"/>
                    <w:left w:val="nil"/>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74.32</w:t>
                  </w:r>
                </w:p>
              </w:tc>
              <w:tc>
                <w:tcPr>
                  <w:tcW w:w="1486" w:type="dxa"/>
                  <w:vMerge w:val="restart"/>
                  <w:tcBorders>
                    <w:top w:val="nil"/>
                    <w:left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420</w:t>
                  </w:r>
                </w:p>
              </w:tc>
            </w:tr>
            <w:tr>
              <w:tblPrEx>
                <w:tblCellMar>
                  <w:top w:w="0" w:type="dxa"/>
                  <w:left w:w="108" w:type="dxa"/>
                  <w:bottom w:w="0" w:type="dxa"/>
                  <w:right w:w="108" w:type="dxa"/>
                </w:tblCellMar>
              </w:tblPrEx>
              <w:trPr>
                <w:jc w:val="center"/>
              </w:trPr>
              <w:tc>
                <w:tcPr>
                  <w:tcW w:w="725" w:type="dxa"/>
                  <w:tcBorders>
                    <w:top w:val="nil"/>
                    <w:left w:val="single" w:color="000000" w:sz="8" w:space="0"/>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2</w:t>
                  </w:r>
                </w:p>
              </w:tc>
              <w:tc>
                <w:tcPr>
                  <w:tcW w:w="1572" w:type="dxa"/>
                  <w:tcBorders>
                    <w:top w:val="nil"/>
                    <w:left w:val="nil"/>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鄂破</w:t>
                  </w:r>
                </w:p>
              </w:tc>
              <w:tc>
                <w:tcPr>
                  <w:tcW w:w="1144" w:type="dxa"/>
                  <w:tcBorders>
                    <w:top w:val="nil"/>
                    <w:left w:val="nil"/>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40.5</w:t>
                  </w:r>
                </w:p>
              </w:tc>
              <w:tc>
                <w:tcPr>
                  <w:tcW w:w="2392" w:type="dxa"/>
                  <w:tcBorders>
                    <w:top w:val="nil"/>
                    <w:left w:val="nil"/>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Φ0-7mm产品带走</w:t>
                  </w:r>
                </w:p>
              </w:tc>
              <w:tc>
                <w:tcPr>
                  <w:tcW w:w="1276" w:type="dxa"/>
                  <w:tcBorders>
                    <w:top w:val="nil"/>
                    <w:left w:val="nil"/>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74.32</w:t>
                  </w:r>
                </w:p>
              </w:tc>
              <w:tc>
                <w:tcPr>
                  <w:tcW w:w="1486" w:type="dxa"/>
                  <w:vMerge w:val="continue"/>
                  <w:tcBorders>
                    <w:left w:val="single" w:color="000000" w:sz="8" w:space="0"/>
                    <w:right w:val="single" w:color="000000" w:sz="8" w:space="0"/>
                  </w:tcBorders>
                  <w:vAlign w:val="center"/>
                </w:tcPr>
                <w:p>
                  <w:pPr>
                    <w:pStyle w:val="32"/>
                    <w:spacing w:before="100" w:beforeAutospacing="1" w:after="100" w:afterAutospacing="1" w:line="360" w:lineRule="exact"/>
                    <w:rPr>
                      <w:rFonts w:eastAsiaTheme="minorEastAsia"/>
                      <w:color w:val="000000" w:themeColor="text1"/>
                      <w:szCs w:val="21"/>
                    </w:rPr>
                  </w:pPr>
                </w:p>
              </w:tc>
            </w:tr>
            <w:tr>
              <w:tblPrEx>
                <w:tblCellMar>
                  <w:top w:w="0" w:type="dxa"/>
                  <w:left w:w="108" w:type="dxa"/>
                  <w:bottom w:w="0" w:type="dxa"/>
                  <w:right w:w="108" w:type="dxa"/>
                </w:tblCellMar>
              </w:tblPrEx>
              <w:trPr>
                <w:jc w:val="center"/>
              </w:trPr>
              <w:tc>
                <w:tcPr>
                  <w:tcW w:w="725" w:type="dxa"/>
                  <w:tcBorders>
                    <w:top w:val="nil"/>
                    <w:left w:val="single" w:color="000000" w:sz="8" w:space="0"/>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3</w:t>
                  </w:r>
                </w:p>
              </w:tc>
              <w:tc>
                <w:tcPr>
                  <w:tcW w:w="1572" w:type="dxa"/>
                  <w:tcBorders>
                    <w:top w:val="nil"/>
                    <w:left w:val="nil"/>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反击破</w:t>
                  </w:r>
                </w:p>
              </w:tc>
              <w:tc>
                <w:tcPr>
                  <w:tcW w:w="1144" w:type="dxa"/>
                  <w:tcBorders>
                    <w:top w:val="nil"/>
                    <w:left w:val="nil"/>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33.75</w:t>
                  </w:r>
                </w:p>
              </w:tc>
              <w:tc>
                <w:tcPr>
                  <w:tcW w:w="2392" w:type="dxa"/>
                  <w:tcBorders>
                    <w:top w:val="nil"/>
                    <w:left w:val="nil"/>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Φ20-30mm产品带走</w:t>
                  </w:r>
                </w:p>
              </w:tc>
              <w:tc>
                <w:tcPr>
                  <w:tcW w:w="1276" w:type="dxa"/>
                  <w:tcBorders>
                    <w:top w:val="nil"/>
                    <w:left w:val="nil"/>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106.36</w:t>
                  </w:r>
                </w:p>
              </w:tc>
              <w:tc>
                <w:tcPr>
                  <w:tcW w:w="1486" w:type="dxa"/>
                  <w:vMerge w:val="continue"/>
                  <w:tcBorders>
                    <w:left w:val="single" w:color="000000" w:sz="8" w:space="0"/>
                    <w:right w:val="single" w:color="000000" w:sz="8" w:space="0"/>
                  </w:tcBorders>
                  <w:vAlign w:val="center"/>
                </w:tcPr>
                <w:p>
                  <w:pPr>
                    <w:pStyle w:val="32"/>
                    <w:spacing w:before="100" w:beforeAutospacing="1" w:after="100" w:afterAutospacing="1" w:line="360" w:lineRule="exact"/>
                    <w:rPr>
                      <w:rFonts w:eastAsiaTheme="minorEastAsia"/>
                      <w:color w:val="000000" w:themeColor="text1"/>
                      <w:szCs w:val="21"/>
                    </w:rPr>
                  </w:pPr>
                </w:p>
              </w:tc>
            </w:tr>
            <w:tr>
              <w:tblPrEx>
                <w:tblCellMar>
                  <w:top w:w="0" w:type="dxa"/>
                  <w:left w:w="108" w:type="dxa"/>
                  <w:bottom w:w="0" w:type="dxa"/>
                  <w:right w:w="108" w:type="dxa"/>
                </w:tblCellMar>
              </w:tblPrEx>
              <w:trPr>
                <w:jc w:val="center"/>
              </w:trPr>
              <w:tc>
                <w:tcPr>
                  <w:tcW w:w="725" w:type="dxa"/>
                  <w:tcBorders>
                    <w:top w:val="nil"/>
                    <w:left w:val="single" w:color="000000" w:sz="8" w:space="0"/>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4</w:t>
                  </w:r>
                </w:p>
              </w:tc>
              <w:tc>
                <w:tcPr>
                  <w:tcW w:w="1572" w:type="dxa"/>
                  <w:tcBorders>
                    <w:top w:val="nil"/>
                    <w:left w:val="nil"/>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二段筛分</w:t>
                  </w:r>
                </w:p>
              </w:tc>
              <w:tc>
                <w:tcPr>
                  <w:tcW w:w="1144" w:type="dxa"/>
                  <w:tcBorders>
                    <w:top w:val="nil"/>
                    <w:left w:val="nil"/>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108</w:t>
                  </w:r>
                </w:p>
              </w:tc>
              <w:tc>
                <w:tcPr>
                  <w:tcW w:w="2392" w:type="dxa"/>
                  <w:tcBorders>
                    <w:top w:val="nil"/>
                    <w:left w:val="nil"/>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p>
              </w:tc>
              <w:tc>
                <w:tcPr>
                  <w:tcW w:w="1276" w:type="dxa"/>
                  <w:tcBorders>
                    <w:top w:val="nil"/>
                    <w:left w:val="nil"/>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p>
              </w:tc>
              <w:tc>
                <w:tcPr>
                  <w:tcW w:w="1486" w:type="dxa"/>
                  <w:vMerge w:val="continue"/>
                  <w:tcBorders>
                    <w:left w:val="single" w:color="000000" w:sz="8" w:space="0"/>
                    <w:right w:val="single" w:color="000000" w:sz="8" w:space="0"/>
                  </w:tcBorders>
                  <w:vAlign w:val="center"/>
                </w:tcPr>
                <w:p>
                  <w:pPr>
                    <w:pStyle w:val="32"/>
                    <w:spacing w:before="100" w:beforeAutospacing="1" w:after="100" w:afterAutospacing="1" w:line="360" w:lineRule="exact"/>
                    <w:rPr>
                      <w:rFonts w:eastAsiaTheme="minorEastAsia"/>
                      <w:color w:val="000000" w:themeColor="text1"/>
                      <w:szCs w:val="21"/>
                    </w:rPr>
                  </w:pPr>
                </w:p>
              </w:tc>
            </w:tr>
            <w:tr>
              <w:tblPrEx>
                <w:tblCellMar>
                  <w:top w:w="0" w:type="dxa"/>
                  <w:left w:w="108" w:type="dxa"/>
                  <w:bottom w:w="0" w:type="dxa"/>
                  <w:right w:w="108" w:type="dxa"/>
                </w:tblCellMar>
              </w:tblPrEx>
              <w:trPr>
                <w:jc w:val="center"/>
              </w:trPr>
              <w:tc>
                <w:tcPr>
                  <w:tcW w:w="725" w:type="dxa"/>
                  <w:tcBorders>
                    <w:top w:val="nil"/>
                    <w:left w:val="single" w:color="000000" w:sz="8" w:space="0"/>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5</w:t>
                  </w:r>
                </w:p>
              </w:tc>
              <w:tc>
                <w:tcPr>
                  <w:tcW w:w="1572" w:type="dxa"/>
                  <w:tcBorders>
                    <w:top w:val="nil"/>
                    <w:left w:val="nil"/>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球磨</w:t>
                  </w:r>
                </w:p>
              </w:tc>
              <w:tc>
                <w:tcPr>
                  <w:tcW w:w="1144" w:type="dxa"/>
                  <w:tcBorders>
                    <w:top w:val="nil"/>
                    <w:left w:val="nil"/>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27</w:t>
                  </w:r>
                </w:p>
              </w:tc>
              <w:tc>
                <w:tcPr>
                  <w:tcW w:w="2392" w:type="dxa"/>
                  <w:tcBorders>
                    <w:top w:val="nil"/>
                    <w:left w:val="nil"/>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p>
              </w:tc>
              <w:tc>
                <w:tcPr>
                  <w:tcW w:w="1276" w:type="dxa"/>
                  <w:tcBorders>
                    <w:top w:val="nil"/>
                    <w:left w:val="nil"/>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p>
              </w:tc>
              <w:tc>
                <w:tcPr>
                  <w:tcW w:w="1486" w:type="dxa"/>
                  <w:vMerge w:val="continue"/>
                  <w:tcBorders>
                    <w:left w:val="single" w:color="000000" w:sz="8" w:space="0"/>
                    <w:right w:val="single" w:color="000000" w:sz="8" w:space="0"/>
                  </w:tcBorders>
                  <w:vAlign w:val="center"/>
                </w:tcPr>
                <w:p>
                  <w:pPr>
                    <w:pStyle w:val="32"/>
                    <w:spacing w:before="100" w:beforeAutospacing="1" w:after="100" w:afterAutospacing="1" w:line="360" w:lineRule="exact"/>
                    <w:rPr>
                      <w:rFonts w:eastAsiaTheme="minorEastAsia"/>
                      <w:color w:val="000000" w:themeColor="text1"/>
                      <w:szCs w:val="21"/>
                    </w:rPr>
                  </w:pPr>
                </w:p>
              </w:tc>
            </w:tr>
            <w:tr>
              <w:tblPrEx>
                <w:tblCellMar>
                  <w:top w:w="0" w:type="dxa"/>
                  <w:left w:w="108" w:type="dxa"/>
                  <w:bottom w:w="0" w:type="dxa"/>
                  <w:right w:w="108" w:type="dxa"/>
                </w:tblCellMar>
              </w:tblPrEx>
              <w:trPr>
                <w:jc w:val="center"/>
              </w:trPr>
              <w:tc>
                <w:tcPr>
                  <w:tcW w:w="725" w:type="dxa"/>
                  <w:tcBorders>
                    <w:top w:val="nil"/>
                    <w:left w:val="single" w:color="000000" w:sz="8" w:space="0"/>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6</w:t>
                  </w:r>
                </w:p>
              </w:tc>
              <w:tc>
                <w:tcPr>
                  <w:tcW w:w="1572" w:type="dxa"/>
                  <w:tcBorders>
                    <w:top w:val="nil"/>
                    <w:left w:val="nil"/>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制砂</w:t>
                  </w:r>
                </w:p>
              </w:tc>
              <w:tc>
                <w:tcPr>
                  <w:tcW w:w="1144" w:type="dxa"/>
                  <w:tcBorders>
                    <w:top w:val="nil"/>
                    <w:left w:val="nil"/>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20.25</w:t>
                  </w:r>
                </w:p>
              </w:tc>
              <w:tc>
                <w:tcPr>
                  <w:tcW w:w="2392" w:type="dxa"/>
                  <w:tcBorders>
                    <w:top w:val="nil"/>
                    <w:left w:val="nil"/>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p>
              </w:tc>
              <w:tc>
                <w:tcPr>
                  <w:tcW w:w="1276" w:type="dxa"/>
                  <w:tcBorders>
                    <w:top w:val="nil"/>
                    <w:left w:val="nil"/>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p>
              </w:tc>
              <w:tc>
                <w:tcPr>
                  <w:tcW w:w="1486" w:type="dxa"/>
                  <w:vMerge w:val="continue"/>
                  <w:tcBorders>
                    <w:left w:val="single" w:color="000000" w:sz="8" w:space="0"/>
                    <w:right w:val="single" w:color="000000" w:sz="8" w:space="0"/>
                  </w:tcBorders>
                  <w:vAlign w:val="center"/>
                </w:tcPr>
                <w:p>
                  <w:pPr>
                    <w:pStyle w:val="32"/>
                    <w:spacing w:before="100" w:beforeAutospacing="1" w:after="100" w:afterAutospacing="1" w:line="360" w:lineRule="exact"/>
                    <w:rPr>
                      <w:rFonts w:eastAsiaTheme="minorEastAsia"/>
                      <w:color w:val="000000" w:themeColor="text1"/>
                      <w:szCs w:val="21"/>
                    </w:rPr>
                  </w:pPr>
                </w:p>
              </w:tc>
            </w:tr>
            <w:tr>
              <w:tblPrEx>
                <w:tblCellMar>
                  <w:top w:w="0" w:type="dxa"/>
                  <w:left w:w="108" w:type="dxa"/>
                  <w:bottom w:w="0" w:type="dxa"/>
                  <w:right w:w="108" w:type="dxa"/>
                </w:tblCellMar>
              </w:tblPrEx>
              <w:trPr>
                <w:jc w:val="center"/>
              </w:trPr>
              <w:tc>
                <w:tcPr>
                  <w:tcW w:w="725" w:type="dxa"/>
                  <w:tcBorders>
                    <w:top w:val="nil"/>
                    <w:left w:val="single" w:color="000000" w:sz="8" w:space="0"/>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7</w:t>
                  </w:r>
                </w:p>
              </w:tc>
              <w:tc>
                <w:tcPr>
                  <w:tcW w:w="1572" w:type="dxa"/>
                  <w:tcBorders>
                    <w:top w:val="nil"/>
                    <w:left w:val="nil"/>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水洗</w:t>
                  </w:r>
                </w:p>
              </w:tc>
              <w:tc>
                <w:tcPr>
                  <w:tcW w:w="1144" w:type="dxa"/>
                  <w:tcBorders>
                    <w:top w:val="nil"/>
                    <w:left w:val="nil"/>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310.5</w:t>
                  </w:r>
                </w:p>
              </w:tc>
              <w:tc>
                <w:tcPr>
                  <w:tcW w:w="2392" w:type="dxa"/>
                  <w:tcBorders>
                    <w:top w:val="nil"/>
                    <w:left w:val="nil"/>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p>
              </w:tc>
              <w:tc>
                <w:tcPr>
                  <w:tcW w:w="1276" w:type="dxa"/>
                  <w:tcBorders>
                    <w:top w:val="nil"/>
                    <w:left w:val="nil"/>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p>
              </w:tc>
              <w:tc>
                <w:tcPr>
                  <w:tcW w:w="1486" w:type="dxa"/>
                  <w:vMerge w:val="continue"/>
                  <w:tcBorders>
                    <w:left w:val="single" w:color="000000" w:sz="8" w:space="0"/>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p>
              </w:tc>
            </w:tr>
            <w:tr>
              <w:tblPrEx>
                <w:tblCellMar>
                  <w:top w:w="0" w:type="dxa"/>
                  <w:left w:w="108" w:type="dxa"/>
                  <w:bottom w:w="0" w:type="dxa"/>
                  <w:right w:w="108" w:type="dxa"/>
                </w:tblCellMar>
              </w:tblPrEx>
              <w:trPr>
                <w:jc w:val="center"/>
              </w:trPr>
              <w:tc>
                <w:tcPr>
                  <w:tcW w:w="725" w:type="dxa"/>
                  <w:tcBorders>
                    <w:top w:val="nil"/>
                    <w:left w:val="single" w:color="000000" w:sz="8" w:space="0"/>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8</w:t>
                  </w:r>
                </w:p>
              </w:tc>
              <w:tc>
                <w:tcPr>
                  <w:tcW w:w="1572" w:type="dxa"/>
                  <w:tcBorders>
                    <w:top w:val="nil"/>
                    <w:left w:val="nil"/>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合计</w:t>
                  </w:r>
                </w:p>
              </w:tc>
              <w:tc>
                <w:tcPr>
                  <w:tcW w:w="1144" w:type="dxa"/>
                  <w:tcBorders>
                    <w:top w:val="nil"/>
                    <w:left w:val="nil"/>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675</w:t>
                  </w:r>
                </w:p>
              </w:tc>
              <w:tc>
                <w:tcPr>
                  <w:tcW w:w="2392" w:type="dxa"/>
                  <w:tcBorders>
                    <w:top w:val="nil"/>
                    <w:left w:val="nil"/>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w:t>
                  </w:r>
                </w:p>
              </w:tc>
              <w:tc>
                <w:tcPr>
                  <w:tcW w:w="1276" w:type="dxa"/>
                  <w:tcBorders>
                    <w:top w:val="nil"/>
                    <w:left w:val="nil"/>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255</w:t>
                  </w:r>
                </w:p>
              </w:tc>
              <w:tc>
                <w:tcPr>
                  <w:tcW w:w="1486" w:type="dxa"/>
                  <w:tcBorders>
                    <w:top w:val="nil"/>
                    <w:left w:val="nil"/>
                    <w:bottom w:val="single" w:color="000000" w:sz="8" w:space="0"/>
                    <w:right w:val="single" w:color="000000" w:sz="8" w:space="0"/>
                  </w:tcBorders>
                  <w:shd w:val="clear" w:color="auto" w:fill="auto"/>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420</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③</w:t>
            </w:r>
            <w:r>
              <w:rPr>
                <w:rFonts w:ascii="Times New Roman" w:hAnsi="Times New Roman" w:cs="Times New Roman"/>
                <w:b/>
                <w:color w:val="000000" w:themeColor="text1"/>
                <w:sz w:val="24"/>
                <w:szCs w:val="24"/>
              </w:rPr>
              <w:t>绿化用水</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工程内容可知，项目拟设置面积约为1500m²绿化区；根据《云南省地方标准用水定额》（DB53/T168-2019），绿化用水定额约为3L/（m²·次），则绿化用水量约为4.5m³/次，其中雨天不浇灌，非雨天1天1次，项目区域非雨天以255d计，则绿化用水量为（4.5m³/d）1147.5m³/a。</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④一期工程</w:t>
            </w:r>
            <w:r>
              <w:rPr>
                <w:rFonts w:ascii="Times New Roman" w:hAnsi="Times New Roman" w:cs="Times New Roman"/>
                <w:b/>
                <w:color w:val="000000" w:themeColor="text1"/>
                <w:sz w:val="24"/>
                <w:szCs w:val="24"/>
              </w:rPr>
              <w:t>生活污水产排核算</w:t>
            </w:r>
          </w:p>
          <w:p>
            <w:pPr>
              <w:spacing w:line="360" w:lineRule="auto"/>
              <w:ind w:firstLine="480" w:firstLineChars="200"/>
              <w:rPr>
                <w:rFonts w:hint="eastAsia" w:ascii="Times New Roman" w:hAnsi="Times New Roman" w:cs="Times New Roman"/>
                <w:color w:val="FF0000"/>
                <w:sz w:val="24"/>
              </w:rPr>
            </w:pPr>
            <w:r>
              <w:rPr>
                <w:rFonts w:ascii="Times New Roman" w:hAnsi="Times New Roman" w:cs="Times New Roman"/>
                <w:color w:val="FF0000"/>
                <w:sz w:val="24"/>
              </w:rPr>
              <w:t>根据项目特点，该项目</w:t>
            </w:r>
            <w:r>
              <w:rPr>
                <w:rFonts w:hint="eastAsia" w:ascii="Times New Roman" w:hAnsi="Times New Roman" w:cs="Times New Roman"/>
                <w:color w:val="FF0000"/>
                <w:sz w:val="24"/>
              </w:rPr>
              <w:t>一期工程</w:t>
            </w:r>
            <w:r>
              <w:rPr>
                <w:rFonts w:ascii="Times New Roman" w:hAnsi="Times New Roman" w:cs="Times New Roman"/>
                <w:color w:val="FF0000"/>
                <w:sz w:val="24"/>
              </w:rPr>
              <w:t>拟设置员工</w:t>
            </w:r>
            <w:r>
              <w:rPr>
                <w:rFonts w:hint="eastAsia" w:ascii="Times New Roman" w:hAnsi="Times New Roman" w:cs="Times New Roman"/>
                <w:color w:val="FF0000"/>
                <w:sz w:val="24"/>
              </w:rPr>
              <w:t>1</w:t>
            </w:r>
            <w:r>
              <w:rPr>
                <w:rFonts w:ascii="Times New Roman" w:hAnsi="Times New Roman" w:cs="Times New Roman"/>
                <w:color w:val="FF0000"/>
                <w:sz w:val="24"/>
              </w:rPr>
              <w:t>0人，</w:t>
            </w:r>
            <w:r>
              <w:rPr>
                <w:rFonts w:hint="eastAsia" w:ascii="Times New Roman" w:hAnsi="Times New Roman" w:cs="Times New Roman"/>
                <w:color w:val="FF0000"/>
                <w:sz w:val="24"/>
              </w:rPr>
              <w:t>不</w:t>
            </w:r>
            <w:r>
              <w:rPr>
                <w:rFonts w:ascii="Times New Roman" w:hAnsi="Times New Roman" w:cs="Times New Roman"/>
                <w:color w:val="FF0000"/>
                <w:sz w:val="24"/>
              </w:rPr>
              <w:t>在项目区食宿。根据《云南省地方标准用水定额》（DB53/T168-2019），用水量取</w:t>
            </w:r>
            <w:r>
              <w:rPr>
                <w:rFonts w:hint="eastAsia" w:ascii="Times New Roman" w:hAnsi="Times New Roman" w:cs="Times New Roman"/>
                <w:color w:val="FF0000"/>
                <w:sz w:val="24"/>
              </w:rPr>
              <w:t>6</w:t>
            </w:r>
            <w:r>
              <w:rPr>
                <w:rFonts w:ascii="Times New Roman" w:hAnsi="Times New Roman" w:cs="Times New Roman"/>
                <w:color w:val="FF0000"/>
                <w:sz w:val="24"/>
              </w:rPr>
              <w:t>0L/d·人，则生活用水量</w:t>
            </w:r>
            <w:r>
              <w:rPr>
                <w:rFonts w:hint="eastAsia" w:ascii="Times New Roman" w:hAnsi="Times New Roman" w:cs="Times New Roman"/>
                <w:color w:val="FF0000"/>
                <w:sz w:val="24"/>
              </w:rPr>
              <w:t>0.6</w:t>
            </w:r>
            <w:r>
              <w:rPr>
                <w:rFonts w:ascii="Times New Roman" w:hAnsi="Times New Roman" w:cs="Times New Roman"/>
                <w:color w:val="FF0000"/>
                <w:sz w:val="24"/>
              </w:rPr>
              <w:t>m³/d，合计为</w:t>
            </w:r>
            <w:r>
              <w:rPr>
                <w:rFonts w:hint="eastAsia" w:ascii="Times New Roman" w:hAnsi="Times New Roman" w:cs="Times New Roman"/>
                <w:color w:val="FF0000"/>
                <w:sz w:val="24"/>
              </w:rPr>
              <w:t>180</w:t>
            </w:r>
            <w:r>
              <w:rPr>
                <w:rFonts w:ascii="Times New Roman" w:hAnsi="Times New Roman" w:cs="Times New Roman"/>
                <w:color w:val="FF0000"/>
                <w:sz w:val="24"/>
              </w:rPr>
              <w:t>m³/a；废水率按80%计，则废水量为</w:t>
            </w:r>
            <w:r>
              <w:rPr>
                <w:rFonts w:hint="eastAsia" w:ascii="Times New Roman" w:hAnsi="Times New Roman" w:cs="Times New Roman"/>
                <w:color w:val="FF0000"/>
                <w:sz w:val="24"/>
              </w:rPr>
              <w:t>0.48</w:t>
            </w:r>
            <w:r>
              <w:rPr>
                <w:rFonts w:ascii="Times New Roman" w:hAnsi="Times New Roman" w:cs="Times New Roman"/>
                <w:color w:val="FF0000"/>
                <w:sz w:val="24"/>
              </w:rPr>
              <w:t>m³/d，合计为</w:t>
            </w:r>
            <w:r>
              <w:rPr>
                <w:rFonts w:hint="eastAsia" w:ascii="Times New Roman" w:hAnsi="Times New Roman" w:cs="Times New Roman"/>
                <w:color w:val="FF0000"/>
                <w:sz w:val="24"/>
              </w:rPr>
              <w:t>144</w:t>
            </w:r>
            <w:r>
              <w:rPr>
                <w:rFonts w:ascii="Times New Roman" w:hAnsi="Times New Roman" w:cs="Times New Roman"/>
                <w:color w:val="FF0000"/>
                <w:sz w:val="24"/>
              </w:rPr>
              <w:t>m³/a；其中食堂废水约为则废水量为0.</w:t>
            </w:r>
            <w:r>
              <w:rPr>
                <w:rFonts w:hint="eastAsia" w:ascii="Times New Roman" w:hAnsi="Times New Roman" w:cs="Times New Roman"/>
                <w:color w:val="FF0000"/>
                <w:sz w:val="24"/>
              </w:rPr>
              <w:t>24</w:t>
            </w:r>
            <w:r>
              <w:rPr>
                <w:rFonts w:ascii="Times New Roman" w:hAnsi="Times New Roman" w:cs="Times New Roman"/>
                <w:color w:val="FF0000"/>
                <w:sz w:val="24"/>
              </w:rPr>
              <w:t>m³/d，合计为</w:t>
            </w:r>
            <w:r>
              <w:rPr>
                <w:rFonts w:hint="eastAsia" w:ascii="Times New Roman" w:hAnsi="Times New Roman" w:cs="Times New Roman"/>
                <w:color w:val="FF0000"/>
                <w:sz w:val="24"/>
              </w:rPr>
              <w:t>72</w:t>
            </w:r>
            <w:r>
              <w:rPr>
                <w:rFonts w:ascii="Times New Roman" w:hAnsi="Times New Roman" w:cs="Times New Roman"/>
                <w:color w:val="FF0000"/>
                <w:sz w:val="24"/>
              </w:rPr>
              <w:t>m³/a</w:t>
            </w:r>
            <w:r>
              <w:rPr>
                <w:rFonts w:hint="eastAsia" w:ascii="Times New Roman" w:hAnsi="Times New Roman" w:cs="Times New Roman"/>
                <w:color w:val="FF0000"/>
                <w:sz w:val="24"/>
              </w:rPr>
              <w:t>。</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⑤一期工程</w:t>
            </w:r>
            <w:r>
              <w:rPr>
                <w:rFonts w:ascii="Times New Roman" w:hAnsi="Times New Roman" w:cs="Times New Roman"/>
                <w:b/>
                <w:color w:val="000000" w:themeColor="text1"/>
                <w:sz w:val="24"/>
                <w:szCs w:val="24"/>
              </w:rPr>
              <w:t>初期雨水产排核算</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项目</w:t>
            </w:r>
            <w:r>
              <w:rPr>
                <w:rFonts w:hint="eastAsia" w:ascii="Times New Roman" w:hAnsi="Times New Roman" w:cs="Times New Roman"/>
                <w:color w:val="000000" w:themeColor="text1"/>
                <w:sz w:val="24"/>
              </w:rPr>
              <w:t>一期工程</w:t>
            </w:r>
            <w:r>
              <w:rPr>
                <w:rFonts w:ascii="Times New Roman" w:hAnsi="Times New Roman" w:cs="Times New Roman"/>
                <w:color w:val="000000" w:themeColor="text1"/>
                <w:sz w:val="24"/>
              </w:rPr>
              <w:t>区初期雨水产生量按下述公式进行计算：</w:t>
            </w:r>
          </w:p>
          <w:p>
            <w:pPr>
              <w:spacing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Qm=F·Hm·Ψ÷1000</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式中：Qm：最大径流量（m³）；</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F：汇水面积（m²）；</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Hm：降雨量（mm）；</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Ψ：径流系数，取0.6；</w:t>
            </w:r>
          </w:p>
          <w:p>
            <w:pPr>
              <w:autoSpaceDE w:val="0"/>
              <w:autoSpaceDN w:val="0"/>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汇水面积取雨水直接落到地面上的占地面积，该项目占地为18113.33m²，</w:t>
            </w:r>
            <w:r>
              <w:rPr>
                <w:rFonts w:hint="eastAsia" w:ascii="Times New Roman" w:hAnsi="Times New Roman" w:cs="Times New Roman"/>
                <w:color w:val="000000" w:themeColor="text1"/>
                <w:sz w:val="24"/>
              </w:rPr>
              <w:t>一期工程</w:t>
            </w:r>
            <w:r>
              <w:rPr>
                <w:rFonts w:ascii="Times New Roman" w:hAnsi="Times New Roman" w:cs="Times New Roman"/>
                <w:color w:val="000000" w:themeColor="text1"/>
                <w:sz w:val="24"/>
              </w:rPr>
              <w:t>生产区域可能受污染区的占地面积约</w:t>
            </w:r>
            <w:r>
              <w:rPr>
                <w:rFonts w:hint="eastAsia" w:ascii="Times New Roman" w:hAnsi="Times New Roman" w:cs="Times New Roman"/>
                <w:color w:val="000000" w:themeColor="text1"/>
                <w:sz w:val="24"/>
              </w:rPr>
              <w:t>35</w:t>
            </w:r>
            <w:r>
              <w:rPr>
                <w:rFonts w:ascii="Times New Roman" w:hAnsi="Times New Roman" w:cs="Times New Roman"/>
                <w:color w:val="000000" w:themeColor="text1"/>
                <w:sz w:val="24"/>
              </w:rPr>
              <w:t>00m²，考虑到项目区场地的硬化程度，径流系数取0.6。该区30年一遇最大日降雨量153.3mm，经计算项目区最大日雨水量为</w:t>
            </w:r>
            <w:r>
              <w:rPr>
                <w:rFonts w:hint="eastAsia" w:ascii="Times New Roman" w:hAnsi="Times New Roman" w:cs="Times New Roman"/>
                <w:color w:val="000000" w:themeColor="text1"/>
                <w:sz w:val="24"/>
              </w:rPr>
              <w:t>321.93</w:t>
            </w:r>
            <w:r>
              <w:rPr>
                <w:rFonts w:ascii="Times New Roman" w:hAnsi="Times New Roman" w:cs="Times New Roman"/>
                <w:color w:val="000000" w:themeColor="text1"/>
                <w:sz w:val="24"/>
              </w:rPr>
              <w:t>m³，初期雨水主要产生于暴雨前30min，经计算，项目</w:t>
            </w:r>
            <w:r>
              <w:rPr>
                <w:rFonts w:hint="eastAsia" w:ascii="Times New Roman" w:hAnsi="Times New Roman" w:cs="Times New Roman"/>
                <w:color w:val="000000" w:themeColor="text1"/>
                <w:sz w:val="24"/>
              </w:rPr>
              <w:t>一期工程</w:t>
            </w:r>
            <w:r>
              <w:rPr>
                <w:rFonts w:ascii="Times New Roman" w:hAnsi="Times New Roman" w:cs="Times New Roman"/>
                <w:color w:val="000000" w:themeColor="text1"/>
                <w:sz w:val="24"/>
              </w:rPr>
              <w:t>初期雨水产生量约为</w:t>
            </w:r>
            <w:r>
              <w:rPr>
                <w:rFonts w:hint="eastAsia" w:ascii="Times New Roman" w:hAnsi="Times New Roman" w:cs="Times New Roman"/>
                <w:color w:val="000000" w:themeColor="text1"/>
                <w:sz w:val="24"/>
              </w:rPr>
              <w:t>6.71</w:t>
            </w:r>
            <w:r>
              <w:rPr>
                <w:rFonts w:ascii="Times New Roman" w:hAnsi="Times New Roman" w:cs="Times New Roman"/>
                <w:color w:val="000000" w:themeColor="text1"/>
                <w:sz w:val="24"/>
              </w:rPr>
              <w:t>m³/次，初期雨水的主要污染物为CODcr和SS，CODcr产生浓度约60mg/L、SS产生浓度约400mg/L。综上，项目</w:t>
            </w:r>
            <w:r>
              <w:rPr>
                <w:rFonts w:hint="eastAsia" w:ascii="Times New Roman" w:hAnsi="Times New Roman" w:cs="Times New Roman"/>
                <w:color w:val="000000" w:themeColor="text1"/>
                <w:sz w:val="24"/>
              </w:rPr>
              <w:t>一期工程</w:t>
            </w:r>
            <w:r>
              <w:rPr>
                <w:rFonts w:ascii="Times New Roman" w:hAnsi="Times New Roman" w:cs="Times New Roman"/>
                <w:color w:val="000000" w:themeColor="text1"/>
                <w:sz w:val="24"/>
              </w:rPr>
              <w:t>供排水统计情况详见下表。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表2.8</w:t>
            </w:r>
            <w:r>
              <w:rPr>
                <w:rFonts w:hint="eastAsia" w:ascii="Times New Roman" w:hAnsi="Times New Roman" w:cs="Times New Roman"/>
                <w:b/>
                <w:color w:val="000000" w:themeColor="text1"/>
                <w:szCs w:val="24"/>
              </w:rPr>
              <w:t>.1-3</w:t>
            </w:r>
            <w:r>
              <w:rPr>
                <w:rFonts w:ascii="Times New Roman" w:hAnsi="Times New Roman" w:cs="Times New Roman"/>
                <w:b/>
                <w:color w:val="000000" w:themeColor="text1"/>
                <w:szCs w:val="24"/>
              </w:rPr>
              <w:t xml:space="preserve"> 项目</w:t>
            </w:r>
            <w:r>
              <w:rPr>
                <w:rFonts w:hint="eastAsia" w:ascii="Times New Roman" w:hAnsi="Times New Roman" w:cs="Times New Roman"/>
                <w:b/>
                <w:color w:val="000000" w:themeColor="text1"/>
                <w:szCs w:val="24"/>
              </w:rPr>
              <w:t>一期工程</w:t>
            </w:r>
            <w:r>
              <w:rPr>
                <w:rFonts w:ascii="Times New Roman" w:hAnsi="Times New Roman" w:cs="Times New Roman"/>
                <w:b/>
                <w:color w:val="000000" w:themeColor="text1"/>
                <w:szCs w:val="24"/>
              </w:rPr>
              <w:t>废水总产排情况一览表（单位：m³/d）</w:t>
            </w:r>
          </w:p>
          <w:tbl>
            <w:tblPr>
              <w:tblStyle w:val="20"/>
              <w:tblW w:w="5000" w:type="pct"/>
              <w:tblInd w:w="0" w:type="dxa"/>
              <w:tblLayout w:type="fixed"/>
              <w:tblCellMar>
                <w:top w:w="0" w:type="dxa"/>
                <w:left w:w="108" w:type="dxa"/>
                <w:bottom w:w="0" w:type="dxa"/>
                <w:right w:w="108" w:type="dxa"/>
              </w:tblCellMar>
            </w:tblPr>
            <w:tblGrid>
              <w:gridCol w:w="1584"/>
              <w:gridCol w:w="995"/>
              <w:gridCol w:w="1846"/>
              <w:gridCol w:w="995"/>
              <w:gridCol w:w="1137"/>
              <w:gridCol w:w="1144"/>
              <w:gridCol w:w="914"/>
            </w:tblGrid>
            <w:tr>
              <w:tblPrEx>
                <w:tblCellMar>
                  <w:top w:w="0" w:type="dxa"/>
                  <w:left w:w="108" w:type="dxa"/>
                  <w:bottom w:w="0" w:type="dxa"/>
                  <w:right w:w="108" w:type="dxa"/>
                </w:tblCellMar>
              </w:tblPrEx>
              <w:trPr>
                <w:trHeight w:val="125" w:hRule="atLeast"/>
              </w:trPr>
              <w:tc>
                <w:tcPr>
                  <w:tcW w:w="158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用水单元</w:t>
                  </w:r>
                </w:p>
              </w:tc>
              <w:tc>
                <w:tcPr>
                  <w:tcW w:w="993"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规模</w:t>
                  </w:r>
                </w:p>
              </w:tc>
              <w:tc>
                <w:tcPr>
                  <w:tcW w:w="1842"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用水定额</w:t>
                  </w:r>
                </w:p>
              </w:tc>
              <w:tc>
                <w:tcPr>
                  <w:tcW w:w="2127" w:type="dxa"/>
                  <w:gridSpan w:val="2"/>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总用水量</w:t>
                  </w:r>
                </w:p>
              </w:tc>
              <w:tc>
                <w:tcPr>
                  <w:tcW w:w="2053" w:type="dxa"/>
                  <w:gridSpan w:val="2"/>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废水量</w:t>
                  </w:r>
                </w:p>
              </w:tc>
            </w:tr>
            <w:tr>
              <w:tblPrEx>
                <w:tblCellMar>
                  <w:top w:w="0" w:type="dxa"/>
                  <w:left w:w="108" w:type="dxa"/>
                  <w:bottom w:w="0" w:type="dxa"/>
                  <w:right w:w="108" w:type="dxa"/>
                </w:tblCellMar>
              </w:tblPrEx>
              <w:trPr>
                <w:trHeight w:val="201" w:hRule="atLeast"/>
              </w:trPr>
              <w:tc>
                <w:tcPr>
                  <w:tcW w:w="1580"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p>
              </w:tc>
              <w:tc>
                <w:tcPr>
                  <w:tcW w:w="993"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p>
              </w:tc>
              <w:tc>
                <w:tcPr>
                  <w:tcW w:w="1842"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p>
              </w:tc>
              <w:tc>
                <w:tcPr>
                  <w:tcW w:w="993"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m³/d</w:t>
                  </w:r>
                </w:p>
              </w:tc>
              <w:tc>
                <w:tcPr>
                  <w:tcW w:w="1134"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m³/a</w:t>
                  </w:r>
                </w:p>
              </w:tc>
              <w:tc>
                <w:tcPr>
                  <w:tcW w:w="114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m³/d</w:t>
                  </w:r>
                </w:p>
              </w:tc>
              <w:tc>
                <w:tcPr>
                  <w:tcW w:w="91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m³/a</w:t>
                  </w:r>
                </w:p>
              </w:tc>
            </w:tr>
            <w:tr>
              <w:tblPrEx>
                <w:tblCellMar>
                  <w:top w:w="0" w:type="dxa"/>
                  <w:left w:w="108" w:type="dxa"/>
                  <w:bottom w:w="0" w:type="dxa"/>
                  <w:right w:w="108" w:type="dxa"/>
                </w:tblCellMar>
              </w:tblPrEx>
              <w:trPr>
                <w:trHeight w:val="201" w:hRule="atLeast"/>
              </w:trPr>
              <w:tc>
                <w:tcPr>
                  <w:tcW w:w="1580"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洒水抑尘</w:t>
                  </w:r>
                </w:p>
              </w:tc>
              <w:tc>
                <w:tcPr>
                  <w:tcW w:w="993"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w:t>
                  </w:r>
                </w:p>
              </w:tc>
              <w:tc>
                <w:tcPr>
                  <w:tcW w:w="1842"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w:t>
                  </w:r>
                </w:p>
              </w:tc>
              <w:tc>
                <w:tcPr>
                  <w:tcW w:w="993"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3</w:t>
                  </w:r>
                </w:p>
              </w:tc>
              <w:tc>
                <w:tcPr>
                  <w:tcW w:w="1134"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900</w:t>
                  </w:r>
                </w:p>
              </w:tc>
              <w:tc>
                <w:tcPr>
                  <w:tcW w:w="114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0</w:t>
                  </w:r>
                </w:p>
              </w:tc>
              <w:tc>
                <w:tcPr>
                  <w:tcW w:w="91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0</w:t>
                  </w:r>
                </w:p>
              </w:tc>
            </w:tr>
            <w:tr>
              <w:tblPrEx>
                <w:tblCellMar>
                  <w:top w:w="0" w:type="dxa"/>
                  <w:left w:w="108" w:type="dxa"/>
                  <w:bottom w:w="0" w:type="dxa"/>
                  <w:right w:w="108" w:type="dxa"/>
                </w:tblCellMar>
              </w:tblPrEx>
              <w:trPr>
                <w:trHeight w:val="127" w:hRule="atLeast"/>
              </w:trPr>
              <w:tc>
                <w:tcPr>
                  <w:tcW w:w="1580" w:type="dxa"/>
                  <w:tcBorders>
                    <w:top w:val="single" w:color="auto" w:sz="8" w:space="0"/>
                    <w:left w:val="single" w:color="auto" w:sz="8" w:space="0"/>
                    <w:bottom w:val="single" w:color="auto" w:sz="4"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砂石骨料生产</w:t>
                  </w:r>
                </w:p>
              </w:tc>
              <w:tc>
                <w:tcPr>
                  <w:tcW w:w="993"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90万t/a</w:t>
                  </w:r>
                </w:p>
              </w:tc>
              <w:tc>
                <w:tcPr>
                  <w:tcW w:w="1842"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0.225m³/（t·产品）</w:t>
                  </w:r>
                </w:p>
              </w:tc>
              <w:tc>
                <w:tcPr>
                  <w:tcW w:w="993"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675</w:t>
                  </w:r>
                </w:p>
              </w:tc>
              <w:tc>
                <w:tcPr>
                  <w:tcW w:w="1134"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202500</w:t>
                  </w:r>
                </w:p>
              </w:tc>
              <w:tc>
                <w:tcPr>
                  <w:tcW w:w="114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420</w:t>
                  </w:r>
                </w:p>
              </w:tc>
              <w:tc>
                <w:tcPr>
                  <w:tcW w:w="91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126000</w:t>
                  </w:r>
                </w:p>
              </w:tc>
            </w:tr>
            <w:tr>
              <w:tblPrEx>
                <w:tblCellMar>
                  <w:top w:w="0" w:type="dxa"/>
                  <w:left w:w="108" w:type="dxa"/>
                  <w:bottom w:w="0" w:type="dxa"/>
                  <w:right w:w="108" w:type="dxa"/>
                </w:tblCellMar>
              </w:tblPrEx>
              <w:trPr>
                <w:trHeight w:val="137" w:hRule="atLeast"/>
              </w:trPr>
              <w:tc>
                <w:tcPr>
                  <w:tcW w:w="1580" w:type="dxa"/>
                  <w:tcBorders>
                    <w:top w:val="single" w:color="auto" w:sz="4" w:space="0"/>
                    <w:left w:val="single" w:color="auto" w:sz="8" w:space="0"/>
                    <w:bottom w:val="single" w:color="auto" w:sz="4"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绿化用水</w:t>
                  </w:r>
                </w:p>
              </w:tc>
              <w:tc>
                <w:tcPr>
                  <w:tcW w:w="993"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1500m²</w:t>
                  </w:r>
                </w:p>
              </w:tc>
              <w:tc>
                <w:tcPr>
                  <w:tcW w:w="1842"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3L/（m²·次）</w:t>
                  </w:r>
                </w:p>
              </w:tc>
              <w:tc>
                <w:tcPr>
                  <w:tcW w:w="993"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4.5</w:t>
                  </w:r>
                </w:p>
              </w:tc>
              <w:tc>
                <w:tcPr>
                  <w:tcW w:w="1134"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1147.5</w:t>
                  </w:r>
                </w:p>
              </w:tc>
              <w:tc>
                <w:tcPr>
                  <w:tcW w:w="114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0</w:t>
                  </w:r>
                </w:p>
              </w:tc>
              <w:tc>
                <w:tcPr>
                  <w:tcW w:w="91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0</w:t>
                  </w:r>
                </w:p>
              </w:tc>
            </w:tr>
            <w:tr>
              <w:tblPrEx>
                <w:tblCellMar>
                  <w:top w:w="0" w:type="dxa"/>
                  <w:left w:w="108" w:type="dxa"/>
                  <w:bottom w:w="0" w:type="dxa"/>
                  <w:right w:w="108" w:type="dxa"/>
                </w:tblCellMar>
              </w:tblPrEx>
              <w:trPr>
                <w:trHeight w:val="67" w:hRule="atLeast"/>
              </w:trPr>
              <w:tc>
                <w:tcPr>
                  <w:tcW w:w="1580" w:type="dxa"/>
                  <w:tcBorders>
                    <w:top w:val="single" w:color="auto" w:sz="4" w:space="0"/>
                    <w:left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hint="eastAsia" w:eastAsiaTheme="minorEastAsia"/>
                      <w:color w:val="000000" w:themeColor="text1"/>
                      <w:szCs w:val="21"/>
                      <w:lang w:val="en-US"/>
                    </w:rPr>
                    <w:t>一期工程</w:t>
                  </w:r>
                  <w:r>
                    <w:rPr>
                      <w:rFonts w:eastAsiaTheme="minorEastAsia"/>
                      <w:color w:val="000000" w:themeColor="text1"/>
                      <w:szCs w:val="21"/>
                      <w:lang w:val="en-US"/>
                    </w:rPr>
                    <w:t>生活用水</w:t>
                  </w:r>
                </w:p>
              </w:tc>
              <w:tc>
                <w:tcPr>
                  <w:tcW w:w="993"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hint="eastAsia" w:eastAsiaTheme="minorEastAsia"/>
                      <w:color w:val="000000" w:themeColor="text1"/>
                      <w:szCs w:val="21"/>
                      <w:lang w:val="en-US"/>
                    </w:rPr>
                    <w:t>1</w:t>
                  </w:r>
                  <w:r>
                    <w:rPr>
                      <w:rFonts w:eastAsiaTheme="minorEastAsia"/>
                      <w:color w:val="000000" w:themeColor="text1"/>
                      <w:szCs w:val="21"/>
                      <w:lang w:val="en-US"/>
                    </w:rPr>
                    <w:t>0人</w:t>
                  </w:r>
                </w:p>
              </w:tc>
              <w:tc>
                <w:tcPr>
                  <w:tcW w:w="184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FF0000"/>
                      <w:szCs w:val="21"/>
                      <w:lang w:val="en-US"/>
                    </w:rPr>
                  </w:pPr>
                  <w:r>
                    <w:rPr>
                      <w:rFonts w:hint="eastAsia" w:eastAsiaTheme="minorEastAsia"/>
                      <w:color w:val="FF0000"/>
                      <w:szCs w:val="21"/>
                      <w:lang w:val="en-US"/>
                    </w:rPr>
                    <w:t>6</w:t>
                  </w:r>
                  <w:r>
                    <w:rPr>
                      <w:rFonts w:eastAsiaTheme="minorEastAsia"/>
                      <w:color w:val="FF0000"/>
                      <w:szCs w:val="21"/>
                      <w:lang w:val="en-US"/>
                    </w:rPr>
                    <w:t>0L/d·人</w:t>
                  </w:r>
                </w:p>
              </w:tc>
              <w:tc>
                <w:tcPr>
                  <w:tcW w:w="993" w:type="dxa"/>
                  <w:tcBorders>
                    <w:top w:val="nil"/>
                    <w:left w:val="nil"/>
                    <w:bottom w:val="single" w:color="auto" w:sz="4" w:space="0"/>
                    <w:right w:val="single" w:color="auto" w:sz="8" w:space="0"/>
                  </w:tcBorders>
                  <w:shd w:val="clear" w:color="auto" w:fill="auto"/>
                  <w:vAlign w:val="center"/>
                </w:tcPr>
                <w:p>
                  <w:pPr>
                    <w:pStyle w:val="32"/>
                    <w:spacing w:line="360" w:lineRule="exact"/>
                    <w:rPr>
                      <w:rFonts w:eastAsiaTheme="minorEastAsia"/>
                      <w:color w:val="FF0000"/>
                      <w:szCs w:val="21"/>
                      <w:lang w:val="en-US"/>
                    </w:rPr>
                  </w:pPr>
                  <w:r>
                    <w:rPr>
                      <w:rFonts w:hint="eastAsia" w:eastAsiaTheme="minorEastAsia"/>
                      <w:color w:val="FF0000"/>
                      <w:szCs w:val="21"/>
                      <w:lang w:val="en-US"/>
                    </w:rPr>
                    <w:t>0.6</w:t>
                  </w:r>
                </w:p>
              </w:tc>
              <w:tc>
                <w:tcPr>
                  <w:tcW w:w="1134" w:type="dxa"/>
                  <w:tcBorders>
                    <w:top w:val="nil"/>
                    <w:left w:val="nil"/>
                    <w:bottom w:val="single" w:color="auto" w:sz="4" w:space="0"/>
                    <w:right w:val="single" w:color="auto" w:sz="8" w:space="0"/>
                  </w:tcBorders>
                  <w:shd w:val="clear" w:color="auto" w:fill="auto"/>
                  <w:vAlign w:val="center"/>
                </w:tcPr>
                <w:p>
                  <w:pPr>
                    <w:pStyle w:val="32"/>
                    <w:spacing w:line="360" w:lineRule="exact"/>
                    <w:rPr>
                      <w:rFonts w:eastAsiaTheme="minorEastAsia"/>
                      <w:color w:val="FF0000"/>
                      <w:szCs w:val="21"/>
                      <w:lang w:val="en-US"/>
                    </w:rPr>
                  </w:pPr>
                  <w:r>
                    <w:rPr>
                      <w:rFonts w:hint="eastAsia" w:eastAsiaTheme="minorEastAsia"/>
                      <w:color w:val="FF0000"/>
                      <w:szCs w:val="21"/>
                      <w:lang w:val="en-US"/>
                    </w:rPr>
                    <w:t>180</w:t>
                  </w:r>
                </w:p>
              </w:tc>
              <w:tc>
                <w:tcPr>
                  <w:tcW w:w="1141" w:type="dxa"/>
                  <w:tcBorders>
                    <w:top w:val="nil"/>
                    <w:left w:val="nil"/>
                    <w:bottom w:val="single" w:color="auto" w:sz="4" w:space="0"/>
                    <w:right w:val="single" w:color="auto" w:sz="8" w:space="0"/>
                  </w:tcBorders>
                  <w:shd w:val="clear" w:color="auto" w:fill="auto"/>
                  <w:vAlign w:val="center"/>
                </w:tcPr>
                <w:p>
                  <w:pPr>
                    <w:pStyle w:val="32"/>
                    <w:spacing w:line="360" w:lineRule="exact"/>
                    <w:rPr>
                      <w:rFonts w:eastAsiaTheme="minorEastAsia"/>
                      <w:color w:val="FF0000"/>
                      <w:szCs w:val="21"/>
                      <w:lang w:val="en-US"/>
                    </w:rPr>
                  </w:pPr>
                  <w:r>
                    <w:rPr>
                      <w:rFonts w:hint="eastAsia" w:eastAsiaTheme="minorEastAsia"/>
                      <w:color w:val="FF0000"/>
                      <w:szCs w:val="21"/>
                      <w:lang w:val="en-US"/>
                    </w:rPr>
                    <w:t>0.48</w:t>
                  </w:r>
                </w:p>
              </w:tc>
              <w:tc>
                <w:tcPr>
                  <w:tcW w:w="912" w:type="dxa"/>
                  <w:tcBorders>
                    <w:top w:val="nil"/>
                    <w:left w:val="nil"/>
                    <w:bottom w:val="single" w:color="auto" w:sz="4" w:space="0"/>
                    <w:right w:val="single" w:color="auto" w:sz="8" w:space="0"/>
                  </w:tcBorders>
                  <w:shd w:val="clear" w:color="auto" w:fill="auto"/>
                  <w:vAlign w:val="center"/>
                </w:tcPr>
                <w:p>
                  <w:pPr>
                    <w:pStyle w:val="32"/>
                    <w:spacing w:line="360" w:lineRule="exact"/>
                    <w:rPr>
                      <w:rFonts w:eastAsiaTheme="minorEastAsia"/>
                      <w:color w:val="FF0000"/>
                      <w:szCs w:val="21"/>
                      <w:lang w:val="en-US"/>
                    </w:rPr>
                  </w:pPr>
                  <w:r>
                    <w:rPr>
                      <w:rFonts w:hint="eastAsia" w:eastAsiaTheme="minorEastAsia"/>
                      <w:color w:val="FF0000"/>
                      <w:szCs w:val="21"/>
                      <w:lang w:val="en-US"/>
                    </w:rPr>
                    <w:t>144</w:t>
                  </w:r>
                </w:p>
              </w:tc>
            </w:tr>
            <w:tr>
              <w:tblPrEx>
                <w:tblCellMar>
                  <w:top w:w="0" w:type="dxa"/>
                  <w:left w:w="108" w:type="dxa"/>
                  <w:bottom w:w="0" w:type="dxa"/>
                  <w:right w:w="108" w:type="dxa"/>
                </w:tblCellMar>
              </w:tblPrEx>
              <w:trPr>
                <w:trHeight w:val="67" w:hRule="atLeast"/>
              </w:trPr>
              <w:tc>
                <w:tcPr>
                  <w:tcW w:w="1580" w:type="dxa"/>
                  <w:tcBorders>
                    <w:top w:val="single" w:color="auto" w:sz="4" w:space="0"/>
                    <w:left w:val="single" w:color="auto" w:sz="8" w:space="0"/>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hint="eastAsia" w:eastAsiaTheme="minorEastAsia"/>
                      <w:color w:val="000000" w:themeColor="text1"/>
                      <w:szCs w:val="21"/>
                      <w:lang w:val="en-US"/>
                    </w:rPr>
                    <w:t>一期工程</w:t>
                  </w:r>
                  <w:r>
                    <w:rPr>
                      <w:rFonts w:eastAsiaTheme="minorEastAsia"/>
                      <w:color w:val="000000" w:themeColor="text1"/>
                      <w:szCs w:val="21"/>
                      <w:lang w:val="en-US"/>
                    </w:rPr>
                    <w:t>初期雨水</w:t>
                  </w:r>
                </w:p>
              </w:tc>
              <w:tc>
                <w:tcPr>
                  <w:tcW w:w="993"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w:t>
                  </w:r>
                </w:p>
              </w:tc>
              <w:tc>
                <w:tcPr>
                  <w:tcW w:w="184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w:t>
                  </w:r>
                </w:p>
              </w:tc>
              <w:tc>
                <w:tcPr>
                  <w:tcW w:w="993"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0</w:t>
                  </w:r>
                </w:p>
              </w:tc>
              <w:tc>
                <w:tcPr>
                  <w:tcW w:w="1134"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0</w:t>
                  </w:r>
                </w:p>
              </w:tc>
              <w:tc>
                <w:tcPr>
                  <w:tcW w:w="1141"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hint="eastAsia" w:eastAsiaTheme="minorEastAsia"/>
                      <w:color w:val="000000" w:themeColor="text1"/>
                      <w:szCs w:val="21"/>
                      <w:lang w:val="en-US"/>
                    </w:rPr>
                    <w:t>6.71</w:t>
                  </w:r>
                  <w:r>
                    <w:rPr>
                      <w:rFonts w:eastAsiaTheme="minorEastAsia"/>
                      <w:color w:val="000000" w:themeColor="text1"/>
                      <w:szCs w:val="21"/>
                      <w:lang w:val="en-US"/>
                    </w:rPr>
                    <w:t>m³/次</w:t>
                  </w:r>
                </w:p>
              </w:tc>
              <w:tc>
                <w:tcPr>
                  <w:tcW w:w="912"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w:t>
                  </w:r>
                </w:p>
              </w:tc>
            </w:tr>
            <w:tr>
              <w:tblPrEx>
                <w:tblCellMar>
                  <w:top w:w="0" w:type="dxa"/>
                  <w:left w:w="108" w:type="dxa"/>
                  <w:bottom w:w="0" w:type="dxa"/>
                  <w:right w:w="108" w:type="dxa"/>
                </w:tblCellMar>
              </w:tblPrEx>
              <w:trPr>
                <w:trHeight w:val="285" w:hRule="atLeast"/>
              </w:trPr>
              <w:tc>
                <w:tcPr>
                  <w:tcW w:w="4415" w:type="dxa"/>
                  <w:gridSpan w:val="3"/>
                  <w:tcBorders>
                    <w:top w:val="single" w:color="auto" w:sz="4" w:space="0"/>
                    <w:left w:val="single" w:color="auto" w:sz="8" w:space="0"/>
                    <w:bottom w:val="single" w:color="auto" w:sz="4"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合计</w:t>
                  </w:r>
                </w:p>
              </w:tc>
              <w:tc>
                <w:tcPr>
                  <w:tcW w:w="993" w:type="dxa"/>
                  <w:tcBorders>
                    <w:top w:val="single" w:color="auto" w:sz="4" w:space="0"/>
                    <w:left w:val="nil"/>
                    <w:bottom w:val="single" w:color="auto" w:sz="4" w:space="0"/>
                    <w:right w:val="single" w:color="auto" w:sz="8" w:space="0"/>
                  </w:tcBorders>
                  <w:shd w:val="clear" w:color="auto" w:fill="auto"/>
                  <w:vAlign w:val="bottom"/>
                </w:tcPr>
                <w:p>
                  <w:pPr>
                    <w:pStyle w:val="32"/>
                    <w:spacing w:line="360" w:lineRule="exact"/>
                    <w:rPr>
                      <w:rFonts w:eastAsiaTheme="minorEastAsia"/>
                      <w:color w:val="FF0000"/>
                      <w:szCs w:val="21"/>
                      <w:lang w:val="en-US"/>
                    </w:rPr>
                  </w:pPr>
                  <w:r>
                    <w:rPr>
                      <w:rFonts w:eastAsiaTheme="minorEastAsia"/>
                      <w:color w:val="FF0000"/>
                      <w:szCs w:val="21"/>
                      <w:lang w:val="en-US"/>
                    </w:rPr>
                    <w:t>683.1</w:t>
                  </w:r>
                </w:p>
              </w:tc>
              <w:tc>
                <w:tcPr>
                  <w:tcW w:w="1134" w:type="dxa"/>
                  <w:tcBorders>
                    <w:top w:val="single" w:color="auto" w:sz="4" w:space="0"/>
                    <w:left w:val="nil"/>
                    <w:bottom w:val="single" w:color="auto" w:sz="4" w:space="0"/>
                    <w:right w:val="single" w:color="auto" w:sz="8" w:space="0"/>
                  </w:tcBorders>
                  <w:shd w:val="clear" w:color="auto" w:fill="auto"/>
                  <w:vAlign w:val="bottom"/>
                </w:tcPr>
                <w:p>
                  <w:pPr>
                    <w:pStyle w:val="32"/>
                    <w:spacing w:line="360" w:lineRule="exact"/>
                    <w:rPr>
                      <w:rFonts w:eastAsiaTheme="minorEastAsia"/>
                      <w:color w:val="FF0000"/>
                      <w:szCs w:val="21"/>
                      <w:lang w:val="en-US"/>
                    </w:rPr>
                  </w:pPr>
                  <w:r>
                    <w:rPr>
                      <w:rFonts w:eastAsiaTheme="minorEastAsia"/>
                      <w:color w:val="FF0000"/>
                      <w:szCs w:val="21"/>
                      <w:lang w:val="en-US"/>
                    </w:rPr>
                    <w:t>204727.5</w:t>
                  </w:r>
                </w:p>
              </w:tc>
              <w:tc>
                <w:tcPr>
                  <w:tcW w:w="1141" w:type="dxa"/>
                  <w:tcBorders>
                    <w:top w:val="single" w:color="auto" w:sz="4" w:space="0"/>
                    <w:left w:val="nil"/>
                    <w:bottom w:val="single" w:color="auto" w:sz="4" w:space="0"/>
                    <w:right w:val="single" w:color="auto" w:sz="8" w:space="0"/>
                  </w:tcBorders>
                  <w:shd w:val="clear" w:color="auto" w:fill="auto"/>
                  <w:vAlign w:val="bottom"/>
                </w:tcPr>
                <w:p>
                  <w:pPr>
                    <w:pStyle w:val="32"/>
                    <w:spacing w:line="360" w:lineRule="exact"/>
                    <w:rPr>
                      <w:rFonts w:eastAsiaTheme="minorEastAsia"/>
                      <w:color w:val="FF0000"/>
                      <w:szCs w:val="21"/>
                      <w:lang w:val="en-US"/>
                    </w:rPr>
                  </w:pPr>
                  <w:r>
                    <w:rPr>
                      <w:rFonts w:eastAsiaTheme="minorEastAsia"/>
                      <w:color w:val="FF0000"/>
                      <w:szCs w:val="21"/>
                      <w:lang w:val="en-US"/>
                    </w:rPr>
                    <w:t>420.48</w:t>
                  </w:r>
                </w:p>
              </w:tc>
              <w:tc>
                <w:tcPr>
                  <w:tcW w:w="912" w:type="dxa"/>
                  <w:tcBorders>
                    <w:top w:val="single" w:color="auto" w:sz="4" w:space="0"/>
                    <w:left w:val="nil"/>
                    <w:bottom w:val="single" w:color="auto" w:sz="4" w:space="0"/>
                    <w:right w:val="single" w:color="auto" w:sz="8" w:space="0"/>
                  </w:tcBorders>
                  <w:shd w:val="clear" w:color="auto" w:fill="auto"/>
                  <w:vAlign w:val="bottom"/>
                </w:tcPr>
                <w:p>
                  <w:pPr>
                    <w:pStyle w:val="32"/>
                    <w:spacing w:line="360" w:lineRule="exact"/>
                    <w:rPr>
                      <w:rFonts w:eastAsiaTheme="minorEastAsia"/>
                      <w:color w:val="FF0000"/>
                      <w:szCs w:val="21"/>
                      <w:lang w:val="en-US"/>
                    </w:rPr>
                  </w:pPr>
                  <w:r>
                    <w:rPr>
                      <w:rFonts w:eastAsiaTheme="minorEastAsia"/>
                      <w:color w:val="FF0000"/>
                      <w:szCs w:val="21"/>
                      <w:lang w:val="en-US"/>
                    </w:rPr>
                    <w:t>126144</w:t>
                  </w:r>
                </w:p>
              </w:tc>
            </w:tr>
            <w:tr>
              <w:tblPrEx>
                <w:tblCellMar>
                  <w:top w:w="0" w:type="dxa"/>
                  <w:left w:w="108" w:type="dxa"/>
                  <w:bottom w:w="0" w:type="dxa"/>
                  <w:right w:w="108" w:type="dxa"/>
                </w:tblCellMar>
              </w:tblPrEx>
              <w:trPr>
                <w:trHeight w:val="285" w:hRule="atLeast"/>
              </w:trPr>
              <w:tc>
                <w:tcPr>
                  <w:tcW w:w="8595" w:type="dxa"/>
                  <w:gridSpan w:val="7"/>
                  <w:tcBorders>
                    <w:top w:val="single" w:color="auto" w:sz="4" w:space="0"/>
                    <w:left w:val="single" w:color="auto" w:sz="8" w:space="0"/>
                    <w:bottom w:val="single" w:color="auto" w:sz="8" w:space="0"/>
                    <w:right w:val="single" w:color="auto" w:sz="8" w:space="0"/>
                  </w:tcBorders>
                  <w:shd w:val="clear" w:color="auto" w:fill="auto"/>
                  <w:vAlign w:val="center"/>
                </w:tcPr>
                <w:p>
                  <w:pPr>
                    <w:pStyle w:val="32"/>
                    <w:spacing w:line="360" w:lineRule="exact"/>
                    <w:ind w:firstLine="210" w:firstLineChars="100"/>
                    <w:jc w:val="left"/>
                    <w:rPr>
                      <w:color w:val="000000" w:themeColor="text1"/>
                      <w:kern w:val="0"/>
                    </w:rPr>
                  </w:pPr>
                  <w:r>
                    <w:rPr>
                      <w:color w:val="000000" w:themeColor="text1"/>
                      <w:kern w:val="0"/>
                    </w:rPr>
                    <w:t>备注：初期雨水具有偶然性，不纳入总量统计。</w:t>
                  </w:r>
                </w:p>
              </w:tc>
            </w:tr>
          </w:tbl>
          <w:p>
            <w:pPr>
              <w:pStyle w:val="40"/>
              <w:spacing w:beforeLines="50"/>
              <w:ind w:firstLine="480"/>
              <w:rPr>
                <w:rFonts w:hint="eastAsia"/>
                <w:color w:val="000000" w:themeColor="text1"/>
                <w:szCs w:val="21"/>
              </w:rPr>
            </w:pPr>
            <w:r>
              <w:rPr>
                <w:color w:val="000000" w:themeColor="text1"/>
                <w:szCs w:val="21"/>
              </w:rPr>
              <w:t>该项目</w:t>
            </w:r>
            <w:r>
              <w:rPr>
                <w:rFonts w:hint="eastAsia"/>
                <w:color w:val="000000" w:themeColor="text1"/>
                <w:szCs w:val="21"/>
              </w:rPr>
              <w:t>一期工程</w:t>
            </w:r>
            <w:r>
              <w:rPr>
                <w:color w:val="000000" w:themeColor="text1"/>
                <w:szCs w:val="21"/>
              </w:rPr>
              <w:t>非雨天水平衡如下图所示。</w:t>
            </w:r>
          </w:p>
          <w:p>
            <w:pPr>
              <w:pStyle w:val="40"/>
              <w:spacing w:beforeLines="50"/>
              <w:ind w:firstLine="480"/>
              <w:rPr>
                <w:rFonts w:hint="eastAsia"/>
                <w:color w:val="000000" w:themeColor="text1"/>
                <w:szCs w:val="21"/>
              </w:rPr>
            </w:pPr>
          </w:p>
          <w:p>
            <w:pPr>
              <w:pStyle w:val="40"/>
              <w:spacing w:beforeLines="50"/>
              <w:ind w:firstLine="480"/>
              <w:rPr>
                <w:rFonts w:hint="eastAsia"/>
                <w:color w:val="000000" w:themeColor="text1"/>
                <w:szCs w:val="21"/>
              </w:rPr>
            </w:pPr>
          </w:p>
          <w:p>
            <w:pPr>
              <w:pStyle w:val="40"/>
              <w:spacing w:beforeLines="50"/>
              <w:ind w:firstLine="480"/>
              <w:rPr>
                <w:rFonts w:hint="eastAsia"/>
                <w:color w:val="000000" w:themeColor="text1"/>
                <w:szCs w:val="21"/>
              </w:rPr>
            </w:pPr>
          </w:p>
          <w:p>
            <w:pPr>
              <w:pStyle w:val="40"/>
              <w:spacing w:beforeLines="50"/>
              <w:ind w:firstLine="480"/>
              <w:rPr>
                <w:rFonts w:hint="eastAsia"/>
                <w:color w:val="000000" w:themeColor="text1"/>
                <w:szCs w:val="21"/>
              </w:rPr>
            </w:pPr>
          </w:p>
          <w:p>
            <w:pPr>
              <w:pStyle w:val="40"/>
              <w:spacing w:beforeLines="50"/>
              <w:ind w:firstLine="480"/>
              <w:rPr>
                <w:rFonts w:hint="eastAsia"/>
                <w:color w:val="000000" w:themeColor="text1"/>
                <w:szCs w:val="21"/>
              </w:rPr>
            </w:pPr>
          </w:p>
          <w:p>
            <w:pPr>
              <w:pStyle w:val="40"/>
              <w:spacing w:beforeLines="50"/>
              <w:ind w:firstLine="480"/>
              <w:rPr>
                <w:rFonts w:hint="eastAsia"/>
                <w:color w:val="000000" w:themeColor="text1"/>
                <w:szCs w:val="21"/>
              </w:rPr>
            </w:pPr>
          </w:p>
          <w:p>
            <w:pPr>
              <w:pStyle w:val="40"/>
              <w:spacing w:beforeLines="50"/>
              <w:ind w:firstLine="480"/>
              <w:rPr>
                <w:rFonts w:hint="eastAsia"/>
                <w:color w:val="000000" w:themeColor="text1"/>
                <w:szCs w:val="21"/>
              </w:rPr>
            </w:pPr>
          </w:p>
          <w:p>
            <w:pPr>
              <w:pStyle w:val="40"/>
              <w:spacing w:beforeLines="50"/>
              <w:ind w:firstLine="480"/>
              <w:rPr>
                <w:rFonts w:hint="eastAsia"/>
                <w:color w:val="000000" w:themeColor="text1"/>
                <w:szCs w:val="21"/>
              </w:rPr>
            </w:pPr>
          </w:p>
          <w:p>
            <w:pPr>
              <w:pStyle w:val="40"/>
              <w:spacing w:beforeLines="50"/>
              <w:ind w:firstLine="480"/>
              <w:rPr>
                <w:rFonts w:hint="eastAsia"/>
                <w:color w:val="000000" w:themeColor="text1"/>
                <w:szCs w:val="21"/>
              </w:rPr>
            </w:pPr>
          </w:p>
          <w:p>
            <w:pPr>
              <w:pStyle w:val="40"/>
              <w:spacing w:beforeLines="50"/>
              <w:ind w:firstLine="480"/>
              <w:rPr>
                <w:color w:val="000000" w:themeColor="text1"/>
                <w:szCs w:val="21"/>
              </w:rPr>
            </w:pPr>
          </w:p>
          <w:p>
            <w:pPr>
              <w:jc w:val="center"/>
              <w:rPr>
                <w:rFonts w:ascii="Times New Roman" w:hAnsi="Times New Roman" w:cs="Times New Roman"/>
                <w:b/>
                <w:color w:val="FF0000"/>
                <w:szCs w:val="24"/>
              </w:rPr>
            </w:pPr>
            <w:r>
              <w:rPr>
                <w:color w:val="FF0000"/>
              </w:rPr>
              <w:object>
                <v:shape id="_x0000_i1025" o:spt="75" type="#_x0000_t75" style="height:367.8pt;width:419.4pt;" o:ole="t" filled="f" o:preferrelative="t" stroked="f" coordsize="21600,21600">
                  <v:path/>
                  <v:fill on="f" focussize="0,0"/>
                  <v:stroke on="f" joinstyle="miter"/>
                  <v:imagedata r:id="rId6" o:title=""/>
                  <o:lock v:ext="edit" aspectratio="t"/>
                  <w10:wrap type="none"/>
                  <w10:anchorlock/>
                </v:shape>
                <o:OLEObject Type="Embed" ProgID="Visio.Drawing.11" ShapeID="_x0000_i1025" DrawAspect="Content" ObjectID="_1468075725" r:id="rId5">
                  <o:LockedField>false</o:LockedField>
                </o:OLEObject>
              </w:object>
            </w:r>
          </w:p>
          <w:p>
            <w:pPr>
              <w:jc w:val="center"/>
              <w:rPr>
                <w:rFonts w:ascii="Times New Roman" w:hAnsi="Times New Roman" w:cs="Times New Roman"/>
                <w:b/>
                <w:color w:val="FF0000"/>
                <w:szCs w:val="24"/>
              </w:rPr>
            </w:pPr>
            <w:r>
              <w:rPr>
                <w:rFonts w:ascii="Times New Roman" w:hAnsi="Times New Roman" w:cs="Times New Roman"/>
                <w:b/>
                <w:color w:val="FF0000"/>
                <w:szCs w:val="24"/>
              </w:rPr>
              <w:t>图2.8</w:t>
            </w:r>
            <w:r>
              <w:rPr>
                <w:rFonts w:hint="eastAsia" w:ascii="Times New Roman" w:hAnsi="Times New Roman" w:cs="Times New Roman"/>
                <w:b/>
                <w:color w:val="FF0000"/>
                <w:szCs w:val="24"/>
              </w:rPr>
              <w:t>.1</w:t>
            </w:r>
            <w:r>
              <w:rPr>
                <w:rFonts w:ascii="Times New Roman" w:hAnsi="Times New Roman" w:cs="Times New Roman"/>
                <w:b/>
                <w:color w:val="FF0000"/>
                <w:szCs w:val="24"/>
              </w:rPr>
              <w:t>-1 项目</w:t>
            </w:r>
            <w:r>
              <w:rPr>
                <w:rFonts w:hint="eastAsia" w:ascii="Times New Roman" w:hAnsi="Times New Roman" w:cs="Times New Roman"/>
                <w:b/>
                <w:color w:val="FF0000"/>
                <w:szCs w:val="24"/>
              </w:rPr>
              <w:t>一期工程</w:t>
            </w:r>
            <w:r>
              <w:rPr>
                <w:rFonts w:ascii="Times New Roman" w:hAnsi="Times New Roman" w:cs="Times New Roman"/>
                <w:b/>
                <w:color w:val="FF0000"/>
                <w:szCs w:val="24"/>
              </w:rPr>
              <w:t>非雨天水平衡m³/d</w:t>
            </w:r>
          </w:p>
          <w:p>
            <w:pPr>
              <w:pStyle w:val="40"/>
              <w:spacing w:beforeLines="50"/>
              <w:ind w:firstLine="480"/>
              <w:rPr>
                <w:rFonts w:hint="eastAsia"/>
                <w:color w:val="FF0000"/>
                <w:szCs w:val="21"/>
              </w:rPr>
            </w:pPr>
            <w:r>
              <w:rPr>
                <w:color w:val="FF0000"/>
                <w:szCs w:val="21"/>
              </w:rPr>
              <w:t>该项目</w:t>
            </w:r>
            <w:r>
              <w:rPr>
                <w:rFonts w:hint="eastAsia"/>
                <w:color w:val="FF0000"/>
                <w:szCs w:val="21"/>
              </w:rPr>
              <w:t>一期工程</w:t>
            </w:r>
            <w:r>
              <w:rPr>
                <w:color w:val="FF0000"/>
                <w:szCs w:val="21"/>
              </w:rPr>
              <w:t>雨天水平衡如下图所示。</w:t>
            </w:r>
          </w:p>
          <w:p>
            <w:pPr>
              <w:pStyle w:val="40"/>
              <w:spacing w:beforeLines="50"/>
              <w:ind w:firstLine="480"/>
              <w:rPr>
                <w:rFonts w:hint="eastAsia"/>
                <w:color w:val="FF0000"/>
                <w:szCs w:val="21"/>
              </w:rPr>
            </w:pPr>
          </w:p>
          <w:p>
            <w:pPr>
              <w:pStyle w:val="40"/>
              <w:spacing w:beforeLines="50"/>
              <w:ind w:firstLine="480"/>
              <w:rPr>
                <w:rFonts w:hint="eastAsia"/>
                <w:color w:val="FF0000"/>
                <w:szCs w:val="21"/>
              </w:rPr>
            </w:pPr>
          </w:p>
          <w:p>
            <w:pPr>
              <w:pStyle w:val="40"/>
              <w:spacing w:beforeLines="50"/>
              <w:ind w:firstLine="480"/>
              <w:rPr>
                <w:rFonts w:hint="eastAsia"/>
                <w:color w:val="FF0000"/>
                <w:szCs w:val="21"/>
              </w:rPr>
            </w:pPr>
          </w:p>
          <w:p>
            <w:pPr>
              <w:pStyle w:val="40"/>
              <w:spacing w:beforeLines="50"/>
              <w:ind w:firstLine="480"/>
              <w:rPr>
                <w:rFonts w:hint="eastAsia"/>
                <w:color w:val="FF0000"/>
                <w:szCs w:val="21"/>
              </w:rPr>
            </w:pPr>
          </w:p>
          <w:p>
            <w:pPr>
              <w:pStyle w:val="40"/>
              <w:spacing w:beforeLines="50"/>
              <w:ind w:firstLine="480"/>
              <w:rPr>
                <w:rFonts w:hint="eastAsia"/>
                <w:color w:val="FF0000"/>
                <w:szCs w:val="21"/>
              </w:rPr>
            </w:pPr>
          </w:p>
          <w:p>
            <w:pPr>
              <w:pStyle w:val="40"/>
              <w:spacing w:beforeLines="50"/>
              <w:ind w:firstLine="480"/>
              <w:rPr>
                <w:rFonts w:hint="eastAsia"/>
                <w:color w:val="FF0000"/>
                <w:szCs w:val="21"/>
              </w:rPr>
            </w:pPr>
          </w:p>
          <w:p>
            <w:pPr>
              <w:pStyle w:val="40"/>
              <w:spacing w:beforeLines="50"/>
              <w:ind w:firstLine="480"/>
              <w:rPr>
                <w:rFonts w:hint="eastAsia"/>
                <w:color w:val="FF0000"/>
                <w:szCs w:val="21"/>
              </w:rPr>
            </w:pPr>
          </w:p>
          <w:p>
            <w:pPr>
              <w:pStyle w:val="40"/>
              <w:spacing w:beforeLines="50"/>
              <w:ind w:firstLine="480"/>
              <w:rPr>
                <w:rFonts w:hint="eastAsia"/>
                <w:color w:val="FF0000"/>
                <w:szCs w:val="21"/>
              </w:rPr>
            </w:pPr>
          </w:p>
          <w:p>
            <w:pPr>
              <w:jc w:val="center"/>
              <w:rPr>
                <w:rFonts w:ascii="Times New Roman" w:hAnsi="Times New Roman" w:cs="Times New Roman"/>
                <w:b/>
                <w:color w:val="FF0000"/>
                <w:szCs w:val="24"/>
              </w:rPr>
            </w:pPr>
            <w:r>
              <w:rPr>
                <w:color w:val="FF0000"/>
              </w:rPr>
              <w:object>
                <v:shape id="_x0000_i1026" o:spt="75" type="#_x0000_t75" style="height:408.6pt;width:420pt;" o:ole="t" filled="f" o:preferrelative="t" stroked="f" coordsize="21600,21600">
                  <v:path/>
                  <v:fill on="f" focussize="0,0"/>
                  <v:stroke on="f" joinstyle="miter"/>
                  <v:imagedata r:id="rId8" o:title=""/>
                  <o:lock v:ext="edit" aspectratio="t"/>
                  <w10:wrap type="none"/>
                  <w10:anchorlock/>
                </v:shape>
                <o:OLEObject Type="Embed" ProgID="Visio.Drawing.11" ShapeID="_x0000_i1026" DrawAspect="Content" ObjectID="_1468075726" r:id="rId7">
                  <o:LockedField>false</o:LockedField>
                </o:OLEObject>
              </w:object>
            </w:r>
          </w:p>
          <w:p>
            <w:pPr>
              <w:jc w:val="center"/>
              <w:rPr>
                <w:rFonts w:ascii="Times New Roman" w:hAnsi="Times New Roman" w:cs="Times New Roman"/>
                <w:b/>
                <w:color w:val="FF0000"/>
                <w:szCs w:val="24"/>
              </w:rPr>
            </w:pPr>
            <w:r>
              <w:rPr>
                <w:rFonts w:ascii="Times New Roman" w:hAnsi="Times New Roman" w:cs="Times New Roman"/>
                <w:b/>
                <w:color w:val="FF0000"/>
                <w:szCs w:val="24"/>
              </w:rPr>
              <w:t>图2.8</w:t>
            </w:r>
            <w:r>
              <w:rPr>
                <w:rFonts w:hint="eastAsia" w:ascii="Times New Roman" w:hAnsi="Times New Roman" w:cs="Times New Roman"/>
                <w:b/>
                <w:color w:val="FF0000"/>
                <w:szCs w:val="24"/>
              </w:rPr>
              <w:t>.1</w:t>
            </w:r>
            <w:r>
              <w:rPr>
                <w:rFonts w:ascii="Times New Roman" w:hAnsi="Times New Roman" w:cs="Times New Roman"/>
                <w:b/>
                <w:color w:val="FF0000"/>
                <w:szCs w:val="24"/>
              </w:rPr>
              <w:t>-2 项目</w:t>
            </w:r>
            <w:r>
              <w:rPr>
                <w:rFonts w:hint="eastAsia" w:ascii="Times New Roman" w:hAnsi="Times New Roman" w:cs="Times New Roman"/>
                <w:b/>
                <w:color w:val="FF0000"/>
                <w:szCs w:val="24"/>
              </w:rPr>
              <w:t>一期工程</w:t>
            </w:r>
            <w:r>
              <w:rPr>
                <w:rFonts w:ascii="Times New Roman" w:hAnsi="Times New Roman" w:cs="Times New Roman"/>
                <w:b/>
                <w:color w:val="FF0000"/>
                <w:szCs w:val="24"/>
              </w:rPr>
              <w:t>雨天水平衡m³/d</w:t>
            </w:r>
          </w:p>
          <w:p>
            <w:pPr>
              <w:autoSpaceDE w:val="0"/>
              <w:autoSpaceDN w:val="0"/>
              <w:spacing w:beforeLines="50"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2.8.2 二期工程水平衡</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w:t>
            </w:r>
            <w:r>
              <w:rPr>
                <w:rFonts w:hint="eastAsia" w:ascii="Times New Roman" w:hAnsi="Times New Roman" w:cs="Times New Roman"/>
                <w:color w:val="000000" w:themeColor="text1"/>
                <w:sz w:val="24"/>
                <w:szCs w:val="24"/>
              </w:rPr>
              <w:t>二期工程</w:t>
            </w:r>
            <w:r>
              <w:rPr>
                <w:rFonts w:ascii="Times New Roman" w:hAnsi="Times New Roman" w:cs="Times New Roman"/>
                <w:color w:val="000000" w:themeColor="text1"/>
                <w:sz w:val="24"/>
                <w:szCs w:val="24"/>
              </w:rPr>
              <w:t>建设内容及生产工艺，该项目</w:t>
            </w:r>
            <w:r>
              <w:rPr>
                <w:rFonts w:hint="eastAsia" w:ascii="Times New Roman" w:hAnsi="Times New Roman" w:cs="Times New Roman"/>
                <w:color w:val="000000" w:themeColor="text1"/>
                <w:sz w:val="24"/>
                <w:szCs w:val="24"/>
              </w:rPr>
              <w:t>二期工程</w:t>
            </w:r>
            <w:r>
              <w:rPr>
                <w:rFonts w:ascii="Times New Roman" w:hAnsi="Times New Roman" w:cs="Times New Roman"/>
                <w:color w:val="000000" w:themeColor="text1"/>
                <w:sz w:val="24"/>
                <w:szCs w:val="24"/>
              </w:rPr>
              <w:t>用水环节包括水泥砖搅拌混合用水、水泥砖养护用水和生活用水，而</w:t>
            </w:r>
            <w:r>
              <w:rPr>
                <w:rFonts w:hint="eastAsia" w:ascii="Times New Roman" w:hAnsi="Times New Roman" w:cs="Times New Roman"/>
                <w:color w:val="000000" w:themeColor="text1"/>
                <w:sz w:val="24"/>
                <w:szCs w:val="24"/>
              </w:rPr>
              <w:t>二期工程</w:t>
            </w:r>
            <w:r>
              <w:rPr>
                <w:rFonts w:ascii="Times New Roman" w:hAnsi="Times New Roman" w:cs="Times New Roman"/>
                <w:color w:val="000000" w:themeColor="text1"/>
                <w:sz w:val="24"/>
                <w:szCs w:val="24"/>
              </w:rPr>
              <w:t>废水产生类型包括水泥砖养护废水、生活污水和初期雨水。具体产排情况核算如下：</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w:t>
            </w:r>
            <w:r>
              <w:rPr>
                <w:rFonts w:ascii="Times New Roman" w:hAnsi="Times New Roman" w:cs="Times New Roman"/>
                <w:b/>
                <w:color w:val="000000" w:themeColor="text1"/>
                <w:sz w:val="24"/>
                <w:szCs w:val="24"/>
              </w:rPr>
              <w:t>水泥砖搅拌混合用水</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生产工艺，项目将水泥、砂石骨料（Φ0-7mm）和砂石骨料（Φ0-5mm）按照4:15:10的比例进行混合，并加水搅拌，使其充分混合，搅拌后的物料含水率约为20%。项目水泥砖的总干重约19173.7t/a，则混合料含水为4793.4t/a，其中砂石骨料的含水率约为15%，其带入水量为2916.9t/a，则添加水量为1876.5t/a（6.26t/d）。添加水进入物料，无废水产生。</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②</w:t>
            </w:r>
            <w:r>
              <w:rPr>
                <w:rFonts w:ascii="Times New Roman" w:hAnsi="Times New Roman" w:cs="Times New Roman"/>
                <w:b/>
                <w:color w:val="000000" w:themeColor="text1"/>
                <w:sz w:val="24"/>
                <w:szCs w:val="24"/>
              </w:rPr>
              <w:t>水泥砖养护</w:t>
            </w:r>
            <w:r>
              <w:rPr>
                <w:rFonts w:hint="eastAsia" w:ascii="Times New Roman" w:hAnsi="Times New Roman" w:cs="Times New Roman"/>
                <w:b/>
                <w:color w:val="000000" w:themeColor="text1"/>
                <w:sz w:val="24"/>
                <w:szCs w:val="24"/>
              </w:rPr>
              <w:t>废水</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根据设计，水泥砖养护用水和天气情况有关，根据设计资料用水量约为8m³/d，养护过程养护水从水泥砖堆码顶部向下渗透，消耗量约为7</w:t>
            </w:r>
            <w:r>
              <w:rPr>
                <w:rFonts w:hint="eastAsia" w:ascii="Times New Roman" w:hAnsi="Times New Roman" w:cs="Times New Roman"/>
                <w:color w:val="000000" w:themeColor="text1"/>
                <w:sz w:val="24"/>
                <w:szCs w:val="24"/>
              </w:rPr>
              <w:t>1.3</w:t>
            </w:r>
            <w:r>
              <w:rPr>
                <w:rFonts w:ascii="Times New Roman" w:hAnsi="Times New Roman" w:cs="Times New Roman"/>
                <w:color w:val="000000" w:themeColor="text1"/>
                <w:sz w:val="24"/>
                <w:szCs w:val="24"/>
              </w:rPr>
              <w:t>%，废水量为2.</w:t>
            </w:r>
            <w:r>
              <w:rPr>
                <w:rFonts w:hint="eastAsia"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m³/d，该项目拟设置1个有效容积为6m³的养护废水收集池对其进行收集后，返回养护工序使用，不外排。</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③二期工程</w:t>
            </w:r>
            <w:r>
              <w:rPr>
                <w:rFonts w:ascii="Times New Roman" w:hAnsi="Times New Roman" w:cs="Times New Roman"/>
                <w:b/>
                <w:color w:val="000000" w:themeColor="text1"/>
                <w:sz w:val="24"/>
                <w:szCs w:val="24"/>
              </w:rPr>
              <w:t>生活污水产排核算</w:t>
            </w:r>
          </w:p>
          <w:p>
            <w:pPr>
              <w:spacing w:line="360" w:lineRule="auto"/>
              <w:ind w:firstLine="480" w:firstLineChars="200"/>
              <w:rPr>
                <w:rFonts w:hint="eastAsia" w:ascii="Times New Roman" w:hAnsi="Times New Roman" w:cs="Times New Roman"/>
                <w:color w:val="FF0000"/>
                <w:sz w:val="24"/>
              </w:rPr>
            </w:pPr>
            <w:r>
              <w:rPr>
                <w:rFonts w:ascii="Times New Roman" w:hAnsi="Times New Roman" w:cs="Times New Roman"/>
                <w:color w:val="FF0000"/>
                <w:sz w:val="24"/>
              </w:rPr>
              <w:t>根据项目特点，该项目</w:t>
            </w:r>
            <w:r>
              <w:rPr>
                <w:rFonts w:hint="eastAsia" w:ascii="Times New Roman" w:hAnsi="Times New Roman" w:cs="Times New Roman"/>
                <w:color w:val="FF0000"/>
                <w:sz w:val="24"/>
              </w:rPr>
              <w:t>二期工程</w:t>
            </w:r>
            <w:r>
              <w:rPr>
                <w:rFonts w:ascii="Times New Roman" w:hAnsi="Times New Roman" w:cs="Times New Roman"/>
                <w:color w:val="FF0000"/>
                <w:sz w:val="24"/>
              </w:rPr>
              <w:t>拟设置员工</w:t>
            </w:r>
            <w:r>
              <w:rPr>
                <w:rFonts w:hint="eastAsia" w:ascii="Times New Roman" w:hAnsi="Times New Roman" w:cs="Times New Roman"/>
                <w:color w:val="FF0000"/>
                <w:sz w:val="24"/>
              </w:rPr>
              <w:t>1</w:t>
            </w:r>
            <w:r>
              <w:rPr>
                <w:rFonts w:ascii="Times New Roman" w:hAnsi="Times New Roman" w:cs="Times New Roman"/>
                <w:color w:val="FF0000"/>
                <w:sz w:val="24"/>
              </w:rPr>
              <w:t>0人，</w:t>
            </w:r>
            <w:r>
              <w:rPr>
                <w:rFonts w:hint="eastAsia" w:ascii="Times New Roman" w:hAnsi="Times New Roman" w:cs="Times New Roman"/>
                <w:color w:val="FF0000"/>
                <w:sz w:val="24"/>
              </w:rPr>
              <w:t>不</w:t>
            </w:r>
            <w:r>
              <w:rPr>
                <w:rFonts w:ascii="Times New Roman" w:hAnsi="Times New Roman" w:cs="Times New Roman"/>
                <w:color w:val="FF0000"/>
                <w:sz w:val="24"/>
              </w:rPr>
              <w:t>在项目区食宿。根据《云南省地方标准用水定额》（DB53/T168-2019），用水量取</w:t>
            </w:r>
            <w:r>
              <w:rPr>
                <w:rFonts w:hint="eastAsia" w:ascii="Times New Roman" w:hAnsi="Times New Roman" w:cs="Times New Roman"/>
                <w:color w:val="FF0000"/>
                <w:sz w:val="24"/>
              </w:rPr>
              <w:t>6</w:t>
            </w:r>
            <w:r>
              <w:rPr>
                <w:rFonts w:ascii="Times New Roman" w:hAnsi="Times New Roman" w:cs="Times New Roman"/>
                <w:color w:val="FF0000"/>
                <w:sz w:val="24"/>
              </w:rPr>
              <w:t>0L/d·人，则生活用水量</w:t>
            </w:r>
            <w:r>
              <w:rPr>
                <w:rFonts w:hint="eastAsia" w:ascii="Times New Roman" w:hAnsi="Times New Roman" w:cs="Times New Roman"/>
                <w:color w:val="FF0000"/>
                <w:sz w:val="24"/>
              </w:rPr>
              <w:t>0.6</w:t>
            </w:r>
            <w:r>
              <w:rPr>
                <w:rFonts w:ascii="Times New Roman" w:hAnsi="Times New Roman" w:cs="Times New Roman"/>
                <w:color w:val="FF0000"/>
                <w:sz w:val="24"/>
              </w:rPr>
              <w:t>m³/d，合计为</w:t>
            </w:r>
            <w:r>
              <w:rPr>
                <w:rFonts w:hint="eastAsia" w:ascii="Times New Roman" w:hAnsi="Times New Roman" w:cs="Times New Roman"/>
                <w:color w:val="FF0000"/>
                <w:sz w:val="24"/>
              </w:rPr>
              <w:t>180</w:t>
            </w:r>
            <w:r>
              <w:rPr>
                <w:rFonts w:ascii="Times New Roman" w:hAnsi="Times New Roman" w:cs="Times New Roman"/>
                <w:color w:val="FF0000"/>
                <w:sz w:val="24"/>
              </w:rPr>
              <w:t>m³/a；废水率按80%计，则废水量为</w:t>
            </w:r>
            <w:r>
              <w:rPr>
                <w:rFonts w:hint="eastAsia" w:ascii="Times New Roman" w:hAnsi="Times New Roman" w:cs="Times New Roman"/>
                <w:color w:val="FF0000"/>
                <w:sz w:val="24"/>
              </w:rPr>
              <w:t>0.48</w:t>
            </w:r>
            <w:r>
              <w:rPr>
                <w:rFonts w:ascii="Times New Roman" w:hAnsi="Times New Roman" w:cs="Times New Roman"/>
                <w:color w:val="FF0000"/>
                <w:sz w:val="24"/>
              </w:rPr>
              <w:t>m³/d，合计为</w:t>
            </w:r>
            <w:r>
              <w:rPr>
                <w:rFonts w:hint="eastAsia" w:ascii="Times New Roman" w:hAnsi="Times New Roman" w:cs="Times New Roman"/>
                <w:color w:val="FF0000"/>
                <w:sz w:val="24"/>
              </w:rPr>
              <w:t>144</w:t>
            </w:r>
            <w:r>
              <w:rPr>
                <w:rFonts w:ascii="Times New Roman" w:hAnsi="Times New Roman" w:cs="Times New Roman"/>
                <w:color w:val="FF0000"/>
                <w:sz w:val="24"/>
              </w:rPr>
              <w:t>m³/a；其中食堂废水约为则废水量为0.</w:t>
            </w:r>
            <w:r>
              <w:rPr>
                <w:rFonts w:hint="eastAsia" w:ascii="Times New Roman" w:hAnsi="Times New Roman" w:cs="Times New Roman"/>
                <w:color w:val="FF0000"/>
                <w:sz w:val="24"/>
              </w:rPr>
              <w:t>24</w:t>
            </w:r>
            <w:r>
              <w:rPr>
                <w:rFonts w:ascii="Times New Roman" w:hAnsi="Times New Roman" w:cs="Times New Roman"/>
                <w:color w:val="FF0000"/>
                <w:sz w:val="24"/>
              </w:rPr>
              <w:t>m³/d，合计为</w:t>
            </w:r>
            <w:r>
              <w:rPr>
                <w:rFonts w:hint="eastAsia" w:ascii="Times New Roman" w:hAnsi="Times New Roman" w:cs="Times New Roman"/>
                <w:color w:val="FF0000"/>
                <w:sz w:val="24"/>
              </w:rPr>
              <w:t>72</w:t>
            </w:r>
            <w:r>
              <w:rPr>
                <w:rFonts w:ascii="Times New Roman" w:hAnsi="Times New Roman" w:cs="Times New Roman"/>
                <w:color w:val="FF0000"/>
                <w:sz w:val="24"/>
              </w:rPr>
              <w:t>m³/a</w:t>
            </w:r>
            <w:r>
              <w:rPr>
                <w:rFonts w:hint="eastAsia" w:ascii="Times New Roman" w:hAnsi="Times New Roman" w:cs="Times New Roman"/>
                <w:color w:val="FF0000"/>
                <w:sz w:val="24"/>
              </w:rPr>
              <w:t>。</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④二期工程</w:t>
            </w:r>
            <w:r>
              <w:rPr>
                <w:rFonts w:ascii="Times New Roman" w:hAnsi="Times New Roman" w:cs="Times New Roman"/>
                <w:b/>
                <w:color w:val="000000" w:themeColor="text1"/>
                <w:sz w:val="24"/>
                <w:szCs w:val="24"/>
              </w:rPr>
              <w:t>初期雨水产排核算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rPr>
              <w:t>项目</w:t>
            </w:r>
            <w:r>
              <w:rPr>
                <w:rFonts w:hint="eastAsia" w:ascii="Times New Roman" w:hAnsi="Times New Roman" w:cs="Times New Roman"/>
                <w:color w:val="000000" w:themeColor="text1"/>
                <w:sz w:val="24"/>
                <w:szCs w:val="24"/>
              </w:rPr>
              <w:t>二期工程</w:t>
            </w:r>
            <w:r>
              <w:rPr>
                <w:rFonts w:ascii="Times New Roman" w:hAnsi="Times New Roman" w:cs="Times New Roman"/>
                <w:color w:val="000000" w:themeColor="text1"/>
                <w:sz w:val="24"/>
              </w:rPr>
              <w:t>区初期雨水产生量按下述公式进行计算：</w:t>
            </w:r>
          </w:p>
          <w:p>
            <w:pPr>
              <w:spacing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Qm=F·Hm·Ψ÷1000</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式中：Qm：最大径流量（m³）；</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F：汇水面积（m²）；</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Hm：降雨量（mm）；</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Ψ：径流系数，取0.6；</w:t>
            </w:r>
          </w:p>
          <w:p>
            <w:pPr>
              <w:autoSpaceDE w:val="0"/>
              <w:autoSpaceDN w:val="0"/>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汇水面积取雨水直接落到地面上的占地面积，该项目占地为18113.33m²，</w:t>
            </w:r>
            <w:r>
              <w:rPr>
                <w:rFonts w:hint="eastAsia" w:ascii="Times New Roman" w:hAnsi="Times New Roman" w:cs="Times New Roman"/>
                <w:color w:val="000000" w:themeColor="text1"/>
                <w:sz w:val="24"/>
                <w:szCs w:val="24"/>
              </w:rPr>
              <w:t>二期工程</w:t>
            </w:r>
            <w:r>
              <w:rPr>
                <w:rFonts w:ascii="Times New Roman" w:hAnsi="Times New Roman" w:cs="Times New Roman"/>
                <w:color w:val="000000" w:themeColor="text1"/>
                <w:sz w:val="24"/>
              </w:rPr>
              <w:t>生产区域可能受污染区的占地面积约</w:t>
            </w:r>
            <w:r>
              <w:rPr>
                <w:rFonts w:hint="eastAsia" w:ascii="Times New Roman" w:hAnsi="Times New Roman" w:cs="Times New Roman"/>
                <w:color w:val="000000" w:themeColor="text1"/>
                <w:sz w:val="24"/>
              </w:rPr>
              <w:t>15</w:t>
            </w:r>
            <w:r>
              <w:rPr>
                <w:rFonts w:ascii="Times New Roman" w:hAnsi="Times New Roman" w:cs="Times New Roman"/>
                <w:color w:val="000000" w:themeColor="text1"/>
                <w:sz w:val="24"/>
              </w:rPr>
              <w:t>00m²，考虑到项目区场地的硬化程度，径流系数取0.6。该区30年一遇最大日降雨量153.3mm，经计算项目区最大日雨水量为</w:t>
            </w:r>
            <w:r>
              <w:rPr>
                <w:rFonts w:hint="eastAsia" w:ascii="Times New Roman" w:hAnsi="Times New Roman" w:cs="Times New Roman"/>
                <w:color w:val="000000" w:themeColor="text1"/>
                <w:sz w:val="24"/>
              </w:rPr>
              <w:t>137.97</w:t>
            </w:r>
            <w:r>
              <w:rPr>
                <w:rFonts w:ascii="Times New Roman" w:hAnsi="Times New Roman" w:cs="Times New Roman"/>
                <w:color w:val="000000" w:themeColor="text1"/>
                <w:sz w:val="24"/>
              </w:rPr>
              <w:t>m³，初期雨水主要产生于暴雨前30min，经计算，项目</w:t>
            </w:r>
            <w:r>
              <w:rPr>
                <w:rFonts w:hint="eastAsia" w:ascii="Times New Roman" w:hAnsi="Times New Roman" w:cs="Times New Roman"/>
                <w:color w:val="000000" w:themeColor="text1"/>
                <w:sz w:val="24"/>
                <w:szCs w:val="24"/>
              </w:rPr>
              <w:t>二期工程</w:t>
            </w:r>
            <w:r>
              <w:rPr>
                <w:rFonts w:ascii="Times New Roman" w:hAnsi="Times New Roman" w:cs="Times New Roman"/>
                <w:color w:val="000000" w:themeColor="text1"/>
                <w:sz w:val="24"/>
              </w:rPr>
              <w:t>初期雨水产生量约为</w:t>
            </w:r>
            <w:r>
              <w:rPr>
                <w:rFonts w:hint="eastAsia" w:ascii="Times New Roman" w:hAnsi="Times New Roman" w:cs="Times New Roman"/>
                <w:color w:val="000000" w:themeColor="text1"/>
                <w:sz w:val="24"/>
              </w:rPr>
              <w:t>2.87</w:t>
            </w:r>
            <w:r>
              <w:rPr>
                <w:rFonts w:ascii="Times New Roman" w:hAnsi="Times New Roman" w:cs="Times New Roman"/>
                <w:color w:val="000000" w:themeColor="text1"/>
                <w:sz w:val="24"/>
              </w:rPr>
              <w:t>m³/次，初期雨水的主要污染物为CODcr和SS，CODcr产生浓度约60mg/L、SS产生浓度约400mg/L。</w:t>
            </w:r>
          </w:p>
          <w:p>
            <w:pPr>
              <w:autoSpaceDE w:val="0"/>
              <w:autoSpaceDN w:val="0"/>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综上，项目</w:t>
            </w:r>
            <w:r>
              <w:rPr>
                <w:rFonts w:hint="eastAsia" w:ascii="Times New Roman" w:hAnsi="Times New Roman" w:cs="Times New Roman"/>
                <w:color w:val="000000" w:themeColor="text1"/>
                <w:sz w:val="24"/>
                <w:szCs w:val="24"/>
              </w:rPr>
              <w:t>二期工程</w:t>
            </w:r>
            <w:r>
              <w:rPr>
                <w:rFonts w:ascii="Times New Roman" w:hAnsi="Times New Roman" w:cs="Times New Roman"/>
                <w:color w:val="000000" w:themeColor="text1"/>
                <w:sz w:val="24"/>
              </w:rPr>
              <w:t>供排水统计情况详见下表。</w:t>
            </w:r>
          </w:p>
          <w:p>
            <w:pPr>
              <w:autoSpaceDE w:val="0"/>
              <w:autoSpaceDN w:val="0"/>
              <w:spacing w:line="360" w:lineRule="auto"/>
              <w:ind w:firstLine="480" w:firstLineChars="200"/>
              <w:rPr>
                <w:rFonts w:ascii="Times New Roman" w:hAnsi="Times New Roman" w:cs="Times New Roman"/>
                <w:color w:val="000000" w:themeColor="text1"/>
                <w:sz w:val="24"/>
              </w:rPr>
            </w:pPr>
          </w:p>
          <w:p>
            <w:pPr>
              <w:autoSpaceDE w:val="0"/>
              <w:autoSpaceDN w:val="0"/>
              <w:spacing w:line="360" w:lineRule="auto"/>
              <w:ind w:firstLine="480" w:firstLineChars="200"/>
              <w:rPr>
                <w:rFonts w:ascii="Times New Roman" w:hAnsi="Times New Roman" w:cs="Times New Roman"/>
                <w:color w:val="000000" w:themeColor="text1"/>
                <w:sz w:val="24"/>
              </w:rPr>
            </w:pPr>
          </w:p>
          <w:p>
            <w:pPr>
              <w:autoSpaceDE w:val="0"/>
              <w:autoSpaceDN w:val="0"/>
              <w:spacing w:line="360" w:lineRule="auto"/>
              <w:ind w:firstLine="480" w:firstLineChars="200"/>
              <w:rPr>
                <w:rFonts w:ascii="Times New Roman" w:hAnsi="Times New Roman" w:cs="Times New Roman"/>
                <w:color w:val="000000" w:themeColor="text1"/>
                <w:sz w:val="24"/>
              </w:rPr>
            </w:pPr>
          </w:p>
          <w:p>
            <w:pPr>
              <w:autoSpaceDE w:val="0"/>
              <w:autoSpaceDN w:val="0"/>
              <w:spacing w:line="360" w:lineRule="auto"/>
              <w:ind w:firstLine="480" w:firstLineChars="200"/>
              <w:rPr>
                <w:rFonts w:ascii="Times New Roman" w:hAnsi="Times New Roman" w:cs="Times New Roman"/>
                <w:color w:val="000000" w:themeColor="text1"/>
                <w:sz w:val="24"/>
              </w:rPr>
            </w:pPr>
          </w:p>
          <w:p>
            <w:pPr>
              <w:autoSpaceDE w:val="0"/>
              <w:autoSpaceDN w:val="0"/>
              <w:spacing w:line="360" w:lineRule="auto"/>
              <w:ind w:firstLine="480" w:firstLineChars="200"/>
              <w:rPr>
                <w:rFonts w:ascii="Times New Roman" w:hAnsi="Times New Roman" w:cs="Times New Roman"/>
                <w:color w:val="000000" w:themeColor="text1"/>
                <w:sz w:val="24"/>
              </w:rPr>
            </w:pPr>
          </w:p>
          <w:p>
            <w:pPr>
              <w:jc w:val="center"/>
              <w:rPr>
                <w:rFonts w:ascii="Times New Roman" w:hAnsi="Times New Roman" w:cs="Times New Roman"/>
                <w:b/>
                <w:color w:val="000000" w:themeColor="text1"/>
                <w:szCs w:val="24"/>
              </w:rPr>
            </w:pP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表2.8</w:t>
            </w:r>
            <w:r>
              <w:rPr>
                <w:rFonts w:hint="eastAsia" w:ascii="Times New Roman" w:hAnsi="Times New Roman" w:cs="Times New Roman"/>
                <w:b/>
                <w:color w:val="000000" w:themeColor="text1"/>
                <w:szCs w:val="24"/>
              </w:rPr>
              <w:t>.2-1</w:t>
            </w:r>
            <w:r>
              <w:rPr>
                <w:rFonts w:ascii="Times New Roman" w:hAnsi="Times New Roman" w:cs="Times New Roman"/>
                <w:b/>
                <w:color w:val="000000" w:themeColor="text1"/>
                <w:szCs w:val="24"/>
              </w:rPr>
              <w:t xml:space="preserve"> 项目</w:t>
            </w:r>
            <w:r>
              <w:rPr>
                <w:rFonts w:hint="eastAsia" w:ascii="Times New Roman" w:hAnsi="Times New Roman" w:cs="Times New Roman"/>
                <w:b/>
                <w:color w:val="000000" w:themeColor="text1"/>
                <w:szCs w:val="24"/>
              </w:rPr>
              <w:t>二期工程</w:t>
            </w:r>
            <w:r>
              <w:rPr>
                <w:rFonts w:ascii="Times New Roman" w:hAnsi="Times New Roman" w:cs="Times New Roman"/>
                <w:b/>
                <w:color w:val="000000" w:themeColor="text1"/>
                <w:szCs w:val="24"/>
              </w:rPr>
              <w:t>废水总产排情况一览表（单位：m³/d）</w:t>
            </w:r>
          </w:p>
          <w:tbl>
            <w:tblPr>
              <w:tblStyle w:val="20"/>
              <w:tblW w:w="5000" w:type="pct"/>
              <w:tblInd w:w="0" w:type="dxa"/>
              <w:tblLayout w:type="fixed"/>
              <w:tblCellMar>
                <w:top w:w="0" w:type="dxa"/>
                <w:left w:w="108" w:type="dxa"/>
                <w:bottom w:w="0" w:type="dxa"/>
                <w:right w:w="108" w:type="dxa"/>
              </w:tblCellMar>
            </w:tblPr>
            <w:tblGrid>
              <w:gridCol w:w="1291"/>
              <w:gridCol w:w="1788"/>
              <w:gridCol w:w="1513"/>
              <w:gridCol w:w="963"/>
              <w:gridCol w:w="1002"/>
              <w:gridCol w:w="1144"/>
              <w:gridCol w:w="914"/>
            </w:tblGrid>
            <w:tr>
              <w:tblPrEx>
                <w:tblCellMar>
                  <w:top w:w="0" w:type="dxa"/>
                  <w:left w:w="108" w:type="dxa"/>
                  <w:bottom w:w="0" w:type="dxa"/>
                  <w:right w:w="108" w:type="dxa"/>
                </w:tblCellMar>
              </w:tblPrEx>
              <w:trPr>
                <w:trHeight w:val="125" w:hRule="atLeast"/>
              </w:trPr>
              <w:tc>
                <w:tcPr>
                  <w:tcW w:w="1288"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用水单元</w:t>
                  </w:r>
                </w:p>
              </w:tc>
              <w:tc>
                <w:tcPr>
                  <w:tcW w:w="1784"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规模</w:t>
                  </w:r>
                </w:p>
              </w:tc>
              <w:tc>
                <w:tcPr>
                  <w:tcW w:w="1509"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用水定额</w:t>
                  </w:r>
                </w:p>
              </w:tc>
              <w:tc>
                <w:tcPr>
                  <w:tcW w:w="1961" w:type="dxa"/>
                  <w:gridSpan w:val="2"/>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总用水量</w:t>
                  </w:r>
                </w:p>
              </w:tc>
              <w:tc>
                <w:tcPr>
                  <w:tcW w:w="2053" w:type="dxa"/>
                  <w:gridSpan w:val="2"/>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废水量</w:t>
                  </w:r>
                </w:p>
              </w:tc>
            </w:tr>
            <w:tr>
              <w:tblPrEx>
                <w:tblCellMar>
                  <w:top w:w="0" w:type="dxa"/>
                  <w:left w:w="108" w:type="dxa"/>
                  <w:bottom w:w="0" w:type="dxa"/>
                  <w:right w:w="108" w:type="dxa"/>
                </w:tblCellMar>
              </w:tblPrEx>
              <w:trPr>
                <w:trHeight w:val="201" w:hRule="atLeast"/>
              </w:trPr>
              <w:tc>
                <w:tcPr>
                  <w:tcW w:w="1288"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p>
              </w:tc>
              <w:tc>
                <w:tcPr>
                  <w:tcW w:w="1784"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p>
              </w:tc>
              <w:tc>
                <w:tcPr>
                  <w:tcW w:w="1509"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p>
              </w:tc>
              <w:tc>
                <w:tcPr>
                  <w:tcW w:w="96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m³/d</w:t>
                  </w:r>
                </w:p>
              </w:tc>
              <w:tc>
                <w:tcPr>
                  <w:tcW w:w="1000"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m³/a</w:t>
                  </w:r>
                </w:p>
              </w:tc>
              <w:tc>
                <w:tcPr>
                  <w:tcW w:w="114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m³/d</w:t>
                  </w:r>
                </w:p>
              </w:tc>
              <w:tc>
                <w:tcPr>
                  <w:tcW w:w="91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m³/a</w:t>
                  </w:r>
                </w:p>
              </w:tc>
            </w:tr>
            <w:tr>
              <w:tblPrEx>
                <w:tblCellMar>
                  <w:top w:w="0" w:type="dxa"/>
                  <w:left w:w="108" w:type="dxa"/>
                  <w:bottom w:w="0" w:type="dxa"/>
                  <w:right w:w="108" w:type="dxa"/>
                </w:tblCellMar>
              </w:tblPrEx>
              <w:trPr>
                <w:trHeight w:val="127" w:hRule="atLeast"/>
              </w:trPr>
              <w:tc>
                <w:tcPr>
                  <w:tcW w:w="1288" w:type="dxa"/>
                  <w:tcBorders>
                    <w:top w:val="single" w:color="auto" w:sz="8" w:space="0"/>
                    <w:left w:val="single" w:color="auto" w:sz="8" w:space="0"/>
                    <w:bottom w:val="single" w:color="auto" w:sz="4"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水泥砖搅拌混合</w:t>
                  </w:r>
                </w:p>
              </w:tc>
              <w:tc>
                <w:tcPr>
                  <w:tcW w:w="1784"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水泥砖的总干重19173.7t/a</w:t>
                  </w:r>
                </w:p>
              </w:tc>
              <w:tc>
                <w:tcPr>
                  <w:tcW w:w="1509"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含水率20%</w:t>
                  </w:r>
                </w:p>
              </w:tc>
              <w:tc>
                <w:tcPr>
                  <w:tcW w:w="96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6.26</w:t>
                  </w:r>
                </w:p>
              </w:tc>
              <w:tc>
                <w:tcPr>
                  <w:tcW w:w="1000"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1876.5</w:t>
                  </w:r>
                </w:p>
              </w:tc>
              <w:tc>
                <w:tcPr>
                  <w:tcW w:w="114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0</w:t>
                  </w:r>
                </w:p>
              </w:tc>
              <w:tc>
                <w:tcPr>
                  <w:tcW w:w="91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0</w:t>
                  </w:r>
                </w:p>
              </w:tc>
            </w:tr>
            <w:tr>
              <w:tblPrEx>
                <w:tblCellMar>
                  <w:top w:w="0" w:type="dxa"/>
                  <w:left w:w="108" w:type="dxa"/>
                  <w:bottom w:w="0" w:type="dxa"/>
                  <w:right w:w="108" w:type="dxa"/>
                </w:tblCellMar>
              </w:tblPrEx>
              <w:trPr>
                <w:trHeight w:val="127" w:hRule="atLeast"/>
              </w:trPr>
              <w:tc>
                <w:tcPr>
                  <w:tcW w:w="1288" w:type="dxa"/>
                  <w:tcBorders>
                    <w:top w:val="single" w:color="auto" w:sz="8" w:space="0"/>
                    <w:left w:val="single" w:color="auto" w:sz="8" w:space="0"/>
                    <w:bottom w:val="single" w:color="auto" w:sz="4"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水泥砖养护</w:t>
                  </w:r>
                </w:p>
              </w:tc>
              <w:tc>
                <w:tcPr>
                  <w:tcW w:w="1784"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w:t>
                  </w:r>
                </w:p>
              </w:tc>
              <w:tc>
                <w:tcPr>
                  <w:tcW w:w="1509"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w:t>
                  </w:r>
                </w:p>
              </w:tc>
              <w:tc>
                <w:tcPr>
                  <w:tcW w:w="96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8</w:t>
                  </w:r>
                </w:p>
              </w:tc>
              <w:tc>
                <w:tcPr>
                  <w:tcW w:w="1000"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2400</w:t>
                  </w:r>
                </w:p>
              </w:tc>
              <w:tc>
                <w:tcPr>
                  <w:tcW w:w="114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2.3</w:t>
                  </w:r>
                </w:p>
              </w:tc>
              <w:tc>
                <w:tcPr>
                  <w:tcW w:w="91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p>
              </w:tc>
            </w:tr>
            <w:tr>
              <w:tblPrEx>
                <w:tblCellMar>
                  <w:top w:w="0" w:type="dxa"/>
                  <w:left w:w="108" w:type="dxa"/>
                  <w:bottom w:w="0" w:type="dxa"/>
                  <w:right w:w="108" w:type="dxa"/>
                </w:tblCellMar>
              </w:tblPrEx>
              <w:trPr>
                <w:trHeight w:val="67" w:hRule="atLeast"/>
              </w:trPr>
              <w:tc>
                <w:tcPr>
                  <w:tcW w:w="1288" w:type="dxa"/>
                  <w:tcBorders>
                    <w:top w:val="single" w:color="auto" w:sz="4" w:space="0"/>
                    <w:left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 xml:space="preserve"> 生活用水</w:t>
                  </w:r>
                </w:p>
              </w:tc>
              <w:tc>
                <w:tcPr>
                  <w:tcW w:w="1784"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hint="eastAsia" w:eastAsiaTheme="minorEastAsia"/>
                      <w:color w:val="000000" w:themeColor="text1"/>
                      <w:szCs w:val="21"/>
                      <w:lang w:val="en-US"/>
                    </w:rPr>
                    <w:t>1</w:t>
                  </w:r>
                  <w:r>
                    <w:rPr>
                      <w:rFonts w:eastAsiaTheme="minorEastAsia"/>
                      <w:color w:val="000000" w:themeColor="text1"/>
                      <w:szCs w:val="21"/>
                      <w:lang w:val="en-US"/>
                    </w:rPr>
                    <w:t>0人</w:t>
                  </w:r>
                </w:p>
              </w:tc>
              <w:tc>
                <w:tcPr>
                  <w:tcW w:w="1509"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FF0000"/>
                      <w:szCs w:val="21"/>
                      <w:lang w:val="en-US"/>
                    </w:rPr>
                  </w:pPr>
                  <w:r>
                    <w:rPr>
                      <w:rFonts w:hint="eastAsia" w:eastAsiaTheme="minorEastAsia"/>
                      <w:color w:val="FF0000"/>
                      <w:szCs w:val="21"/>
                      <w:lang w:val="en-US"/>
                    </w:rPr>
                    <w:t>6</w:t>
                  </w:r>
                  <w:r>
                    <w:rPr>
                      <w:rFonts w:eastAsiaTheme="minorEastAsia"/>
                      <w:color w:val="FF0000"/>
                      <w:szCs w:val="21"/>
                      <w:lang w:val="en-US"/>
                    </w:rPr>
                    <w:t>0L/d·人</w:t>
                  </w:r>
                </w:p>
              </w:tc>
              <w:tc>
                <w:tcPr>
                  <w:tcW w:w="961" w:type="dxa"/>
                  <w:tcBorders>
                    <w:top w:val="nil"/>
                    <w:left w:val="nil"/>
                    <w:bottom w:val="single" w:color="auto" w:sz="4" w:space="0"/>
                    <w:right w:val="single" w:color="auto" w:sz="8" w:space="0"/>
                  </w:tcBorders>
                  <w:shd w:val="clear" w:color="auto" w:fill="auto"/>
                  <w:vAlign w:val="center"/>
                </w:tcPr>
                <w:p>
                  <w:pPr>
                    <w:pStyle w:val="32"/>
                    <w:spacing w:line="360" w:lineRule="exact"/>
                    <w:rPr>
                      <w:rFonts w:eastAsiaTheme="minorEastAsia"/>
                      <w:color w:val="FF0000"/>
                      <w:szCs w:val="21"/>
                      <w:lang w:val="en-US"/>
                    </w:rPr>
                  </w:pPr>
                  <w:r>
                    <w:rPr>
                      <w:rFonts w:hint="eastAsia" w:eastAsiaTheme="minorEastAsia"/>
                      <w:color w:val="FF0000"/>
                      <w:szCs w:val="21"/>
                      <w:lang w:val="en-US"/>
                    </w:rPr>
                    <w:t>0.6</w:t>
                  </w:r>
                </w:p>
              </w:tc>
              <w:tc>
                <w:tcPr>
                  <w:tcW w:w="1000" w:type="dxa"/>
                  <w:tcBorders>
                    <w:top w:val="nil"/>
                    <w:left w:val="nil"/>
                    <w:bottom w:val="single" w:color="auto" w:sz="4" w:space="0"/>
                    <w:right w:val="single" w:color="auto" w:sz="8" w:space="0"/>
                  </w:tcBorders>
                  <w:shd w:val="clear" w:color="auto" w:fill="auto"/>
                  <w:vAlign w:val="center"/>
                </w:tcPr>
                <w:p>
                  <w:pPr>
                    <w:pStyle w:val="32"/>
                    <w:spacing w:line="360" w:lineRule="exact"/>
                    <w:rPr>
                      <w:rFonts w:eastAsiaTheme="minorEastAsia"/>
                      <w:color w:val="FF0000"/>
                      <w:szCs w:val="21"/>
                      <w:lang w:val="en-US"/>
                    </w:rPr>
                  </w:pPr>
                  <w:r>
                    <w:rPr>
                      <w:rFonts w:hint="eastAsia" w:eastAsiaTheme="minorEastAsia"/>
                      <w:color w:val="FF0000"/>
                      <w:szCs w:val="21"/>
                      <w:lang w:val="en-US"/>
                    </w:rPr>
                    <w:t>180</w:t>
                  </w:r>
                </w:p>
              </w:tc>
              <w:tc>
                <w:tcPr>
                  <w:tcW w:w="1141" w:type="dxa"/>
                  <w:tcBorders>
                    <w:top w:val="nil"/>
                    <w:left w:val="nil"/>
                    <w:bottom w:val="single" w:color="auto" w:sz="4" w:space="0"/>
                    <w:right w:val="single" w:color="auto" w:sz="8" w:space="0"/>
                  </w:tcBorders>
                  <w:shd w:val="clear" w:color="auto" w:fill="auto"/>
                  <w:vAlign w:val="center"/>
                </w:tcPr>
                <w:p>
                  <w:pPr>
                    <w:pStyle w:val="32"/>
                    <w:spacing w:line="360" w:lineRule="exact"/>
                    <w:rPr>
                      <w:rFonts w:eastAsiaTheme="minorEastAsia"/>
                      <w:color w:val="FF0000"/>
                      <w:szCs w:val="21"/>
                      <w:lang w:val="en-US"/>
                    </w:rPr>
                  </w:pPr>
                  <w:r>
                    <w:rPr>
                      <w:rFonts w:hint="eastAsia" w:eastAsiaTheme="minorEastAsia"/>
                      <w:color w:val="FF0000"/>
                      <w:szCs w:val="21"/>
                      <w:lang w:val="en-US"/>
                    </w:rPr>
                    <w:t>0.48</w:t>
                  </w:r>
                </w:p>
              </w:tc>
              <w:tc>
                <w:tcPr>
                  <w:tcW w:w="912" w:type="dxa"/>
                  <w:tcBorders>
                    <w:top w:val="nil"/>
                    <w:left w:val="nil"/>
                    <w:bottom w:val="single" w:color="auto" w:sz="4" w:space="0"/>
                    <w:right w:val="single" w:color="auto" w:sz="8" w:space="0"/>
                  </w:tcBorders>
                  <w:shd w:val="clear" w:color="auto" w:fill="auto"/>
                  <w:vAlign w:val="center"/>
                </w:tcPr>
                <w:p>
                  <w:pPr>
                    <w:pStyle w:val="32"/>
                    <w:spacing w:line="360" w:lineRule="exact"/>
                    <w:rPr>
                      <w:rFonts w:eastAsiaTheme="minorEastAsia"/>
                      <w:color w:val="FF0000"/>
                      <w:szCs w:val="21"/>
                      <w:lang w:val="en-US"/>
                    </w:rPr>
                  </w:pPr>
                  <w:r>
                    <w:rPr>
                      <w:rFonts w:hint="eastAsia" w:eastAsiaTheme="minorEastAsia"/>
                      <w:color w:val="FF0000"/>
                      <w:szCs w:val="21"/>
                      <w:lang w:val="en-US"/>
                    </w:rPr>
                    <w:t>144</w:t>
                  </w:r>
                </w:p>
              </w:tc>
            </w:tr>
            <w:tr>
              <w:tblPrEx>
                <w:tblCellMar>
                  <w:top w:w="0" w:type="dxa"/>
                  <w:left w:w="108" w:type="dxa"/>
                  <w:bottom w:w="0" w:type="dxa"/>
                  <w:right w:w="108" w:type="dxa"/>
                </w:tblCellMar>
              </w:tblPrEx>
              <w:trPr>
                <w:trHeight w:val="67" w:hRule="atLeast"/>
              </w:trPr>
              <w:tc>
                <w:tcPr>
                  <w:tcW w:w="1288" w:type="dxa"/>
                  <w:tcBorders>
                    <w:top w:val="single" w:color="auto" w:sz="4" w:space="0"/>
                    <w:left w:val="single" w:color="auto" w:sz="8" w:space="0"/>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初期雨水</w:t>
                  </w:r>
                </w:p>
              </w:tc>
              <w:tc>
                <w:tcPr>
                  <w:tcW w:w="1784"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w:t>
                  </w:r>
                </w:p>
              </w:tc>
              <w:tc>
                <w:tcPr>
                  <w:tcW w:w="1509"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w:t>
                  </w:r>
                </w:p>
              </w:tc>
              <w:tc>
                <w:tcPr>
                  <w:tcW w:w="961"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0</w:t>
                  </w:r>
                </w:p>
              </w:tc>
              <w:tc>
                <w:tcPr>
                  <w:tcW w:w="1000"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0</w:t>
                  </w:r>
                </w:p>
              </w:tc>
              <w:tc>
                <w:tcPr>
                  <w:tcW w:w="1141"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hint="eastAsia" w:eastAsiaTheme="minorEastAsia"/>
                      <w:color w:val="000000" w:themeColor="text1"/>
                      <w:szCs w:val="21"/>
                      <w:lang w:val="en-US"/>
                    </w:rPr>
                    <w:t>2.87</w:t>
                  </w:r>
                  <w:r>
                    <w:rPr>
                      <w:rFonts w:eastAsiaTheme="minorEastAsia"/>
                      <w:color w:val="000000" w:themeColor="text1"/>
                      <w:szCs w:val="21"/>
                      <w:lang w:val="en-US"/>
                    </w:rPr>
                    <w:t>m³/次</w:t>
                  </w:r>
                </w:p>
              </w:tc>
              <w:tc>
                <w:tcPr>
                  <w:tcW w:w="912"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w:t>
                  </w:r>
                </w:p>
              </w:tc>
            </w:tr>
            <w:tr>
              <w:tblPrEx>
                <w:tblCellMar>
                  <w:top w:w="0" w:type="dxa"/>
                  <w:left w:w="108" w:type="dxa"/>
                  <w:bottom w:w="0" w:type="dxa"/>
                  <w:right w:w="108" w:type="dxa"/>
                </w:tblCellMar>
              </w:tblPrEx>
              <w:trPr>
                <w:trHeight w:val="285" w:hRule="atLeast"/>
              </w:trPr>
              <w:tc>
                <w:tcPr>
                  <w:tcW w:w="4581" w:type="dxa"/>
                  <w:gridSpan w:val="3"/>
                  <w:tcBorders>
                    <w:top w:val="single" w:color="auto" w:sz="4" w:space="0"/>
                    <w:left w:val="single" w:color="auto" w:sz="8" w:space="0"/>
                    <w:bottom w:val="single" w:color="auto" w:sz="4"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合计</w:t>
                  </w:r>
                </w:p>
              </w:tc>
              <w:tc>
                <w:tcPr>
                  <w:tcW w:w="961" w:type="dxa"/>
                  <w:tcBorders>
                    <w:top w:val="single" w:color="auto" w:sz="4" w:space="0"/>
                    <w:left w:val="nil"/>
                    <w:bottom w:val="single" w:color="auto" w:sz="4" w:space="0"/>
                    <w:right w:val="single" w:color="auto" w:sz="8" w:space="0"/>
                  </w:tcBorders>
                  <w:shd w:val="clear" w:color="auto" w:fill="auto"/>
                  <w:vAlign w:val="bottom"/>
                </w:tcPr>
                <w:p>
                  <w:pPr>
                    <w:pStyle w:val="32"/>
                    <w:spacing w:line="360" w:lineRule="exact"/>
                    <w:rPr>
                      <w:rFonts w:eastAsiaTheme="minorEastAsia"/>
                      <w:color w:val="FF0000"/>
                      <w:szCs w:val="21"/>
                      <w:lang w:val="en-US"/>
                    </w:rPr>
                  </w:pPr>
                  <w:r>
                    <w:rPr>
                      <w:rFonts w:eastAsiaTheme="minorEastAsia"/>
                      <w:color w:val="FF0000"/>
                      <w:szCs w:val="21"/>
                      <w:lang w:val="en-US"/>
                    </w:rPr>
                    <w:t>14.86</w:t>
                  </w:r>
                </w:p>
              </w:tc>
              <w:tc>
                <w:tcPr>
                  <w:tcW w:w="1000" w:type="dxa"/>
                  <w:tcBorders>
                    <w:top w:val="single" w:color="auto" w:sz="4" w:space="0"/>
                    <w:left w:val="nil"/>
                    <w:bottom w:val="single" w:color="auto" w:sz="4" w:space="0"/>
                    <w:right w:val="single" w:color="auto" w:sz="8" w:space="0"/>
                  </w:tcBorders>
                  <w:shd w:val="clear" w:color="auto" w:fill="auto"/>
                  <w:vAlign w:val="bottom"/>
                </w:tcPr>
                <w:p>
                  <w:pPr>
                    <w:pStyle w:val="32"/>
                    <w:spacing w:line="360" w:lineRule="exact"/>
                    <w:rPr>
                      <w:rFonts w:eastAsiaTheme="minorEastAsia"/>
                      <w:color w:val="FF0000"/>
                      <w:szCs w:val="21"/>
                      <w:lang w:val="en-US"/>
                    </w:rPr>
                  </w:pPr>
                  <w:r>
                    <w:rPr>
                      <w:rFonts w:eastAsiaTheme="minorEastAsia"/>
                      <w:color w:val="FF0000"/>
                      <w:szCs w:val="21"/>
                      <w:lang w:val="en-US"/>
                    </w:rPr>
                    <w:t>4456.5</w:t>
                  </w:r>
                </w:p>
              </w:tc>
              <w:tc>
                <w:tcPr>
                  <w:tcW w:w="1141" w:type="dxa"/>
                  <w:tcBorders>
                    <w:top w:val="single" w:color="auto" w:sz="4" w:space="0"/>
                    <w:left w:val="nil"/>
                    <w:bottom w:val="single" w:color="auto" w:sz="4" w:space="0"/>
                    <w:right w:val="single" w:color="auto" w:sz="8" w:space="0"/>
                  </w:tcBorders>
                  <w:shd w:val="clear" w:color="auto" w:fill="auto"/>
                  <w:vAlign w:val="bottom"/>
                </w:tcPr>
                <w:p>
                  <w:pPr>
                    <w:pStyle w:val="32"/>
                    <w:spacing w:line="360" w:lineRule="exact"/>
                    <w:rPr>
                      <w:rFonts w:eastAsiaTheme="minorEastAsia"/>
                      <w:color w:val="FF0000"/>
                      <w:szCs w:val="21"/>
                      <w:lang w:val="en-US"/>
                    </w:rPr>
                  </w:pPr>
                  <w:r>
                    <w:rPr>
                      <w:rFonts w:eastAsiaTheme="minorEastAsia"/>
                      <w:color w:val="FF0000"/>
                      <w:szCs w:val="21"/>
                      <w:lang w:val="en-US"/>
                    </w:rPr>
                    <w:t>2.78</w:t>
                  </w:r>
                </w:p>
              </w:tc>
              <w:tc>
                <w:tcPr>
                  <w:tcW w:w="912" w:type="dxa"/>
                  <w:tcBorders>
                    <w:top w:val="single" w:color="auto" w:sz="4" w:space="0"/>
                    <w:left w:val="nil"/>
                    <w:bottom w:val="single" w:color="auto" w:sz="4" w:space="0"/>
                    <w:right w:val="single" w:color="auto" w:sz="8" w:space="0"/>
                  </w:tcBorders>
                  <w:shd w:val="clear" w:color="auto" w:fill="auto"/>
                  <w:vAlign w:val="bottom"/>
                </w:tcPr>
                <w:p>
                  <w:pPr>
                    <w:pStyle w:val="32"/>
                    <w:spacing w:line="360" w:lineRule="exact"/>
                    <w:rPr>
                      <w:rFonts w:eastAsiaTheme="minorEastAsia"/>
                      <w:color w:val="FF0000"/>
                      <w:szCs w:val="21"/>
                      <w:lang w:val="en-US"/>
                    </w:rPr>
                  </w:pPr>
                  <w:r>
                    <w:rPr>
                      <w:rFonts w:hint="eastAsia" w:eastAsiaTheme="minorEastAsia"/>
                      <w:color w:val="FF0000"/>
                      <w:szCs w:val="21"/>
                      <w:lang w:val="en-US"/>
                    </w:rPr>
                    <w:t>144</w:t>
                  </w:r>
                </w:p>
              </w:tc>
            </w:tr>
            <w:tr>
              <w:tblPrEx>
                <w:tblCellMar>
                  <w:top w:w="0" w:type="dxa"/>
                  <w:left w:w="108" w:type="dxa"/>
                  <w:bottom w:w="0" w:type="dxa"/>
                  <w:right w:w="108" w:type="dxa"/>
                </w:tblCellMar>
              </w:tblPrEx>
              <w:trPr>
                <w:trHeight w:val="285" w:hRule="atLeast"/>
              </w:trPr>
              <w:tc>
                <w:tcPr>
                  <w:tcW w:w="8595" w:type="dxa"/>
                  <w:gridSpan w:val="7"/>
                  <w:tcBorders>
                    <w:top w:val="single" w:color="auto" w:sz="4" w:space="0"/>
                    <w:left w:val="single" w:color="auto" w:sz="8" w:space="0"/>
                    <w:bottom w:val="single" w:color="auto" w:sz="8" w:space="0"/>
                    <w:right w:val="single" w:color="auto" w:sz="8" w:space="0"/>
                  </w:tcBorders>
                  <w:shd w:val="clear" w:color="auto" w:fill="auto"/>
                  <w:vAlign w:val="center"/>
                </w:tcPr>
                <w:p>
                  <w:pPr>
                    <w:pStyle w:val="32"/>
                    <w:spacing w:line="360" w:lineRule="exact"/>
                    <w:ind w:firstLine="210" w:firstLineChars="100"/>
                    <w:jc w:val="left"/>
                    <w:rPr>
                      <w:color w:val="000000" w:themeColor="text1"/>
                      <w:kern w:val="0"/>
                    </w:rPr>
                  </w:pPr>
                  <w:r>
                    <w:rPr>
                      <w:color w:val="000000" w:themeColor="text1"/>
                      <w:kern w:val="0"/>
                    </w:rPr>
                    <w:t>备注：初期雨水具有偶然性，不纳入总量统计。</w:t>
                  </w:r>
                </w:p>
              </w:tc>
            </w:tr>
          </w:tbl>
          <w:p>
            <w:pPr>
              <w:pStyle w:val="40"/>
              <w:spacing w:beforeLines="50"/>
              <w:ind w:firstLine="480"/>
              <w:rPr>
                <w:color w:val="FF0000"/>
                <w:szCs w:val="21"/>
              </w:rPr>
            </w:pPr>
            <w:r>
              <w:rPr>
                <w:color w:val="FF0000"/>
                <w:szCs w:val="21"/>
              </w:rPr>
              <w:t>该项目</w:t>
            </w:r>
            <w:r>
              <w:rPr>
                <w:rFonts w:hint="eastAsia"/>
                <w:color w:val="FF0000"/>
                <w:szCs w:val="24"/>
              </w:rPr>
              <w:t>二期工程</w:t>
            </w:r>
            <w:r>
              <w:rPr>
                <w:color w:val="FF0000"/>
                <w:szCs w:val="21"/>
              </w:rPr>
              <w:t>非雨天水平衡如下图所示。</w:t>
            </w:r>
          </w:p>
          <w:p>
            <w:pPr>
              <w:jc w:val="center"/>
              <w:rPr>
                <w:rFonts w:ascii="Times New Roman" w:hAnsi="Times New Roman" w:cs="Times New Roman"/>
                <w:b/>
                <w:color w:val="FF0000"/>
                <w:szCs w:val="24"/>
              </w:rPr>
            </w:pPr>
            <w:r>
              <w:rPr>
                <w:color w:val="FF0000"/>
              </w:rPr>
              <w:object>
                <v:shape id="_x0000_i1027" o:spt="75" type="#_x0000_t75" style="height:390pt;width:423pt;" o:ole="t" filled="f" o:preferrelative="t" stroked="f" coordsize="21600,21600">
                  <v:path/>
                  <v:fill on="f" focussize="0,0"/>
                  <v:stroke on="f" joinstyle="miter"/>
                  <v:imagedata r:id="rId10" o:title=""/>
                  <o:lock v:ext="edit" aspectratio="t"/>
                  <w10:wrap type="none"/>
                  <w10:anchorlock/>
                </v:shape>
                <o:OLEObject Type="Embed" ProgID="Visio.Drawing.11" ShapeID="_x0000_i1027" DrawAspect="Content" ObjectID="_1468075727" r:id="rId9">
                  <o:LockedField>false</o:LockedField>
                </o:OLEObject>
              </w:object>
            </w:r>
          </w:p>
          <w:p>
            <w:pPr>
              <w:jc w:val="center"/>
              <w:rPr>
                <w:rFonts w:ascii="Times New Roman" w:hAnsi="Times New Roman" w:cs="Times New Roman"/>
                <w:b/>
                <w:color w:val="FF0000"/>
                <w:szCs w:val="24"/>
              </w:rPr>
            </w:pPr>
            <w:r>
              <w:rPr>
                <w:rFonts w:ascii="Times New Roman" w:hAnsi="Times New Roman" w:cs="Times New Roman"/>
                <w:b/>
                <w:color w:val="FF0000"/>
                <w:szCs w:val="24"/>
              </w:rPr>
              <w:t>图2.8</w:t>
            </w:r>
            <w:r>
              <w:rPr>
                <w:rFonts w:hint="eastAsia" w:ascii="Times New Roman" w:hAnsi="Times New Roman" w:cs="Times New Roman"/>
                <w:b/>
                <w:color w:val="FF0000"/>
                <w:szCs w:val="24"/>
              </w:rPr>
              <w:t>.2</w:t>
            </w:r>
            <w:r>
              <w:rPr>
                <w:rFonts w:ascii="Times New Roman" w:hAnsi="Times New Roman" w:cs="Times New Roman"/>
                <w:b/>
                <w:color w:val="FF0000"/>
                <w:szCs w:val="24"/>
              </w:rPr>
              <w:t>-1 项目</w:t>
            </w:r>
            <w:r>
              <w:rPr>
                <w:rFonts w:hint="eastAsia" w:ascii="Times New Roman" w:hAnsi="Times New Roman" w:cs="Times New Roman"/>
                <w:b/>
                <w:color w:val="FF0000"/>
                <w:szCs w:val="24"/>
              </w:rPr>
              <w:t>二期工程</w:t>
            </w:r>
            <w:r>
              <w:rPr>
                <w:rFonts w:ascii="Times New Roman" w:hAnsi="Times New Roman" w:cs="Times New Roman"/>
                <w:b/>
                <w:color w:val="FF0000"/>
                <w:szCs w:val="24"/>
              </w:rPr>
              <w:t>非雨天水平衡m³/d</w:t>
            </w:r>
          </w:p>
          <w:p>
            <w:pPr>
              <w:pStyle w:val="40"/>
              <w:spacing w:beforeLines="50"/>
              <w:ind w:firstLine="480"/>
              <w:rPr>
                <w:color w:val="FF0000"/>
                <w:szCs w:val="21"/>
              </w:rPr>
            </w:pPr>
            <w:r>
              <w:rPr>
                <w:color w:val="FF0000"/>
                <w:szCs w:val="21"/>
              </w:rPr>
              <w:t>该项目</w:t>
            </w:r>
            <w:r>
              <w:rPr>
                <w:rFonts w:hint="eastAsia"/>
                <w:color w:val="FF0000"/>
                <w:szCs w:val="21"/>
              </w:rPr>
              <w:t>二期工程</w:t>
            </w:r>
            <w:r>
              <w:rPr>
                <w:color w:val="FF0000"/>
                <w:szCs w:val="21"/>
              </w:rPr>
              <w:t>雨天水平衡如下图所示。</w:t>
            </w:r>
          </w:p>
          <w:p>
            <w:pPr>
              <w:autoSpaceDE w:val="0"/>
              <w:autoSpaceDN w:val="0"/>
              <w:spacing w:line="360" w:lineRule="auto"/>
              <w:ind w:firstLine="480" w:firstLineChars="200"/>
              <w:rPr>
                <w:rFonts w:ascii="Times New Roman" w:hAnsi="Times New Roman" w:cs="Times New Roman"/>
                <w:color w:val="FF0000"/>
                <w:sz w:val="24"/>
              </w:rPr>
            </w:pPr>
          </w:p>
          <w:p>
            <w:pPr>
              <w:jc w:val="center"/>
              <w:rPr>
                <w:rFonts w:ascii="Times New Roman" w:hAnsi="Times New Roman" w:cs="Times New Roman"/>
                <w:b/>
                <w:color w:val="FF0000"/>
                <w:szCs w:val="24"/>
              </w:rPr>
            </w:pPr>
            <w:r>
              <w:rPr>
                <w:color w:val="FF0000"/>
              </w:rPr>
              <w:object>
                <v:shape id="_x0000_i1028" o:spt="75" type="#_x0000_t75" style="height:374.4pt;width:423pt;" o:ole="t" filled="f" o:preferrelative="t" stroked="f" coordsize="21600,21600">
                  <v:path/>
                  <v:fill on="f" focussize="0,0"/>
                  <v:stroke on="f" joinstyle="miter"/>
                  <v:imagedata r:id="rId12" o:title=""/>
                  <o:lock v:ext="edit" aspectratio="t"/>
                  <w10:wrap type="none"/>
                  <w10:anchorlock/>
                </v:shape>
                <o:OLEObject Type="Embed" ProgID="Visio.Drawing.11" ShapeID="_x0000_i1028" DrawAspect="Content" ObjectID="_1468075728" r:id="rId11">
                  <o:LockedField>false</o:LockedField>
                </o:OLEObject>
              </w:object>
            </w:r>
          </w:p>
          <w:p>
            <w:pPr>
              <w:jc w:val="center"/>
              <w:rPr>
                <w:rFonts w:ascii="Times New Roman" w:hAnsi="Times New Roman" w:cs="Times New Roman"/>
                <w:b/>
                <w:color w:val="FF0000"/>
                <w:szCs w:val="24"/>
              </w:rPr>
            </w:pPr>
            <w:r>
              <w:rPr>
                <w:rFonts w:ascii="Times New Roman" w:hAnsi="Times New Roman" w:cs="Times New Roman"/>
                <w:b/>
                <w:color w:val="FF0000"/>
                <w:szCs w:val="24"/>
              </w:rPr>
              <w:t>图2.8</w:t>
            </w:r>
            <w:r>
              <w:rPr>
                <w:rFonts w:hint="eastAsia" w:ascii="Times New Roman" w:hAnsi="Times New Roman" w:cs="Times New Roman"/>
                <w:b/>
                <w:color w:val="FF0000"/>
                <w:szCs w:val="24"/>
              </w:rPr>
              <w:t>.2</w:t>
            </w:r>
            <w:r>
              <w:rPr>
                <w:rFonts w:ascii="Times New Roman" w:hAnsi="Times New Roman" w:cs="Times New Roman"/>
                <w:b/>
                <w:color w:val="FF0000"/>
                <w:szCs w:val="24"/>
              </w:rPr>
              <w:t>-2 项目</w:t>
            </w:r>
            <w:r>
              <w:rPr>
                <w:rFonts w:hint="eastAsia" w:ascii="Times New Roman" w:hAnsi="Times New Roman" w:cs="Times New Roman"/>
                <w:b/>
                <w:color w:val="FF0000"/>
                <w:szCs w:val="24"/>
              </w:rPr>
              <w:t>二期工程</w:t>
            </w:r>
            <w:r>
              <w:rPr>
                <w:rFonts w:ascii="Times New Roman" w:hAnsi="Times New Roman" w:cs="Times New Roman"/>
                <w:b/>
                <w:color w:val="FF0000"/>
                <w:szCs w:val="24"/>
              </w:rPr>
              <w:t>雨天水平衡m³/d</w:t>
            </w:r>
          </w:p>
          <w:p>
            <w:pPr>
              <w:spacing w:beforeLines="50"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2.8.3 项目总水平衡</w:t>
            </w:r>
          </w:p>
          <w:p>
            <w:pPr>
              <w:autoSpaceDE w:val="0"/>
              <w:autoSpaceDN w:val="0"/>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综上</w:t>
            </w:r>
            <w:r>
              <w:rPr>
                <w:rFonts w:hint="eastAsia" w:ascii="Times New Roman" w:hAnsi="Times New Roman" w:cs="Times New Roman"/>
                <w:color w:val="000000" w:themeColor="text1"/>
                <w:sz w:val="24"/>
              </w:rPr>
              <w:t>分析</w:t>
            </w:r>
            <w:r>
              <w:rPr>
                <w:rFonts w:ascii="Times New Roman" w:hAnsi="Times New Roman" w:cs="Times New Roman"/>
                <w:color w:val="000000" w:themeColor="text1"/>
                <w:sz w:val="24"/>
              </w:rPr>
              <w:t>，项目供排水统计情况详见下表。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表2.8</w:t>
            </w:r>
            <w:r>
              <w:rPr>
                <w:rFonts w:hint="eastAsia" w:ascii="Times New Roman" w:hAnsi="Times New Roman" w:cs="Times New Roman"/>
                <w:b/>
                <w:color w:val="000000" w:themeColor="text1"/>
                <w:szCs w:val="24"/>
              </w:rPr>
              <w:t>.3-1</w:t>
            </w:r>
            <w:r>
              <w:rPr>
                <w:rFonts w:ascii="Times New Roman" w:hAnsi="Times New Roman" w:cs="Times New Roman"/>
                <w:b/>
                <w:color w:val="000000" w:themeColor="text1"/>
                <w:szCs w:val="24"/>
              </w:rPr>
              <w:t xml:space="preserve"> 项目废水总产排情况一览表（单位：m³/d）</w:t>
            </w:r>
          </w:p>
          <w:tbl>
            <w:tblPr>
              <w:tblStyle w:val="20"/>
              <w:tblW w:w="5000" w:type="pct"/>
              <w:tblInd w:w="0" w:type="dxa"/>
              <w:tblLayout w:type="fixed"/>
              <w:tblCellMar>
                <w:top w:w="0" w:type="dxa"/>
                <w:left w:w="108" w:type="dxa"/>
                <w:bottom w:w="0" w:type="dxa"/>
                <w:right w:w="108" w:type="dxa"/>
              </w:tblCellMar>
            </w:tblPr>
            <w:tblGrid>
              <w:gridCol w:w="1291"/>
              <w:gridCol w:w="1788"/>
              <w:gridCol w:w="1513"/>
              <w:gridCol w:w="963"/>
              <w:gridCol w:w="1002"/>
              <w:gridCol w:w="1144"/>
              <w:gridCol w:w="914"/>
            </w:tblGrid>
            <w:tr>
              <w:tblPrEx>
                <w:tblCellMar>
                  <w:top w:w="0" w:type="dxa"/>
                  <w:left w:w="108" w:type="dxa"/>
                  <w:bottom w:w="0" w:type="dxa"/>
                  <w:right w:w="108" w:type="dxa"/>
                </w:tblCellMar>
              </w:tblPrEx>
              <w:trPr>
                <w:trHeight w:val="125" w:hRule="atLeast"/>
              </w:trPr>
              <w:tc>
                <w:tcPr>
                  <w:tcW w:w="1288"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用水单元</w:t>
                  </w:r>
                </w:p>
              </w:tc>
              <w:tc>
                <w:tcPr>
                  <w:tcW w:w="1784"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规模</w:t>
                  </w:r>
                </w:p>
              </w:tc>
              <w:tc>
                <w:tcPr>
                  <w:tcW w:w="1509"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用水定额</w:t>
                  </w:r>
                </w:p>
              </w:tc>
              <w:tc>
                <w:tcPr>
                  <w:tcW w:w="1961" w:type="dxa"/>
                  <w:gridSpan w:val="2"/>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color w:val="000000" w:themeColor="text1"/>
                      <w:kern w:val="0"/>
                    </w:rPr>
                  </w:pPr>
                  <w:r>
                    <w:rPr>
                      <w:color w:val="000000" w:themeColor="text1"/>
                      <w:kern w:val="0"/>
                    </w:rPr>
                    <w:t>总用水量</w:t>
                  </w:r>
                </w:p>
              </w:tc>
              <w:tc>
                <w:tcPr>
                  <w:tcW w:w="2053" w:type="dxa"/>
                  <w:gridSpan w:val="2"/>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color w:val="000000" w:themeColor="text1"/>
                      <w:kern w:val="0"/>
                    </w:rPr>
                  </w:pPr>
                  <w:r>
                    <w:rPr>
                      <w:color w:val="000000" w:themeColor="text1"/>
                      <w:kern w:val="0"/>
                    </w:rPr>
                    <w:t>废水量</w:t>
                  </w:r>
                </w:p>
              </w:tc>
            </w:tr>
            <w:tr>
              <w:tblPrEx>
                <w:tblCellMar>
                  <w:top w:w="0" w:type="dxa"/>
                  <w:left w:w="108" w:type="dxa"/>
                  <w:bottom w:w="0" w:type="dxa"/>
                  <w:right w:w="108" w:type="dxa"/>
                </w:tblCellMar>
              </w:tblPrEx>
              <w:trPr>
                <w:trHeight w:val="201" w:hRule="atLeast"/>
              </w:trPr>
              <w:tc>
                <w:tcPr>
                  <w:tcW w:w="1288"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kern w:val="0"/>
                    </w:rPr>
                  </w:pPr>
                </w:p>
              </w:tc>
              <w:tc>
                <w:tcPr>
                  <w:tcW w:w="1784"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kern w:val="0"/>
                    </w:rPr>
                  </w:pPr>
                </w:p>
              </w:tc>
              <w:tc>
                <w:tcPr>
                  <w:tcW w:w="1509"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kern w:val="0"/>
                    </w:rPr>
                  </w:pPr>
                </w:p>
              </w:tc>
              <w:tc>
                <w:tcPr>
                  <w:tcW w:w="961"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m³/d</w:t>
                  </w:r>
                </w:p>
              </w:tc>
              <w:tc>
                <w:tcPr>
                  <w:tcW w:w="100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m³/a</w:t>
                  </w:r>
                </w:p>
              </w:tc>
              <w:tc>
                <w:tcPr>
                  <w:tcW w:w="1141"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m³/d</w:t>
                  </w:r>
                </w:p>
              </w:tc>
              <w:tc>
                <w:tcPr>
                  <w:tcW w:w="91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m³/a</w:t>
                  </w:r>
                </w:p>
              </w:tc>
            </w:tr>
            <w:tr>
              <w:tblPrEx>
                <w:tblCellMar>
                  <w:top w:w="0" w:type="dxa"/>
                  <w:left w:w="108" w:type="dxa"/>
                  <w:bottom w:w="0" w:type="dxa"/>
                  <w:right w:w="108" w:type="dxa"/>
                </w:tblCellMar>
              </w:tblPrEx>
              <w:trPr>
                <w:trHeight w:val="201" w:hRule="atLeast"/>
              </w:trPr>
              <w:tc>
                <w:tcPr>
                  <w:tcW w:w="1288"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kern w:val="0"/>
                    </w:rPr>
                  </w:pPr>
                  <w:r>
                    <w:rPr>
                      <w:color w:val="000000" w:themeColor="text1"/>
                      <w:kern w:val="0"/>
                    </w:rPr>
                    <w:t>洒水抑尘</w:t>
                  </w:r>
                </w:p>
              </w:tc>
              <w:tc>
                <w:tcPr>
                  <w:tcW w:w="1784"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kern w:val="0"/>
                    </w:rPr>
                  </w:pPr>
                  <w:r>
                    <w:rPr>
                      <w:color w:val="000000" w:themeColor="text1"/>
                      <w:kern w:val="0"/>
                    </w:rPr>
                    <w:t>--</w:t>
                  </w:r>
                </w:p>
              </w:tc>
              <w:tc>
                <w:tcPr>
                  <w:tcW w:w="1509"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kern w:val="0"/>
                    </w:rPr>
                  </w:pPr>
                  <w:r>
                    <w:rPr>
                      <w:color w:val="000000" w:themeColor="text1"/>
                      <w:kern w:val="0"/>
                    </w:rPr>
                    <w:t>--</w:t>
                  </w:r>
                </w:p>
              </w:tc>
              <w:tc>
                <w:tcPr>
                  <w:tcW w:w="961"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3</w:t>
                  </w:r>
                </w:p>
              </w:tc>
              <w:tc>
                <w:tcPr>
                  <w:tcW w:w="100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900</w:t>
                  </w:r>
                </w:p>
              </w:tc>
              <w:tc>
                <w:tcPr>
                  <w:tcW w:w="1141"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0</w:t>
                  </w:r>
                </w:p>
              </w:tc>
              <w:tc>
                <w:tcPr>
                  <w:tcW w:w="91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0</w:t>
                  </w:r>
                </w:p>
              </w:tc>
            </w:tr>
            <w:tr>
              <w:tblPrEx>
                <w:tblCellMar>
                  <w:top w:w="0" w:type="dxa"/>
                  <w:left w:w="108" w:type="dxa"/>
                  <w:bottom w:w="0" w:type="dxa"/>
                  <w:right w:w="108" w:type="dxa"/>
                </w:tblCellMar>
              </w:tblPrEx>
              <w:trPr>
                <w:trHeight w:val="127" w:hRule="atLeast"/>
              </w:trPr>
              <w:tc>
                <w:tcPr>
                  <w:tcW w:w="1288" w:type="dxa"/>
                  <w:tcBorders>
                    <w:top w:val="single" w:color="auto" w:sz="8" w:space="0"/>
                    <w:left w:val="single" w:color="auto" w:sz="8" w:space="0"/>
                    <w:bottom w:val="single" w:color="auto" w:sz="4" w:space="0"/>
                    <w:right w:val="single" w:color="auto" w:sz="8" w:space="0"/>
                  </w:tcBorders>
                  <w:vAlign w:val="center"/>
                </w:tcPr>
                <w:p>
                  <w:pPr>
                    <w:pStyle w:val="32"/>
                    <w:spacing w:line="360" w:lineRule="exact"/>
                    <w:rPr>
                      <w:color w:val="000000" w:themeColor="text1"/>
                      <w:kern w:val="0"/>
                    </w:rPr>
                  </w:pPr>
                  <w:r>
                    <w:rPr>
                      <w:rFonts w:hint="eastAsia"/>
                      <w:color w:val="000000" w:themeColor="text1"/>
                      <w:kern w:val="0"/>
                    </w:rPr>
                    <w:t>砂石骨料</w:t>
                  </w:r>
                  <w:r>
                    <w:rPr>
                      <w:color w:val="000000" w:themeColor="text1"/>
                      <w:kern w:val="0"/>
                    </w:rPr>
                    <w:t>生产</w:t>
                  </w:r>
                </w:p>
              </w:tc>
              <w:tc>
                <w:tcPr>
                  <w:tcW w:w="1784"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kern w:val="0"/>
                    </w:rPr>
                  </w:pPr>
                  <w:r>
                    <w:rPr>
                      <w:rFonts w:hint="eastAsia"/>
                      <w:color w:val="000000" w:themeColor="text1"/>
                      <w:kern w:val="0"/>
                    </w:rPr>
                    <w:t>90万t/a</w:t>
                  </w:r>
                </w:p>
              </w:tc>
              <w:tc>
                <w:tcPr>
                  <w:tcW w:w="1509"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kern w:val="0"/>
                    </w:rPr>
                  </w:pPr>
                  <w:r>
                    <w:rPr>
                      <w:color w:val="000000" w:themeColor="text1"/>
                      <w:kern w:val="0"/>
                    </w:rPr>
                    <w:t>0.</w:t>
                  </w:r>
                  <w:r>
                    <w:rPr>
                      <w:rFonts w:hint="eastAsia"/>
                      <w:color w:val="000000" w:themeColor="text1"/>
                      <w:kern w:val="0"/>
                    </w:rPr>
                    <w:t>225</w:t>
                  </w:r>
                  <w:r>
                    <w:rPr>
                      <w:color w:val="000000" w:themeColor="text1"/>
                      <w:kern w:val="0"/>
                    </w:rPr>
                    <w:t>m³/（</w:t>
                  </w:r>
                  <w:r>
                    <w:rPr>
                      <w:rFonts w:hint="eastAsia"/>
                      <w:color w:val="000000" w:themeColor="text1"/>
                      <w:kern w:val="0"/>
                    </w:rPr>
                    <w:t>t</w:t>
                  </w:r>
                  <w:r>
                    <w:rPr>
                      <w:color w:val="000000" w:themeColor="text1"/>
                      <w:kern w:val="0"/>
                    </w:rPr>
                    <w:t>·</w:t>
                  </w:r>
                  <w:r>
                    <w:rPr>
                      <w:rFonts w:hint="eastAsia"/>
                      <w:color w:val="000000" w:themeColor="text1"/>
                      <w:kern w:val="0"/>
                    </w:rPr>
                    <w:t>产品</w:t>
                  </w:r>
                  <w:r>
                    <w:rPr>
                      <w:color w:val="000000" w:themeColor="text1"/>
                      <w:kern w:val="0"/>
                    </w:rPr>
                    <w:t>）</w:t>
                  </w:r>
                </w:p>
              </w:tc>
              <w:tc>
                <w:tcPr>
                  <w:tcW w:w="961"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675</w:t>
                  </w:r>
                </w:p>
              </w:tc>
              <w:tc>
                <w:tcPr>
                  <w:tcW w:w="100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202500</w:t>
                  </w:r>
                </w:p>
              </w:tc>
              <w:tc>
                <w:tcPr>
                  <w:tcW w:w="1141"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420</w:t>
                  </w:r>
                </w:p>
              </w:tc>
              <w:tc>
                <w:tcPr>
                  <w:tcW w:w="91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126000</w:t>
                  </w:r>
                </w:p>
              </w:tc>
            </w:tr>
            <w:tr>
              <w:tblPrEx>
                <w:tblCellMar>
                  <w:top w:w="0" w:type="dxa"/>
                  <w:left w:w="108" w:type="dxa"/>
                  <w:bottom w:w="0" w:type="dxa"/>
                  <w:right w:w="108" w:type="dxa"/>
                </w:tblCellMar>
              </w:tblPrEx>
              <w:trPr>
                <w:trHeight w:val="127" w:hRule="atLeast"/>
              </w:trPr>
              <w:tc>
                <w:tcPr>
                  <w:tcW w:w="1288" w:type="dxa"/>
                  <w:tcBorders>
                    <w:top w:val="single" w:color="auto" w:sz="8" w:space="0"/>
                    <w:left w:val="single" w:color="auto" w:sz="8" w:space="0"/>
                    <w:bottom w:val="single" w:color="auto" w:sz="4" w:space="0"/>
                    <w:right w:val="single" w:color="auto" w:sz="8" w:space="0"/>
                  </w:tcBorders>
                  <w:vAlign w:val="center"/>
                </w:tcPr>
                <w:p>
                  <w:pPr>
                    <w:pStyle w:val="32"/>
                    <w:spacing w:line="360" w:lineRule="exact"/>
                    <w:rPr>
                      <w:color w:val="000000" w:themeColor="text1"/>
                      <w:kern w:val="0"/>
                    </w:rPr>
                  </w:pPr>
                  <w:r>
                    <w:rPr>
                      <w:rFonts w:hint="eastAsia"/>
                      <w:color w:val="000000" w:themeColor="text1"/>
                      <w:kern w:val="0"/>
                    </w:rPr>
                    <w:t>水泥砖搅拌混合</w:t>
                  </w:r>
                </w:p>
              </w:tc>
              <w:tc>
                <w:tcPr>
                  <w:tcW w:w="1784"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kern w:val="0"/>
                    </w:rPr>
                  </w:pPr>
                  <w:r>
                    <w:rPr>
                      <w:rFonts w:hint="eastAsia"/>
                      <w:color w:val="000000" w:themeColor="text1"/>
                      <w:kern w:val="0"/>
                    </w:rPr>
                    <w:t>水泥砖的总干重19173.7t/a</w:t>
                  </w:r>
                </w:p>
              </w:tc>
              <w:tc>
                <w:tcPr>
                  <w:tcW w:w="1509"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kern w:val="0"/>
                    </w:rPr>
                  </w:pPr>
                  <w:r>
                    <w:rPr>
                      <w:rFonts w:hint="eastAsia"/>
                      <w:color w:val="000000" w:themeColor="text1"/>
                      <w:kern w:val="0"/>
                    </w:rPr>
                    <w:t>含水率20%</w:t>
                  </w:r>
                </w:p>
              </w:tc>
              <w:tc>
                <w:tcPr>
                  <w:tcW w:w="961"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6.26</w:t>
                  </w:r>
                </w:p>
              </w:tc>
              <w:tc>
                <w:tcPr>
                  <w:tcW w:w="100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1876.5</w:t>
                  </w:r>
                </w:p>
              </w:tc>
              <w:tc>
                <w:tcPr>
                  <w:tcW w:w="1141"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0</w:t>
                  </w:r>
                </w:p>
              </w:tc>
              <w:tc>
                <w:tcPr>
                  <w:tcW w:w="91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0</w:t>
                  </w:r>
                </w:p>
              </w:tc>
            </w:tr>
            <w:tr>
              <w:tblPrEx>
                <w:tblCellMar>
                  <w:top w:w="0" w:type="dxa"/>
                  <w:left w:w="108" w:type="dxa"/>
                  <w:bottom w:w="0" w:type="dxa"/>
                  <w:right w:w="108" w:type="dxa"/>
                </w:tblCellMar>
              </w:tblPrEx>
              <w:trPr>
                <w:trHeight w:val="127" w:hRule="atLeast"/>
              </w:trPr>
              <w:tc>
                <w:tcPr>
                  <w:tcW w:w="1288" w:type="dxa"/>
                  <w:tcBorders>
                    <w:top w:val="single" w:color="auto" w:sz="8" w:space="0"/>
                    <w:left w:val="single" w:color="auto" w:sz="8" w:space="0"/>
                    <w:bottom w:val="single" w:color="auto" w:sz="4" w:space="0"/>
                    <w:right w:val="single" w:color="auto" w:sz="8" w:space="0"/>
                  </w:tcBorders>
                  <w:vAlign w:val="center"/>
                </w:tcPr>
                <w:p>
                  <w:pPr>
                    <w:pStyle w:val="32"/>
                    <w:spacing w:line="360" w:lineRule="exact"/>
                    <w:rPr>
                      <w:color w:val="000000" w:themeColor="text1"/>
                      <w:kern w:val="0"/>
                    </w:rPr>
                  </w:pPr>
                  <w:r>
                    <w:rPr>
                      <w:rFonts w:hint="eastAsia"/>
                      <w:color w:val="000000" w:themeColor="text1"/>
                      <w:kern w:val="0"/>
                    </w:rPr>
                    <w:t>水泥砖养护</w:t>
                  </w:r>
                </w:p>
              </w:tc>
              <w:tc>
                <w:tcPr>
                  <w:tcW w:w="1784"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kern w:val="0"/>
                    </w:rPr>
                  </w:pPr>
                  <w:r>
                    <w:rPr>
                      <w:rFonts w:hint="eastAsia"/>
                      <w:color w:val="000000" w:themeColor="text1"/>
                      <w:kern w:val="0"/>
                    </w:rPr>
                    <w:t>--</w:t>
                  </w:r>
                </w:p>
              </w:tc>
              <w:tc>
                <w:tcPr>
                  <w:tcW w:w="1509"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kern w:val="0"/>
                    </w:rPr>
                  </w:pPr>
                  <w:r>
                    <w:rPr>
                      <w:rFonts w:hint="eastAsia"/>
                      <w:color w:val="000000" w:themeColor="text1"/>
                      <w:kern w:val="0"/>
                    </w:rPr>
                    <w:t>--</w:t>
                  </w:r>
                </w:p>
              </w:tc>
              <w:tc>
                <w:tcPr>
                  <w:tcW w:w="961"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8</w:t>
                  </w:r>
                </w:p>
              </w:tc>
              <w:tc>
                <w:tcPr>
                  <w:tcW w:w="100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2400</w:t>
                  </w:r>
                </w:p>
              </w:tc>
              <w:tc>
                <w:tcPr>
                  <w:tcW w:w="1141"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2.</w:t>
                  </w:r>
                  <w:r>
                    <w:rPr>
                      <w:rFonts w:hint="eastAsia"/>
                      <w:color w:val="000000" w:themeColor="text1"/>
                      <w:kern w:val="0"/>
                    </w:rPr>
                    <w:t>3</w:t>
                  </w:r>
                </w:p>
              </w:tc>
              <w:tc>
                <w:tcPr>
                  <w:tcW w:w="91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p>
              </w:tc>
            </w:tr>
            <w:tr>
              <w:tblPrEx>
                <w:tblCellMar>
                  <w:top w:w="0" w:type="dxa"/>
                  <w:left w:w="108" w:type="dxa"/>
                  <w:bottom w:w="0" w:type="dxa"/>
                  <w:right w:w="108" w:type="dxa"/>
                </w:tblCellMar>
              </w:tblPrEx>
              <w:trPr>
                <w:trHeight w:val="137" w:hRule="atLeast"/>
              </w:trPr>
              <w:tc>
                <w:tcPr>
                  <w:tcW w:w="1288" w:type="dxa"/>
                  <w:tcBorders>
                    <w:top w:val="single" w:color="auto" w:sz="4" w:space="0"/>
                    <w:left w:val="single" w:color="auto" w:sz="8" w:space="0"/>
                    <w:bottom w:val="single" w:color="auto" w:sz="4" w:space="0"/>
                    <w:right w:val="single" w:color="auto" w:sz="8" w:space="0"/>
                  </w:tcBorders>
                  <w:vAlign w:val="center"/>
                </w:tcPr>
                <w:p>
                  <w:pPr>
                    <w:pStyle w:val="32"/>
                    <w:spacing w:line="360" w:lineRule="exact"/>
                    <w:rPr>
                      <w:color w:val="000000" w:themeColor="text1"/>
                      <w:kern w:val="0"/>
                    </w:rPr>
                  </w:pPr>
                  <w:r>
                    <w:rPr>
                      <w:color w:val="000000" w:themeColor="text1"/>
                      <w:kern w:val="0"/>
                    </w:rPr>
                    <w:t>绿化用水</w:t>
                  </w:r>
                </w:p>
              </w:tc>
              <w:tc>
                <w:tcPr>
                  <w:tcW w:w="1784"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kern w:val="0"/>
                    </w:rPr>
                  </w:pPr>
                  <w:r>
                    <w:rPr>
                      <w:color w:val="000000" w:themeColor="text1"/>
                      <w:kern w:val="0"/>
                    </w:rPr>
                    <w:t>1500m²</w:t>
                  </w:r>
                </w:p>
              </w:tc>
              <w:tc>
                <w:tcPr>
                  <w:tcW w:w="1509"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kern w:val="0"/>
                    </w:rPr>
                  </w:pPr>
                  <w:r>
                    <w:rPr>
                      <w:color w:val="000000" w:themeColor="text1"/>
                      <w:kern w:val="0"/>
                    </w:rPr>
                    <w:t>3L/（m²·次）</w:t>
                  </w:r>
                </w:p>
              </w:tc>
              <w:tc>
                <w:tcPr>
                  <w:tcW w:w="961"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4.5</w:t>
                  </w:r>
                </w:p>
              </w:tc>
              <w:tc>
                <w:tcPr>
                  <w:tcW w:w="1000"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1147.5</w:t>
                  </w:r>
                </w:p>
              </w:tc>
              <w:tc>
                <w:tcPr>
                  <w:tcW w:w="1141"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0</w:t>
                  </w:r>
                </w:p>
              </w:tc>
              <w:tc>
                <w:tcPr>
                  <w:tcW w:w="91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0</w:t>
                  </w:r>
                </w:p>
              </w:tc>
            </w:tr>
            <w:tr>
              <w:tblPrEx>
                <w:tblCellMar>
                  <w:top w:w="0" w:type="dxa"/>
                  <w:left w:w="108" w:type="dxa"/>
                  <w:bottom w:w="0" w:type="dxa"/>
                  <w:right w:w="108" w:type="dxa"/>
                </w:tblCellMar>
              </w:tblPrEx>
              <w:trPr>
                <w:trHeight w:val="67" w:hRule="atLeast"/>
              </w:trPr>
              <w:tc>
                <w:tcPr>
                  <w:tcW w:w="1288" w:type="dxa"/>
                  <w:tcBorders>
                    <w:top w:val="single" w:color="auto" w:sz="4" w:space="0"/>
                    <w:left w:val="single" w:color="auto" w:sz="8"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 xml:space="preserve"> 生活用水</w:t>
                  </w:r>
                </w:p>
              </w:tc>
              <w:tc>
                <w:tcPr>
                  <w:tcW w:w="178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rFonts w:hint="eastAsia"/>
                      <w:color w:val="000000" w:themeColor="text1"/>
                      <w:kern w:val="0"/>
                    </w:rPr>
                    <w:t>20</w:t>
                  </w:r>
                  <w:r>
                    <w:rPr>
                      <w:color w:val="000000" w:themeColor="text1"/>
                      <w:kern w:val="0"/>
                    </w:rPr>
                    <w:t>人</w:t>
                  </w:r>
                </w:p>
              </w:tc>
              <w:tc>
                <w:tcPr>
                  <w:tcW w:w="1509" w:type="dxa"/>
                  <w:tcBorders>
                    <w:top w:val="nil"/>
                    <w:left w:val="nil"/>
                    <w:bottom w:val="single" w:color="auto" w:sz="8" w:space="0"/>
                    <w:right w:val="single" w:color="auto" w:sz="8" w:space="0"/>
                  </w:tcBorders>
                  <w:shd w:val="clear" w:color="auto" w:fill="auto"/>
                  <w:vAlign w:val="center"/>
                </w:tcPr>
                <w:p>
                  <w:pPr>
                    <w:pStyle w:val="32"/>
                    <w:spacing w:line="360" w:lineRule="exact"/>
                    <w:rPr>
                      <w:color w:val="FF0000"/>
                      <w:kern w:val="0"/>
                    </w:rPr>
                  </w:pPr>
                  <w:r>
                    <w:rPr>
                      <w:rFonts w:hint="eastAsia"/>
                      <w:color w:val="FF0000"/>
                      <w:kern w:val="0"/>
                    </w:rPr>
                    <w:t>6</w:t>
                  </w:r>
                  <w:r>
                    <w:rPr>
                      <w:color w:val="FF0000"/>
                      <w:kern w:val="0"/>
                    </w:rPr>
                    <w:t>0L/d·人</w:t>
                  </w:r>
                </w:p>
              </w:tc>
              <w:tc>
                <w:tcPr>
                  <w:tcW w:w="961" w:type="dxa"/>
                  <w:tcBorders>
                    <w:top w:val="nil"/>
                    <w:left w:val="nil"/>
                    <w:bottom w:val="single" w:color="auto" w:sz="4" w:space="0"/>
                    <w:right w:val="single" w:color="auto" w:sz="8" w:space="0"/>
                  </w:tcBorders>
                  <w:shd w:val="clear" w:color="auto" w:fill="auto"/>
                  <w:vAlign w:val="center"/>
                </w:tcPr>
                <w:p>
                  <w:pPr>
                    <w:pStyle w:val="32"/>
                    <w:spacing w:line="360" w:lineRule="exact"/>
                    <w:rPr>
                      <w:color w:val="FF0000"/>
                      <w:kern w:val="0"/>
                    </w:rPr>
                  </w:pPr>
                  <w:r>
                    <w:rPr>
                      <w:rFonts w:hint="eastAsia"/>
                      <w:color w:val="FF0000"/>
                      <w:kern w:val="0"/>
                    </w:rPr>
                    <w:t>1.2</w:t>
                  </w:r>
                </w:p>
              </w:tc>
              <w:tc>
                <w:tcPr>
                  <w:tcW w:w="1000" w:type="dxa"/>
                  <w:tcBorders>
                    <w:top w:val="nil"/>
                    <w:left w:val="nil"/>
                    <w:bottom w:val="single" w:color="auto" w:sz="4" w:space="0"/>
                    <w:right w:val="single" w:color="auto" w:sz="8" w:space="0"/>
                  </w:tcBorders>
                  <w:shd w:val="clear" w:color="auto" w:fill="auto"/>
                  <w:vAlign w:val="center"/>
                </w:tcPr>
                <w:p>
                  <w:pPr>
                    <w:pStyle w:val="32"/>
                    <w:spacing w:line="360" w:lineRule="exact"/>
                    <w:rPr>
                      <w:color w:val="FF0000"/>
                      <w:kern w:val="0"/>
                    </w:rPr>
                  </w:pPr>
                  <w:r>
                    <w:rPr>
                      <w:rFonts w:hint="eastAsia"/>
                      <w:color w:val="FF0000"/>
                      <w:kern w:val="0"/>
                    </w:rPr>
                    <w:t>360</w:t>
                  </w:r>
                </w:p>
              </w:tc>
              <w:tc>
                <w:tcPr>
                  <w:tcW w:w="1141" w:type="dxa"/>
                  <w:tcBorders>
                    <w:top w:val="nil"/>
                    <w:left w:val="nil"/>
                    <w:bottom w:val="single" w:color="auto" w:sz="4" w:space="0"/>
                    <w:right w:val="single" w:color="auto" w:sz="8" w:space="0"/>
                  </w:tcBorders>
                  <w:shd w:val="clear" w:color="auto" w:fill="auto"/>
                  <w:vAlign w:val="center"/>
                </w:tcPr>
                <w:p>
                  <w:pPr>
                    <w:pStyle w:val="32"/>
                    <w:spacing w:line="360" w:lineRule="exact"/>
                    <w:rPr>
                      <w:color w:val="FF0000"/>
                      <w:kern w:val="0"/>
                    </w:rPr>
                  </w:pPr>
                  <w:r>
                    <w:rPr>
                      <w:rFonts w:hint="eastAsia"/>
                      <w:color w:val="FF0000"/>
                      <w:kern w:val="0"/>
                    </w:rPr>
                    <w:t>0.96</w:t>
                  </w:r>
                </w:p>
              </w:tc>
              <w:tc>
                <w:tcPr>
                  <w:tcW w:w="912" w:type="dxa"/>
                  <w:tcBorders>
                    <w:top w:val="nil"/>
                    <w:left w:val="nil"/>
                    <w:bottom w:val="single" w:color="auto" w:sz="4" w:space="0"/>
                    <w:right w:val="single" w:color="auto" w:sz="8" w:space="0"/>
                  </w:tcBorders>
                  <w:shd w:val="clear" w:color="auto" w:fill="auto"/>
                  <w:vAlign w:val="center"/>
                </w:tcPr>
                <w:p>
                  <w:pPr>
                    <w:pStyle w:val="32"/>
                    <w:spacing w:line="360" w:lineRule="exact"/>
                    <w:rPr>
                      <w:color w:val="FF0000"/>
                      <w:kern w:val="0"/>
                    </w:rPr>
                  </w:pPr>
                  <w:r>
                    <w:rPr>
                      <w:rFonts w:hint="eastAsia"/>
                      <w:color w:val="FF0000"/>
                      <w:kern w:val="0"/>
                    </w:rPr>
                    <w:t>288</w:t>
                  </w:r>
                </w:p>
              </w:tc>
            </w:tr>
            <w:tr>
              <w:tblPrEx>
                <w:tblCellMar>
                  <w:top w:w="0" w:type="dxa"/>
                  <w:left w:w="108" w:type="dxa"/>
                  <w:bottom w:w="0" w:type="dxa"/>
                  <w:right w:w="108" w:type="dxa"/>
                </w:tblCellMar>
              </w:tblPrEx>
              <w:trPr>
                <w:trHeight w:val="67" w:hRule="atLeast"/>
              </w:trPr>
              <w:tc>
                <w:tcPr>
                  <w:tcW w:w="1288" w:type="dxa"/>
                  <w:tcBorders>
                    <w:top w:val="single" w:color="auto" w:sz="4" w:space="0"/>
                    <w:left w:val="single" w:color="auto" w:sz="8" w:space="0"/>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初期雨水</w:t>
                  </w:r>
                </w:p>
              </w:tc>
              <w:tc>
                <w:tcPr>
                  <w:tcW w:w="178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w:t>
                  </w:r>
                </w:p>
              </w:tc>
              <w:tc>
                <w:tcPr>
                  <w:tcW w:w="1509"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w:t>
                  </w:r>
                </w:p>
              </w:tc>
              <w:tc>
                <w:tcPr>
                  <w:tcW w:w="961"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0</w:t>
                  </w:r>
                </w:p>
              </w:tc>
              <w:tc>
                <w:tcPr>
                  <w:tcW w:w="1000"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0</w:t>
                  </w:r>
                </w:p>
              </w:tc>
              <w:tc>
                <w:tcPr>
                  <w:tcW w:w="1141"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9.58m³/次</w:t>
                  </w:r>
                </w:p>
              </w:tc>
              <w:tc>
                <w:tcPr>
                  <w:tcW w:w="912"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w:t>
                  </w:r>
                </w:p>
              </w:tc>
            </w:tr>
            <w:tr>
              <w:tblPrEx>
                <w:tblCellMar>
                  <w:top w:w="0" w:type="dxa"/>
                  <w:left w:w="108" w:type="dxa"/>
                  <w:bottom w:w="0" w:type="dxa"/>
                  <w:right w:w="108" w:type="dxa"/>
                </w:tblCellMar>
              </w:tblPrEx>
              <w:trPr>
                <w:trHeight w:val="285" w:hRule="atLeast"/>
              </w:trPr>
              <w:tc>
                <w:tcPr>
                  <w:tcW w:w="4581" w:type="dxa"/>
                  <w:gridSpan w:val="3"/>
                  <w:tcBorders>
                    <w:top w:val="single" w:color="auto" w:sz="4" w:space="0"/>
                    <w:left w:val="single" w:color="auto" w:sz="8" w:space="0"/>
                    <w:bottom w:val="single" w:color="auto" w:sz="4" w:space="0"/>
                    <w:right w:val="single" w:color="auto" w:sz="8" w:space="0"/>
                  </w:tcBorders>
                  <w:shd w:val="clear" w:color="auto" w:fill="auto"/>
                  <w:vAlign w:val="center"/>
                </w:tcPr>
                <w:p>
                  <w:pPr>
                    <w:pStyle w:val="32"/>
                    <w:spacing w:line="360" w:lineRule="exact"/>
                    <w:rPr>
                      <w:color w:val="000000" w:themeColor="text1"/>
                      <w:kern w:val="0"/>
                    </w:rPr>
                  </w:pPr>
                  <w:r>
                    <w:rPr>
                      <w:color w:val="000000" w:themeColor="text1"/>
                      <w:kern w:val="0"/>
                    </w:rPr>
                    <w:t>合计</w:t>
                  </w:r>
                </w:p>
              </w:tc>
              <w:tc>
                <w:tcPr>
                  <w:tcW w:w="961" w:type="dxa"/>
                  <w:tcBorders>
                    <w:top w:val="single" w:color="auto" w:sz="4" w:space="0"/>
                    <w:left w:val="nil"/>
                    <w:bottom w:val="single" w:color="auto" w:sz="4" w:space="0"/>
                    <w:right w:val="single" w:color="auto" w:sz="8" w:space="0"/>
                  </w:tcBorders>
                  <w:shd w:val="clear" w:color="auto" w:fill="auto"/>
                  <w:vAlign w:val="bottom"/>
                </w:tcPr>
                <w:p>
                  <w:pPr>
                    <w:pStyle w:val="32"/>
                    <w:spacing w:line="360" w:lineRule="exact"/>
                    <w:rPr>
                      <w:color w:val="FF0000"/>
                      <w:kern w:val="0"/>
                    </w:rPr>
                  </w:pPr>
                  <w:r>
                    <w:rPr>
                      <w:color w:val="FF0000"/>
                      <w:kern w:val="0"/>
                    </w:rPr>
                    <w:t>697.96</w:t>
                  </w:r>
                </w:p>
              </w:tc>
              <w:tc>
                <w:tcPr>
                  <w:tcW w:w="1000" w:type="dxa"/>
                  <w:tcBorders>
                    <w:top w:val="single" w:color="auto" w:sz="4" w:space="0"/>
                    <w:left w:val="nil"/>
                    <w:bottom w:val="single" w:color="auto" w:sz="4" w:space="0"/>
                    <w:right w:val="single" w:color="auto" w:sz="8" w:space="0"/>
                  </w:tcBorders>
                  <w:shd w:val="clear" w:color="auto" w:fill="auto"/>
                  <w:vAlign w:val="bottom"/>
                </w:tcPr>
                <w:p>
                  <w:pPr>
                    <w:pStyle w:val="32"/>
                    <w:spacing w:line="360" w:lineRule="exact"/>
                    <w:rPr>
                      <w:color w:val="FF0000"/>
                      <w:kern w:val="0"/>
                    </w:rPr>
                  </w:pPr>
                  <w:r>
                    <w:rPr>
                      <w:color w:val="FF0000"/>
                      <w:kern w:val="0"/>
                    </w:rPr>
                    <w:t>209184</w:t>
                  </w:r>
                </w:p>
              </w:tc>
              <w:tc>
                <w:tcPr>
                  <w:tcW w:w="1141" w:type="dxa"/>
                  <w:tcBorders>
                    <w:top w:val="single" w:color="auto" w:sz="4" w:space="0"/>
                    <w:left w:val="nil"/>
                    <w:bottom w:val="single" w:color="auto" w:sz="4" w:space="0"/>
                    <w:right w:val="single" w:color="auto" w:sz="8" w:space="0"/>
                  </w:tcBorders>
                  <w:shd w:val="clear" w:color="auto" w:fill="auto"/>
                  <w:vAlign w:val="bottom"/>
                </w:tcPr>
                <w:p>
                  <w:pPr>
                    <w:pStyle w:val="32"/>
                    <w:spacing w:line="360" w:lineRule="exact"/>
                    <w:rPr>
                      <w:color w:val="FF0000"/>
                      <w:kern w:val="0"/>
                    </w:rPr>
                  </w:pPr>
                  <w:r>
                    <w:rPr>
                      <w:color w:val="FF0000"/>
                      <w:kern w:val="0"/>
                    </w:rPr>
                    <w:t>423.26</w:t>
                  </w:r>
                </w:p>
              </w:tc>
              <w:tc>
                <w:tcPr>
                  <w:tcW w:w="912" w:type="dxa"/>
                  <w:tcBorders>
                    <w:top w:val="single" w:color="auto" w:sz="4" w:space="0"/>
                    <w:left w:val="nil"/>
                    <w:bottom w:val="single" w:color="auto" w:sz="4" w:space="0"/>
                    <w:right w:val="single" w:color="auto" w:sz="8" w:space="0"/>
                  </w:tcBorders>
                  <w:shd w:val="clear" w:color="auto" w:fill="auto"/>
                  <w:vAlign w:val="bottom"/>
                </w:tcPr>
                <w:p>
                  <w:pPr>
                    <w:pStyle w:val="32"/>
                    <w:spacing w:line="360" w:lineRule="exact"/>
                    <w:rPr>
                      <w:color w:val="FF0000"/>
                      <w:kern w:val="0"/>
                    </w:rPr>
                  </w:pPr>
                  <w:r>
                    <w:rPr>
                      <w:color w:val="FF0000"/>
                      <w:kern w:val="0"/>
                    </w:rPr>
                    <w:t>126288</w:t>
                  </w:r>
                </w:p>
              </w:tc>
            </w:tr>
            <w:tr>
              <w:tblPrEx>
                <w:tblCellMar>
                  <w:top w:w="0" w:type="dxa"/>
                  <w:left w:w="108" w:type="dxa"/>
                  <w:bottom w:w="0" w:type="dxa"/>
                  <w:right w:w="108" w:type="dxa"/>
                </w:tblCellMar>
              </w:tblPrEx>
              <w:trPr>
                <w:trHeight w:val="285" w:hRule="atLeast"/>
              </w:trPr>
              <w:tc>
                <w:tcPr>
                  <w:tcW w:w="8595" w:type="dxa"/>
                  <w:gridSpan w:val="7"/>
                  <w:tcBorders>
                    <w:top w:val="single" w:color="auto" w:sz="4" w:space="0"/>
                    <w:left w:val="single" w:color="auto" w:sz="8" w:space="0"/>
                    <w:bottom w:val="single" w:color="auto" w:sz="8" w:space="0"/>
                    <w:right w:val="single" w:color="auto" w:sz="8" w:space="0"/>
                  </w:tcBorders>
                  <w:shd w:val="clear" w:color="auto" w:fill="auto"/>
                  <w:vAlign w:val="center"/>
                </w:tcPr>
                <w:p>
                  <w:pPr>
                    <w:pStyle w:val="32"/>
                    <w:spacing w:line="360" w:lineRule="exact"/>
                    <w:ind w:firstLine="210" w:firstLineChars="100"/>
                    <w:jc w:val="left"/>
                    <w:rPr>
                      <w:color w:val="000000" w:themeColor="text1"/>
                      <w:kern w:val="0"/>
                    </w:rPr>
                  </w:pPr>
                  <w:r>
                    <w:rPr>
                      <w:color w:val="000000" w:themeColor="text1"/>
                      <w:kern w:val="0"/>
                    </w:rPr>
                    <w:t>备注：初期雨水具有偶然性，不纳入总量统计。</w:t>
                  </w:r>
                </w:p>
              </w:tc>
            </w:tr>
          </w:tbl>
          <w:p>
            <w:pPr>
              <w:pStyle w:val="40"/>
              <w:spacing w:beforeLines="50"/>
              <w:ind w:firstLine="480"/>
              <w:rPr>
                <w:color w:val="FF0000"/>
                <w:szCs w:val="21"/>
              </w:rPr>
            </w:pPr>
            <w:r>
              <w:rPr>
                <w:color w:val="FF0000"/>
                <w:szCs w:val="21"/>
              </w:rPr>
              <w:t>该项目非雨天水平衡如下图所示。</w:t>
            </w:r>
          </w:p>
          <w:p>
            <w:pPr>
              <w:jc w:val="center"/>
              <w:rPr>
                <w:rFonts w:ascii="Times New Roman" w:hAnsi="Times New Roman" w:cs="Times New Roman"/>
                <w:b/>
                <w:color w:val="FF0000"/>
                <w:szCs w:val="24"/>
              </w:rPr>
            </w:pPr>
            <w:r>
              <w:rPr>
                <w:color w:val="FF0000"/>
              </w:rPr>
              <w:object>
                <v:shape id="_x0000_i1029" o:spt="75" type="#_x0000_t75" style="height:529.2pt;width:425.4pt;" o:ole="t" filled="f" o:preferrelative="t" stroked="f" coordsize="21600,21600">
                  <v:path/>
                  <v:fill on="f" focussize="0,0"/>
                  <v:stroke on="f" joinstyle="miter"/>
                  <v:imagedata r:id="rId14" o:title=""/>
                  <o:lock v:ext="edit" aspectratio="t"/>
                  <w10:wrap type="none"/>
                  <w10:anchorlock/>
                </v:shape>
                <o:OLEObject Type="Embed" ProgID="Visio.Drawing.11" ShapeID="_x0000_i1029" DrawAspect="Content" ObjectID="_1468075729" r:id="rId13">
                  <o:LockedField>false</o:LockedField>
                </o:OLEObject>
              </w:object>
            </w:r>
          </w:p>
          <w:p>
            <w:pPr>
              <w:jc w:val="center"/>
              <w:rPr>
                <w:rFonts w:ascii="Times New Roman" w:hAnsi="Times New Roman" w:cs="Times New Roman"/>
                <w:b/>
                <w:color w:val="FF0000"/>
                <w:szCs w:val="24"/>
              </w:rPr>
            </w:pPr>
            <w:r>
              <w:rPr>
                <w:rFonts w:ascii="Times New Roman" w:hAnsi="Times New Roman" w:cs="Times New Roman"/>
                <w:b/>
                <w:color w:val="FF0000"/>
                <w:szCs w:val="24"/>
              </w:rPr>
              <w:t>图2.8</w:t>
            </w:r>
            <w:r>
              <w:rPr>
                <w:rFonts w:hint="eastAsia" w:ascii="Times New Roman" w:hAnsi="Times New Roman" w:cs="Times New Roman"/>
                <w:b/>
                <w:color w:val="FF0000"/>
                <w:szCs w:val="24"/>
              </w:rPr>
              <w:t>.3</w:t>
            </w:r>
            <w:r>
              <w:rPr>
                <w:rFonts w:ascii="Times New Roman" w:hAnsi="Times New Roman" w:cs="Times New Roman"/>
                <w:b/>
                <w:color w:val="FF0000"/>
                <w:szCs w:val="24"/>
              </w:rPr>
              <w:t>-1 项目非雨天水平衡m³/d</w:t>
            </w:r>
          </w:p>
          <w:p>
            <w:pPr>
              <w:pStyle w:val="40"/>
              <w:spacing w:beforeLines="50"/>
              <w:ind w:firstLine="480"/>
              <w:rPr>
                <w:color w:val="FF0000"/>
                <w:szCs w:val="21"/>
              </w:rPr>
            </w:pPr>
            <w:r>
              <w:rPr>
                <w:color w:val="FF0000"/>
                <w:szCs w:val="21"/>
              </w:rPr>
              <w:t>该项目雨天水平衡如下图所示。</w:t>
            </w:r>
          </w:p>
          <w:p>
            <w:pPr>
              <w:autoSpaceDE w:val="0"/>
              <w:autoSpaceDN w:val="0"/>
              <w:spacing w:line="360" w:lineRule="auto"/>
              <w:ind w:firstLine="480" w:firstLineChars="200"/>
              <w:rPr>
                <w:rFonts w:ascii="Times New Roman" w:hAnsi="Times New Roman" w:cs="Times New Roman"/>
                <w:color w:val="FF0000"/>
                <w:sz w:val="24"/>
              </w:rPr>
            </w:pPr>
          </w:p>
          <w:p>
            <w:pPr>
              <w:autoSpaceDE w:val="0"/>
              <w:autoSpaceDN w:val="0"/>
              <w:spacing w:line="360" w:lineRule="auto"/>
              <w:ind w:firstLine="480" w:firstLineChars="200"/>
              <w:rPr>
                <w:rFonts w:ascii="Times New Roman" w:hAnsi="Times New Roman" w:cs="Times New Roman"/>
                <w:color w:val="FF0000"/>
                <w:sz w:val="24"/>
              </w:rPr>
            </w:pPr>
          </w:p>
          <w:p>
            <w:pPr>
              <w:jc w:val="center"/>
              <w:rPr>
                <w:rFonts w:ascii="Times New Roman" w:hAnsi="Times New Roman" w:cs="Times New Roman"/>
                <w:color w:val="FF0000"/>
              </w:rPr>
            </w:pPr>
            <w:r>
              <w:rPr>
                <w:color w:val="FF0000"/>
              </w:rPr>
              <w:object>
                <v:shape id="_x0000_i1030" o:spt="75" type="#_x0000_t75" style="height:566.4pt;width:418.2pt;" o:ole="t" filled="f" o:preferrelative="t" stroked="f" coordsize="21600,21600">
                  <v:path/>
                  <v:fill on="f" focussize="0,0"/>
                  <v:stroke on="f" joinstyle="miter"/>
                  <v:imagedata r:id="rId16" o:title=""/>
                  <o:lock v:ext="edit" aspectratio="t"/>
                  <w10:wrap type="none"/>
                  <w10:anchorlock/>
                </v:shape>
                <o:OLEObject Type="Embed" ProgID="Visio.Drawing.11" ShapeID="_x0000_i1030" DrawAspect="Content" ObjectID="_1468075730" r:id="rId15">
                  <o:LockedField>false</o:LockedField>
                </o:OLEObject>
              </w:object>
            </w:r>
          </w:p>
          <w:p>
            <w:pPr>
              <w:jc w:val="center"/>
              <w:rPr>
                <w:rFonts w:ascii="Times New Roman" w:hAnsi="Times New Roman" w:cs="Times New Roman"/>
                <w:b/>
                <w:color w:val="FF0000"/>
                <w:szCs w:val="24"/>
              </w:rPr>
            </w:pPr>
            <w:r>
              <w:rPr>
                <w:rFonts w:ascii="Times New Roman" w:hAnsi="Times New Roman" w:cs="Times New Roman"/>
                <w:b/>
                <w:color w:val="FF0000"/>
                <w:szCs w:val="24"/>
              </w:rPr>
              <w:t>图2.8</w:t>
            </w:r>
            <w:r>
              <w:rPr>
                <w:rFonts w:hint="eastAsia" w:ascii="Times New Roman" w:hAnsi="Times New Roman" w:cs="Times New Roman"/>
                <w:b/>
                <w:color w:val="FF0000"/>
                <w:szCs w:val="24"/>
              </w:rPr>
              <w:t>.3</w:t>
            </w:r>
            <w:r>
              <w:rPr>
                <w:rFonts w:ascii="Times New Roman" w:hAnsi="Times New Roman" w:cs="Times New Roman"/>
                <w:b/>
                <w:color w:val="FF0000"/>
                <w:szCs w:val="24"/>
              </w:rPr>
              <w:t>-2 项目雨天水平衡m³/d</w:t>
            </w:r>
          </w:p>
          <w:p>
            <w:pPr>
              <w:spacing w:line="360" w:lineRule="auto"/>
              <w:ind w:firstLine="422" w:firstLineChars="200"/>
              <w:rPr>
                <w:rFonts w:ascii="Times New Roman" w:hAnsi="Times New Roman" w:cs="Times New Roman"/>
                <w:b/>
                <w:color w:val="FF0000"/>
                <w:szCs w:val="24"/>
              </w:rPr>
            </w:pPr>
          </w:p>
          <w:p>
            <w:pPr>
              <w:spacing w:line="360" w:lineRule="auto"/>
              <w:ind w:firstLine="422" w:firstLineChars="200"/>
              <w:rPr>
                <w:rFonts w:ascii="Times New Roman" w:hAnsi="Times New Roman" w:cs="Times New Roman"/>
                <w:b/>
                <w:color w:val="000000" w:themeColor="text1"/>
                <w:szCs w:val="24"/>
              </w:rPr>
            </w:pPr>
          </w:p>
          <w:p>
            <w:pPr>
              <w:spacing w:line="360" w:lineRule="auto"/>
              <w:ind w:firstLine="422" w:firstLineChars="200"/>
              <w:rPr>
                <w:rFonts w:ascii="Times New Roman" w:hAnsi="Times New Roman" w:cs="Times New Roman"/>
                <w:b/>
                <w:color w:val="000000" w:themeColor="text1"/>
                <w:szCs w:val="24"/>
              </w:rPr>
            </w:pPr>
          </w:p>
          <w:p>
            <w:pPr>
              <w:spacing w:line="360" w:lineRule="auto"/>
              <w:ind w:firstLine="422" w:firstLineChars="200"/>
              <w:rPr>
                <w:rFonts w:ascii="Times New Roman" w:hAnsi="Times New Roman" w:cs="Times New Roman"/>
                <w:b/>
                <w:color w:val="000000" w:themeColor="text1"/>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工艺流程和产排污环节</w:t>
            </w:r>
          </w:p>
        </w:tc>
        <w:tc>
          <w:tcPr>
            <w:tcW w:w="8831" w:type="dxa"/>
            <w:vAlign w:val="center"/>
          </w:tcPr>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 工艺流程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2.9.1 施工期工艺</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该项目购买原昆明东川众誉矿业有限责任公司砂厂范围内建设，项目施工期工艺流程及产污节点如下图所示：</w:t>
            </w:r>
          </w:p>
          <w:p>
            <w:pPr>
              <w:jc w:val="center"/>
              <w:rPr>
                <w:rFonts w:ascii="Times New Roman" w:hAnsi="Times New Roman" w:eastAsia="宋体" w:cs="Times New Roman"/>
                <w:b/>
                <w:color w:val="000000" w:themeColor="text1"/>
                <w:szCs w:val="24"/>
              </w:rPr>
            </w:pPr>
            <w:r>
              <w:rPr>
                <w:rFonts w:ascii="Times New Roman" w:hAnsi="Times New Roman" w:cs="Times New Roman"/>
                <w:color w:val="000000" w:themeColor="text1"/>
              </w:rPr>
              <w:object>
                <v:shape id="_x0000_i1031" o:spt="75" type="#_x0000_t75" style="height:142.8pt;width:418.8pt;" o:ole="t" filled="f" o:preferrelative="t" stroked="f" coordsize="21600,21600">
                  <v:path/>
                  <v:fill on="f" focussize="0,0"/>
                  <v:stroke on="f" joinstyle="miter"/>
                  <v:imagedata r:id="rId18" o:title=""/>
                  <o:lock v:ext="edit" aspectratio="t"/>
                  <w10:wrap type="none"/>
                  <w10:anchorlock/>
                </v:shape>
                <o:OLEObject Type="Embed" ProgID="Visio.Drawing.11" ShapeID="_x0000_i1031" DrawAspect="Content" ObjectID="_1468075731" r:id="rId17">
                  <o:LockedField>false</o:LockedField>
                </o:OLEObject>
              </w:object>
            </w:r>
          </w:p>
          <w:p>
            <w:pPr>
              <w:jc w:val="center"/>
              <w:rPr>
                <w:rFonts w:ascii="Times New Roman" w:hAnsi="Times New Roman" w:eastAsia="宋体" w:cs="Times New Roman"/>
                <w:b/>
                <w:color w:val="000000" w:themeColor="text1"/>
                <w:szCs w:val="24"/>
              </w:rPr>
            </w:pPr>
            <w:r>
              <w:rPr>
                <w:rFonts w:ascii="Times New Roman" w:hAnsi="Times New Roman" w:eastAsia="宋体" w:cs="Times New Roman"/>
                <w:b/>
                <w:color w:val="000000" w:themeColor="text1"/>
                <w:szCs w:val="24"/>
              </w:rPr>
              <w:t>图2.9.1-1  施工阶段程序及污染流程图</w:t>
            </w:r>
          </w:p>
          <w:p>
            <w:pPr>
              <w:spacing w:beforeLines="50"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施工工艺流程简述</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根据调查，目前原昆明东川众誉矿业有限责任公司生产设施已全部拆除，施工期包括场地平整，生产车间建设、办公及生活设施改造，环保设施建设等。主要为施工废气、施工废水、施工噪声、施工固废等。</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2.9.2 运营期生产工艺</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根据设计，项目共设置砂石骨料和水泥砖两条生产线，</w:t>
            </w:r>
            <w:r>
              <w:rPr>
                <w:rFonts w:hint="eastAsia" w:ascii="Times New Roman" w:hAnsi="Times New Roman" w:cs="Times New Roman"/>
                <w:bCs/>
                <w:color w:val="000000" w:themeColor="text1"/>
                <w:sz w:val="24"/>
                <w:szCs w:val="24"/>
              </w:rPr>
              <w:t>其中一期工程主要建设</w:t>
            </w:r>
            <w:r>
              <w:rPr>
                <w:rFonts w:ascii="Times New Roman" w:hAnsi="Times New Roman" w:cs="Times New Roman"/>
                <w:bCs/>
                <w:color w:val="000000" w:themeColor="text1"/>
                <w:sz w:val="24"/>
                <w:szCs w:val="24"/>
              </w:rPr>
              <w:t>砂石骨料生产线</w:t>
            </w:r>
            <w:r>
              <w:rPr>
                <w:rFonts w:hint="eastAsia" w:ascii="Times New Roman" w:hAnsi="Times New Roman" w:cs="Times New Roman"/>
                <w:bCs/>
                <w:color w:val="000000" w:themeColor="text1"/>
                <w:sz w:val="24"/>
                <w:szCs w:val="24"/>
              </w:rPr>
              <w:t>及其配套设施；二期工程主要建设</w:t>
            </w:r>
            <w:r>
              <w:rPr>
                <w:rFonts w:ascii="Times New Roman" w:hAnsi="Times New Roman" w:cs="Times New Roman"/>
                <w:bCs/>
                <w:color w:val="000000" w:themeColor="text1"/>
                <w:sz w:val="24"/>
                <w:szCs w:val="24"/>
              </w:rPr>
              <w:t>水泥砖生产线</w:t>
            </w:r>
            <w:r>
              <w:rPr>
                <w:rFonts w:hint="eastAsia" w:ascii="Times New Roman" w:hAnsi="Times New Roman" w:cs="Times New Roman"/>
                <w:bCs/>
                <w:color w:val="000000" w:themeColor="text1"/>
                <w:sz w:val="24"/>
                <w:szCs w:val="24"/>
              </w:rPr>
              <w:t>及其配套设施。</w:t>
            </w:r>
            <w:r>
              <w:rPr>
                <w:rFonts w:ascii="Times New Roman" w:hAnsi="Times New Roman" w:cs="Times New Roman"/>
                <w:bCs/>
                <w:color w:val="000000" w:themeColor="text1"/>
                <w:sz w:val="24"/>
                <w:szCs w:val="24"/>
              </w:rPr>
              <w:t>具体生产工艺如下。</w:t>
            </w:r>
          </w:p>
          <w:p>
            <w:pPr>
              <w:spacing w:line="360" w:lineRule="auto"/>
              <w:ind w:firstLine="361" w:firstLineChars="15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（1）砂石骨料生产线</w:t>
            </w:r>
            <w:r>
              <w:rPr>
                <w:rFonts w:hint="eastAsia" w:ascii="Times New Roman" w:hAnsi="Times New Roman" w:cs="Times New Roman"/>
                <w:b/>
                <w:bCs/>
                <w:color w:val="000000" w:themeColor="text1"/>
                <w:sz w:val="24"/>
                <w:szCs w:val="24"/>
              </w:rPr>
              <w:t>（一期工程）</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根据设计，砂石骨料生产线生产工艺流程及产污节点如下图所示：</w:t>
            </w: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color w:val="000000" w:themeColor="text1"/>
              </w:rPr>
              <w:object>
                <v:shape id="_x0000_i1032" o:spt="75" type="#_x0000_t75" style="height:460.2pt;width:418.2pt;" o:ole="t" filled="f" o:preferrelative="t" stroked="f" coordsize="21600,21600">
                  <v:path/>
                  <v:fill on="f" focussize="0,0"/>
                  <v:stroke on="f" joinstyle="miter"/>
                  <v:imagedata r:id="rId20" o:title=""/>
                  <o:lock v:ext="edit" aspectratio="t"/>
                  <w10:wrap type="none"/>
                  <w10:anchorlock/>
                </v:shape>
                <o:OLEObject Type="Embed" ProgID="Visio.Drawing.11" ShapeID="_x0000_i1032" DrawAspect="Content" ObjectID="_1468075732" r:id="rId19">
                  <o:LockedField>false</o:LockedField>
                </o:OLEObject>
              </w:object>
            </w:r>
          </w:p>
          <w:p>
            <w:pPr>
              <w:spacing w:line="360" w:lineRule="auto"/>
              <w:jc w:val="center"/>
              <w:rPr>
                <w:rFonts w:ascii="Times New Roman" w:hAnsi="Times New Roman" w:cs="Times New Roman"/>
                <w:bCs/>
                <w:color w:val="000000" w:themeColor="text1"/>
                <w:sz w:val="24"/>
                <w:szCs w:val="24"/>
              </w:rPr>
            </w:pPr>
            <w:r>
              <w:rPr>
                <w:rFonts w:ascii="Times New Roman" w:hAnsi="Times New Roman" w:eastAsia="宋体" w:cs="Times New Roman"/>
                <w:b/>
                <w:color w:val="000000" w:themeColor="text1"/>
                <w:szCs w:val="24"/>
              </w:rPr>
              <w:t>图2.9.2-1  砂石骨料生产线工艺流程及产污环节图</w:t>
            </w:r>
          </w:p>
          <w:p>
            <w:pPr>
              <w:spacing w:beforeLines="50"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工艺流程简述</w:t>
            </w:r>
          </w:p>
          <w:p>
            <w:pPr>
              <w:spacing w:line="360" w:lineRule="auto"/>
              <w:ind w:firstLine="482" w:firstLineChars="200"/>
              <w:rPr>
                <w:rFonts w:ascii="Times New Roman" w:hAnsi="Times New Roman" w:cs="Times New Roman"/>
                <w:b/>
                <w:bCs/>
                <w:color w:val="000000" w:themeColor="text1"/>
                <w:sz w:val="24"/>
                <w:szCs w:val="24"/>
              </w:rPr>
            </w:pPr>
            <w:r>
              <w:rPr>
                <w:rFonts w:ascii="宋体" w:hAnsi="Times New Roman" w:eastAsia="宋体" w:cs="Times New Roman"/>
                <w:b/>
                <w:bCs/>
                <w:color w:val="000000" w:themeColor="text1"/>
                <w:sz w:val="24"/>
                <w:szCs w:val="24"/>
              </w:rPr>
              <w:t>①</w:t>
            </w:r>
            <w:r>
              <w:rPr>
                <w:rFonts w:ascii="Times New Roman" w:hAnsi="Times New Roman" w:cs="Times New Roman"/>
                <w:b/>
                <w:bCs/>
                <w:color w:val="000000" w:themeColor="text1"/>
                <w:sz w:val="24"/>
                <w:szCs w:val="24"/>
              </w:rPr>
              <w:t>废石暂存</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根据设计，项目区拟设置</w:t>
            </w:r>
            <w:r>
              <w:rPr>
                <w:rFonts w:hint="eastAsia" w:ascii="Times New Roman" w:hAnsi="Times New Roman" w:cs="Times New Roman"/>
                <w:bCs/>
                <w:color w:val="000000" w:themeColor="text1"/>
                <w:sz w:val="24"/>
                <w:szCs w:val="24"/>
              </w:rPr>
              <w:t>1</w:t>
            </w:r>
            <w:r>
              <w:rPr>
                <w:rFonts w:ascii="Times New Roman" w:hAnsi="Times New Roman" w:cs="Times New Roman"/>
                <w:bCs/>
                <w:color w:val="000000" w:themeColor="text1"/>
                <w:sz w:val="24"/>
                <w:szCs w:val="24"/>
              </w:rPr>
              <w:t>个废石堆场，对拟用于生产的废石进行暂存；该区域在对废石进行暂存过程会有无组织扬尘产生，因此项目拟对废石堆场设置不低于物料堆存高度围挡和顶棚，另外废石堆场的废石采用装载机运输至破碎筛分车间处理，其装载机采装、卸料及运输过程会产生扬尘，项目拟设置雾炮机对其进行洒水抑尘。</w:t>
            </w:r>
          </w:p>
          <w:p>
            <w:pPr>
              <w:spacing w:line="360" w:lineRule="auto"/>
              <w:ind w:firstLine="482" w:firstLineChars="200"/>
              <w:rPr>
                <w:rFonts w:ascii="Times New Roman" w:hAnsi="Times New Roman" w:cs="Times New Roman"/>
                <w:b/>
                <w:bCs/>
                <w:color w:val="000000" w:themeColor="text1"/>
                <w:sz w:val="24"/>
                <w:szCs w:val="24"/>
              </w:rPr>
            </w:pPr>
            <w:r>
              <w:rPr>
                <w:rFonts w:ascii="宋体" w:hAnsi="Times New Roman" w:eastAsia="宋体" w:cs="Times New Roman"/>
                <w:b/>
                <w:bCs/>
                <w:color w:val="000000" w:themeColor="text1"/>
                <w:sz w:val="24"/>
                <w:szCs w:val="24"/>
              </w:rPr>
              <w:t>②</w:t>
            </w:r>
            <w:r>
              <w:rPr>
                <w:rFonts w:ascii="Times New Roman" w:hAnsi="Times New Roman" w:cs="Times New Roman"/>
                <w:b/>
                <w:bCs/>
                <w:color w:val="000000" w:themeColor="text1"/>
                <w:sz w:val="24"/>
                <w:szCs w:val="24"/>
              </w:rPr>
              <w:t>一段筛分</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根据设计，由于项目使用原料为废石，其粒径形状不一，因此项目首先配套设置1台圆振筛对废石进行一段筛分，筛分过程中Φ＞50mm的废石直接进入破碎工序，而Φ≤50mm的废石进行下一段筛分工序。</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该筛分过程会有粉尘产生，为降低粉尘产生且防治颗粒堵塞筛网，拟对该工序进行加水筛分。</w:t>
            </w:r>
          </w:p>
          <w:p>
            <w:pPr>
              <w:spacing w:line="360" w:lineRule="auto"/>
              <w:ind w:firstLine="482" w:firstLineChars="200"/>
              <w:rPr>
                <w:rFonts w:ascii="Times New Roman" w:hAnsi="Times New Roman" w:cs="Times New Roman"/>
                <w:b/>
                <w:bCs/>
                <w:color w:val="000000" w:themeColor="text1"/>
                <w:sz w:val="24"/>
                <w:szCs w:val="24"/>
              </w:rPr>
            </w:pPr>
            <w:r>
              <w:rPr>
                <w:rFonts w:ascii="宋体" w:hAnsi="Times New Roman" w:eastAsia="宋体" w:cs="Times New Roman"/>
                <w:b/>
                <w:bCs/>
                <w:color w:val="000000" w:themeColor="text1"/>
                <w:sz w:val="24"/>
                <w:szCs w:val="24"/>
              </w:rPr>
              <w:t>③</w:t>
            </w:r>
            <w:r>
              <w:rPr>
                <w:rFonts w:ascii="Times New Roman" w:hAnsi="Times New Roman" w:cs="Times New Roman"/>
                <w:b/>
                <w:bCs/>
                <w:color w:val="000000" w:themeColor="text1"/>
                <w:sz w:val="24"/>
                <w:szCs w:val="24"/>
              </w:rPr>
              <w:t>鄂破</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根据设计，项目拟设置1台颚式破碎机对经一段筛分后Φ＞50mm的废石进行破碎。破碎料通过皮带运输机密闭运输。</w:t>
            </w:r>
          </w:p>
          <w:p>
            <w:pPr>
              <w:spacing w:line="360" w:lineRule="auto"/>
              <w:ind w:firstLine="482" w:firstLineChars="200"/>
              <w:rPr>
                <w:rFonts w:ascii="Times New Roman" w:hAnsi="Times New Roman" w:cs="Times New Roman"/>
                <w:b/>
                <w:bCs/>
                <w:color w:val="000000" w:themeColor="text1"/>
                <w:sz w:val="24"/>
                <w:szCs w:val="24"/>
              </w:rPr>
            </w:pPr>
            <w:r>
              <w:rPr>
                <w:rFonts w:ascii="宋体" w:hAnsi="Times New Roman" w:eastAsia="宋体" w:cs="Times New Roman"/>
                <w:b/>
                <w:bCs/>
                <w:color w:val="000000" w:themeColor="text1"/>
                <w:sz w:val="24"/>
                <w:szCs w:val="24"/>
              </w:rPr>
              <w:t>③</w:t>
            </w:r>
            <w:r>
              <w:rPr>
                <w:rFonts w:ascii="Times New Roman" w:hAnsi="Times New Roman" w:cs="Times New Roman"/>
                <w:b/>
                <w:bCs/>
                <w:color w:val="000000" w:themeColor="text1"/>
                <w:sz w:val="24"/>
                <w:szCs w:val="24"/>
              </w:rPr>
              <w:t>反击破</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根据设计，经鄂破后的废石通过皮带运输机密闭运输至1台反击破碎机进行再次破碎。</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上述鄂破和反击破工序均会有粉尘产生，为降低粉尘产生，拟对两破碎工序进行加水破碎。</w:t>
            </w:r>
          </w:p>
          <w:p>
            <w:pPr>
              <w:spacing w:line="360" w:lineRule="auto"/>
              <w:ind w:firstLine="482" w:firstLineChars="200"/>
              <w:rPr>
                <w:rFonts w:ascii="Times New Roman" w:hAnsi="Times New Roman" w:cs="Times New Roman"/>
                <w:b/>
                <w:bCs/>
                <w:color w:val="000000" w:themeColor="text1"/>
                <w:sz w:val="24"/>
                <w:szCs w:val="24"/>
              </w:rPr>
            </w:pPr>
            <w:r>
              <w:rPr>
                <w:rFonts w:ascii="宋体" w:hAnsi="Times New Roman" w:eastAsia="宋体" w:cs="Times New Roman"/>
                <w:b/>
                <w:bCs/>
                <w:color w:val="000000" w:themeColor="text1"/>
                <w:sz w:val="24"/>
                <w:szCs w:val="24"/>
              </w:rPr>
              <w:t>⑤</w:t>
            </w:r>
            <w:r>
              <w:rPr>
                <w:rFonts w:ascii="Times New Roman" w:hAnsi="Times New Roman" w:cs="Times New Roman"/>
                <w:b/>
                <w:bCs/>
                <w:color w:val="000000" w:themeColor="text1"/>
                <w:sz w:val="24"/>
                <w:szCs w:val="24"/>
              </w:rPr>
              <w:t>二段筛分</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根据设计，经过反击破碎后的废石以及一段筛分后Φ≤50mm的废石分别通过皮带运输机密闭运输另1台圆振筛进行二段筛分，二段筛分系统为得到Φ0-5mm和Φ0-7mm两种不同规格的砂石骨料，则需更换筛网，具体如下：</w:t>
            </w:r>
          </w:p>
          <w:p>
            <w:pPr>
              <w:spacing w:line="360" w:lineRule="auto"/>
              <w:ind w:firstLine="480" w:firstLineChars="200"/>
              <w:rPr>
                <w:rFonts w:ascii="Times New Roman" w:hAnsi="Times New Roman" w:cs="Times New Roman"/>
                <w:bCs/>
                <w:color w:val="000000" w:themeColor="text1"/>
                <w:sz w:val="24"/>
                <w:szCs w:val="24"/>
              </w:rPr>
            </w:pPr>
            <w:r>
              <w:rPr>
                <w:rFonts w:ascii="宋体" w:hAnsi="Times New Roman" w:eastAsia="宋体" w:cs="Times New Roman"/>
                <w:bCs/>
                <w:color w:val="000000" w:themeColor="text1"/>
                <w:sz w:val="24"/>
                <w:szCs w:val="24"/>
              </w:rPr>
              <w:t>①</w:t>
            </w:r>
            <w:r>
              <w:rPr>
                <w:rFonts w:ascii="Times New Roman" w:hAnsi="Times New Roman" w:cs="Times New Roman"/>
                <w:bCs/>
                <w:color w:val="000000" w:themeColor="text1"/>
                <w:sz w:val="24"/>
                <w:szCs w:val="24"/>
              </w:rPr>
              <w:t>若生产Φ0-5mm砂石骨料时，则使用5mm砂筛网，则筛分后得到Φ0-5mm、Φ5-20mm、Φ20-30mm和Φ≥30mm的筛分料，其中Φ0-5mm砂石骨料进入水洗系统，而Φ5-20mm的筛分料属于小颗粒废料进入球磨机球磨，Φ20-30mm属于公分石产品进入3#料场堆存外售，Φ≥30mm的筛分料属于大颗粒废料进入制砂机破碎。</w:t>
            </w:r>
          </w:p>
          <w:p>
            <w:pPr>
              <w:spacing w:line="360" w:lineRule="auto"/>
              <w:ind w:firstLine="480" w:firstLineChars="200"/>
              <w:rPr>
                <w:rFonts w:ascii="Times New Roman" w:hAnsi="Times New Roman" w:cs="Times New Roman"/>
                <w:bCs/>
                <w:color w:val="000000" w:themeColor="text1"/>
                <w:sz w:val="24"/>
                <w:szCs w:val="24"/>
              </w:rPr>
            </w:pPr>
            <w:r>
              <w:rPr>
                <w:rFonts w:ascii="宋体" w:hAnsi="Times New Roman" w:eastAsia="宋体" w:cs="Times New Roman"/>
                <w:bCs/>
                <w:color w:val="000000" w:themeColor="text1"/>
                <w:sz w:val="24"/>
                <w:szCs w:val="24"/>
              </w:rPr>
              <w:t>②</w:t>
            </w:r>
            <w:r>
              <w:rPr>
                <w:rFonts w:ascii="Times New Roman" w:hAnsi="Times New Roman" w:cs="Times New Roman"/>
                <w:bCs/>
                <w:color w:val="000000" w:themeColor="text1"/>
                <w:sz w:val="24"/>
                <w:szCs w:val="24"/>
              </w:rPr>
              <w:t>若生产Φ0-7mm砂石骨料时，则使用7mm砂筛网，则筛分后得到Φ0-7mm、Φ7-20mm、Φ20-30mm和Φ≥30mm的筛分料，其中Φ0-7mm砂石骨料进入水洗系统，而Φ7-20mm的筛分料属于小颗粒废料进入球磨机球磨，Φ20-30mm属于公分石产品进入3#料场堆存外售，Φ≥30mm的筛分料属于大颗粒废料进入制砂机破碎。</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该筛分过程会有粉尘产生，为降低粉尘产生且防治颗粒堵塞筛网，拟对该工序进行加水筛分。</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eastAsia="宋体" w:cs="Times New Roman"/>
                <w:b/>
                <w:bCs/>
                <w:color w:val="000000" w:themeColor="text1"/>
                <w:sz w:val="24"/>
                <w:szCs w:val="24"/>
              </w:rPr>
              <w:t>⑥</w:t>
            </w:r>
            <w:r>
              <w:rPr>
                <w:rFonts w:ascii="Times New Roman" w:hAnsi="Times New Roman" w:cs="Times New Roman"/>
                <w:b/>
                <w:bCs/>
                <w:color w:val="000000" w:themeColor="text1"/>
                <w:sz w:val="24"/>
                <w:szCs w:val="24"/>
              </w:rPr>
              <w:t>球磨</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根据设计，经过二段筛分后得到Φ5-20mm或Φ7-20mm的小颗粒废料通过皮带运输机密闭运输至2台球磨碎机进行球磨，球磨后返回二段筛分系统。</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eastAsia="宋体" w:cs="Times New Roman"/>
                <w:b/>
                <w:bCs/>
                <w:color w:val="000000" w:themeColor="text1"/>
                <w:sz w:val="24"/>
                <w:szCs w:val="24"/>
              </w:rPr>
              <w:t>⑦</w:t>
            </w:r>
            <w:r>
              <w:rPr>
                <w:rFonts w:ascii="Times New Roman" w:hAnsi="Times New Roman" w:cs="Times New Roman"/>
                <w:b/>
                <w:bCs/>
                <w:color w:val="000000" w:themeColor="text1"/>
                <w:sz w:val="24"/>
                <w:szCs w:val="24"/>
              </w:rPr>
              <w:t>制砂</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根据设计，经过二段筛分后得到Φ≥30mm的大颗粒废料通过皮带运输机密闭运输至、2台立轴制砂机进行破碎，破碎后返回二段筛分系统。</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上述球磨和破碎工序均会有粉尘产生，为降低粉尘产生，拟对球磨和破碎工序进行加水。</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eastAsia="宋体" w:cs="Times New Roman"/>
                <w:b/>
                <w:bCs/>
                <w:color w:val="000000" w:themeColor="text1"/>
                <w:sz w:val="24"/>
                <w:szCs w:val="24"/>
              </w:rPr>
              <w:t>⑧</w:t>
            </w:r>
            <w:r>
              <w:rPr>
                <w:rFonts w:ascii="Times New Roman" w:hAnsi="Times New Roman" w:cs="Times New Roman"/>
                <w:b/>
                <w:bCs/>
                <w:color w:val="000000" w:themeColor="text1"/>
                <w:sz w:val="24"/>
                <w:szCs w:val="24"/>
              </w:rPr>
              <w:t>水洗、脱水</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根据设计，经过二段筛分后得到的Φ0-5mm或Φ0-7mm的砂石骨料分别进入洗砂车间进行水洗、脱水。具体如下：</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eastAsia="宋体" w:cs="Times New Roman"/>
                <w:b/>
                <w:bCs/>
                <w:color w:val="000000" w:themeColor="text1"/>
                <w:sz w:val="24"/>
                <w:szCs w:val="24"/>
              </w:rPr>
              <w:t>⑴</w:t>
            </w:r>
            <w:r>
              <w:rPr>
                <w:rFonts w:ascii="Times New Roman" w:hAnsi="Times New Roman" w:cs="Times New Roman"/>
                <w:b/>
                <w:bCs/>
                <w:color w:val="000000" w:themeColor="text1"/>
                <w:sz w:val="24"/>
                <w:szCs w:val="24"/>
              </w:rPr>
              <w:t>水洗</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洗砂车间内配套设置4台轮式洗砂机、2台立体式细砂回收机对筛分后的Φ0-5mm或Φ0-7mm的砂石骨料进行清洗。</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fldChar w:fldCharType="begin"/>
            </w:r>
            <w:r>
              <w:rPr>
                <w:rFonts w:ascii="Times New Roman" w:hAnsi="Times New Roman" w:cs="Times New Roman"/>
                <w:b/>
                <w:bCs/>
                <w:color w:val="000000" w:themeColor="text1"/>
                <w:sz w:val="24"/>
                <w:szCs w:val="24"/>
              </w:rPr>
              <w:instrText xml:space="preserve"> = 2 \* GB2 </w:instrText>
            </w:r>
            <w:r>
              <w:rPr>
                <w:rFonts w:ascii="Times New Roman" w:hAnsi="Times New Roman" w:cs="Times New Roman"/>
                <w:b/>
                <w:bCs/>
                <w:color w:val="000000" w:themeColor="text1"/>
                <w:sz w:val="24"/>
                <w:szCs w:val="24"/>
              </w:rPr>
              <w:fldChar w:fldCharType="separate"/>
            </w:r>
            <w:r>
              <w:rPr>
                <w:rFonts w:ascii="Times New Roman" w:hAnsi="Times New Roman" w:eastAsia="宋体" w:cs="Times New Roman"/>
                <w:b/>
                <w:bCs/>
                <w:color w:val="000000" w:themeColor="text1"/>
                <w:sz w:val="24"/>
                <w:szCs w:val="24"/>
              </w:rPr>
              <w:t>⑵</w:t>
            </w:r>
            <w:r>
              <w:rPr>
                <w:rFonts w:ascii="Times New Roman" w:hAnsi="Times New Roman" w:cs="Times New Roman"/>
                <w:b/>
                <w:bCs/>
                <w:color w:val="000000" w:themeColor="text1"/>
                <w:sz w:val="24"/>
                <w:szCs w:val="24"/>
              </w:rPr>
              <w:fldChar w:fldCharType="end"/>
            </w:r>
            <w:r>
              <w:rPr>
                <w:rFonts w:ascii="Times New Roman" w:hAnsi="Times New Roman" w:cs="Times New Roman"/>
                <w:b/>
                <w:bCs/>
                <w:color w:val="000000" w:themeColor="text1"/>
                <w:sz w:val="24"/>
                <w:szCs w:val="24"/>
              </w:rPr>
              <w:t>脱水</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洗砂车间内配套设置2台高频振脱水筛，经水洗后的Φ0-5mm或Φ0-7mm砂石骨料进入高频振脱水筛进行脱水，脱水后的得到规格为Φ0-5mm或Φ0-7mm的砂石骨料产品，其中Φ0-5mm的砂石骨料产品进入1#料场进行堆存、Φ0-7mm的砂石骨料产品进入2#料场进行堆存。</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该过程会产生砂石骨料生产废水，该废水主要污染物为CODcr、SS和石油类，项目拟配套设置1套砂石骨料生产废水处理系统对其进行处理；首先砂石骨料生产废水进入三级沉淀池进行沉淀，沉淀后，约90%的上层清水进入回水池回用于骨料生产系统，而三级沉淀池产生的的含水污泥则进入建设单位建设的昆明市东川金水矿业有限责任公司牛厂坪尾矿充填环境综合治理项目进行井下充填处理。</w:t>
            </w:r>
          </w:p>
          <w:p>
            <w:pPr>
              <w:spacing w:line="360" w:lineRule="auto"/>
              <w:ind w:firstLine="361" w:firstLineChars="15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（2）水泥砖生产线</w:t>
            </w:r>
            <w:r>
              <w:rPr>
                <w:rFonts w:hint="eastAsia" w:ascii="Times New Roman" w:hAnsi="Times New Roman" w:cs="Times New Roman"/>
                <w:b/>
                <w:bCs/>
                <w:color w:val="000000" w:themeColor="text1"/>
                <w:sz w:val="24"/>
                <w:szCs w:val="24"/>
              </w:rPr>
              <w:t>（二期工程）</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根据设计，水泥砖生产线生产工艺流程及产污节点如下图所示：</w:t>
            </w: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color w:val="000000" w:themeColor="text1"/>
              </w:rPr>
              <w:object>
                <v:shape id="_x0000_i1033" o:spt="75" type="#_x0000_t75" style="height:416.4pt;width:334.8pt;" o:ole="t" filled="f" o:preferrelative="t" stroked="f" coordsize="21600,21600">
                  <v:path/>
                  <v:fill on="f" focussize="0,0"/>
                  <v:stroke on="f" joinstyle="miter"/>
                  <v:imagedata r:id="rId22" o:title=""/>
                  <o:lock v:ext="edit" aspectratio="t"/>
                  <w10:wrap type="none"/>
                  <w10:anchorlock/>
                </v:shape>
                <o:OLEObject Type="Embed" ProgID="Visio.Drawing.11" ShapeID="_x0000_i1033" DrawAspect="Content" ObjectID="_1468075733" r:id="rId21">
                  <o:LockedField>false</o:LockedField>
                </o:OLEObject>
              </w:object>
            </w:r>
          </w:p>
          <w:p>
            <w:pPr>
              <w:jc w:val="center"/>
              <w:rPr>
                <w:rFonts w:ascii="Times New Roman" w:hAnsi="Times New Roman" w:eastAsia="宋体" w:cs="Times New Roman"/>
                <w:b/>
                <w:color w:val="000000" w:themeColor="text1"/>
                <w:szCs w:val="24"/>
              </w:rPr>
            </w:pPr>
            <w:r>
              <w:rPr>
                <w:rFonts w:ascii="Times New Roman" w:hAnsi="Times New Roman" w:eastAsia="宋体" w:cs="Times New Roman"/>
                <w:b/>
                <w:color w:val="000000" w:themeColor="text1"/>
                <w:szCs w:val="24"/>
              </w:rPr>
              <w:t>图2.</w:t>
            </w:r>
            <w:r>
              <w:rPr>
                <w:rFonts w:hint="eastAsia" w:ascii="Times New Roman" w:hAnsi="Times New Roman" w:eastAsia="宋体" w:cs="Times New Roman"/>
                <w:b/>
                <w:color w:val="000000" w:themeColor="text1"/>
                <w:szCs w:val="24"/>
              </w:rPr>
              <w:t>9</w:t>
            </w:r>
            <w:r>
              <w:rPr>
                <w:rFonts w:ascii="Times New Roman" w:hAnsi="Times New Roman" w:eastAsia="宋体" w:cs="Times New Roman"/>
                <w:b/>
                <w:color w:val="000000" w:themeColor="text1"/>
                <w:szCs w:val="24"/>
              </w:rPr>
              <w:t>.2-2  水泥砖生产流程及产污环节图</w:t>
            </w:r>
          </w:p>
          <w:p>
            <w:pPr>
              <w:spacing w:beforeLines="50"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工艺流程简述</w:t>
            </w:r>
          </w:p>
          <w:p>
            <w:pPr>
              <w:spacing w:line="360" w:lineRule="auto"/>
              <w:ind w:firstLine="482" w:firstLineChars="200"/>
              <w:rPr>
                <w:rFonts w:ascii="Times New Roman" w:hAnsi="Times New Roman" w:cs="Times New Roman"/>
                <w:b/>
                <w:bCs/>
                <w:color w:val="000000" w:themeColor="text1"/>
                <w:sz w:val="24"/>
                <w:szCs w:val="24"/>
              </w:rPr>
            </w:pPr>
            <w:r>
              <w:rPr>
                <w:rFonts w:ascii="宋体" w:hAnsi="Times New Roman" w:eastAsia="宋体" w:cs="Times New Roman"/>
                <w:b/>
                <w:bCs/>
                <w:color w:val="000000" w:themeColor="text1"/>
                <w:sz w:val="24"/>
                <w:szCs w:val="24"/>
              </w:rPr>
              <w:t>①</w:t>
            </w:r>
            <w:r>
              <w:rPr>
                <w:rFonts w:ascii="Times New Roman" w:hAnsi="Times New Roman" w:cs="Times New Roman"/>
                <w:b/>
                <w:bCs/>
                <w:color w:val="000000" w:themeColor="text1"/>
                <w:sz w:val="24"/>
                <w:szCs w:val="24"/>
              </w:rPr>
              <w:t>原料暂存</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水泥砖使用原料主要为Φ0-5mm、Φ0-7mm砂石骨料和水泥，其中Φ0-5mm、Φ0-7mm砂石骨料来源于该项目砂石骨料生产线，直接从该生产线1#料场和2#料场取用，不再单独设置原料堆场，而针对水泥暂存，项目拟设置1个100t的水泥仓对其进行储存。</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水泥在装卸、储存、输送过程会产生一定量粉尘，水泥仓顶端设置1#袋式除尘器对其处理后通过（DA001）外排；袋式除尘器的平均除尘效率为99.7%。</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②搅拌混合</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项目拟配套设置1台提升斗、2台配料仓和1台搅拌机，将水泥、砂石骨料（φ0-7mm）和砂石骨料（φ0-5mm）按照4:15:10的比例进行混合，并加水搅拌，使其充分混合，搅拌后的物料含水率约为20%后进入砌块成型工序。</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搅拌混合工序在加料过程中会产生一定量的粉尘，项目拟在设备产尘点配套设置集气罩对其粉尘进行收集，并设置1台袋式除尘器进行处理，处理后通过1根15m高排气筒（DA002）外排，其中集气罩为5000m³/h；集气效率不低于90%，袋式除尘器的平均除尘效率为99.7%。</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③砌块成型</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根据设计，项目拟配套设置1台QT18-18型砌块成型机和模板架，对搅拌均匀的物料进行砌块成型。</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④养护</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根据设计，成型后的水泥砖进入养护工序，首先在养护棚养护1天，一天后运输到养护场进行28天养护，养护场养护前3天需对水泥砖进行浇水养护，3天后，自然干燥。</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养护过程会产生养护废水，项目拟设置1个有效容积为6m³的养护废水收集池对其进行收集后，返回养护工序使用，不外排。</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⑤质量检测</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养护完成即为水泥砖进行抽样检测；满足质量要求的进行外售。</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质量检测过程产生的不合格产品返回砂石骨料生产线处理。</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2.10 产排污环节</w:t>
            </w:r>
          </w:p>
          <w:p>
            <w:pPr>
              <w:spacing w:line="360" w:lineRule="auto"/>
              <w:ind w:firstLine="482" w:firstLineChars="20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2.10.1 施工期产污环节</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该项目购买原昆明东川众誉矿业有限责任公司砂厂范围内建设，根据调查，目前原昆明东川众誉矿业有限责任公司生产设施已全部拆除。施工期包括场地平整，生产车间建设、办公及生活设施改造，环保设施建设等。主要为施工废气、施工废水、施工噪声、施工固废等。</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2.10.2 运营期产污环节</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根据项目工艺流程可知，该项目运营期产污环节具体如下。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（1）运营期废气</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①一期工程</w:t>
            </w:r>
            <w:r>
              <w:rPr>
                <w:rFonts w:ascii="Times New Roman" w:hAnsi="Times New Roman" w:cs="Times New Roman"/>
                <w:b/>
                <w:color w:val="000000" w:themeColor="text1"/>
                <w:sz w:val="24"/>
                <w:szCs w:val="24"/>
              </w:rPr>
              <w:t>运营期废气</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w:t>
            </w: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建设内容及生产工艺，项目</w:t>
            </w: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废气主要包括砂石骨料生产线堆场扬尘、装卸扬尘、皮带输送过程扬尘和破碎筛分粉尘。</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②二期工程</w:t>
            </w:r>
            <w:r>
              <w:rPr>
                <w:rFonts w:ascii="Times New Roman" w:hAnsi="Times New Roman" w:cs="Times New Roman"/>
                <w:b/>
                <w:color w:val="000000" w:themeColor="text1"/>
                <w:sz w:val="24"/>
                <w:szCs w:val="24"/>
              </w:rPr>
              <w:t>运营期废气</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w:t>
            </w:r>
            <w:r>
              <w:rPr>
                <w:rFonts w:hint="eastAsia" w:ascii="Times New Roman" w:hAnsi="Times New Roman" w:cs="Times New Roman"/>
                <w:color w:val="000000" w:themeColor="text1"/>
                <w:sz w:val="24"/>
                <w:szCs w:val="24"/>
              </w:rPr>
              <w:t>二期工程</w:t>
            </w:r>
            <w:r>
              <w:rPr>
                <w:rFonts w:ascii="Times New Roman" w:hAnsi="Times New Roman" w:cs="Times New Roman"/>
                <w:color w:val="000000" w:themeColor="text1"/>
                <w:sz w:val="24"/>
                <w:szCs w:val="24"/>
              </w:rPr>
              <w:t>建设内容及生产工艺，项目</w:t>
            </w:r>
            <w:r>
              <w:rPr>
                <w:rFonts w:hint="eastAsia" w:ascii="Times New Roman" w:hAnsi="Times New Roman" w:cs="Times New Roman"/>
                <w:color w:val="000000" w:themeColor="text1"/>
                <w:sz w:val="24"/>
                <w:szCs w:val="24"/>
              </w:rPr>
              <w:t>二期工程</w:t>
            </w:r>
            <w:r>
              <w:rPr>
                <w:rFonts w:ascii="Times New Roman" w:hAnsi="Times New Roman" w:cs="Times New Roman"/>
                <w:color w:val="000000" w:themeColor="text1"/>
                <w:sz w:val="24"/>
                <w:szCs w:val="24"/>
              </w:rPr>
              <w:t>废气主要包括水泥砖生产线水泥仓粉尘和搅拌混合粉尘。</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（2）运营期废水</w:t>
            </w:r>
          </w:p>
          <w:p>
            <w:pPr>
              <w:spacing w:line="360" w:lineRule="auto"/>
              <w:ind w:firstLine="482" w:firstLineChars="200"/>
              <w:rPr>
                <w:rFonts w:ascii="Times New Roman" w:hAnsi="Times New Roman" w:cs="Times New Roman"/>
                <w:color w:val="000000" w:themeColor="text1"/>
                <w:sz w:val="24"/>
                <w:szCs w:val="24"/>
              </w:rPr>
            </w:pPr>
            <w:r>
              <w:rPr>
                <w:rFonts w:hint="eastAsia" w:ascii="Times New Roman" w:hAnsi="Times New Roman" w:cs="Times New Roman"/>
                <w:b/>
                <w:color w:val="000000" w:themeColor="text1"/>
                <w:sz w:val="24"/>
                <w:szCs w:val="24"/>
              </w:rPr>
              <w:t>①一期工程</w:t>
            </w:r>
            <w:r>
              <w:rPr>
                <w:rFonts w:ascii="Times New Roman" w:hAnsi="Times New Roman" w:cs="Times New Roman"/>
                <w:b/>
                <w:color w:val="000000" w:themeColor="text1"/>
                <w:sz w:val="24"/>
                <w:szCs w:val="24"/>
              </w:rPr>
              <w:t>运营期废水</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w:t>
            </w: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建设内容及生产工艺，该项目</w:t>
            </w: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用水环节包括洒水抑尘用水、砂石骨料生产用水、绿化用水和生活用水，而废水产生类型包括砂石骨料生产废水、生活污水和初期雨水。</w:t>
            </w:r>
          </w:p>
          <w:p>
            <w:pPr>
              <w:spacing w:line="360" w:lineRule="auto"/>
              <w:ind w:firstLine="482" w:firstLineChars="200"/>
              <w:rPr>
                <w:rFonts w:ascii="Times New Roman" w:hAnsi="Times New Roman" w:cs="Times New Roman"/>
                <w:color w:val="000000" w:themeColor="text1"/>
                <w:sz w:val="24"/>
                <w:szCs w:val="24"/>
              </w:rPr>
            </w:pPr>
            <w:r>
              <w:rPr>
                <w:rFonts w:hint="eastAsia" w:ascii="Times New Roman" w:hAnsi="Times New Roman" w:cs="Times New Roman"/>
                <w:b/>
                <w:color w:val="000000" w:themeColor="text1"/>
                <w:sz w:val="24"/>
                <w:szCs w:val="24"/>
              </w:rPr>
              <w:t>②二期工程</w:t>
            </w:r>
            <w:r>
              <w:rPr>
                <w:rFonts w:ascii="Times New Roman" w:hAnsi="Times New Roman" w:cs="Times New Roman"/>
                <w:b/>
                <w:color w:val="000000" w:themeColor="text1"/>
                <w:sz w:val="24"/>
                <w:szCs w:val="24"/>
              </w:rPr>
              <w:t>运营期废水</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w:t>
            </w:r>
            <w:r>
              <w:rPr>
                <w:rFonts w:hint="eastAsia" w:ascii="Times New Roman" w:hAnsi="Times New Roman" w:cs="Times New Roman"/>
                <w:color w:val="000000" w:themeColor="text1"/>
                <w:sz w:val="24"/>
                <w:szCs w:val="24"/>
              </w:rPr>
              <w:t>二期工程</w:t>
            </w:r>
            <w:r>
              <w:rPr>
                <w:rFonts w:ascii="Times New Roman" w:hAnsi="Times New Roman" w:cs="Times New Roman"/>
                <w:color w:val="000000" w:themeColor="text1"/>
                <w:sz w:val="24"/>
                <w:szCs w:val="24"/>
              </w:rPr>
              <w:t>建设内容及生产工艺，该项目</w:t>
            </w:r>
            <w:r>
              <w:rPr>
                <w:rFonts w:hint="eastAsia" w:ascii="Times New Roman" w:hAnsi="Times New Roman" w:cs="Times New Roman"/>
                <w:color w:val="000000" w:themeColor="text1"/>
                <w:sz w:val="24"/>
                <w:szCs w:val="24"/>
              </w:rPr>
              <w:t>二期工程</w:t>
            </w:r>
            <w:r>
              <w:rPr>
                <w:rFonts w:ascii="Times New Roman" w:hAnsi="Times New Roman" w:cs="Times New Roman"/>
                <w:color w:val="000000" w:themeColor="text1"/>
                <w:sz w:val="24"/>
                <w:szCs w:val="24"/>
              </w:rPr>
              <w:t>用水环节包括洒水抑尘用水、砂石骨料生产用水和生活用水，而废水产生类型包括水泥砖养护废水、生活污水和初期雨水。</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（3）运营期噪声</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根据建设内容及生产工艺，项目</w:t>
            </w:r>
            <w:r>
              <w:rPr>
                <w:rFonts w:hint="eastAsia" w:ascii="Times New Roman" w:hAnsi="Times New Roman" w:cs="Times New Roman"/>
                <w:color w:val="000000" w:themeColor="text1"/>
                <w:sz w:val="24"/>
              </w:rPr>
              <w:t>两期工程</w:t>
            </w:r>
            <w:r>
              <w:rPr>
                <w:rFonts w:ascii="Times New Roman" w:hAnsi="Times New Roman" w:cs="Times New Roman"/>
                <w:color w:val="000000" w:themeColor="text1"/>
                <w:sz w:val="24"/>
              </w:rPr>
              <w:t>噪声污染源主要</w:t>
            </w:r>
            <w:r>
              <w:rPr>
                <w:rFonts w:hint="eastAsia" w:ascii="Times New Roman" w:hAnsi="Times New Roman" w:cs="Times New Roman"/>
                <w:color w:val="000000" w:themeColor="text1"/>
                <w:sz w:val="24"/>
              </w:rPr>
              <w:t>均</w:t>
            </w:r>
            <w:r>
              <w:rPr>
                <w:rFonts w:ascii="Times New Roman" w:hAnsi="Times New Roman" w:cs="Times New Roman"/>
                <w:color w:val="000000" w:themeColor="text1"/>
                <w:sz w:val="24"/>
              </w:rPr>
              <w:t>为设备噪声。</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（4）运营期固体废物</w:t>
            </w:r>
          </w:p>
          <w:p>
            <w:pPr>
              <w:pStyle w:val="40"/>
              <w:ind w:firstLine="482"/>
              <w:rPr>
                <w:rFonts w:eastAsiaTheme="minorEastAsia"/>
                <w:color w:val="000000" w:themeColor="text1"/>
                <w:szCs w:val="24"/>
              </w:rPr>
            </w:pPr>
            <w:r>
              <w:rPr>
                <w:rFonts w:hint="eastAsia"/>
                <w:b/>
                <w:color w:val="000000" w:themeColor="text1"/>
                <w:szCs w:val="24"/>
              </w:rPr>
              <w:t>①一期工程</w:t>
            </w:r>
            <w:r>
              <w:rPr>
                <w:b/>
                <w:color w:val="000000" w:themeColor="text1"/>
                <w:szCs w:val="24"/>
              </w:rPr>
              <w:t>运营期固体废物</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根据项目</w:t>
            </w:r>
            <w:r>
              <w:rPr>
                <w:rFonts w:hint="eastAsia" w:ascii="Times New Roman" w:hAnsi="Times New Roman" w:cs="Times New Roman"/>
                <w:color w:val="000000" w:themeColor="text1"/>
                <w:sz w:val="24"/>
              </w:rPr>
              <w:t>一期工程</w:t>
            </w:r>
            <w:r>
              <w:rPr>
                <w:rFonts w:ascii="Times New Roman" w:hAnsi="Times New Roman" w:cs="Times New Roman"/>
                <w:color w:val="000000" w:themeColor="text1"/>
                <w:sz w:val="24"/>
              </w:rPr>
              <w:t>内容及生产工艺，该项目</w:t>
            </w:r>
            <w:r>
              <w:rPr>
                <w:rFonts w:hint="eastAsia" w:ascii="Times New Roman" w:hAnsi="Times New Roman" w:cs="Times New Roman"/>
                <w:color w:val="000000" w:themeColor="text1"/>
                <w:sz w:val="24"/>
              </w:rPr>
              <w:t>一期工程</w:t>
            </w:r>
            <w:r>
              <w:rPr>
                <w:rFonts w:ascii="Times New Roman" w:hAnsi="Times New Roman" w:cs="Times New Roman"/>
                <w:color w:val="000000" w:themeColor="text1"/>
                <w:sz w:val="24"/>
              </w:rPr>
              <w:t>产生的固体废物包括：砂石骨料生产废水处理系统产生的含水污泥</w:t>
            </w:r>
            <w:r>
              <w:rPr>
                <w:rFonts w:hint="eastAsia" w:ascii="Times New Roman" w:hAnsi="Times New Roman" w:cs="Times New Roman"/>
                <w:color w:val="000000" w:themeColor="text1"/>
                <w:sz w:val="24"/>
              </w:rPr>
              <w:t>、</w:t>
            </w:r>
            <w:r>
              <w:rPr>
                <w:rFonts w:ascii="Times New Roman" w:hAnsi="Times New Roman" w:cs="Times New Roman"/>
                <w:color w:val="000000" w:themeColor="text1"/>
                <w:sz w:val="24"/>
              </w:rPr>
              <w:t>设备维修产生的废机油及废弃沾油抹布、生活垃圾和污水处理设施污泥。</w:t>
            </w:r>
          </w:p>
          <w:p>
            <w:pPr>
              <w:pStyle w:val="40"/>
              <w:ind w:firstLine="482"/>
              <w:rPr>
                <w:rFonts w:eastAsiaTheme="minorEastAsia"/>
                <w:color w:val="000000" w:themeColor="text1"/>
                <w:szCs w:val="24"/>
              </w:rPr>
            </w:pPr>
            <w:r>
              <w:rPr>
                <w:rFonts w:hint="eastAsia"/>
                <w:b/>
                <w:color w:val="000000" w:themeColor="text1"/>
                <w:szCs w:val="24"/>
              </w:rPr>
              <w:t>②二期工程</w:t>
            </w:r>
            <w:r>
              <w:rPr>
                <w:b/>
                <w:color w:val="000000" w:themeColor="text1"/>
                <w:szCs w:val="24"/>
              </w:rPr>
              <w:t>运营期固体废物</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根据项目二期工程内容及生产工艺，该项目二期工程产生的固体废物包括：废砖、袋式除尘器收集粉尘、生活垃圾。</w:t>
            </w: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与项目有关的原有环境污染问题</w:t>
            </w:r>
          </w:p>
        </w:tc>
        <w:tc>
          <w:tcPr>
            <w:tcW w:w="8831" w:type="dxa"/>
          </w:tcPr>
          <w:p>
            <w:pPr>
              <w:spacing w:beforeLines="50"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该项目购买原昆明东川众誉矿业有限责任公司砂厂范围内建设，根据调查，截止现场踏勘日2021年11月17日，原昆明东川众誉矿业有限责任公司生产设施已全部拆除。无相关原有环境问题。</w:t>
            </w: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三、区域环境质量现状、环境保护目标及评价标准</w:t>
      </w:r>
    </w:p>
    <w:tbl>
      <w:tblPr>
        <w:tblStyle w:val="21"/>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5"/>
        <w:gridCol w:w="88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区域环境质量现状</w:t>
            </w:r>
          </w:p>
        </w:tc>
        <w:tc>
          <w:tcPr>
            <w:tcW w:w="8831" w:type="dxa"/>
            <w:vAlign w:val="center"/>
          </w:tcPr>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3.1 环境质量现状</w:t>
            </w:r>
          </w:p>
          <w:p>
            <w:pPr>
              <w:pStyle w:val="40"/>
              <w:ind w:firstLine="482"/>
              <w:rPr>
                <w:rFonts w:eastAsiaTheme="minorEastAsia"/>
                <w:b/>
                <w:color w:val="000000" w:themeColor="text1"/>
                <w:szCs w:val="24"/>
              </w:rPr>
            </w:pPr>
            <w:r>
              <w:rPr>
                <w:rFonts w:eastAsiaTheme="minorEastAsia"/>
                <w:b/>
                <w:color w:val="000000" w:themeColor="text1"/>
                <w:szCs w:val="24"/>
              </w:rPr>
              <w:t>3.1.1 环境空气质量现状</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（1）常规污染物达标情况</w:t>
            </w:r>
          </w:p>
          <w:p>
            <w:pPr>
              <w:pStyle w:val="40"/>
              <w:ind w:firstLine="480"/>
              <w:rPr>
                <w:rFonts w:eastAsiaTheme="minorEastAsia"/>
                <w:color w:val="000000" w:themeColor="text1"/>
                <w:szCs w:val="24"/>
              </w:rPr>
            </w:pPr>
            <w:r>
              <w:rPr>
                <w:rFonts w:eastAsiaTheme="minorEastAsia"/>
                <w:color w:val="000000" w:themeColor="text1"/>
                <w:szCs w:val="24"/>
              </w:rPr>
              <w:t>该项目属于东川区行政区划范围内；根据《2020年度昆明市生态环境状况公报》，2020年，各县（市）区环境空气质量总体保持良好，全年环境空气质量均达到二级标准，与2019年相比，石林县、富民县、寻甸县、嵩明县、安宁市、宜良县和禄劝县环境空气质量均有不同程度改善；晋宁区、东川区环境空气质量有所上升；阳宗海风景名胜区环境空气质量持平。综上分析，项目所在区域属于环境空气质量达标区。</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（2）特征污染物达标情况</w:t>
            </w:r>
          </w:p>
          <w:p>
            <w:pPr>
              <w:pStyle w:val="40"/>
              <w:ind w:firstLine="480"/>
              <w:rPr>
                <w:color w:val="000000" w:themeColor="text1"/>
              </w:rPr>
            </w:pPr>
            <w:r>
              <w:rPr>
                <w:color w:val="000000" w:themeColor="text1"/>
              </w:rPr>
              <w:t>根据项目特点，该项目排放的有国家标准的特征污染物为TSP，根据调查，在昆明市东川金水矿业有限责任公司牛厂坪尾矿充填环境综合治理项目竣工验收期间，建设单位委托云南道达沣环境科技有限公司于2020年12月8日至12月10日对项目大气环境保护目标窝子田村进行了TSP环境质量现状监测，其监测结果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表3.1.1-</w:t>
            </w:r>
            <w:r>
              <w:rPr>
                <w:rFonts w:hint="eastAsia" w:ascii="Times New Roman" w:hAnsi="Times New Roman" w:cs="Times New Roman"/>
                <w:b/>
                <w:color w:val="000000" w:themeColor="text1"/>
                <w:szCs w:val="24"/>
              </w:rPr>
              <w:t>1</w:t>
            </w:r>
            <w:r>
              <w:rPr>
                <w:rFonts w:ascii="Times New Roman" w:hAnsi="Times New Roman" w:cs="Times New Roman"/>
                <w:b/>
                <w:color w:val="000000" w:themeColor="text1"/>
                <w:szCs w:val="24"/>
              </w:rPr>
              <w:t xml:space="preserve">  TSP监测结果一览表 ug/m³</w:t>
            </w:r>
          </w:p>
          <w:tbl>
            <w:tblPr>
              <w:tblStyle w:val="20"/>
              <w:tblpPr w:leftFromText="180" w:rightFromText="180" w:vertAnchor="text" w:horzAnchor="margin" w:tblpXSpec="center" w:tblpY="2"/>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4373"/>
              <w:gridCol w:w="2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5" w:type="pct"/>
                  <w:vMerge w:val="restar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监测点位</w:t>
                  </w:r>
                </w:p>
              </w:tc>
              <w:tc>
                <w:tcPr>
                  <w:tcW w:w="2541" w:type="pct"/>
                  <w:vMerge w:val="restar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采样时间</w:t>
                  </w:r>
                </w:p>
              </w:tc>
              <w:tc>
                <w:tcPr>
                  <w:tcW w:w="1604"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检测结果（μg/m3）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5" w:type="pct"/>
                  <w:vMerge w:val="continue"/>
                  <w:vAlign w:val="center"/>
                </w:tcPr>
                <w:p>
                  <w:pPr>
                    <w:pStyle w:val="32"/>
                    <w:spacing w:line="360" w:lineRule="exact"/>
                    <w:ind w:left="11"/>
                    <w:rPr>
                      <w:rFonts w:eastAsiaTheme="minorEastAsia"/>
                      <w:color w:val="000000" w:themeColor="text1"/>
                      <w:szCs w:val="21"/>
                      <w:lang w:val="en-US"/>
                    </w:rPr>
                  </w:pPr>
                </w:p>
              </w:tc>
              <w:tc>
                <w:tcPr>
                  <w:tcW w:w="2541" w:type="pct"/>
                  <w:vMerge w:val="continue"/>
                  <w:vAlign w:val="center"/>
                </w:tcPr>
                <w:p>
                  <w:pPr>
                    <w:pStyle w:val="32"/>
                    <w:spacing w:line="360" w:lineRule="exact"/>
                    <w:ind w:left="11"/>
                    <w:rPr>
                      <w:rFonts w:eastAsiaTheme="minorEastAsia"/>
                      <w:color w:val="000000" w:themeColor="text1"/>
                      <w:szCs w:val="21"/>
                      <w:lang w:val="en-US"/>
                    </w:rPr>
                  </w:pPr>
                </w:p>
              </w:tc>
              <w:tc>
                <w:tcPr>
                  <w:tcW w:w="1604"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TSP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5" w:type="pct"/>
                  <w:vMerge w:val="restar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窝子田村</w:t>
                  </w:r>
                </w:p>
              </w:tc>
              <w:tc>
                <w:tcPr>
                  <w:tcW w:w="2541"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2020年12月8日08:00-12月9日08:00</w:t>
                  </w:r>
                </w:p>
              </w:tc>
              <w:tc>
                <w:tcPr>
                  <w:tcW w:w="1604"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5" w:type="pct"/>
                  <w:vMerge w:val="continue"/>
                  <w:vAlign w:val="center"/>
                </w:tcPr>
                <w:p>
                  <w:pPr>
                    <w:pStyle w:val="32"/>
                    <w:spacing w:line="360" w:lineRule="exact"/>
                    <w:ind w:left="11"/>
                    <w:rPr>
                      <w:rFonts w:eastAsiaTheme="minorEastAsia"/>
                      <w:color w:val="000000" w:themeColor="text1"/>
                      <w:szCs w:val="21"/>
                      <w:lang w:val="en-US"/>
                    </w:rPr>
                  </w:pPr>
                </w:p>
              </w:tc>
              <w:tc>
                <w:tcPr>
                  <w:tcW w:w="2541"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2020年12月9日08:00-12月10日08:00</w:t>
                  </w:r>
                </w:p>
              </w:tc>
              <w:tc>
                <w:tcPr>
                  <w:tcW w:w="1604"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5" w:type="pct"/>
                  <w:vMerge w:val="continue"/>
                  <w:vAlign w:val="center"/>
                </w:tcPr>
                <w:p>
                  <w:pPr>
                    <w:pStyle w:val="32"/>
                    <w:spacing w:line="360" w:lineRule="exact"/>
                    <w:ind w:left="11"/>
                    <w:rPr>
                      <w:rFonts w:eastAsiaTheme="minorEastAsia"/>
                      <w:color w:val="000000" w:themeColor="text1"/>
                      <w:szCs w:val="21"/>
                      <w:lang w:val="en-US"/>
                    </w:rPr>
                  </w:pPr>
                </w:p>
              </w:tc>
              <w:tc>
                <w:tcPr>
                  <w:tcW w:w="2541"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2020年12月10日08:00-12月11日08:00</w:t>
                  </w:r>
                </w:p>
              </w:tc>
              <w:tc>
                <w:tcPr>
                  <w:tcW w:w="1604"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96" w:type="pct"/>
                  <w:gridSpan w:val="2"/>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标准</w:t>
                  </w:r>
                </w:p>
              </w:tc>
              <w:tc>
                <w:tcPr>
                  <w:tcW w:w="1604"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300</w:t>
                  </w:r>
                </w:p>
              </w:tc>
            </w:tr>
          </w:tbl>
          <w:p>
            <w:pPr>
              <w:pStyle w:val="40"/>
              <w:spacing w:beforeLines="50"/>
              <w:ind w:firstLine="480"/>
              <w:rPr>
                <w:rFonts w:eastAsiaTheme="minorEastAsia"/>
                <w:color w:val="000000" w:themeColor="text1"/>
                <w:szCs w:val="24"/>
              </w:rPr>
            </w:pPr>
            <w:r>
              <w:rPr>
                <w:rFonts w:eastAsiaTheme="minorEastAsia"/>
                <w:color w:val="000000" w:themeColor="text1"/>
                <w:szCs w:val="24"/>
              </w:rPr>
              <w:t>由上表可知，项目区域TSP日均值可达到《环境空气质量标准》（GB3095-2012）二级标准。</w:t>
            </w:r>
          </w:p>
          <w:p>
            <w:pPr>
              <w:pStyle w:val="40"/>
              <w:ind w:firstLine="482"/>
              <w:rPr>
                <w:rFonts w:eastAsiaTheme="minorEastAsia"/>
                <w:b/>
                <w:color w:val="000000" w:themeColor="text1"/>
                <w:szCs w:val="24"/>
              </w:rPr>
            </w:pPr>
            <w:r>
              <w:rPr>
                <w:rFonts w:eastAsiaTheme="minorEastAsia"/>
                <w:b/>
                <w:color w:val="000000" w:themeColor="text1"/>
                <w:szCs w:val="24"/>
              </w:rPr>
              <w:t>3.1.2 地表水环境质量现状</w:t>
            </w:r>
          </w:p>
          <w:p>
            <w:pPr>
              <w:pStyle w:val="40"/>
              <w:ind w:firstLine="480"/>
              <w:rPr>
                <w:color w:val="000000" w:themeColor="text1"/>
                <w:szCs w:val="24"/>
              </w:rPr>
            </w:pPr>
            <w:r>
              <w:rPr>
                <w:color w:val="000000" w:themeColor="text1"/>
                <w:szCs w:val="24"/>
              </w:rPr>
              <w:t>该项目区属于大水沟汇水范围，大水沟位于项目区东侧2m，大水沟最终汇入金沙江。根据云南省水利厅发布的《云南省水功能区划》（2014版），金沙江滇川4号缓冲区，从出省界前5km处-向家坝水电站坝轴线下1.8km，2030年的水质目标为III类水体，大水沟无环境功能区划，根据水功能区划原则，参照执行金沙江河段的功能区划，亦执行《地表水环境质量标准》（GB3838-2002）III类水标准。</w:t>
            </w:r>
          </w:p>
          <w:p>
            <w:pPr>
              <w:pStyle w:val="40"/>
              <w:ind w:firstLine="480"/>
              <w:rPr>
                <w:color w:val="000000" w:themeColor="text1"/>
                <w:szCs w:val="24"/>
              </w:rPr>
            </w:pPr>
            <w:r>
              <w:rPr>
                <w:color w:val="000000" w:themeColor="text1"/>
                <w:szCs w:val="24"/>
              </w:rPr>
              <w:t>根据调查，在昆明市东川金水矿业有限责任公司牛厂坪尾矿充填环境综合治理项目竣工验收期间，建设单位委托云南道达沣环境科技有限公司于2020年12月8日至12月10日对大水沟（项目区下游975m处）断面进行了现状监测，监测结果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表3.1.</w:t>
            </w:r>
            <w:r>
              <w:rPr>
                <w:rFonts w:hint="eastAsia" w:ascii="Times New Roman" w:hAnsi="Times New Roman" w:cs="Times New Roman"/>
                <w:b/>
                <w:color w:val="000000" w:themeColor="text1"/>
                <w:szCs w:val="24"/>
              </w:rPr>
              <w:t>1</w:t>
            </w:r>
            <w:r>
              <w:rPr>
                <w:rFonts w:ascii="Times New Roman" w:hAnsi="Times New Roman" w:cs="Times New Roman"/>
                <w:b/>
                <w:color w:val="000000" w:themeColor="text1"/>
                <w:szCs w:val="24"/>
              </w:rPr>
              <w:t>-</w:t>
            </w:r>
            <w:r>
              <w:rPr>
                <w:rFonts w:hint="eastAsia" w:ascii="Times New Roman" w:hAnsi="Times New Roman" w:cs="Times New Roman"/>
                <w:b/>
                <w:color w:val="000000" w:themeColor="text1"/>
                <w:szCs w:val="24"/>
              </w:rPr>
              <w:t>2</w:t>
            </w:r>
            <w:r>
              <w:rPr>
                <w:rFonts w:ascii="Times New Roman" w:hAnsi="Times New Roman" w:cs="Times New Roman"/>
                <w:b/>
                <w:color w:val="000000" w:themeColor="text1"/>
                <w:szCs w:val="24"/>
              </w:rPr>
              <w:t xml:space="preserve"> 大水沟（项目区下游975m处）水质检测结果一览表 单位：单位mg/L </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2"/>
              <w:gridCol w:w="1696"/>
              <w:gridCol w:w="2284"/>
              <w:gridCol w:w="1349"/>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006"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项目名称</w:t>
                  </w:r>
                </w:p>
              </w:tc>
              <w:tc>
                <w:tcPr>
                  <w:tcW w:w="985"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采样日期</w:t>
                  </w:r>
                </w:p>
              </w:tc>
              <w:tc>
                <w:tcPr>
                  <w:tcW w:w="1327"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检测结果</w:t>
                  </w:r>
                </w:p>
              </w:tc>
              <w:tc>
                <w:tcPr>
                  <w:tcW w:w="784"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标准</w:t>
                  </w:r>
                </w:p>
              </w:tc>
              <w:tc>
                <w:tcPr>
                  <w:tcW w:w="897"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6" w:type="pct"/>
                  <w:vMerge w:val="restar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pH无量纲</w:t>
                  </w:r>
                </w:p>
              </w:tc>
              <w:tc>
                <w:tcPr>
                  <w:tcW w:w="985"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2020-12-8</w:t>
                  </w:r>
                </w:p>
              </w:tc>
              <w:tc>
                <w:tcPr>
                  <w:tcW w:w="1327"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8.41</w:t>
                  </w:r>
                </w:p>
              </w:tc>
              <w:tc>
                <w:tcPr>
                  <w:tcW w:w="784" w:type="pct"/>
                  <w:vMerge w:val="restar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6~9</w:t>
                  </w:r>
                </w:p>
              </w:tc>
              <w:tc>
                <w:tcPr>
                  <w:tcW w:w="897"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6" w:type="pct"/>
                  <w:vMerge w:val="continue"/>
                  <w:vAlign w:val="center"/>
                </w:tcPr>
                <w:p>
                  <w:pPr>
                    <w:pStyle w:val="32"/>
                    <w:spacing w:line="360" w:lineRule="exact"/>
                    <w:ind w:left="11"/>
                    <w:rPr>
                      <w:rFonts w:eastAsiaTheme="minorEastAsia"/>
                      <w:color w:val="000000" w:themeColor="text1"/>
                      <w:szCs w:val="21"/>
                      <w:lang w:val="en-US"/>
                    </w:rPr>
                  </w:pPr>
                </w:p>
              </w:tc>
              <w:tc>
                <w:tcPr>
                  <w:tcW w:w="985"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2020-12-9</w:t>
                  </w:r>
                </w:p>
              </w:tc>
              <w:tc>
                <w:tcPr>
                  <w:tcW w:w="1327"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8.25</w:t>
                  </w:r>
                </w:p>
              </w:tc>
              <w:tc>
                <w:tcPr>
                  <w:tcW w:w="784" w:type="pct"/>
                  <w:vMerge w:val="continue"/>
                  <w:vAlign w:val="center"/>
                </w:tcPr>
                <w:p>
                  <w:pPr>
                    <w:pStyle w:val="32"/>
                    <w:spacing w:line="360" w:lineRule="exact"/>
                    <w:ind w:left="11"/>
                    <w:rPr>
                      <w:rFonts w:eastAsiaTheme="minorEastAsia"/>
                      <w:color w:val="000000" w:themeColor="text1"/>
                      <w:szCs w:val="21"/>
                      <w:lang w:val="en-US"/>
                    </w:rPr>
                  </w:pPr>
                </w:p>
              </w:tc>
              <w:tc>
                <w:tcPr>
                  <w:tcW w:w="897" w:type="pct"/>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6" w:type="pct"/>
                  <w:vMerge w:val="continue"/>
                  <w:vAlign w:val="center"/>
                </w:tcPr>
                <w:p>
                  <w:pPr>
                    <w:pStyle w:val="32"/>
                    <w:spacing w:line="360" w:lineRule="exact"/>
                    <w:ind w:left="11"/>
                    <w:rPr>
                      <w:rFonts w:eastAsiaTheme="minorEastAsia"/>
                      <w:color w:val="000000" w:themeColor="text1"/>
                      <w:szCs w:val="21"/>
                      <w:lang w:val="en-US"/>
                    </w:rPr>
                  </w:pPr>
                </w:p>
              </w:tc>
              <w:tc>
                <w:tcPr>
                  <w:tcW w:w="985"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2020-12-10</w:t>
                  </w:r>
                </w:p>
              </w:tc>
              <w:tc>
                <w:tcPr>
                  <w:tcW w:w="1327"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8.27</w:t>
                  </w:r>
                </w:p>
              </w:tc>
              <w:tc>
                <w:tcPr>
                  <w:tcW w:w="784" w:type="pct"/>
                  <w:vMerge w:val="continue"/>
                  <w:vAlign w:val="center"/>
                </w:tcPr>
                <w:p>
                  <w:pPr>
                    <w:pStyle w:val="32"/>
                    <w:spacing w:line="360" w:lineRule="exact"/>
                    <w:ind w:left="11"/>
                    <w:rPr>
                      <w:rFonts w:eastAsiaTheme="minorEastAsia"/>
                      <w:color w:val="000000" w:themeColor="text1"/>
                      <w:szCs w:val="21"/>
                      <w:lang w:val="en-US"/>
                    </w:rPr>
                  </w:pPr>
                </w:p>
              </w:tc>
              <w:tc>
                <w:tcPr>
                  <w:tcW w:w="897" w:type="pct"/>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6" w:type="pct"/>
                  <w:vMerge w:val="restar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五日生化需氧量</w:t>
                  </w:r>
                </w:p>
              </w:tc>
              <w:tc>
                <w:tcPr>
                  <w:tcW w:w="985"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2020-12-8</w:t>
                  </w:r>
                </w:p>
              </w:tc>
              <w:tc>
                <w:tcPr>
                  <w:tcW w:w="1327"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2.8</w:t>
                  </w:r>
                </w:p>
              </w:tc>
              <w:tc>
                <w:tcPr>
                  <w:tcW w:w="784" w:type="pct"/>
                  <w:vMerge w:val="restar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3</w:t>
                  </w:r>
                </w:p>
              </w:tc>
              <w:tc>
                <w:tcPr>
                  <w:tcW w:w="897" w:type="pct"/>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6" w:type="pct"/>
                  <w:vMerge w:val="continue"/>
                  <w:vAlign w:val="center"/>
                </w:tcPr>
                <w:p>
                  <w:pPr>
                    <w:pStyle w:val="32"/>
                    <w:spacing w:line="360" w:lineRule="exact"/>
                    <w:ind w:left="11"/>
                    <w:rPr>
                      <w:rFonts w:eastAsiaTheme="minorEastAsia"/>
                      <w:color w:val="000000" w:themeColor="text1"/>
                      <w:szCs w:val="21"/>
                      <w:lang w:val="en-US"/>
                    </w:rPr>
                  </w:pPr>
                </w:p>
              </w:tc>
              <w:tc>
                <w:tcPr>
                  <w:tcW w:w="985"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2020-12-9</w:t>
                  </w:r>
                </w:p>
              </w:tc>
              <w:tc>
                <w:tcPr>
                  <w:tcW w:w="1327"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2.6</w:t>
                  </w:r>
                </w:p>
              </w:tc>
              <w:tc>
                <w:tcPr>
                  <w:tcW w:w="784" w:type="pct"/>
                  <w:vMerge w:val="continue"/>
                  <w:vAlign w:val="center"/>
                </w:tcPr>
                <w:p>
                  <w:pPr>
                    <w:pStyle w:val="32"/>
                    <w:spacing w:line="360" w:lineRule="exact"/>
                    <w:ind w:left="11"/>
                    <w:rPr>
                      <w:rFonts w:eastAsiaTheme="minorEastAsia"/>
                      <w:color w:val="000000" w:themeColor="text1"/>
                      <w:szCs w:val="21"/>
                      <w:lang w:val="en-US"/>
                    </w:rPr>
                  </w:pPr>
                </w:p>
              </w:tc>
              <w:tc>
                <w:tcPr>
                  <w:tcW w:w="897" w:type="pct"/>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6" w:type="pct"/>
                  <w:vMerge w:val="continue"/>
                  <w:vAlign w:val="center"/>
                </w:tcPr>
                <w:p>
                  <w:pPr>
                    <w:pStyle w:val="32"/>
                    <w:spacing w:line="360" w:lineRule="exact"/>
                    <w:ind w:left="11"/>
                    <w:rPr>
                      <w:rFonts w:eastAsiaTheme="minorEastAsia"/>
                      <w:color w:val="000000" w:themeColor="text1"/>
                      <w:szCs w:val="21"/>
                      <w:lang w:val="en-US"/>
                    </w:rPr>
                  </w:pPr>
                </w:p>
              </w:tc>
              <w:tc>
                <w:tcPr>
                  <w:tcW w:w="985"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2020-12-10</w:t>
                  </w:r>
                </w:p>
              </w:tc>
              <w:tc>
                <w:tcPr>
                  <w:tcW w:w="1327"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2.7</w:t>
                  </w:r>
                </w:p>
              </w:tc>
              <w:tc>
                <w:tcPr>
                  <w:tcW w:w="784" w:type="pct"/>
                  <w:vMerge w:val="continue"/>
                  <w:vAlign w:val="center"/>
                </w:tcPr>
                <w:p>
                  <w:pPr>
                    <w:pStyle w:val="32"/>
                    <w:spacing w:line="360" w:lineRule="exact"/>
                    <w:ind w:left="11"/>
                    <w:rPr>
                      <w:rFonts w:eastAsiaTheme="minorEastAsia"/>
                      <w:color w:val="000000" w:themeColor="text1"/>
                      <w:szCs w:val="21"/>
                      <w:lang w:val="en-US"/>
                    </w:rPr>
                  </w:pPr>
                </w:p>
              </w:tc>
              <w:tc>
                <w:tcPr>
                  <w:tcW w:w="897" w:type="pct"/>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6" w:type="pct"/>
                  <w:vMerge w:val="restar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化学需氧量</w:t>
                  </w:r>
                </w:p>
              </w:tc>
              <w:tc>
                <w:tcPr>
                  <w:tcW w:w="985"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2020-12-8</w:t>
                  </w:r>
                </w:p>
              </w:tc>
              <w:tc>
                <w:tcPr>
                  <w:tcW w:w="1327"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19</w:t>
                  </w:r>
                </w:p>
              </w:tc>
              <w:tc>
                <w:tcPr>
                  <w:tcW w:w="784" w:type="pct"/>
                  <w:vMerge w:val="restar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15</w:t>
                  </w:r>
                </w:p>
              </w:tc>
              <w:tc>
                <w:tcPr>
                  <w:tcW w:w="897" w:type="pct"/>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6" w:type="pct"/>
                  <w:vMerge w:val="continue"/>
                  <w:vAlign w:val="center"/>
                </w:tcPr>
                <w:p>
                  <w:pPr>
                    <w:pStyle w:val="32"/>
                    <w:spacing w:line="360" w:lineRule="exact"/>
                    <w:ind w:left="11"/>
                    <w:rPr>
                      <w:rFonts w:eastAsiaTheme="minorEastAsia"/>
                      <w:color w:val="000000" w:themeColor="text1"/>
                      <w:szCs w:val="21"/>
                      <w:lang w:val="en-US"/>
                    </w:rPr>
                  </w:pPr>
                </w:p>
              </w:tc>
              <w:tc>
                <w:tcPr>
                  <w:tcW w:w="985"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2020-12-9</w:t>
                  </w:r>
                </w:p>
              </w:tc>
              <w:tc>
                <w:tcPr>
                  <w:tcW w:w="1327"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17</w:t>
                  </w:r>
                </w:p>
              </w:tc>
              <w:tc>
                <w:tcPr>
                  <w:tcW w:w="784" w:type="pct"/>
                  <w:vMerge w:val="continue"/>
                  <w:vAlign w:val="center"/>
                </w:tcPr>
                <w:p>
                  <w:pPr>
                    <w:pStyle w:val="32"/>
                    <w:spacing w:line="360" w:lineRule="exact"/>
                    <w:ind w:left="11"/>
                    <w:rPr>
                      <w:rFonts w:eastAsiaTheme="minorEastAsia"/>
                      <w:color w:val="000000" w:themeColor="text1"/>
                      <w:szCs w:val="21"/>
                      <w:lang w:val="en-US"/>
                    </w:rPr>
                  </w:pPr>
                </w:p>
              </w:tc>
              <w:tc>
                <w:tcPr>
                  <w:tcW w:w="897" w:type="pct"/>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6" w:type="pct"/>
                  <w:vMerge w:val="continue"/>
                  <w:vAlign w:val="center"/>
                </w:tcPr>
                <w:p>
                  <w:pPr>
                    <w:pStyle w:val="32"/>
                    <w:spacing w:line="360" w:lineRule="exact"/>
                    <w:ind w:left="11"/>
                    <w:rPr>
                      <w:rFonts w:eastAsiaTheme="minorEastAsia"/>
                      <w:color w:val="000000" w:themeColor="text1"/>
                      <w:szCs w:val="21"/>
                      <w:lang w:val="en-US"/>
                    </w:rPr>
                  </w:pPr>
                </w:p>
              </w:tc>
              <w:tc>
                <w:tcPr>
                  <w:tcW w:w="985"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2020-12-10</w:t>
                  </w:r>
                </w:p>
              </w:tc>
              <w:tc>
                <w:tcPr>
                  <w:tcW w:w="1327"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18</w:t>
                  </w:r>
                </w:p>
              </w:tc>
              <w:tc>
                <w:tcPr>
                  <w:tcW w:w="784" w:type="pct"/>
                  <w:vMerge w:val="continue"/>
                  <w:vAlign w:val="center"/>
                </w:tcPr>
                <w:p>
                  <w:pPr>
                    <w:pStyle w:val="32"/>
                    <w:spacing w:line="360" w:lineRule="exact"/>
                    <w:ind w:left="11"/>
                    <w:rPr>
                      <w:rFonts w:eastAsiaTheme="minorEastAsia"/>
                      <w:color w:val="000000" w:themeColor="text1"/>
                      <w:szCs w:val="21"/>
                      <w:lang w:val="en-US"/>
                    </w:rPr>
                  </w:pPr>
                </w:p>
              </w:tc>
              <w:tc>
                <w:tcPr>
                  <w:tcW w:w="897" w:type="pct"/>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6" w:type="pct"/>
                  <w:vMerge w:val="restar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铜</w:t>
                  </w:r>
                </w:p>
              </w:tc>
              <w:tc>
                <w:tcPr>
                  <w:tcW w:w="985"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2020-12-8</w:t>
                  </w:r>
                </w:p>
              </w:tc>
              <w:tc>
                <w:tcPr>
                  <w:tcW w:w="1327"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0.0016</w:t>
                  </w:r>
                </w:p>
              </w:tc>
              <w:tc>
                <w:tcPr>
                  <w:tcW w:w="784" w:type="pct"/>
                  <w:vMerge w:val="restar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1.0</w:t>
                  </w:r>
                </w:p>
              </w:tc>
              <w:tc>
                <w:tcPr>
                  <w:tcW w:w="897" w:type="pct"/>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6" w:type="pct"/>
                  <w:vMerge w:val="continue"/>
                  <w:vAlign w:val="center"/>
                </w:tcPr>
                <w:p>
                  <w:pPr>
                    <w:pStyle w:val="32"/>
                    <w:spacing w:line="360" w:lineRule="exact"/>
                    <w:ind w:left="11"/>
                    <w:rPr>
                      <w:rFonts w:eastAsiaTheme="minorEastAsia"/>
                      <w:color w:val="000000" w:themeColor="text1"/>
                      <w:szCs w:val="21"/>
                      <w:lang w:val="en-US"/>
                    </w:rPr>
                  </w:pPr>
                </w:p>
              </w:tc>
              <w:tc>
                <w:tcPr>
                  <w:tcW w:w="985"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2020-12-9</w:t>
                  </w:r>
                </w:p>
              </w:tc>
              <w:tc>
                <w:tcPr>
                  <w:tcW w:w="1327"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0.0015</w:t>
                  </w:r>
                </w:p>
              </w:tc>
              <w:tc>
                <w:tcPr>
                  <w:tcW w:w="784" w:type="pct"/>
                  <w:vMerge w:val="continue"/>
                  <w:vAlign w:val="center"/>
                </w:tcPr>
                <w:p>
                  <w:pPr>
                    <w:pStyle w:val="32"/>
                    <w:spacing w:line="360" w:lineRule="exact"/>
                    <w:ind w:left="11"/>
                    <w:rPr>
                      <w:rFonts w:eastAsiaTheme="minorEastAsia"/>
                      <w:color w:val="000000" w:themeColor="text1"/>
                      <w:szCs w:val="21"/>
                      <w:lang w:val="en-US"/>
                    </w:rPr>
                  </w:pPr>
                </w:p>
              </w:tc>
              <w:tc>
                <w:tcPr>
                  <w:tcW w:w="897" w:type="pct"/>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6" w:type="pct"/>
                  <w:vMerge w:val="continue"/>
                  <w:vAlign w:val="center"/>
                </w:tcPr>
                <w:p>
                  <w:pPr>
                    <w:pStyle w:val="32"/>
                    <w:spacing w:line="360" w:lineRule="exact"/>
                    <w:ind w:left="11"/>
                    <w:rPr>
                      <w:rFonts w:eastAsiaTheme="minorEastAsia"/>
                      <w:color w:val="000000" w:themeColor="text1"/>
                      <w:szCs w:val="21"/>
                      <w:lang w:val="en-US"/>
                    </w:rPr>
                  </w:pPr>
                </w:p>
              </w:tc>
              <w:tc>
                <w:tcPr>
                  <w:tcW w:w="985"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2020-12-10</w:t>
                  </w:r>
                </w:p>
              </w:tc>
              <w:tc>
                <w:tcPr>
                  <w:tcW w:w="1327"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0.0016</w:t>
                  </w:r>
                </w:p>
              </w:tc>
              <w:tc>
                <w:tcPr>
                  <w:tcW w:w="784" w:type="pct"/>
                  <w:vMerge w:val="continue"/>
                  <w:vAlign w:val="center"/>
                </w:tcPr>
                <w:p>
                  <w:pPr>
                    <w:pStyle w:val="32"/>
                    <w:spacing w:line="360" w:lineRule="exact"/>
                    <w:ind w:left="11"/>
                    <w:rPr>
                      <w:rFonts w:eastAsiaTheme="minorEastAsia"/>
                      <w:color w:val="000000" w:themeColor="text1"/>
                      <w:szCs w:val="21"/>
                      <w:lang w:val="en-US"/>
                    </w:rPr>
                  </w:pPr>
                </w:p>
              </w:tc>
              <w:tc>
                <w:tcPr>
                  <w:tcW w:w="897" w:type="pct"/>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6" w:type="pct"/>
                  <w:vMerge w:val="restar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锌</w:t>
                  </w:r>
                </w:p>
              </w:tc>
              <w:tc>
                <w:tcPr>
                  <w:tcW w:w="985"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2020-12-8</w:t>
                  </w:r>
                </w:p>
              </w:tc>
              <w:tc>
                <w:tcPr>
                  <w:tcW w:w="1327"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0.05L</w:t>
                  </w:r>
                </w:p>
              </w:tc>
              <w:tc>
                <w:tcPr>
                  <w:tcW w:w="784" w:type="pct"/>
                  <w:vMerge w:val="restar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1.0</w:t>
                  </w:r>
                </w:p>
              </w:tc>
              <w:tc>
                <w:tcPr>
                  <w:tcW w:w="897" w:type="pct"/>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6" w:type="pct"/>
                  <w:vMerge w:val="continue"/>
                  <w:vAlign w:val="center"/>
                </w:tcPr>
                <w:p>
                  <w:pPr>
                    <w:pStyle w:val="32"/>
                    <w:spacing w:line="360" w:lineRule="exact"/>
                    <w:ind w:left="11"/>
                    <w:rPr>
                      <w:rFonts w:eastAsiaTheme="minorEastAsia"/>
                      <w:color w:val="000000" w:themeColor="text1"/>
                      <w:szCs w:val="21"/>
                      <w:lang w:val="en-US"/>
                    </w:rPr>
                  </w:pPr>
                </w:p>
              </w:tc>
              <w:tc>
                <w:tcPr>
                  <w:tcW w:w="985"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2020-12-9</w:t>
                  </w:r>
                </w:p>
              </w:tc>
              <w:tc>
                <w:tcPr>
                  <w:tcW w:w="1327"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0.05L</w:t>
                  </w:r>
                </w:p>
              </w:tc>
              <w:tc>
                <w:tcPr>
                  <w:tcW w:w="784" w:type="pct"/>
                  <w:vMerge w:val="continue"/>
                  <w:vAlign w:val="center"/>
                </w:tcPr>
                <w:p>
                  <w:pPr>
                    <w:pStyle w:val="32"/>
                    <w:spacing w:line="360" w:lineRule="exact"/>
                    <w:ind w:left="11"/>
                    <w:rPr>
                      <w:rFonts w:eastAsiaTheme="minorEastAsia"/>
                      <w:color w:val="000000" w:themeColor="text1"/>
                      <w:szCs w:val="21"/>
                      <w:lang w:val="en-US"/>
                    </w:rPr>
                  </w:pPr>
                </w:p>
              </w:tc>
              <w:tc>
                <w:tcPr>
                  <w:tcW w:w="897" w:type="pct"/>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6" w:type="pct"/>
                  <w:vMerge w:val="continue"/>
                  <w:vAlign w:val="center"/>
                </w:tcPr>
                <w:p>
                  <w:pPr>
                    <w:pStyle w:val="32"/>
                    <w:spacing w:line="360" w:lineRule="exact"/>
                    <w:ind w:left="11"/>
                    <w:rPr>
                      <w:rFonts w:eastAsiaTheme="minorEastAsia"/>
                      <w:color w:val="000000" w:themeColor="text1"/>
                      <w:szCs w:val="21"/>
                      <w:lang w:val="en-US"/>
                    </w:rPr>
                  </w:pPr>
                </w:p>
              </w:tc>
              <w:tc>
                <w:tcPr>
                  <w:tcW w:w="985"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2020-12-10</w:t>
                  </w:r>
                </w:p>
              </w:tc>
              <w:tc>
                <w:tcPr>
                  <w:tcW w:w="1327"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0.05L</w:t>
                  </w:r>
                </w:p>
              </w:tc>
              <w:tc>
                <w:tcPr>
                  <w:tcW w:w="784" w:type="pct"/>
                  <w:vMerge w:val="continue"/>
                  <w:vAlign w:val="center"/>
                </w:tcPr>
                <w:p>
                  <w:pPr>
                    <w:pStyle w:val="32"/>
                    <w:spacing w:line="360" w:lineRule="exact"/>
                    <w:ind w:left="11"/>
                    <w:rPr>
                      <w:rFonts w:eastAsiaTheme="minorEastAsia"/>
                      <w:color w:val="000000" w:themeColor="text1"/>
                      <w:szCs w:val="21"/>
                      <w:lang w:val="en-US"/>
                    </w:rPr>
                  </w:pPr>
                </w:p>
              </w:tc>
              <w:tc>
                <w:tcPr>
                  <w:tcW w:w="897" w:type="pct"/>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6" w:type="pct"/>
                  <w:vMerge w:val="restar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铅</w:t>
                  </w:r>
                </w:p>
              </w:tc>
              <w:tc>
                <w:tcPr>
                  <w:tcW w:w="985"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2020-12-8</w:t>
                  </w:r>
                </w:p>
              </w:tc>
              <w:tc>
                <w:tcPr>
                  <w:tcW w:w="1327"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0.003</w:t>
                  </w:r>
                </w:p>
              </w:tc>
              <w:tc>
                <w:tcPr>
                  <w:tcW w:w="784" w:type="pct"/>
                  <w:vMerge w:val="restar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0.01</w:t>
                  </w:r>
                </w:p>
              </w:tc>
              <w:tc>
                <w:tcPr>
                  <w:tcW w:w="897" w:type="pct"/>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6" w:type="pct"/>
                  <w:vMerge w:val="continue"/>
                  <w:vAlign w:val="center"/>
                </w:tcPr>
                <w:p>
                  <w:pPr>
                    <w:pStyle w:val="32"/>
                    <w:spacing w:line="360" w:lineRule="exact"/>
                    <w:ind w:left="11"/>
                    <w:rPr>
                      <w:rFonts w:eastAsiaTheme="minorEastAsia"/>
                      <w:color w:val="000000" w:themeColor="text1"/>
                      <w:szCs w:val="21"/>
                      <w:lang w:val="en-US"/>
                    </w:rPr>
                  </w:pPr>
                </w:p>
              </w:tc>
              <w:tc>
                <w:tcPr>
                  <w:tcW w:w="985"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2020-12-9</w:t>
                  </w:r>
                </w:p>
              </w:tc>
              <w:tc>
                <w:tcPr>
                  <w:tcW w:w="1327"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0.003</w:t>
                  </w:r>
                </w:p>
              </w:tc>
              <w:tc>
                <w:tcPr>
                  <w:tcW w:w="784" w:type="pct"/>
                  <w:vMerge w:val="continue"/>
                  <w:vAlign w:val="center"/>
                </w:tcPr>
                <w:p>
                  <w:pPr>
                    <w:pStyle w:val="32"/>
                    <w:spacing w:line="360" w:lineRule="exact"/>
                    <w:ind w:left="11"/>
                    <w:rPr>
                      <w:rFonts w:eastAsiaTheme="minorEastAsia"/>
                      <w:color w:val="000000" w:themeColor="text1"/>
                      <w:szCs w:val="21"/>
                      <w:lang w:val="en-US"/>
                    </w:rPr>
                  </w:pPr>
                </w:p>
              </w:tc>
              <w:tc>
                <w:tcPr>
                  <w:tcW w:w="897" w:type="pct"/>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6" w:type="pct"/>
                  <w:vMerge w:val="continue"/>
                  <w:vAlign w:val="center"/>
                </w:tcPr>
                <w:p>
                  <w:pPr>
                    <w:pStyle w:val="32"/>
                    <w:spacing w:line="360" w:lineRule="exact"/>
                    <w:ind w:left="11"/>
                    <w:rPr>
                      <w:rFonts w:eastAsiaTheme="minorEastAsia"/>
                      <w:color w:val="000000" w:themeColor="text1"/>
                      <w:szCs w:val="21"/>
                      <w:lang w:val="en-US"/>
                    </w:rPr>
                  </w:pPr>
                </w:p>
              </w:tc>
              <w:tc>
                <w:tcPr>
                  <w:tcW w:w="985"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2020-12-10</w:t>
                  </w:r>
                </w:p>
              </w:tc>
              <w:tc>
                <w:tcPr>
                  <w:tcW w:w="1327"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0.003</w:t>
                  </w:r>
                </w:p>
              </w:tc>
              <w:tc>
                <w:tcPr>
                  <w:tcW w:w="784" w:type="pct"/>
                  <w:vMerge w:val="continue"/>
                  <w:vAlign w:val="center"/>
                </w:tcPr>
                <w:p>
                  <w:pPr>
                    <w:pStyle w:val="32"/>
                    <w:spacing w:line="360" w:lineRule="exact"/>
                    <w:ind w:left="11"/>
                    <w:rPr>
                      <w:rFonts w:eastAsiaTheme="minorEastAsia"/>
                      <w:color w:val="000000" w:themeColor="text1"/>
                      <w:szCs w:val="21"/>
                      <w:lang w:val="en-US"/>
                    </w:rPr>
                  </w:pPr>
                </w:p>
              </w:tc>
              <w:tc>
                <w:tcPr>
                  <w:tcW w:w="897" w:type="pct"/>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6" w:type="pct"/>
                  <w:vMerge w:val="restar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镉</w:t>
                  </w:r>
                </w:p>
              </w:tc>
              <w:tc>
                <w:tcPr>
                  <w:tcW w:w="985"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2020-12-8</w:t>
                  </w:r>
                </w:p>
              </w:tc>
              <w:tc>
                <w:tcPr>
                  <w:tcW w:w="1327"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0.0004</w:t>
                  </w:r>
                </w:p>
              </w:tc>
              <w:tc>
                <w:tcPr>
                  <w:tcW w:w="784" w:type="pct"/>
                  <w:vMerge w:val="restar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0.005</w:t>
                  </w:r>
                </w:p>
              </w:tc>
              <w:tc>
                <w:tcPr>
                  <w:tcW w:w="897" w:type="pct"/>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6" w:type="pct"/>
                  <w:vMerge w:val="continue"/>
                  <w:vAlign w:val="center"/>
                </w:tcPr>
                <w:p>
                  <w:pPr>
                    <w:pStyle w:val="32"/>
                    <w:spacing w:line="360" w:lineRule="exact"/>
                    <w:ind w:left="11"/>
                    <w:rPr>
                      <w:rFonts w:eastAsiaTheme="minorEastAsia"/>
                      <w:color w:val="000000" w:themeColor="text1"/>
                      <w:szCs w:val="21"/>
                      <w:lang w:val="en-US"/>
                    </w:rPr>
                  </w:pPr>
                </w:p>
              </w:tc>
              <w:tc>
                <w:tcPr>
                  <w:tcW w:w="985"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2020-12-9</w:t>
                  </w:r>
                </w:p>
              </w:tc>
              <w:tc>
                <w:tcPr>
                  <w:tcW w:w="1327"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0.0006</w:t>
                  </w:r>
                </w:p>
              </w:tc>
              <w:tc>
                <w:tcPr>
                  <w:tcW w:w="784" w:type="pct"/>
                  <w:vMerge w:val="continue"/>
                  <w:vAlign w:val="center"/>
                </w:tcPr>
                <w:p>
                  <w:pPr>
                    <w:pStyle w:val="32"/>
                    <w:spacing w:line="360" w:lineRule="exact"/>
                    <w:ind w:left="11"/>
                    <w:rPr>
                      <w:rFonts w:eastAsiaTheme="minorEastAsia"/>
                      <w:color w:val="000000" w:themeColor="text1"/>
                      <w:szCs w:val="21"/>
                      <w:lang w:val="en-US"/>
                    </w:rPr>
                  </w:pPr>
                </w:p>
              </w:tc>
              <w:tc>
                <w:tcPr>
                  <w:tcW w:w="897" w:type="pct"/>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6" w:type="pct"/>
                  <w:vMerge w:val="continue"/>
                  <w:vAlign w:val="center"/>
                </w:tcPr>
                <w:p>
                  <w:pPr>
                    <w:pStyle w:val="32"/>
                    <w:spacing w:line="360" w:lineRule="exact"/>
                    <w:ind w:left="11"/>
                    <w:rPr>
                      <w:rFonts w:eastAsiaTheme="minorEastAsia"/>
                      <w:color w:val="000000" w:themeColor="text1"/>
                      <w:szCs w:val="21"/>
                      <w:lang w:val="en-US"/>
                    </w:rPr>
                  </w:pPr>
                </w:p>
              </w:tc>
              <w:tc>
                <w:tcPr>
                  <w:tcW w:w="985"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2020-12-10</w:t>
                  </w:r>
                </w:p>
              </w:tc>
              <w:tc>
                <w:tcPr>
                  <w:tcW w:w="1327"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0.0004</w:t>
                  </w:r>
                </w:p>
              </w:tc>
              <w:tc>
                <w:tcPr>
                  <w:tcW w:w="784" w:type="pct"/>
                  <w:vMerge w:val="continue"/>
                  <w:vAlign w:val="center"/>
                </w:tcPr>
                <w:p>
                  <w:pPr>
                    <w:pStyle w:val="32"/>
                    <w:spacing w:line="360" w:lineRule="exact"/>
                    <w:ind w:left="11"/>
                    <w:rPr>
                      <w:rFonts w:eastAsiaTheme="minorEastAsia"/>
                      <w:color w:val="000000" w:themeColor="text1"/>
                      <w:szCs w:val="21"/>
                      <w:lang w:val="en-US"/>
                    </w:rPr>
                  </w:pPr>
                </w:p>
              </w:tc>
              <w:tc>
                <w:tcPr>
                  <w:tcW w:w="897" w:type="pct"/>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6" w:type="pct"/>
                  <w:vMerge w:val="restar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砷</w:t>
                  </w:r>
                </w:p>
              </w:tc>
              <w:tc>
                <w:tcPr>
                  <w:tcW w:w="985"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2020-12-8</w:t>
                  </w:r>
                </w:p>
              </w:tc>
              <w:tc>
                <w:tcPr>
                  <w:tcW w:w="1327"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0.0079</w:t>
                  </w:r>
                </w:p>
              </w:tc>
              <w:tc>
                <w:tcPr>
                  <w:tcW w:w="784" w:type="pct"/>
                  <w:vMerge w:val="restar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0.05</w:t>
                  </w:r>
                </w:p>
              </w:tc>
              <w:tc>
                <w:tcPr>
                  <w:tcW w:w="897" w:type="pct"/>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6" w:type="pct"/>
                  <w:vMerge w:val="continue"/>
                  <w:vAlign w:val="center"/>
                </w:tcPr>
                <w:p>
                  <w:pPr>
                    <w:pStyle w:val="32"/>
                    <w:spacing w:line="360" w:lineRule="exact"/>
                    <w:ind w:left="11"/>
                    <w:rPr>
                      <w:rFonts w:eastAsiaTheme="minorEastAsia"/>
                      <w:color w:val="000000" w:themeColor="text1"/>
                      <w:szCs w:val="21"/>
                      <w:lang w:val="en-US"/>
                    </w:rPr>
                  </w:pPr>
                </w:p>
              </w:tc>
              <w:tc>
                <w:tcPr>
                  <w:tcW w:w="985"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2020-12-9</w:t>
                  </w:r>
                </w:p>
              </w:tc>
              <w:tc>
                <w:tcPr>
                  <w:tcW w:w="1327"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0.0071</w:t>
                  </w:r>
                </w:p>
              </w:tc>
              <w:tc>
                <w:tcPr>
                  <w:tcW w:w="784" w:type="pct"/>
                  <w:vMerge w:val="continue"/>
                  <w:vAlign w:val="center"/>
                </w:tcPr>
                <w:p>
                  <w:pPr>
                    <w:pStyle w:val="32"/>
                    <w:spacing w:line="360" w:lineRule="exact"/>
                    <w:ind w:left="11"/>
                    <w:rPr>
                      <w:rFonts w:eastAsiaTheme="minorEastAsia"/>
                      <w:color w:val="000000" w:themeColor="text1"/>
                      <w:szCs w:val="21"/>
                      <w:lang w:val="en-US"/>
                    </w:rPr>
                  </w:pPr>
                </w:p>
              </w:tc>
              <w:tc>
                <w:tcPr>
                  <w:tcW w:w="897" w:type="pct"/>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6" w:type="pct"/>
                  <w:vMerge w:val="continue"/>
                  <w:vAlign w:val="center"/>
                </w:tcPr>
                <w:p>
                  <w:pPr>
                    <w:pStyle w:val="32"/>
                    <w:spacing w:line="360" w:lineRule="exact"/>
                    <w:ind w:left="11"/>
                    <w:rPr>
                      <w:rFonts w:eastAsiaTheme="minorEastAsia"/>
                      <w:color w:val="000000" w:themeColor="text1"/>
                      <w:szCs w:val="21"/>
                      <w:lang w:val="en-US"/>
                    </w:rPr>
                  </w:pPr>
                </w:p>
              </w:tc>
              <w:tc>
                <w:tcPr>
                  <w:tcW w:w="985"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2020-12-10</w:t>
                  </w:r>
                </w:p>
              </w:tc>
              <w:tc>
                <w:tcPr>
                  <w:tcW w:w="1327"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0.0073</w:t>
                  </w:r>
                </w:p>
              </w:tc>
              <w:tc>
                <w:tcPr>
                  <w:tcW w:w="784" w:type="pct"/>
                  <w:vMerge w:val="continue"/>
                  <w:vAlign w:val="center"/>
                </w:tcPr>
                <w:p>
                  <w:pPr>
                    <w:pStyle w:val="32"/>
                    <w:spacing w:line="360" w:lineRule="exact"/>
                    <w:ind w:left="11"/>
                    <w:rPr>
                      <w:rFonts w:eastAsiaTheme="minorEastAsia"/>
                      <w:color w:val="000000" w:themeColor="text1"/>
                      <w:szCs w:val="21"/>
                      <w:lang w:val="en-US"/>
                    </w:rPr>
                  </w:pPr>
                </w:p>
              </w:tc>
              <w:tc>
                <w:tcPr>
                  <w:tcW w:w="897" w:type="pct"/>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6" w:type="pct"/>
                  <w:vMerge w:val="restar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汞</w:t>
                  </w:r>
                </w:p>
              </w:tc>
              <w:tc>
                <w:tcPr>
                  <w:tcW w:w="985"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2020-12-8</w:t>
                  </w:r>
                </w:p>
              </w:tc>
              <w:tc>
                <w:tcPr>
                  <w:tcW w:w="1327"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0.00004</w:t>
                  </w:r>
                </w:p>
              </w:tc>
              <w:tc>
                <w:tcPr>
                  <w:tcW w:w="784" w:type="pct"/>
                  <w:vMerge w:val="restar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0.00005</w:t>
                  </w:r>
                </w:p>
              </w:tc>
              <w:tc>
                <w:tcPr>
                  <w:tcW w:w="897" w:type="pct"/>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6" w:type="pct"/>
                  <w:vMerge w:val="continue"/>
                  <w:vAlign w:val="center"/>
                </w:tcPr>
                <w:p>
                  <w:pPr>
                    <w:pStyle w:val="32"/>
                    <w:spacing w:line="360" w:lineRule="exact"/>
                    <w:ind w:left="11"/>
                    <w:rPr>
                      <w:rFonts w:eastAsiaTheme="minorEastAsia"/>
                      <w:color w:val="000000" w:themeColor="text1"/>
                      <w:szCs w:val="21"/>
                      <w:lang w:val="en-US"/>
                    </w:rPr>
                  </w:pPr>
                </w:p>
              </w:tc>
              <w:tc>
                <w:tcPr>
                  <w:tcW w:w="985"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2020-12-9</w:t>
                  </w:r>
                </w:p>
              </w:tc>
              <w:tc>
                <w:tcPr>
                  <w:tcW w:w="1327"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0.00005</w:t>
                  </w:r>
                </w:p>
              </w:tc>
              <w:tc>
                <w:tcPr>
                  <w:tcW w:w="784" w:type="pct"/>
                  <w:vMerge w:val="continue"/>
                  <w:vAlign w:val="center"/>
                </w:tcPr>
                <w:p>
                  <w:pPr>
                    <w:pStyle w:val="32"/>
                    <w:spacing w:line="360" w:lineRule="exact"/>
                    <w:ind w:left="11"/>
                    <w:rPr>
                      <w:rFonts w:eastAsiaTheme="minorEastAsia"/>
                      <w:color w:val="000000" w:themeColor="text1"/>
                      <w:szCs w:val="21"/>
                      <w:lang w:val="en-US"/>
                    </w:rPr>
                  </w:pPr>
                </w:p>
              </w:tc>
              <w:tc>
                <w:tcPr>
                  <w:tcW w:w="897" w:type="pct"/>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6" w:type="pct"/>
                  <w:vMerge w:val="continue"/>
                  <w:vAlign w:val="center"/>
                </w:tcPr>
                <w:p>
                  <w:pPr>
                    <w:pStyle w:val="32"/>
                    <w:spacing w:line="360" w:lineRule="exact"/>
                    <w:ind w:left="11"/>
                    <w:rPr>
                      <w:rFonts w:eastAsiaTheme="minorEastAsia"/>
                      <w:color w:val="000000" w:themeColor="text1"/>
                      <w:szCs w:val="21"/>
                      <w:lang w:val="en-US"/>
                    </w:rPr>
                  </w:pPr>
                </w:p>
              </w:tc>
              <w:tc>
                <w:tcPr>
                  <w:tcW w:w="985"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2020-12-10</w:t>
                  </w:r>
                </w:p>
              </w:tc>
              <w:tc>
                <w:tcPr>
                  <w:tcW w:w="1327" w:type="pct"/>
                  <w:vAlign w:val="center"/>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0.00004</w:t>
                  </w:r>
                </w:p>
              </w:tc>
              <w:tc>
                <w:tcPr>
                  <w:tcW w:w="784" w:type="pct"/>
                  <w:vMerge w:val="continue"/>
                  <w:vAlign w:val="center"/>
                </w:tcPr>
                <w:p>
                  <w:pPr>
                    <w:pStyle w:val="32"/>
                    <w:spacing w:line="360" w:lineRule="exact"/>
                    <w:ind w:left="11"/>
                    <w:rPr>
                      <w:rFonts w:eastAsiaTheme="minorEastAsia"/>
                      <w:color w:val="000000" w:themeColor="text1"/>
                      <w:szCs w:val="21"/>
                      <w:lang w:val="en-US"/>
                    </w:rPr>
                  </w:pPr>
                </w:p>
              </w:tc>
              <w:tc>
                <w:tcPr>
                  <w:tcW w:w="897" w:type="pct"/>
                </w:tcPr>
                <w:p>
                  <w:pPr>
                    <w:pStyle w:val="32"/>
                    <w:spacing w:line="360" w:lineRule="exact"/>
                    <w:ind w:left="11"/>
                    <w:rPr>
                      <w:rFonts w:eastAsiaTheme="minorEastAsia"/>
                      <w:color w:val="000000" w:themeColor="text1"/>
                      <w:szCs w:val="21"/>
                      <w:lang w:val="en-US"/>
                    </w:rPr>
                  </w:pPr>
                  <w:r>
                    <w:rPr>
                      <w:rFonts w:eastAsiaTheme="minorEastAsia"/>
                      <w:color w:val="000000" w:themeColor="text1"/>
                      <w:szCs w:val="21"/>
                      <w:lang w:val="en-US"/>
                    </w:rPr>
                    <w:t>达标</w:t>
                  </w:r>
                </w:p>
              </w:tc>
            </w:tr>
          </w:tbl>
          <w:p>
            <w:pPr>
              <w:pStyle w:val="40"/>
              <w:spacing w:beforeLines="50"/>
              <w:ind w:firstLine="480"/>
              <w:rPr>
                <w:rFonts w:eastAsiaTheme="minorEastAsia"/>
                <w:color w:val="000000" w:themeColor="text1"/>
                <w:szCs w:val="24"/>
              </w:rPr>
            </w:pPr>
            <w:r>
              <w:rPr>
                <w:rFonts w:eastAsiaTheme="minorEastAsia"/>
                <w:color w:val="000000" w:themeColor="text1"/>
                <w:szCs w:val="24"/>
              </w:rPr>
              <w:t>根据以上监测结果可知，该项目地表水大水沟水质可达到《地表水环境质量标准》（GB3838-2002）III类标准。</w:t>
            </w:r>
          </w:p>
          <w:p>
            <w:pPr>
              <w:pStyle w:val="40"/>
              <w:ind w:firstLine="482"/>
              <w:rPr>
                <w:rFonts w:eastAsiaTheme="minorEastAsia"/>
                <w:b/>
                <w:color w:val="000000" w:themeColor="text1"/>
                <w:szCs w:val="24"/>
              </w:rPr>
            </w:pPr>
            <w:r>
              <w:rPr>
                <w:rFonts w:eastAsiaTheme="minorEastAsia"/>
                <w:b/>
                <w:color w:val="000000" w:themeColor="text1"/>
                <w:szCs w:val="24"/>
              </w:rPr>
              <w:t>3.1.3 声环境质量现状</w:t>
            </w:r>
          </w:p>
          <w:p>
            <w:pPr>
              <w:pStyle w:val="40"/>
              <w:ind w:firstLine="480"/>
              <w:rPr>
                <w:rFonts w:eastAsiaTheme="minorEastAsia"/>
                <w:color w:val="000000" w:themeColor="text1"/>
                <w:szCs w:val="24"/>
              </w:rPr>
            </w:pPr>
            <w:r>
              <w:rPr>
                <w:rFonts w:eastAsiaTheme="minorEastAsia"/>
                <w:color w:val="000000" w:themeColor="text1"/>
                <w:szCs w:val="24"/>
              </w:rPr>
              <w:t>该项目位于昆明市东川区因民镇牛厂坪村，按照《声环境功能区划分技术规范》（GB/T15190-2014）的划分要求，项目区域为2类区。在项目区50m范围内无声环境保护目标；根据《建设项目环境影响报告表编制技术指南》（污染影响类）（试行）的要求，可不进行声环境质量现状调查。</w:t>
            </w:r>
          </w:p>
          <w:p>
            <w:pPr>
              <w:pStyle w:val="40"/>
              <w:ind w:firstLine="482"/>
              <w:rPr>
                <w:rFonts w:eastAsiaTheme="minorEastAsia"/>
                <w:b/>
                <w:color w:val="000000" w:themeColor="text1"/>
                <w:szCs w:val="24"/>
              </w:rPr>
            </w:pPr>
            <w:bookmarkStart w:id="2" w:name="_Toc248077256"/>
            <w:r>
              <w:rPr>
                <w:rFonts w:eastAsiaTheme="minorEastAsia"/>
                <w:b/>
                <w:color w:val="000000" w:themeColor="text1"/>
                <w:szCs w:val="24"/>
              </w:rPr>
              <w:t>3.1.4 生态环境质量现状</w:t>
            </w:r>
            <w:bookmarkEnd w:id="2"/>
          </w:p>
          <w:p>
            <w:pPr>
              <w:pStyle w:val="40"/>
              <w:ind w:firstLine="480"/>
              <w:rPr>
                <w:rFonts w:eastAsiaTheme="minorEastAsia"/>
                <w:color w:val="000000" w:themeColor="text1"/>
                <w:szCs w:val="24"/>
              </w:rPr>
            </w:pPr>
            <w:r>
              <w:rPr>
                <w:rFonts w:eastAsiaTheme="minorEastAsia"/>
                <w:color w:val="000000" w:themeColor="text1"/>
                <w:szCs w:val="24"/>
              </w:rPr>
              <w:t>该项目位于昆明市东川区因民镇牛厂坪村，该项目购买原昆明东川众誉矿业有限责任公司砂厂范围内建设，该区域不属于工业园区。根据现场调查，厂区范围主要为人工生态系统，随着原有厂区企业多年的生产经营，该区域的天然植被已较少，生物多样性较差，生态环境自身调控能力较低。评价范围内无国家级和省级保护物种分布，无珍稀濒危物种，无当地特有物种，无古树名木分布。</w:t>
            </w:r>
          </w:p>
          <w:p>
            <w:pPr>
              <w:pStyle w:val="40"/>
              <w:ind w:firstLine="482"/>
              <w:rPr>
                <w:rFonts w:eastAsiaTheme="minorEastAsia"/>
                <w:b/>
                <w:color w:val="000000" w:themeColor="text1"/>
                <w:szCs w:val="24"/>
              </w:rPr>
            </w:pPr>
            <w:r>
              <w:rPr>
                <w:rFonts w:eastAsiaTheme="minorEastAsia"/>
                <w:b/>
                <w:color w:val="000000" w:themeColor="text1"/>
                <w:szCs w:val="24"/>
              </w:rPr>
              <w:t>3.1.5 地下水、土壤环境</w:t>
            </w:r>
          </w:p>
          <w:p>
            <w:pPr>
              <w:pStyle w:val="40"/>
              <w:ind w:firstLine="480"/>
              <w:rPr>
                <w:rFonts w:eastAsiaTheme="minorEastAsia"/>
                <w:color w:val="000000" w:themeColor="text1"/>
                <w:szCs w:val="24"/>
              </w:rPr>
            </w:pPr>
            <w:r>
              <w:rPr>
                <w:rFonts w:eastAsiaTheme="minorEastAsia"/>
                <w:color w:val="000000" w:themeColor="text1"/>
                <w:szCs w:val="24"/>
              </w:rPr>
              <w:t>项目利用废石生产砂石骨料和水泥砖，属于C3039 其他建筑材料制造和C3021 水泥制品制造类项目。根据调查，项目周围50m范围内无农田等设施，因此基本上不存在土壤环境污染途径，且厂界外500m范围内不涉及集中式饮用水水源和热水、矿泉水、温泉等特殊地下水资源，项目不开展地下水和土壤环境质量现状调查。</w:t>
            </w: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 w:hRule="atLeast"/>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环境保护目标</w:t>
            </w:r>
          </w:p>
        </w:tc>
        <w:tc>
          <w:tcPr>
            <w:tcW w:w="8831" w:type="dxa"/>
            <w:vAlign w:val="center"/>
          </w:tcPr>
          <w:p>
            <w:pPr>
              <w:pStyle w:val="40"/>
              <w:spacing w:beforeLines="5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根据《建设项目环境影响报告表编制技术指南》（污染影响类）（试行）的要求，编制报告表的建设项目环境保护目标类别包括大气环境、声环境、地下水环境和生态环境。该项目设置的环境保护目标具体如下。</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3.2 环境保护目标</w:t>
            </w:r>
          </w:p>
          <w:p>
            <w:pPr>
              <w:pStyle w:val="40"/>
              <w:ind w:firstLine="482"/>
              <w:rPr>
                <w:rFonts w:eastAsiaTheme="minorEastAsia"/>
                <w:b/>
                <w:color w:val="000000" w:themeColor="text1"/>
                <w:szCs w:val="24"/>
              </w:rPr>
            </w:pPr>
            <w:r>
              <w:rPr>
                <w:rFonts w:eastAsiaTheme="minorEastAsia"/>
                <w:b/>
                <w:color w:val="000000" w:themeColor="text1"/>
                <w:szCs w:val="24"/>
              </w:rPr>
              <w:t>3.2.1 大气环境保护目标</w:t>
            </w:r>
          </w:p>
          <w:p>
            <w:pPr>
              <w:pStyle w:val="4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中对于大气环境保护目标的要求，环境空气保护目标厂界外500m范围内的自然保护区、风景名胜区、居住区、文化区和农村地区中人群较集中的区域。</w:t>
            </w:r>
          </w:p>
          <w:p>
            <w:pPr>
              <w:pStyle w:val="40"/>
              <w:ind w:firstLine="480"/>
              <w:rPr>
                <w:rFonts w:eastAsiaTheme="minorEastAsia"/>
                <w:color w:val="000000" w:themeColor="text1"/>
                <w:szCs w:val="24"/>
              </w:rPr>
            </w:pPr>
            <w:r>
              <w:rPr>
                <w:rFonts w:eastAsiaTheme="minorEastAsia"/>
                <w:color w:val="000000" w:themeColor="text1"/>
                <w:szCs w:val="24"/>
              </w:rPr>
              <w:t>根据调查，该项目主要大气环境保护目标如下表所示。</w:t>
            </w:r>
          </w:p>
          <w:p>
            <w:pPr>
              <w:pStyle w:val="34"/>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表3.2.1-1 环境空气保护目标</w:t>
            </w:r>
          </w:p>
          <w:tbl>
            <w:tblPr>
              <w:tblStyle w:val="21"/>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34"/>
              <w:gridCol w:w="1473"/>
              <w:gridCol w:w="1341"/>
              <w:gridCol w:w="810"/>
              <w:gridCol w:w="896"/>
              <w:gridCol w:w="1418"/>
              <w:gridCol w:w="709"/>
              <w:gridCol w:w="9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034" w:type="dxa"/>
                  <w:vMerge w:val="restart"/>
                  <w:vAlign w:val="center"/>
                </w:tcPr>
                <w:p>
                  <w:pPr>
                    <w:pStyle w:val="32"/>
                    <w:spacing w:line="360" w:lineRule="exact"/>
                    <w:rPr>
                      <w:color w:val="000000" w:themeColor="text1"/>
                      <w:kern w:val="0"/>
                      <w:szCs w:val="21"/>
                    </w:rPr>
                  </w:pPr>
                  <w:r>
                    <w:rPr>
                      <w:color w:val="000000" w:themeColor="text1"/>
                      <w:kern w:val="0"/>
                      <w:szCs w:val="21"/>
                    </w:rPr>
                    <w:t>名称</w:t>
                  </w:r>
                </w:p>
              </w:tc>
              <w:tc>
                <w:tcPr>
                  <w:tcW w:w="2814" w:type="dxa"/>
                  <w:gridSpan w:val="2"/>
                  <w:vAlign w:val="center"/>
                </w:tcPr>
                <w:p>
                  <w:pPr>
                    <w:pStyle w:val="32"/>
                    <w:spacing w:line="360" w:lineRule="exact"/>
                    <w:rPr>
                      <w:color w:val="000000" w:themeColor="text1"/>
                      <w:kern w:val="0"/>
                      <w:szCs w:val="21"/>
                    </w:rPr>
                  </w:pPr>
                  <w:r>
                    <w:rPr>
                      <w:color w:val="000000" w:themeColor="text1"/>
                      <w:kern w:val="0"/>
                      <w:szCs w:val="21"/>
                    </w:rPr>
                    <w:t>坐标/m</w:t>
                  </w:r>
                </w:p>
              </w:tc>
              <w:tc>
                <w:tcPr>
                  <w:tcW w:w="810" w:type="dxa"/>
                  <w:vMerge w:val="restart"/>
                  <w:vAlign w:val="center"/>
                </w:tcPr>
                <w:p>
                  <w:pPr>
                    <w:pStyle w:val="32"/>
                    <w:spacing w:line="360" w:lineRule="exact"/>
                    <w:rPr>
                      <w:color w:val="000000" w:themeColor="text1"/>
                      <w:kern w:val="0"/>
                      <w:szCs w:val="21"/>
                    </w:rPr>
                  </w:pPr>
                  <w:r>
                    <w:rPr>
                      <w:color w:val="000000" w:themeColor="text1"/>
                      <w:kern w:val="0"/>
                      <w:szCs w:val="21"/>
                    </w:rPr>
                    <w:t>保护对象</w:t>
                  </w:r>
                </w:p>
              </w:tc>
              <w:tc>
                <w:tcPr>
                  <w:tcW w:w="896" w:type="dxa"/>
                  <w:vMerge w:val="restart"/>
                  <w:vAlign w:val="center"/>
                </w:tcPr>
                <w:p>
                  <w:pPr>
                    <w:pStyle w:val="32"/>
                    <w:spacing w:line="360" w:lineRule="exact"/>
                    <w:rPr>
                      <w:color w:val="000000" w:themeColor="text1"/>
                      <w:kern w:val="0"/>
                      <w:szCs w:val="21"/>
                    </w:rPr>
                  </w:pPr>
                  <w:r>
                    <w:rPr>
                      <w:color w:val="000000" w:themeColor="text1"/>
                      <w:kern w:val="0"/>
                      <w:szCs w:val="21"/>
                    </w:rPr>
                    <w:t>保护内容</w:t>
                  </w:r>
                </w:p>
              </w:tc>
              <w:tc>
                <w:tcPr>
                  <w:tcW w:w="1418" w:type="dxa"/>
                  <w:vMerge w:val="restart"/>
                  <w:vAlign w:val="center"/>
                </w:tcPr>
                <w:p>
                  <w:pPr>
                    <w:pStyle w:val="32"/>
                    <w:spacing w:line="360" w:lineRule="exact"/>
                    <w:rPr>
                      <w:color w:val="000000" w:themeColor="text1"/>
                      <w:kern w:val="0"/>
                      <w:szCs w:val="21"/>
                    </w:rPr>
                  </w:pPr>
                  <w:r>
                    <w:rPr>
                      <w:color w:val="000000" w:themeColor="text1"/>
                      <w:kern w:val="0"/>
                      <w:szCs w:val="21"/>
                    </w:rPr>
                    <w:t>保护级别</w:t>
                  </w:r>
                </w:p>
              </w:tc>
              <w:tc>
                <w:tcPr>
                  <w:tcW w:w="709" w:type="dxa"/>
                  <w:vMerge w:val="restart"/>
                  <w:vAlign w:val="center"/>
                </w:tcPr>
                <w:p>
                  <w:pPr>
                    <w:pStyle w:val="32"/>
                    <w:spacing w:line="360" w:lineRule="exact"/>
                    <w:rPr>
                      <w:color w:val="000000" w:themeColor="text1"/>
                      <w:kern w:val="0"/>
                      <w:szCs w:val="21"/>
                    </w:rPr>
                  </w:pPr>
                  <w:r>
                    <w:rPr>
                      <w:color w:val="000000" w:themeColor="text1"/>
                      <w:kern w:val="0"/>
                      <w:szCs w:val="21"/>
                    </w:rPr>
                    <w:t>相对厂址方位</w:t>
                  </w:r>
                </w:p>
              </w:tc>
              <w:tc>
                <w:tcPr>
                  <w:tcW w:w="924" w:type="dxa"/>
                  <w:vMerge w:val="restart"/>
                  <w:vAlign w:val="center"/>
                </w:tcPr>
                <w:p>
                  <w:pPr>
                    <w:pStyle w:val="32"/>
                    <w:spacing w:line="360" w:lineRule="exact"/>
                    <w:rPr>
                      <w:color w:val="000000" w:themeColor="text1"/>
                      <w:kern w:val="0"/>
                      <w:szCs w:val="21"/>
                    </w:rPr>
                  </w:pPr>
                  <w:r>
                    <w:rPr>
                      <w:color w:val="000000" w:themeColor="text1"/>
                      <w:kern w:val="0"/>
                      <w:szCs w:val="21"/>
                    </w:rPr>
                    <w:t>相对厂界距离/m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34" w:type="dxa"/>
                  <w:vMerge w:val="continue"/>
                  <w:vAlign w:val="center"/>
                </w:tcPr>
                <w:p>
                  <w:pPr>
                    <w:pStyle w:val="32"/>
                    <w:spacing w:line="360" w:lineRule="exact"/>
                    <w:rPr>
                      <w:color w:val="000000" w:themeColor="text1"/>
                      <w:kern w:val="0"/>
                      <w:szCs w:val="21"/>
                    </w:rPr>
                  </w:pPr>
                </w:p>
              </w:tc>
              <w:tc>
                <w:tcPr>
                  <w:tcW w:w="1473" w:type="dxa"/>
                  <w:vAlign w:val="center"/>
                </w:tcPr>
                <w:p>
                  <w:pPr>
                    <w:pStyle w:val="32"/>
                    <w:spacing w:line="360" w:lineRule="exact"/>
                    <w:rPr>
                      <w:color w:val="000000" w:themeColor="text1"/>
                      <w:kern w:val="0"/>
                      <w:szCs w:val="21"/>
                    </w:rPr>
                  </w:pPr>
                  <w:r>
                    <w:rPr>
                      <w:color w:val="000000" w:themeColor="text1"/>
                      <w:kern w:val="0"/>
                      <w:szCs w:val="21"/>
                    </w:rPr>
                    <w:t>经度</w:t>
                  </w:r>
                </w:p>
              </w:tc>
              <w:tc>
                <w:tcPr>
                  <w:tcW w:w="1341" w:type="dxa"/>
                  <w:vAlign w:val="center"/>
                </w:tcPr>
                <w:p>
                  <w:pPr>
                    <w:pStyle w:val="32"/>
                    <w:spacing w:line="360" w:lineRule="exact"/>
                    <w:rPr>
                      <w:color w:val="000000" w:themeColor="text1"/>
                      <w:kern w:val="0"/>
                      <w:szCs w:val="21"/>
                    </w:rPr>
                  </w:pPr>
                  <w:r>
                    <w:rPr>
                      <w:color w:val="000000" w:themeColor="text1"/>
                      <w:kern w:val="0"/>
                      <w:szCs w:val="21"/>
                    </w:rPr>
                    <w:t>纬度</w:t>
                  </w:r>
                </w:p>
              </w:tc>
              <w:tc>
                <w:tcPr>
                  <w:tcW w:w="810" w:type="dxa"/>
                  <w:vMerge w:val="continue"/>
                  <w:vAlign w:val="center"/>
                </w:tcPr>
                <w:p>
                  <w:pPr>
                    <w:pStyle w:val="32"/>
                    <w:spacing w:line="360" w:lineRule="exact"/>
                    <w:rPr>
                      <w:color w:val="000000" w:themeColor="text1"/>
                      <w:kern w:val="0"/>
                      <w:szCs w:val="21"/>
                    </w:rPr>
                  </w:pPr>
                </w:p>
              </w:tc>
              <w:tc>
                <w:tcPr>
                  <w:tcW w:w="896" w:type="dxa"/>
                  <w:vMerge w:val="continue"/>
                  <w:vAlign w:val="center"/>
                </w:tcPr>
                <w:p>
                  <w:pPr>
                    <w:pStyle w:val="32"/>
                    <w:spacing w:line="360" w:lineRule="exact"/>
                    <w:rPr>
                      <w:color w:val="000000" w:themeColor="text1"/>
                      <w:kern w:val="0"/>
                      <w:szCs w:val="21"/>
                    </w:rPr>
                  </w:pPr>
                </w:p>
              </w:tc>
              <w:tc>
                <w:tcPr>
                  <w:tcW w:w="1418" w:type="dxa"/>
                  <w:vMerge w:val="continue"/>
                  <w:vAlign w:val="center"/>
                </w:tcPr>
                <w:p>
                  <w:pPr>
                    <w:pStyle w:val="32"/>
                    <w:spacing w:line="360" w:lineRule="exact"/>
                    <w:rPr>
                      <w:color w:val="000000" w:themeColor="text1"/>
                      <w:kern w:val="0"/>
                      <w:szCs w:val="21"/>
                    </w:rPr>
                  </w:pPr>
                </w:p>
              </w:tc>
              <w:tc>
                <w:tcPr>
                  <w:tcW w:w="709" w:type="dxa"/>
                  <w:vMerge w:val="continue"/>
                  <w:vAlign w:val="center"/>
                </w:tcPr>
                <w:p>
                  <w:pPr>
                    <w:pStyle w:val="32"/>
                    <w:spacing w:line="360" w:lineRule="exact"/>
                    <w:rPr>
                      <w:color w:val="000000" w:themeColor="text1"/>
                      <w:kern w:val="0"/>
                      <w:szCs w:val="21"/>
                    </w:rPr>
                  </w:pPr>
                </w:p>
              </w:tc>
              <w:tc>
                <w:tcPr>
                  <w:tcW w:w="924" w:type="dxa"/>
                  <w:vMerge w:val="continue"/>
                  <w:vAlign w:val="center"/>
                </w:tcPr>
                <w:p>
                  <w:pPr>
                    <w:pStyle w:val="32"/>
                    <w:spacing w:line="360" w:lineRule="exact"/>
                    <w:rPr>
                      <w:color w:val="000000" w:themeColor="text1"/>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34" w:type="dxa"/>
                  <w:vAlign w:val="center"/>
                </w:tcPr>
                <w:p>
                  <w:pPr>
                    <w:pStyle w:val="32"/>
                    <w:spacing w:line="360" w:lineRule="exact"/>
                    <w:rPr>
                      <w:color w:val="000000" w:themeColor="text1"/>
                      <w:kern w:val="0"/>
                      <w:szCs w:val="21"/>
                    </w:rPr>
                  </w:pPr>
                  <w:r>
                    <w:rPr>
                      <w:color w:val="000000" w:themeColor="text1"/>
                      <w:kern w:val="0"/>
                      <w:szCs w:val="21"/>
                    </w:rPr>
                    <w:t>窝子田</w:t>
                  </w:r>
                </w:p>
              </w:tc>
              <w:tc>
                <w:tcPr>
                  <w:tcW w:w="1473" w:type="dxa"/>
                  <w:vAlign w:val="center"/>
                </w:tcPr>
                <w:p>
                  <w:pPr>
                    <w:pStyle w:val="32"/>
                    <w:spacing w:line="360" w:lineRule="exact"/>
                    <w:rPr>
                      <w:color w:val="000000" w:themeColor="text1"/>
                      <w:kern w:val="0"/>
                      <w:szCs w:val="21"/>
                    </w:rPr>
                  </w:pPr>
                  <w:r>
                    <w:rPr>
                      <w:color w:val="000000" w:themeColor="text1"/>
                      <w:kern w:val="0"/>
                      <w:szCs w:val="21"/>
                    </w:rPr>
                    <w:t>102.931813°</w:t>
                  </w:r>
                </w:p>
              </w:tc>
              <w:tc>
                <w:tcPr>
                  <w:tcW w:w="1341" w:type="dxa"/>
                  <w:vAlign w:val="center"/>
                </w:tcPr>
                <w:p>
                  <w:pPr>
                    <w:pStyle w:val="32"/>
                    <w:spacing w:line="360" w:lineRule="exact"/>
                    <w:rPr>
                      <w:color w:val="000000" w:themeColor="text1"/>
                      <w:kern w:val="0"/>
                      <w:szCs w:val="21"/>
                    </w:rPr>
                  </w:pPr>
                  <w:r>
                    <w:rPr>
                      <w:color w:val="000000" w:themeColor="text1"/>
                      <w:kern w:val="0"/>
                      <w:szCs w:val="21"/>
                    </w:rPr>
                    <w:t>26.328507°</w:t>
                  </w:r>
                </w:p>
              </w:tc>
              <w:tc>
                <w:tcPr>
                  <w:tcW w:w="810" w:type="dxa"/>
                  <w:vAlign w:val="center"/>
                </w:tcPr>
                <w:p>
                  <w:pPr>
                    <w:pStyle w:val="32"/>
                    <w:spacing w:line="360" w:lineRule="exact"/>
                    <w:rPr>
                      <w:color w:val="000000" w:themeColor="text1"/>
                      <w:kern w:val="0"/>
                      <w:szCs w:val="21"/>
                    </w:rPr>
                  </w:pPr>
                  <w:r>
                    <w:rPr>
                      <w:color w:val="000000" w:themeColor="text1"/>
                      <w:kern w:val="0"/>
                      <w:szCs w:val="21"/>
                    </w:rPr>
                    <w:t>居民区</w:t>
                  </w:r>
                </w:p>
              </w:tc>
              <w:tc>
                <w:tcPr>
                  <w:tcW w:w="896" w:type="dxa"/>
                  <w:vAlign w:val="center"/>
                </w:tcPr>
                <w:p>
                  <w:pPr>
                    <w:pStyle w:val="32"/>
                    <w:spacing w:line="360" w:lineRule="exact"/>
                    <w:rPr>
                      <w:color w:val="000000" w:themeColor="text1"/>
                      <w:kern w:val="0"/>
                      <w:szCs w:val="21"/>
                    </w:rPr>
                  </w:pPr>
                  <w:r>
                    <w:rPr>
                      <w:color w:val="000000" w:themeColor="text1"/>
                      <w:kern w:val="0"/>
                      <w:szCs w:val="21"/>
                    </w:rPr>
                    <w:t>39户/172人</w:t>
                  </w:r>
                </w:p>
              </w:tc>
              <w:tc>
                <w:tcPr>
                  <w:tcW w:w="1418" w:type="dxa"/>
                  <w:vAlign w:val="center"/>
                </w:tcPr>
                <w:p>
                  <w:pPr>
                    <w:pStyle w:val="32"/>
                    <w:spacing w:line="360" w:lineRule="exact"/>
                    <w:rPr>
                      <w:color w:val="000000" w:themeColor="text1"/>
                      <w:kern w:val="0"/>
                      <w:szCs w:val="21"/>
                    </w:rPr>
                  </w:pPr>
                  <w:r>
                    <w:rPr>
                      <w:color w:val="000000" w:themeColor="text1"/>
                      <w:kern w:val="0"/>
                      <w:szCs w:val="21"/>
                    </w:rPr>
                    <w:t>《环境空气质量标准》（GB3095- 2012）二级</w:t>
                  </w:r>
                </w:p>
              </w:tc>
              <w:tc>
                <w:tcPr>
                  <w:tcW w:w="709" w:type="dxa"/>
                  <w:vAlign w:val="center"/>
                </w:tcPr>
                <w:p>
                  <w:pPr>
                    <w:pStyle w:val="32"/>
                    <w:spacing w:line="360" w:lineRule="exact"/>
                    <w:rPr>
                      <w:color w:val="000000" w:themeColor="text1"/>
                      <w:kern w:val="0"/>
                      <w:szCs w:val="21"/>
                    </w:rPr>
                  </w:pPr>
                  <w:r>
                    <w:rPr>
                      <w:color w:val="000000" w:themeColor="text1"/>
                      <w:kern w:val="0"/>
                      <w:szCs w:val="21"/>
                    </w:rPr>
                    <w:t>西北侧</w:t>
                  </w:r>
                </w:p>
              </w:tc>
              <w:tc>
                <w:tcPr>
                  <w:tcW w:w="924" w:type="dxa"/>
                  <w:vAlign w:val="center"/>
                </w:tcPr>
                <w:p>
                  <w:pPr>
                    <w:pStyle w:val="32"/>
                    <w:spacing w:line="360" w:lineRule="exact"/>
                    <w:rPr>
                      <w:color w:val="000000" w:themeColor="text1"/>
                      <w:kern w:val="0"/>
                      <w:szCs w:val="21"/>
                    </w:rPr>
                  </w:pPr>
                  <w:r>
                    <w:rPr>
                      <w:color w:val="000000" w:themeColor="text1"/>
                      <w:kern w:val="0"/>
                      <w:szCs w:val="21"/>
                    </w:rPr>
                    <w:t>361m</w:t>
                  </w:r>
                </w:p>
              </w:tc>
            </w:tr>
          </w:tbl>
          <w:p>
            <w:pPr>
              <w:pStyle w:val="40"/>
              <w:spacing w:beforeLines="50"/>
              <w:ind w:firstLine="482"/>
              <w:rPr>
                <w:rFonts w:eastAsiaTheme="minorEastAsia"/>
                <w:b/>
                <w:color w:val="000000" w:themeColor="text1"/>
                <w:szCs w:val="24"/>
              </w:rPr>
            </w:pPr>
            <w:r>
              <w:rPr>
                <w:rFonts w:eastAsiaTheme="minorEastAsia"/>
                <w:b/>
                <w:color w:val="000000" w:themeColor="text1"/>
                <w:szCs w:val="24"/>
              </w:rPr>
              <w:t>3.2.2 地表水环境保护目标</w:t>
            </w:r>
          </w:p>
          <w:p>
            <w:pPr>
              <w:pStyle w:val="4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未要求设施地表水环境保护目标；由根据调查发现，项目区域属于大水沟的汇水范围，因此拟将大水沟列入该项目水环境保护目标。</w:t>
            </w:r>
          </w:p>
          <w:p>
            <w:pPr>
              <w:pStyle w:val="40"/>
              <w:ind w:firstLine="480"/>
              <w:rPr>
                <w:rFonts w:eastAsiaTheme="minorEastAsia"/>
                <w:color w:val="000000" w:themeColor="text1"/>
                <w:szCs w:val="24"/>
              </w:rPr>
            </w:pPr>
            <w:r>
              <w:rPr>
                <w:rFonts w:eastAsiaTheme="minorEastAsia"/>
                <w:color w:val="000000" w:themeColor="text1"/>
                <w:szCs w:val="24"/>
              </w:rPr>
              <w:t>根据调查，该项目主要地表水环境保护目标如下表所示。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表3.2.2-1  地表水环境保护目标及保护级别一览表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960"/>
              <w:gridCol w:w="2153"/>
              <w:gridCol w:w="1748"/>
              <w:gridCol w:w="949"/>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类别</w:t>
                  </w:r>
                </w:p>
              </w:tc>
              <w:tc>
                <w:tcPr>
                  <w:tcW w:w="960"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保护目标</w:t>
                  </w:r>
                </w:p>
              </w:tc>
              <w:tc>
                <w:tcPr>
                  <w:tcW w:w="2153"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坐标</w:t>
                  </w:r>
                </w:p>
              </w:tc>
              <w:tc>
                <w:tcPr>
                  <w:tcW w:w="1748"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与项目区的方位及距离</w:t>
                  </w:r>
                </w:p>
              </w:tc>
              <w:tc>
                <w:tcPr>
                  <w:tcW w:w="949"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高差</w:t>
                  </w:r>
                </w:p>
              </w:tc>
              <w:tc>
                <w:tcPr>
                  <w:tcW w:w="1913"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82" w:type="dxa"/>
                  <w:tcBorders>
                    <w:top w:val="single" w:color="auto" w:sz="4" w:space="0"/>
                    <w:left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地表水</w:t>
                  </w:r>
                </w:p>
              </w:tc>
              <w:tc>
                <w:tcPr>
                  <w:tcW w:w="960"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rFonts w:eastAsiaTheme="minorEastAsia"/>
                      <w:color w:val="000000" w:themeColor="text1"/>
                      <w:szCs w:val="24"/>
                    </w:rPr>
                    <w:t>大水沟</w:t>
                  </w:r>
                </w:p>
              </w:tc>
              <w:tc>
                <w:tcPr>
                  <w:tcW w:w="2153" w:type="dxa"/>
                  <w:tcBorders>
                    <w:top w:val="single" w:color="auto" w:sz="4" w:space="0"/>
                    <w:left w:val="single" w:color="auto" w:sz="4" w:space="0"/>
                    <w:right w:val="single" w:color="auto" w:sz="4" w:space="0"/>
                  </w:tcBorders>
                  <w:vAlign w:val="center"/>
                </w:tcPr>
                <w:p>
                  <w:pPr>
                    <w:pStyle w:val="32"/>
                    <w:spacing w:line="360" w:lineRule="exact"/>
                    <w:ind w:firstLine="210" w:firstLineChars="100"/>
                    <w:jc w:val="left"/>
                    <w:rPr>
                      <w:color w:val="000000" w:themeColor="text1"/>
                      <w:szCs w:val="21"/>
                    </w:rPr>
                  </w:pPr>
                  <w:r>
                    <w:rPr>
                      <w:color w:val="000000" w:themeColor="text1"/>
                      <w:szCs w:val="21"/>
                    </w:rPr>
                    <w:t>起点：东经102.938511°，北纬26.322484°；</w:t>
                  </w:r>
                </w:p>
                <w:p>
                  <w:pPr>
                    <w:pStyle w:val="32"/>
                    <w:spacing w:line="360" w:lineRule="exact"/>
                    <w:ind w:firstLine="210" w:firstLineChars="100"/>
                    <w:jc w:val="left"/>
                    <w:rPr>
                      <w:color w:val="000000" w:themeColor="text1"/>
                      <w:szCs w:val="21"/>
                    </w:rPr>
                  </w:pPr>
                  <w:r>
                    <w:rPr>
                      <w:color w:val="000000" w:themeColor="text1"/>
                      <w:szCs w:val="21"/>
                    </w:rPr>
                    <w:t>终点：东经102.931655°，北纬26.338480°；</w:t>
                  </w:r>
                </w:p>
              </w:tc>
              <w:tc>
                <w:tcPr>
                  <w:tcW w:w="1748"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4"/>
                    </w:rPr>
                    <w:t>东侧</w:t>
                  </w:r>
                  <w:r>
                    <w:rPr>
                      <w:color w:val="000000" w:themeColor="text1"/>
                      <w:kern w:val="2"/>
                      <w:szCs w:val="24"/>
                    </w:rPr>
                    <w:t>2m</w:t>
                  </w:r>
                </w:p>
              </w:tc>
              <w:tc>
                <w:tcPr>
                  <w:tcW w:w="949" w:type="dxa"/>
                  <w:tcBorders>
                    <w:top w:val="single" w:color="auto" w:sz="4" w:space="0"/>
                    <w:left w:val="single" w:color="auto" w:sz="4" w:space="0"/>
                    <w:bottom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3m</w:t>
                  </w:r>
                </w:p>
              </w:tc>
              <w:tc>
                <w:tcPr>
                  <w:tcW w:w="1913" w:type="dxa"/>
                  <w:tcBorders>
                    <w:top w:val="single" w:color="auto" w:sz="4" w:space="0"/>
                    <w:left w:val="single" w:color="auto" w:sz="4" w:space="0"/>
                    <w:right w:val="single" w:color="auto" w:sz="4" w:space="0"/>
                  </w:tcBorders>
                  <w:vAlign w:val="center"/>
                </w:tcPr>
                <w:p>
                  <w:pPr>
                    <w:pStyle w:val="32"/>
                    <w:spacing w:line="360" w:lineRule="exact"/>
                    <w:ind w:firstLine="210" w:firstLineChars="100"/>
                    <w:jc w:val="left"/>
                    <w:rPr>
                      <w:color w:val="000000" w:themeColor="text1"/>
                      <w:szCs w:val="21"/>
                    </w:rPr>
                  </w:pPr>
                  <w:r>
                    <w:rPr>
                      <w:color w:val="000000" w:themeColor="text1"/>
                      <w:szCs w:val="21"/>
                    </w:rPr>
                    <w:t>《地表水环境质量标准》（GB3838-2002）III类标准</w:t>
                  </w:r>
                </w:p>
              </w:tc>
            </w:tr>
          </w:tbl>
          <w:p>
            <w:pPr>
              <w:pStyle w:val="40"/>
              <w:spacing w:beforeLines="50"/>
              <w:ind w:firstLine="482"/>
              <w:rPr>
                <w:rFonts w:eastAsiaTheme="minorEastAsia"/>
                <w:b/>
                <w:color w:val="000000" w:themeColor="text1"/>
                <w:szCs w:val="24"/>
              </w:rPr>
            </w:pPr>
            <w:r>
              <w:rPr>
                <w:rFonts w:eastAsiaTheme="minorEastAsia"/>
                <w:b/>
                <w:color w:val="000000" w:themeColor="text1"/>
                <w:szCs w:val="24"/>
              </w:rPr>
              <w:t>3.2.3 地下水环境保护目标</w:t>
            </w:r>
          </w:p>
          <w:p>
            <w:pPr>
              <w:pStyle w:val="4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地表水环境保护目标为厂界外500m范围内的地下水集中式饮用水水源和热水、矿泉水、温泉等特殊地下水资源。根据调查，该项目位于昆明市东川区因民镇牛厂坪村，该项目选址不涉及到地下水集中式饮用水水源和热水、矿泉水、温泉等特殊地下水资源。</w:t>
            </w:r>
          </w:p>
          <w:p>
            <w:pPr>
              <w:pStyle w:val="40"/>
              <w:ind w:firstLine="482"/>
              <w:rPr>
                <w:rFonts w:eastAsiaTheme="minorEastAsia"/>
                <w:b/>
                <w:color w:val="000000" w:themeColor="text1"/>
                <w:szCs w:val="24"/>
              </w:rPr>
            </w:pPr>
            <w:r>
              <w:rPr>
                <w:rFonts w:eastAsiaTheme="minorEastAsia"/>
                <w:b/>
                <w:color w:val="000000" w:themeColor="text1"/>
                <w:szCs w:val="24"/>
              </w:rPr>
              <w:t>3.2.4 声环境环境保护目标</w:t>
            </w:r>
          </w:p>
          <w:p>
            <w:pPr>
              <w:pStyle w:val="4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根据《建设项目环境影响报告表编制技术指南》（污染影响类）（试行）的要求，该项目声环境评价范围为50m，根据现场调查，该项目50m范围内无声环境保护目标。</w:t>
            </w:r>
          </w:p>
          <w:p>
            <w:pPr>
              <w:pStyle w:val="40"/>
              <w:ind w:firstLine="482"/>
              <w:rPr>
                <w:rFonts w:eastAsiaTheme="minorEastAsia"/>
                <w:b/>
                <w:color w:val="000000" w:themeColor="text1"/>
                <w:szCs w:val="24"/>
              </w:rPr>
            </w:pPr>
            <w:r>
              <w:rPr>
                <w:rFonts w:eastAsiaTheme="minorEastAsia"/>
                <w:b/>
                <w:color w:val="000000" w:themeColor="text1"/>
                <w:szCs w:val="24"/>
              </w:rPr>
              <w:t>3.2.5 生态环境保护目标</w:t>
            </w:r>
          </w:p>
          <w:p>
            <w:pPr>
              <w:pStyle w:val="4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生态环境保护目标主要为在产业园区外建设项目新增用地范围内的生态环境保护目标。该项目位于昆明市东川区因民镇牛厂坪村，该项目购买原昆明东川众誉矿业有限责任公司砂厂范围内建设，该区域不属于工业园区。本环评拟定生态环境评价范围为200m，该项目的主要生态环境保护目标如下。</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表3.2.5-1  生态环境保护目标一览表</w:t>
            </w:r>
          </w:p>
          <w:tbl>
            <w:tblPr>
              <w:tblStyle w:val="21"/>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18"/>
              <w:gridCol w:w="2310"/>
              <w:gridCol w:w="2368"/>
              <w:gridCol w:w="290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18" w:type="dxa"/>
                  <w:vAlign w:val="center"/>
                </w:tcPr>
                <w:p>
                  <w:pPr>
                    <w:pStyle w:val="32"/>
                    <w:spacing w:line="360" w:lineRule="exact"/>
                    <w:rPr>
                      <w:color w:val="000000" w:themeColor="text1"/>
                      <w:szCs w:val="21"/>
                    </w:rPr>
                  </w:pPr>
                  <w:r>
                    <w:rPr>
                      <w:color w:val="000000" w:themeColor="text1"/>
                      <w:szCs w:val="21"/>
                    </w:rPr>
                    <w:t>类别</w:t>
                  </w:r>
                </w:p>
              </w:tc>
              <w:tc>
                <w:tcPr>
                  <w:tcW w:w="2310" w:type="dxa"/>
                  <w:vAlign w:val="center"/>
                </w:tcPr>
                <w:p>
                  <w:pPr>
                    <w:pStyle w:val="32"/>
                    <w:spacing w:line="360" w:lineRule="exact"/>
                    <w:rPr>
                      <w:color w:val="000000" w:themeColor="text1"/>
                      <w:szCs w:val="21"/>
                    </w:rPr>
                  </w:pPr>
                  <w:r>
                    <w:rPr>
                      <w:color w:val="000000" w:themeColor="text1"/>
                      <w:szCs w:val="21"/>
                    </w:rPr>
                    <w:t>与项目区的方位及距离</w:t>
                  </w:r>
                </w:p>
              </w:tc>
              <w:tc>
                <w:tcPr>
                  <w:tcW w:w="2368" w:type="dxa"/>
                  <w:vAlign w:val="center"/>
                </w:tcPr>
                <w:p>
                  <w:pPr>
                    <w:pStyle w:val="32"/>
                    <w:spacing w:line="360" w:lineRule="exact"/>
                    <w:rPr>
                      <w:color w:val="000000" w:themeColor="text1"/>
                      <w:szCs w:val="21"/>
                    </w:rPr>
                  </w:pPr>
                  <w:r>
                    <w:rPr>
                      <w:color w:val="000000" w:themeColor="text1"/>
                      <w:szCs w:val="21"/>
                    </w:rPr>
                    <w:t>生态保护目标</w:t>
                  </w:r>
                </w:p>
              </w:tc>
              <w:tc>
                <w:tcPr>
                  <w:tcW w:w="2909" w:type="dxa"/>
                  <w:vAlign w:val="center"/>
                </w:tcPr>
                <w:p>
                  <w:pPr>
                    <w:pStyle w:val="32"/>
                    <w:spacing w:line="360" w:lineRule="exact"/>
                    <w:rPr>
                      <w:color w:val="000000" w:themeColor="text1"/>
                      <w:szCs w:val="21"/>
                    </w:rPr>
                  </w:pPr>
                  <w:r>
                    <w:rPr>
                      <w:color w:val="000000" w:themeColor="text1"/>
                      <w:szCs w:val="21"/>
                    </w:rPr>
                    <w:t>保护级别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18" w:type="dxa"/>
                  <w:vAlign w:val="center"/>
                </w:tcPr>
                <w:p>
                  <w:pPr>
                    <w:pStyle w:val="32"/>
                    <w:spacing w:line="360" w:lineRule="exact"/>
                    <w:rPr>
                      <w:color w:val="000000" w:themeColor="text1"/>
                      <w:szCs w:val="21"/>
                    </w:rPr>
                  </w:pPr>
                  <w:r>
                    <w:rPr>
                      <w:color w:val="000000" w:themeColor="text1"/>
                      <w:szCs w:val="21"/>
                    </w:rPr>
                    <w:t>生态环境</w:t>
                  </w:r>
                </w:p>
              </w:tc>
              <w:tc>
                <w:tcPr>
                  <w:tcW w:w="2310" w:type="dxa"/>
                  <w:vAlign w:val="center"/>
                </w:tcPr>
                <w:p>
                  <w:pPr>
                    <w:pStyle w:val="32"/>
                    <w:spacing w:line="360" w:lineRule="exact"/>
                    <w:rPr>
                      <w:color w:val="000000" w:themeColor="text1"/>
                      <w:szCs w:val="21"/>
                    </w:rPr>
                  </w:pPr>
                  <w:r>
                    <w:rPr>
                      <w:color w:val="000000" w:themeColor="text1"/>
                      <w:szCs w:val="21"/>
                    </w:rPr>
                    <w:t>项目区边界200m范围</w:t>
                  </w:r>
                </w:p>
              </w:tc>
              <w:tc>
                <w:tcPr>
                  <w:tcW w:w="2368" w:type="dxa"/>
                  <w:vAlign w:val="center"/>
                </w:tcPr>
                <w:p>
                  <w:pPr>
                    <w:pStyle w:val="32"/>
                    <w:spacing w:line="360" w:lineRule="exact"/>
                    <w:rPr>
                      <w:color w:val="000000" w:themeColor="text1"/>
                      <w:szCs w:val="21"/>
                    </w:rPr>
                  </w:pPr>
                  <w:r>
                    <w:rPr>
                      <w:color w:val="000000" w:themeColor="text1"/>
                      <w:szCs w:val="21"/>
                    </w:rPr>
                    <w:t>土地利用、植被、动植物</w:t>
                  </w:r>
                </w:p>
              </w:tc>
              <w:tc>
                <w:tcPr>
                  <w:tcW w:w="2909" w:type="dxa"/>
                  <w:vAlign w:val="center"/>
                </w:tcPr>
                <w:p>
                  <w:pPr>
                    <w:pStyle w:val="32"/>
                    <w:spacing w:line="360" w:lineRule="exact"/>
                    <w:ind w:firstLine="210" w:firstLineChars="100"/>
                    <w:jc w:val="left"/>
                    <w:rPr>
                      <w:color w:val="000000" w:themeColor="text1"/>
                      <w:szCs w:val="21"/>
                    </w:rPr>
                  </w:pPr>
                  <w:r>
                    <w:rPr>
                      <w:color w:val="000000" w:themeColor="text1"/>
                      <w:szCs w:val="21"/>
                    </w:rPr>
                    <w:t>不得随意破坏、降低当地生态环境质量，使水土流失在可以接受的范围内</w:t>
                  </w:r>
                </w:p>
              </w:tc>
            </w:tr>
          </w:tbl>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p>
            <w:pPr>
              <w:pStyle w:val="40"/>
              <w:ind w:firstLine="480"/>
              <w:rPr>
                <w:rFonts w:eastAsiaTheme="minorEastAsia"/>
                <w:color w:val="000000" w:themeColor="text1"/>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污染物排放控制标准</w:t>
            </w:r>
          </w:p>
        </w:tc>
        <w:tc>
          <w:tcPr>
            <w:tcW w:w="8831" w:type="dxa"/>
            <w:vAlign w:val="center"/>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根据《建设项目环境影响报告表编制技术指南》（污染影响类）（试行）的要求，只需填写污染物控制标准，不需填写环境质量标准。因此仅污染物排放控制标准。具体如下。</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3.3 污染物排放控制标准</w:t>
            </w:r>
          </w:p>
          <w:p>
            <w:pPr>
              <w:pStyle w:val="40"/>
              <w:ind w:firstLine="482"/>
              <w:rPr>
                <w:rFonts w:eastAsiaTheme="minorEastAsia"/>
                <w:b/>
                <w:color w:val="000000" w:themeColor="text1"/>
                <w:szCs w:val="24"/>
              </w:rPr>
            </w:pPr>
            <w:r>
              <w:rPr>
                <w:rFonts w:eastAsiaTheme="minorEastAsia"/>
                <w:b/>
                <w:color w:val="000000" w:themeColor="text1"/>
                <w:szCs w:val="24"/>
              </w:rPr>
              <w:t>3.3.1 废气排放标准</w:t>
            </w:r>
          </w:p>
          <w:p>
            <w:pPr>
              <w:pStyle w:val="40"/>
              <w:ind w:firstLine="361" w:firstLineChars="150"/>
              <w:rPr>
                <w:rFonts w:eastAsiaTheme="minorEastAsia"/>
                <w:b/>
                <w:color w:val="000000" w:themeColor="text1"/>
              </w:rPr>
            </w:pPr>
            <w:r>
              <w:rPr>
                <w:rFonts w:eastAsiaTheme="minorEastAsia"/>
                <w:b/>
                <w:color w:val="000000" w:themeColor="text1"/>
              </w:rPr>
              <w:t>（1）施工期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施工期大气污染物排放执行《大气污染物综合排放标准》（GB16297-1996）表2中无组织排放浓度排放限值。标准值如下表所示。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表3.3.1-1  大气污染物排放限值  单位：mg/m³</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3401"/>
              <w:gridCol w:w="3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76" w:type="dxa"/>
                </w:tcPr>
                <w:p>
                  <w:pPr>
                    <w:pStyle w:val="32"/>
                    <w:spacing w:line="360" w:lineRule="exact"/>
                    <w:rPr>
                      <w:color w:val="000000" w:themeColor="text1"/>
                      <w:szCs w:val="21"/>
                    </w:rPr>
                  </w:pPr>
                  <w:r>
                    <w:rPr>
                      <w:color w:val="000000" w:themeColor="text1"/>
                      <w:szCs w:val="21"/>
                    </w:rPr>
                    <w:t>污染物</w:t>
                  </w:r>
                </w:p>
              </w:tc>
              <w:tc>
                <w:tcPr>
                  <w:tcW w:w="3577" w:type="dxa"/>
                </w:tcPr>
                <w:p>
                  <w:pPr>
                    <w:pStyle w:val="32"/>
                    <w:spacing w:line="360" w:lineRule="exact"/>
                    <w:rPr>
                      <w:color w:val="000000" w:themeColor="text1"/>
                      <w:szCs w:val="21"/>
                    </w:rPr>
                  </w:pPr>
                  <w:r>
                    <w:rPr>
                      <w:color w:val="000000" w:themeColor="text1"/>
                      <w:szCs w:val="21"/>
                    </w:rPr>
                    <w:t>最高允许排放浓度</w:t>
                  </w:r>
                </w:p>
              </w:tc>
              <w:tc>
                <w:tcPr>
                  <w:tcW w:w="3291" w:type="dxa"/>
                </w:tcPr>
                <w:p>
                  <w:pPr>
                    <w:pStyle w:val="32"/>
                    <w:spacing w:line="360" w:lineRule="exact"/>
                    <w:rPr>
                      <w:color w:val="000000" w:themeColor="text1"/>
                      <w:szCs w:val="21"/>
                    </w:rPr>
                  </w:pPr>
                  <w:r>
                    <w:rPr>
                      <w:color w:val="000000" w:themeColor="text1"/>
                      <w:szCs w:val="21"/>
                    </w:rPr>
                    <w:tab/>
                  </w:r>
                  <w:r>
                    <w:rPr>
                      <w:color w:val="000000" w:themeColor="text1"/>
                      <w:szCs w:val="21"/>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tcPr>
                <w:p>
                  <w:pPr>
                    <w:pStyle w:val="32"/>
                    <w:spacing w:line="360" w:lineRule="exact"/>
                    <w:rPr>
                      <w:color w:val="000000" w:themeColor="text1"/>
                      <w:szCs w:val="21"/>
                    </w:rPr>
                  </w:pPr>
                  <w:r>
                    <w:rPr>
                      <w:color w:val="000000" w:themeColor="text1"/>
                      <w:szCs w:val="21"/>
                    </w:rPr>
                    <w:t>颗粒物</w:t>
                  </w:r>
                </w:p>
              </w:tc>
              <w:tc>
                <w:tcPr>
                  <w:tcW w:w="3577" w:type="dxa"/>
                </w:tcPr>
                <w:p>
                  <w:pPr>
                    <w:pStyle w:val="32"/>
                    <w:spacing w:line="360" w:lineRule="exact"/>
                    <w:rPr>
                      <w:color w:val="000000" w:themeColor="text1"/>
                      <w:szCs w:val="21"/>
                    </w:rPr>
                  </w:pPr>
                  <w:r>
                    <w:rPr>
                      <w:color w:val="000000" w:themeColor="text1"/>
                      <w:szCs w:val="21"/>
                    </w:rPr>
                    <w:t>--</w:t>
                  </w:r>
                </w:p>
              </w:tc>
              <w:tc>
                <w:tcPr>
                  <w:tcW w:w="3291" w:type="dxa"/>
                </w:tcPr>
                <w:p>
                  <w:pPr>
                    <w:pStyle w:val="32"/>
                    <w:spacing w:line="360" w:lineRule="exact"/>
                    <w:rPr>
                      <w:color w:val="000000" w:themeColor="text1"/>
                      <w:szCs w:val="21"/>
                    </w:rPr>
                  </w:pPr>
                  <w:r>
                    <w:rPr>
                      <w:color w:val="000000" w:themeColor="text1"/>
                      <w:szCs w:val="21"/>
                    </w:rPr>
                    <w:t>1.0</w:t>
                  </w:r>
                </w:p>
              </w:tc>
            </w:tr>
          </w:tbl>
          <w:p>
            <w:pPr>
              <w:pStyle w:val="40"/>
              <w:spacing w:beforeLines="50"/>
              <w:ind w:firstLine="361" w:firstLineChars="150"/>
              <w:rPr>
                <w:rFonts w:eastAsiaTheme="minorEastAsia"/>
                <w:b/>
                <w:color w:val="000000" w:themeColor="text1"/>
              </w:rPr>
            </w:pPr>
            <w:r>
              <w:rPr>
                <w:rFonts w:eastAsiaTheme="minorEastAsia"/>
                <w:b/>
                <w:color w:val="000000" w:themeColor="text1"/>
              </w:rPr>
              <w:t>（2）运营期</w:t>
            </w:r>
          </w:p>
          <w:p>
            <w:pPr>
              <w:spacing w:line="360" w:lineRule="auto"/>
              <w:ind w:firstLine="480" w:firstLineChars="200"/>
              <w:rPr>
                <w:rFonts w:ascii="Times New Roman" w:hAnsi="Times New Roman" w:cs="Times New Roman"/>
                <w:color w:val="FF0000"/>
                <w:sz w:val="24"/>
                <w:szCs w:val="24"/>
              </w:rPr>
            </w:pPr>
            <w:r>
              <w:rPr>
                <w:rFonts w:ascii="Times New Roman" w:hAnsi="Times New Roman" w:cs="Times New Roman"/>
                <w:color w:val="FF0000"/>
                <w:sz w:val="24"/>
                <w:szCs w:val="24"/>
              </w:rPr>
              <w:t>根据设计，本项目生产线包括砂石骨料生产线和水泥砖生产线，其中砂石骨料生产线产生的粉尘为无组织排放，而水泥砖生产线产生的粉尘含有组织排放和无组织排放。又砂石骨料属于C3039 其他建筑材料制造项目，无行业标准，水泥砖属于C3021 水泥制品制造，因此执行《水泥工业大气污染物排放标准》（GB4915-2013）表1和表3 标准限值，标准值具体如下。</w:t>
            </w:r>
          </w:p>
          <w:p>
            <w:pPr>
              <w:jc w:val="center"/>
              <w:rPr>
                <w:rFonts w:ascii="Times New Roman" w:hAnsi="Times New Roman" w:cs="Times New Roman"/>
                <w:b/>
                <w:color w:val="FF0000"/>
                <w:szCs w:val="24"/>
              </w:rPr>
            </w:pPr>
            <w:r>
              <w:rPr>
                <w:rFonts w:ascii="Times New Roman" w:hAnsi="Times New Roman" w:cs="Times New Roman"/>
                <w:b/>
                <w:color w:val="FF0000"/>
                <w:szCs w:val="24"/>
              </w:rPr>
              <w:t>表3.3.1-2 《水泥工业大气污染物排放标准》</w:t>
            </w:r>
            <w:r>
              <w:rPr>
                <w:rFonts w:ascii="Times New Roman" w:hAnsi="Times New Roman" w:cs="Times New Roman"/>
                <w:color w:val="FF0000"/>
                <w:sz w:val="24"/>
                <w:szCs w:val="24"/>
              </w:rPr>
              <w:t>表1</w:t>
            </w:r>
            <w:r>
              <w:rPr>
                <w:rFonts w:ascii="Times New Roman" w:hAnsi="Times New Roman" w:cs="Times New Roman"/>
                <w:b/>
                <w:color w:val="FF0000"/>
                <w:szCs w:val="24"/>
              </w:rPr>
              <w:t>排放限值 单位mg/m³</w:t>
            </w:r>
          </w:p>
          <w:tbl>
            <w:tblPr>
              <w:tblStyle w:val="2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567"/>
              <w:gridCol w:w="3058"/>
              <w:gridCol w:w="198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76" w:type="dxa"/>
                  <w:tcBorders>
                    <w:left w:val="single" w:color="auto" w:sz="4" w:space="0"/>
                  </w:tcBorders>
                  <w:vAlign w:val="center"/>
                </w:tcPr>
                <w:p>
                  <w:pPr>
                    <w:pStyle w:val="32"/>
                    <w:spacing w:line="360" w:lineRule="exact"/>
                    <w:rPr>
                      <w:color w:val="FF0000"/>
                      <w:szCs w:val="21"/>
                    </w:rPr>
                  </w:pPr>
                  <w:r>
                    <w:rPr>
                      <w:color w:val="FF0000"/>
                      <w:szCs w:val="21"/>
                    </w:rPr>
                    <w:t>生产过程</w:t>
                  </w:r>
                </w:p>
              </w:tc>
              <w:tc>
                <w:tcPr>
                  <w:tcW w:w="2552" w:type="dxa"/>
                  <w:vAlign w:val="center"/>
                </w:tcPr>
                <w:p>
                  <w:pPr>
                    <w:pStyle w:val="32"/>
                    <w:spacing w:line="360" w:lineRule="exact"/>
                    <w:rPr>
                      <w:color w:val="FF0000"/>
                      <w:szCs w:val="21"/>
                    </w:rPr>
                  </w:pPr>
                  <w:r>
                    <w:rPr>
                      <w:color w:val="FF0000"/>
                      <w:szCs w:val="21"/>
                    </w:rPr>
                    <w:t>生产设备</w:t>
                  </w:r>
                </w:p>
              </w:tc>
              <w:tc>
                <w:tcPr>
                  <w:tcW w:w="1652" w:type="dxa"/>
                  <w:tcBorders>
                    <w:right w:val="single" w:color="auto" w:sz="4" w:space="0"/>
                  </w:tcBorders>
                  <w:vAlign w:val="center"/>
                </w:tcPr>
                <w:p>
                  <w:pPr>
                    <w:pStyle w:val="32"/>
                    <w:spacing w:line="360" w:lineRule="exact"/>
                    <w:rPr>
                      <w:color w:val="FF0000"/>
                      <w:szCs w:val="21"/>
                    </w:rPr>
                  </w:pPr>
                  <w:r>
                    <w:rPr>
                      <w:color w:val="FF0000"/>
                      <w:szCs w:val="21"/>
                    </w:rPr>
                    <w:t>颗粒物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976" w:type="dxa"/>
                  <w:tcBorders>
                    <w:left w:val="single" w:color="auto" w:sz="4" w:space="0"/>
                  </w:tcBorders>
                  <w:vAlign w:val="center"/>
                </w:tcPr>
                <w:p>
                  <w:pPr>
                    <w:pStyle w:val="32"/>
                    <w:spacing w:line="360" w:lineRule="exact"/>
                    <w:rPr>
                      <w:color w:val="FF0000"/>
                      <w:szCs w:val="21"/>
                    </w:rPr>
                  </w:pPr>
                  <w:r>
                    <w:rPr>
                      <w:color w:val="FF0000"/>
                      <w:szCs w:val="21"/>
                    </w:rPr>
                    <w:t>散装水泥中转站及水泥制品生产</w:t>
                  </w:r>
                </w:p>
              </w:tc>
              <w:tc>
                <w:tcPr>
                  <w:tcW w:w="2552" w:type="dxa"/>
                  <w:vAlign w:val="center"/>
                </w:tcPr>
                <w:p>
                  <w:pPr>
                    <w:pStyle w:val="32"/>
                    <w:spacing w:line="360" w:lineRule="exact"/>
                    <w:rPr>
                      <w:color w:val="FF0000"/>
                      <w:szCs w:val="21"/>
                    </w:rPr>
                  </w:pPr>
                  <w:r>
                    <w:rPr>
                      <w:color w:val="FF0000"/>
                      <w:szCs w:val="21"/>
                    </w:rPr>
                    <w:t>水泥仓及其他通风生产设备</w:t>
                  </w:r>
                </w:p>
              </w:tc>
              <w:tc>
                <w:tcPr>
                  <w:tcW w:w="1652" w:type="dxa"/>
                  <w:tcBorders>
                    <w:right w:val="single" w:color="auto" w:sz="4" w:space="0"/>
                  </w:tcBorders>
                  <w:vAlign w:val="center"/>
                </w:tcPr>
                <w:p>
                  <w:pPr>
                    <w:pStyle w:val="32"/>
                    <w:spacing w:line="360" w:lineRule="exact"/>
                    <w:rPr>
                      <w:color w:val="FF0000"/>
                      <w:szCs w:val="21"/>
                    </w:rPr>
                  </w:pPr>
                  <w:r>
                    <w:rPr>
                      <w:color w:val="FF0000"/>
                      <w:szCs w:val="21"/>
                    </w:rPr>
                    <w:t>20</w:t>
                  </w:r>
                </w:p>
              </w:tc>
            </w:tr>
          </w:tbl>
          <w:p>
            <w:pPr>
              <w:spacing w:beforeLines="50"/>
              <w:jc w:val="center"/>
              <w:rPr>
                <w:rFonts w:ascii="Times New Roman" w:hAnsi="Times New Roman" w:cs="Times New Roman"/>
                <w:b/>
                <w:color w:val="FF0000"/>
                <w:szCs w:val="24"/>
              </w:rPr>
            </w:pPr>
            <w:r>
              <w:rPr>
                <w:rFonts w:ascii="Times New Roman" w:hAnsi="Times New Roman" w:cs="Times New Roman"/>
                <w:b/>
                <w:color w:val="FF0000"/>
                <w:szCs w:val="24"/>
              </w:rPr>
              <w:t>表3.3.1-3 《水泥工业大气污染物排放标准》无组织排放限值 单位mg/m³</w:t>
            </w:r>
          </w:p>
          <w:tbl>
            <w:tblPr>
              <w:tblStyle w:val="2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27"/>
              <w:gridCol w:w="1559"/>
              <w:gridCol w:w="2977"/>
              <w:gridCol w:w="23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27" w:type="dxa"/>
                  <w:vAlign w:val="center"/>
                </w:tcPr>
                <w:p>
                  <w:pPr>
                    <w:pStyle w:val="32"/>
                    <w:spacing w:line="360" w:lineRule="exact"/>
                    <w:rPr>
                      <w:color w:val="FF0000"/>
                      <w:szCs w:val="21"/>
                    </w:rPr>
                  </w:pPr>
                  <w:r>
                    <w:rPr>
                      <w:color w:val="FF0000"/>
                      <w:szCs w:val="21"/>
                    </w:rPr>
                    <w:t>污染物项目</w:t>
                  </w:r>
                </w:p>
              </w:tc>
              <w:tc>
                <w:tcPr>
                  <w:tcW w:w="1559" w:type="dxa"/>
                  <w:tcBorders>
                    <w:right w:val="single" w:color="auto" w:sz="4" w:space="0"/>
                  </w:tcBorders>
                  <w:vAlign w:val="center"/>
                </w:tcPr>
                <w:p>
                  <w:pPr>
                    <w:pStyle w:val="32"/>
                    <w:spacing w:line="360" w:lineRule="exact"/>
                    <w:rPr>
                      <w:color w:val="FF0000"/>
                      <w:szCs w:val="21"/>
                    </w:rPr>
                  </w:pPr>
                  <w:r>
                    <w:rPr>
                      <w:color w:val="FF0000"/>
                      <w:szCs w:val="21"/>
                    </w:rPr>
                    <w:t>限值</w:t>
                  </w:r>
                </w:p>
              </w:tc>
              <w:tc>
                <w:tcPr>
                  <w:tcW w:w="2977" w:type="dxa"/>
                  <w:tcBorders>
                    <w:left w:val="single" w:color="auto" w:sz="4" w:space="0"/>
                  </w:tcBorders>
                  <w:vAlign w:val="center"/>
                </w:tcPr>
                <w:p>
                  <w:pPr>
                    <w:pStyle w:val="32"/>
                    <w:spacing w:line="360" w:lineRule="exact"/>
                    <w:rPr>
                      <w:color w:val="FF0000"/>
                      <w:szCs w:val="21"/>
                    </w:rPr>
                  </w:pPr>
                  <w:r>
                    <w:rPr>
                      <w:color w:val="FF0000"/>
                      <w:szCs w:val="21"/>
                    </w:rPr>
                    <w:t>限值含义</w:t>
                  </w:r>
                </w:p>
              </w:tc>
              <w:tc>
                <w:tcPr>
                  <w:tcW w:w="2337" w:type="dxa"/>
                  <w:vAlign w:val="center"/>
                </w:tcPr>
                <w:p>
                  <w:pPr>
                    <w:pStyle w:val="32"/>
                    <w:spacing w:line="360" w:lineRule="exact"/>
                    <w:rPr>
                      <w:color w:val="FF0000"/>
                      <w:szCs w:val="21"/>
                    </w:rPr>
                  </w:pPr>
                  <w:r>
                    <w:rPr>
                      <w:color w:val="FF0000"/>
                      <w:szCs w:val="21"/>
                    </w:rPr>
                    <w:t>无组织排放点监控位置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27" w:type="dxa"/>
                  <w:vAlign w:val="center"/>
                </w:tcPr>
                <w:p>
                  <w:pPr>
                    <w:pStyle w:val="32"/>
                    <w:spacing w:line="360" w:lineRule="exact"/>
                    <w:rPr>
                      <w:color w:val="FF0000"/>
                      <w:szCs w:val="21"/>
                    </w:rPr>
                  </w:pPr>
                  <w:r>
                    <w:rPr>
                      <w:color w:val="FF0000"/>
                      <w:szCs w:val="21"/>
                    </w:rPr>
                    <w:t>颗粒物</w:t>
                  </w:r>
                </w:p>
              </w:tc>
              <w:tc>
                <w:tcPr>
                  <w:tcW w:w="1559" w:type="dxa"/>
                  <w:tcBorders>
                    <w:right w:val="single" w:color="auto" w:sz="4" w:space="0"/>
                  </w:tcBorders>
                  <w:vAlign w:val="center"/>
                </w:tcPr>
                <w:p>
                  <w:pPr>
                    <w:pStyle w:val="32"/>
                    <w:spacing w:line="360" w:lineRule="exact"/>
                    <w:rPr>
                      <w:color w:val="FF0000"/>
                      <w:szCs w:val="21"/>
                    </w:rPr>
                  </w:pPr>
                  <w:r>
                    <w:rPr>
                      <w:color w:val="FF0000"/>
                      <w:szCs w:val="21"/>
                    </w:rPr>
                    <w:t>0.5</w:t>
                  </w:r>
                </w:p>
              </w:tc>
              <w:tc>
                <w:tcPr>
                  <w:tcW w:w="2977" w:type="dxa"/>
                  <w:tcBorders>
                    <w:left w:val="single" w:color="auto" w:sz="4" w:space="0"/>
                  </w:tcBorders>
                  <w:vAlign w:val="center"/>
                </w:tcPr>
                <w:p>
                  <w:pPr>
                    <w:pStyle w:val="32"/>
                    <w:spacing w:line="360" w:lineRule="exact"/>
                    <w:rPr>
                      <w:color w:val="FF0000"/>
                      <w:szCs w:val="21"/>
                    </w:rPr>
                  </w:pPr>
                  <w:r>
                    <w:rPr>
                      <w:color w:val="FF0000"/>
                      <w:szCs w:val="21"/>
                    </w:rPr>
                    <w:t>监控点处1小时浓度平均值</w:t>
                  </w:r>
                </w:p>
              </w:tc>
              <w:tc>
                <w:tcPr>
                  <w:tcW w:w="2337" w:type="dxa"/>
                  <w:vAlign w:val="center"/>
                </w:tcPr>
                <w:p>
                  <w:pPr>
                    <w:pStyle w:val="32"/>
                    <w:spacing w:line="360" w:lineRule="exact"/>
                    <w:rPr>
                      <w:color w:val="FF0000"/>
                      <w:szCs w:val="21"/>
                    </w:rPr>
                  </w:pPr>
                  <w:r>
                    <w:rPr>
                      <w:color w:val="FF0000"/>
                      <w:szCs w:val="21"/>
                    </w:rPr>
                    <w:t>下风向厂界外10m范围内浓度最高点</w:t>
                  </w:r>
                </w:p>
              </w:tc>
            </w:tr>
          </w:tbl>
          <w:p>
            <w:pPr>
              <w:pStyle w:val="40"/>
              <w:spacing w:beforeLines="50"/>
              <w:ind w:firstLine="482"/>
              <w:rPr>
                <w:rFonts w:eastAsiaTheme="minorEastAsia"/>
                <w:b/>
                <w:color w:val="000000" w:themeColor="text1"/>
                <w:szCs w:val="24"/>
              </w:rPr>
            </w:pPr>
            <w:r>
              <w:rPr>
                <w:rFonts w:eastAsiaTheme="minorEastAsia"/>
                <w:b/>
                <w:color w:val="000000" w:themeColor="text1"/>
                <w:szCs w:val="24"/>
              </w:rPr>
              <w:t>3.3.2 废水排放标准</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（1）施工期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根据项目特点，该项目施工量较小，施工废水和施工生活污水通过施工场地的临时沉淀池沉淀处理后，回用于施工场地洒水抑尘，不外排；因此不设排放标准。</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（2）运营期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项目运营期废水包括</w:t>
            </w:r>
            <w:r>
              <w:rPr>
                <w:rFonts w:ascii="Times New Roman" w:hAnsi="Times New Roman" w:cs="Times New Roman"/>
                <w:bCs/>
                <w:color w:val="000000" w:themeColor="text1"/>
                <w:sz w:val="24"/>
                <w:szCs w:val="24"/>
              </w:rPr>
              <w:t>砂石骨料生产废水</w:t>
            </w:r>
            <w:r>
              <w:rPr>
                <w:rFonts w:ascii="Times New Roman" w:hAnsi="Times New Roman" w:cs="Times New Roman"/>
                <w:color w:val="000000" w:themeColor="text1"/>
                <w:sz w:val="24"/>
                <w:szCs w:val="24"/>
              </w:rPr>
              <w:t>、养护废水、初期雨水和生活污水。</w:t>
            </w:r>
          </w:p>
          <w:p>
            <w:pPr>
              <w:spacing w:line="360" w:lineRule="auto"/>
              <w:ind w:firstLine="482" w:firstLineChars="200"/>
              <w:rPr>
                <w:rFonts w:ascii="Times New Roman" w:hAnsi="Times New Roman" w:cs="Times New Roman"/>
                <w:b/>
                <w:color w:val="000000" w:themeColor="text1"/>
                <w:sz w:val="24"/>
                <w:szCs w:val="24"/>
              </w:rPr>
            </w:pPr>
            <w:r>
              <w:rPr>
                <w:rFonts w:ascii="宋体" w:hAnsi="Times New Roman" w:eastAsia="宋体" w:cs="Times New Roman"/>
                <w:b/>
                <w:color w:val="000000" w:themeColor="text1"/>
                <w:sz w:val="24"/>
                <w:szCs w:val="24"/>
              </w:rPr>
              <w:t>①</w:t>
            </w:r>
            <w:r>
              <w:rPr>
                <w:rFonts w:ascii="Times New Roman" w:hAnsi="Times New Roman" w:cs="Times New Roman"/>
                <w:b/>
                <w:color w:val="000000" w:themeColor="text1"/>
                <w:sz w:val="24"/>
                <w:szCs w:val="24"/>
              </w:rPr>
              <w:t>砂石骨料生产废水、养护废水和初期雨水</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w:t>
            </w:r>
            <w:r>
              <w:rPr>
                <w:rFonts w:ascii="Times New Roman" w:hAnsi="Times New Roman" w:cs="Times New Roman"/>
                <w:bCs/>
                <w:color w:val="000000" w:themeColor="text1"/>
                <w:sz w:val="24"/>
                <w:szCs w:val="24"/>
              </w:rPr>
              <w:t>砂石骨料生产废水</w:t>
            </w:r>
            <w:r>
              <w:rPr>
                <w:rFonts w:ascii="Times New Roman" w:hAnsi="Times New Roman" w:cs="Times New Roman"/>
                <w:color w:val="000000" w:themeColor="text1"/>
                <w:sz w:val="24"/>
                <w:szCs w:val="24"/>
              </w:rPr>
              <w:t>进入1套砂石骨料生产废水处理系统对其进行处理；首先砂石骨料生产废水进入三级沉淀池进行沉淀，沉淀后，约90%的上层清水进入回水池回用于骨料生产系统，而三级沉淀池产生的的含水污泥则进入建设单位建设的昆明市东川金水矿业有限责任公司牛厂坪尾矿充填环境综合治理项目进行井下充填处理；不直接排入环境；养护废水经一个有效容积不低于6m³的养护废水收集池收集沉淀后回用于养护场养护，不外排。该项目</w:t>
            </w: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拟配套设置1个有效容积为</w:t>
            </w:r>
            <w:r>
              <w:rPr>
                <w:rFonts w:hint="eastAsia"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m³的初期雨水收集池</w:t>
            </w:r>
            <w:r>
              <w:rPr>
                <w:rFonts w:hint="eastAsia" w:ascii="Times New Roman" w:hAnsi="Times New Roman" w:cs="Times New Roman"/>
                <w:color w:val="000000" w:themeColor="text1"/>
                <w:sz w:val="24"/>
                <w:szCs w:val="24"/>
              </w:rPr>
              <w:t>，二期工程</w:t>
            </w:r>
            <w:r>
              <w:rPr>
                <w:rFonts w:ascii="Times New Roman" w:hAnsi="Times New Roman" w:cs="Times New Roman"/>
                <w:color w:val="000000" w:themeColor="text1"/>
                <w:sz w:val="24"/>
                <w:szCs w:val="24"/>
              </w:rPr>
              <w:t>拟配套设置1个有效容积为</w:t>
            </w:r>
            <w:r>
              <w:rPr>
                <w:rFonts w:hint="eastAsia"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m³的初期雨水收集池对厂区的初期雨水进行收集，收集后用于该项目生产用水，不外排。因此不设排放标准。</w:t>
            </w:r>
          </w:p>
          <w:p>
            <w:pPr>
              <w:spacing w:line="360" w:lineRule="auto"/>
              <w:ind w:firstLine="482" w:firstLineChars="200"/>
              <w:rPr>
                <w:rFonts w:ascii="Times New Roman" w:hAnsi="Times New Roman" w:cs="Times New Roman"/>
                <w:b/>
                <w:color w:val="000000" w:themeColor="text1"/>
                <w:sz w:val="24"/>
                <w:szCs w:val="24"/>
              </w:rPr>
            </w:pPr>
            <w:r>
              <w:rPr>
                <w:rFonts w:ascii="宋体" w:hAnsi="Times New Roman" w:eastAsia="宋体" w:cs="Times New Roman"/>
                <w:b/>
                <w:color w:val="000000" w:themeColor="text1"/>
                <w:sz w:val="24"/>
                <w:szCs w:val="24"/>
              </w:rPr>
              <w:t>②</w:t>
            </w:r>
            <w:r>
              <w:rPr>
                <w:rFonts w:ascii="Times New Roman" w:hAnsi="Times New Roman" w:cs="Times New Roman"/>
                <w:b/>
                <w:color w:val="000000" w:themeColor="text1"/>
                <w:sz w:val="24"/>
                <w:szCs w:val="24"/>
              </w:rPr>
              <w:t>生活污水执行标准</w:t>
            </w:r>
          </w:p>
          <w:p>
            <w:pPr>
              <w:autoSpaceDE w:val="0"/>
              <w:autoSpaceDN w:val="0"/>
              <w:adjustRightInd w:val="0"/>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FF0000"/>
                <w:sz w:val="24"/>
                <w:szCs w:val="24"/>
              </w:rPr>
              <w:t>项目产生的生活污水通过化粪池和一体化污水处理设施处理后，回用于绿化不外排；</w:t>
            </w:r>
            <w:r>
              <w:rPr>
                <w:rFonts w:ascii="Times New Roman" w:hAnsi="Times New Roman" w:cs="Times New Roman"/>
                <w:color w:val="000000" w:themeColor="text1"/>
                <w:sz w:val="24"/>
                <w:szCs w:val="24"/>
              </w:rPr>
              <w:t>执行《城市污水再生利用 城市杂用水水质》（GB/T18920 -2020）城市绿化标准。标准限值详见下表。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表3.3.2-</w:t>
            </w:r>
            <w:r>
              <w:rPr>
                <w:rFonts w:hint="eastAsia" w:ascii="Times New Roman" w:hAnsi="Times New Roman" w:cs="Times New Roman"/>
                <w:b/>
                <w:color w:val="000000" w:themeColor="text1"/>
                <w:szCs w:val="24"/>
              </w:rPr>
              <w:t>1</w:t>
            </w:r>
            <w:r>
              <w:rPr>
                <w:rFonts w:ascii="Times New Roman" w:hAnsi="Times New Roman" w:cs="Times New Roman"/>
                <w:b/>
                <w:color w:val="000000" w:themeColor="text1"/>
                <w:szCs w:val="24"/>
              </w:rPr>
              <w:t xml:space="preserve">  城市污水再生利用 城市杂用水标准</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4394"/>
              <w:gridCol w:w="3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pStyle w:val="32"/>
                    <w:spacing w:line="360" w:lineRule="exact"/>
                    <w:rPr>
                      <w:color w:val="000000" w:themeColor="text1"/>
                      <w:szCs w:val="21"/>
                    </w:rPr>
                  </w:pPr>
                  <w:r>
                    <w:rPr>
                      <w:color w:val="000000" w:themeColor="text1"/>
                      <w:szCs w:val="21"/>
                    </w:rPr>
                    <w:t>序号</w:t>
                  </w:r>
                </w:p>
              </w:tc>
              <w:tc>
                <w:tcPr>
                  <w:tcW w:w="3402" w:type="dxa"/>
                  <w:vAlign w:val="center"/>
                </w:tcPr>
                <w:p>
                  <w:pPr>
                    <w:pStyle w:val="32"/>
                    <w:spacing w:line="360" w:lineRule="exact"/>
                    <w:rPr>
                      <w:color w:val="000000" w:themeColor="text1"/>
                      <w:szCs w:val="21"/>
                    </w:rPr>
                  </w:pPr>
                  <w:r>
                    <w:rPr>
                      <w:color w:val="000000" w:themeColor="text1"/>
                      <w:szCs w:val="21"/>
                    </w:rPr>
                    <w:t>项目</w:t>
                  </w:r>
                </w:p>
              </w:tc>
              <w:tc>
                <w:tcPr>
                  <w:tcW w:w="2455" w:type="dxa"/>
                  <w:vAlign w:val="center"/>
                </w:tcPr>
                <w:p>
                  <w:pPr>
                    <w:pStyle w:val="32"/>
                    <w:spacing w:line="360" w:lineRule="exact"/>
                    <w:rPr>
                      <w:color w:val="000000" w:themeColor="text1"/>
                      <w:szCs w:val="21"/>
                    </w:rPr>
                  </w:pPr>
                  <w:r>
                    <w:rPr>
                      <w:color w:val="000000" w:themeColor="text1"/>
                      <w:szCs w:val="21"/>
                    </w:rPr>
                    <w:t>城市绿化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pStyle w:val="32"/>
                    <w:spacing w:line="360" w:lineRule="exact"/>
                    <w:rPr>
                      <w:color w:val="000000" w:themeColor="text1"/>
                      <w:szCs w:val="21"/>
                    </w:rPr>
                  </w:pPr>
                  <w:r>
                    <w:rPr>
                      <w:color w:val="000000" w:themeColor="text1"/>
                      <w:szCs w:val="21"/>
                    </w:rPr>
                    <w:t>1</w:t>
                  </w:r>
                </w:p>
              </w:tc>
              <w:tc>
                <w:tcPr>
                  <w:tcW w:w="3402" w:type="dxa"/>
                  <w:vAlign w:val="center"/>
                </w:tcPr>
                <w:p>
                  <w:pPr>
                    <w:pStyle w:val="32"/>
                    <w:spacing w:line="360" w:lineRule="exact"/>
                    <w:rPr>
                      <w:color w:val="000000" w:themeColor="text1"/>
                      <w:szCs w:val="21"/>
                    </w:rPr>
                  </w:pPr>
                  <w:r>
                    <w:rPr>
                      <w:color w:val="000000" w:themeColor="text1"/>
                      <w:szCs w:val="21"/>
                    </w:rPr>
                    <w:t>pH</w:t>
                  </w:r>
                </w:p>
              </w:tc>
              <w:tc>
                <w:tcPr>
                  <w:tcW w:w="2455" w:type="dxa"/>
                  <w:vAlign w:val="center"/>
                </w:tcPr>
                <w:p>
                  <w:pPr>
                    <w:pStyle w:val="32"/>
                    <w:spacing w:line="360" w:lineRule="exact"/>
                    <w:rPr>
                      <w:color w:val="000000" w:themeColor="text1"/>
                      <w:szCs w:val="21"/>
                    </w:rPr>
                  </w:pPr>
                  <w:r>
                    <w:rPr>
                      <w:color w:val="000000" w:themeColor="text1"/>
                      <w:szCs w:val="21"/>
                    </w:rPr>
                    <w:t>6.0-9.0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pStyle w:val="32"/>
                    <w:spacing w:line="360" w:lineRule="exact"/>
                    <w:rPr>
                      <w:color w:val="000000" w:themeColor="text1"/>
                      <w:szCs w:val="21"/>
                    </w:rPr>
                  </w:pPr>
                  <w:r>
                    <w:rPr>
                      <w:color w:val="000000" w:themeColor="text1"/>
                      <w:szCs w:val="21"/>
                    </w:rPr>
                    <w:t>2</w:t>
                  </w:r>
                </w:p>
              </w:tc>
              <w:tc>
                <w:tcPr>
                  <w:tcW w:w="3402" w:type="dxa"/>
                  <w:vAlign w:val="center"/>
                </w:tcPr>
                <w:p>
                  <w:pPr>
                    <w:pStyle w:val="32"/>
                    <w:spacing w:line="360" w:lineRule="exact"/>
                    <w:rPr>
                      <w:color w:val="000000" w:themeColor="text1"/>
                      <w:szCs w:val="21"/>
                    </w:rPr>
                  </w:pPr>
                  <w:r>
                    <w:rPr>
                      <w:color w:val="000000" w:themeColor="text1"/>
                      <w:szCs w:val="21"/>
                    </w:rPr>
                    <w:t>色（度）≤</w:t>
                  </w:r>
                </w:p>
              </w:tc>
              <w:tc>
                <w:tcPr>
                  <w:tcW w:w="2455" w:type="dxa"/>
                  <w:vAlign w:val="center"/>
                </w:tcPr>
                <w:p>
                  <w:pPr>
                    <w:pStyle w:val="32"/>
                    <w:spacing w:line="360" w:lineRule="exact"/>
                    <w:rPr>
                      <w:color w:val="000000" w:themeColor="text1"/>
                      <w:szCs w:val="21"/>
                    </w:rPr>
                  </w:pPr>
                  <w:r>
                    <w:rPr>
                      <w:color w:val="000000" w:themeColor="text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pStyle w:val="32"/>
                    <w:spacing w:line="360" w:lineRule="exact"/>
                    <w:rPr>
                      <w:color w:val="000000" w:themeColor="text1"/>
                      <w:szCs w:val="21"/>
                    </w:rPr>
                  </w:pPr>
                  <w:r>
                    <w:rPr>
                      <w:color w:val="000000" w:themeColor="text1"/>
                      <w:szCs w:val="21"/>
                    </w:rPr>
                    <w:t>3</w:t>
                  </w:r>
                </w:p>
              </w:tc>
              <w:tc>
                <w:tcPr>
                  <w:tcW w:w="3402" w:type="dxa"/>
                  <w:vAlign w:val="center"/>
                </w:tcPr>
                <w:p>
                  <w:pPr>
                    <w:pStyle w:val="32"/>
                    <w:spacing w:line="360" w:lineRule="exact"/>
                    <w:rPr>
                      <w:color w:val="000000" w:themeColor="text1"/>
                      <w:szCs w:val="21"/>
                    </w:rPr>
                  </w:pPr>
                  <w:r>
                    <w:rPr>
                      <w:color w:val="000000" w:themeColor="text1"/>
                      <w:szCs w:val="21"/>
                    </w:rPr>
                    <w:t>嗅</w:t>
                  </w:r>
                </w:p>
              </w:tc>
              <w:tc>
                <w:tcPr>
                  <w:tcW w:w="2455" w:type="dxa"/>
                  <w:vAlign w:val="center"/>
                </w:tcPr>
                <w:p>
                  <w:pPr>
                    <w:pStyle w:val="32"/>
                    <w:spacing w:line="360" w:lineRule="exact"/>
                    <w:rPr>
                      <w:color w:val="000000" w:themeColor="text1"/>
                      <w:szCs w:val="21"/>
                    </w:rPr>
                  </w:pPr>
                  <w:r>
                    <w:rPr>
                      <w:color w:val="000000" w:themeColor="text1"/>
                      <w:szCs w:val="21"/>
                    </w:rPr>
                    <w:t>无不快感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pStyle w:val="32"/>
                    <w:spacing w:line="360" w:lineRule="exact"/>
                    <w:rPr>
                      <w:color w:val="000000" w:themeColor="text1"/>
                      <w:szCs w:val="21"/>
                    </w:rPr>
                  </w:pPr>
                  <w:r>
                    <w:rPr>
                      <w:color w:val="000000" w:themeColor="text1"/>
                      <w:szCs w:val="21"/>
                    </w:rPr>
                    <w:t>4</w:t>
                  </w:r>
                </w:p>
              </w:tc>
              <w:tc>
                <w:tcPr>
                  <w:tcW w:w="3402" w:type="dxa"/>
                  <w:vAlign w:val="center"/>
                </w:tcPr>
                <w:p>
                  <w:pPr>
                    <w:pStyle w:val="32"/>
                    <w:spacing w:line="360" w:lineRule="exact"/>
                    <w:rPr>
                      <w:color w:val="000000" w:themeColor="text1"/>
                      <w:szCs w:val="21"/>
                    </w:rPr>
                  </w:pPr>
                  <w:r>
                    <w:rPr>
                      <w:color w:val="000000" w:themeColor="text1"/>
                      <w:szCs w:val="21"/>
                    </w:rPr>
                    <w:t>浊度（NTU）≤</w:t>
                  </w:r>
                </w:p>
              </w:tc>
              <w:tc>
                <w:tcPr>
                  <w:tcW w:w="2455" w:type="dxa"/>
                  <w:vAlign w:val="center"/>
                </w:tcPr>
                <w:p>
                  <w:pPr>
                    <w:pStyle w:val="32"/>
                    <w:spacing w:line="360" w:lineRule="exact"/>
                    <w:rPr>
                      <w:color w:val="000000" w:themeColor="text1"/>
                      <w:szCs w:val="21"/>
                    </w:rPr>
                  </w:pPr>
                  <w:r>
                    <w:rPr>
                      <w:color w:val="000000" w:themeColor="text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pStyle w:val="32"/>
                    <w:spacing w:line="360" w:lineRule="exact"/>
                    <w:rPr>
                      <w:color w:val="000000" w:themeColor="text1"/>
                      <w:szCs w:val="21"/>
                    </w:rPr>
                  </w:pPr>
                  <w:r>
                    <w:rPr>
                      <w:color w:val="000000" w:themeColor="text1"/>
                      <w:szCs w:val="21"/>
                    </w:rPr>
                    <w:t>5</w:t>
                  </w:r>
                </w:p>
              </w:tc>
              <w:tc>
                <w:tcPr>
                  <w:tcW w:w="3402" w:type="dxa"/>
                  <w:vAlign w:val="center"/>
                </w:tcPr>
                <w:p>
                  <w:pPr>
                    <w:pStyle w:val="32"/>
                    <w:spacing w:line="360" w:lineRule="exact"/>
                    <w:rPr>
                      <w:color w:val="000000" w:themeColor="text1"/>
                      <w:szCs w:val="21"/>
                    </w:rPr>
                  </w:pPr>
                  <w:r>
                    <w:rPr>
                      <w:color w:val="000000" w:themeColor="text1"/>
                      <w:szCs w:val="21"/>
                    </w:rPr>
                    <w:t>溶解性总固体（mg/L）≤</w:t>
                  </w:r>
                </w:p>
              </w:tc>
              <w:tc>
                <w:tcPr>
                  <w:tcW w:w="2455" w:type="dxa"/>
                  <w:vAlign w:val="center"/>
                </w:tcPr>
                <w:p>
                  <w:pPr>
                    <w:pStyle w:val="32"/>
                    <w:spacing w:line="360" w:lineRule="exact"/>
                    <w:rPr>
                      <w:color w:val="000000" w:themeColor="text1"/>
                      <w:szCs w:val="21"/>
                    </w:rPr>
                  </w:pPr>
                  <w:r>
                    <w:rPr>
                      <w:color w:val="000000" w:themeColor="text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pStyle w:val="32"/>
                    <w:spacing w:line="360" w:lineRule="exact"/>
                    <w:rPr>
                      <w:color w:val="000000" w:themeColor="text1"/>
                      <w:szCs w:val="21"/>
                    </w:rPr>
                  </w:pPr>
                  <w:r>
                    <w:rPr>
                      <w:color w:val="000000" w:themeColor="text1"/>
                      <w:szCs w:val="21"/>
                    </w:rPr>
                    <w:t>6</w:t>
                  </w:r>
                </w:p>
              </w:tc>
              <w:tc>
                <w:tcPr>
                  <w:tcW w:w="3402" w:type="dxa"/>
                  <w:vAlign w:val="center"/>
                </w:tcPr>
                <w:p>
                  <w:pPr>
                    <w:pStyle w:val="32"/>
                    <w:spacing w:line="360" w:lineRule="exact"/>
                    <w:rPr>
                      <w:color w:val="000000" w:themeColor="text1"/>
                      <w:szCs w:val="21"/>
                    </w:rPr>
                  </w:pPr>
                  <w:r>
                    <w:rPr>
                      <w:color w:val="000000" w:themeColor="text1"/>
                      <w:szCs w:val="21"/>
                    </w:rPr>
                    <w:t>五日生化需氧量BOD</w:t>
                  </w:r>
                  <w:r>
                    <w:rPr>
                      <w:color w:val="000000" w:themeColor="text1"/>
                      <w:szCs w:val="21"/>
                      <w:vertAlign w:val="subscript"/>
                    </w:rPr>
                    <w:t>5</w:t>
                  </w:r>
                  <w:r>
                    <w:rPr>
                      <w:color w:val="000000" w:themeColor="text1"/>
                      <w:szCs w:val="21"/>
                    </w:rPr>
                    <w:t>（mg/L）≤</w:t>
                  </w:r>
                </w:p>
              </w:tc>
              <w:tc>
                <w:tcPr>
                  <w:tcW w:w="2455" w:type="dxa"/>
                  <w:vAlign w:val="center"/>
                </w:tcPr>
                <w:p>
                  <w:pPr>
                    <w:pStyle w:val="32"/>
                    <w:spacing w:line="360" w:lineRule="exact"/>
                    <w:rPr>
                      <w:color w:val="000000" w:themeColor="text1"/>
                      <w:szCs w:val="21"/>
                    </w:rPr>
                  </w:pPr>
                  <w:r>
                    <w:rPr>
                      <w:color w:val="000000" w:themeColor="text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pStyle w:val="32"/>
                    <w:spacing w:line="360" w:lineRule="exact"/>
                    <w:rPr>
                      <w:color w:val="000000" w:themeColor="text1"/>
                      <w:szCs w:val="21"/>
                    </w:rPr>
                  </w:pPr>
                  <w:r>
                    <w:rPr>
                      <w:color w:val="000000" w:themeColor="text1"/>
                      <w:szCs w:val="21"/>
                    </w:rPr>
                    <w:t>7</w:t>
                  </w:r>
                </w:p>
              </w:tc>
              <w:tc>
                <w:tcPr>
                  <w:tcW w:w="3402" w:type="dxa"/>
                  <w:vAlign w:val="center"/>
                </w:tcPr>
                <w:p>
                  <w:pPr>
                    <w:pStyle w:val="32"/>
                    <w:spacing w:line="360" w:lineRule="exact"/>
                    <w:rPr>
                      <w:color w:val="000000" w:themeColor="text1"/>
                      <w:szCs w:val="21"/>
                    </w:rPr>
                  </w:pPr>
                  <w:r>
                    <w:rPr>
                      <w:color w:val="000000" w:themeColor="text1"/>
                      <w:szCs w:val="21"/>
                    </w:rPr>
                    <w:t>氨氮（mg/L）≤</w:t>
                  </w:r>
                </w:p>
              </w:tc>
              <w:tc>
                <w:tcPr>
                  <w:tcW w:w="2455" w:type="dxa"/>
                  <w:vAlign w:val="center"/>
                </w:tcPr>
                <w:p>
                  <w:pPr>
                    <w:pStyle w:val="32"/>
                    <w:spacing w:line="360" w:lineRule="exact"/>
                    <w:rPr>
                      <w:color w:val="000000" w:themeColor="text1"/>
                      <w:szCs w:val="21"/>
                    </w:rPr>
                  </w:pPr>
                  <w:r>
                    <w:rPr>
                      <w:color w:val="000000" w:themeColor="text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pStyle w:val="32"/>
                    <w:spacing w:line="360" w:lineRule="exact"/>
                    <w:rPr>
                      <w:color w:val="000000" w:themeColor="text1"/>
                      <w:szCs w:val="21"/>
                    </w:rPr>
                  </w:pPr>
                  <w:r>
                    <w:rPr>
                      <w:color w:val="000000" w:themeColor="text1"/>
                      <w:szCs w:val="21"/>
                    </w:rPr>
                    <w:t>8</w:t>
                  </w:r>
                </w:p>
              </w:tc>
              <w:tc>
                <w:tcPr>
                  <w:tcW w:w="3402" w:type="dxa"/>
                  <w:vAlign w:val="center"/>
                </w:tcPr>
                <w:p>
                  <w:pPr>
                    <w:pStyle w:val="32"/>
                    <w:spacing w:line="360" w:lineRule="exact"/>
                    <w:rPr>
                      <w:color w:val="000000" w:themeColor="text1"/>
                      <w:szCs w:val="21"/>
                    </w:rPr>
                  </w:pPr>
                  <w:r>
                    <w:rPr>
                      <w:color w:val="000000" w:themeColor="text1"/>
                      <w:szCs w:val="21"/>
                    </w:rPr>
                    <w:t>阴离子表面活性（mg/L）≤</w:t>
                  </w:r>
                </w:p>
              </w:tc>
              <w:tc>
                <w:tcPr>
                  <w:tcW w:w="2455" w:type="dxa"/>
                  <w:vAlign w:val="center"/>
                </w:tcPr>
                <w:p>
                  <w:pPr>
                    <w:pStyle w:val="32"/>
                    <w:spacing w:line="360" w:lineRule="exact"/>
                    <w:rPr>
                      <w:color w:val="000000" w:themeColor="text1"/>
                      <w:szCs w:val="21"/>
                    </w:rPr>
                  </w:pPr>
                  <w:r>
                    <w:rPr>
                      <w:color w:val="000000" w:themeColor="text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pStyle w:val="32"/>
                    <w:spacing w:line="360" w:lineRule="exact"/>
                    <w:rPr>
                      <w:color w:val="000000" w:themeColor="text1"/>
                      <w:szCs w:val="21"/>
                    </w:rPr>
                  </w:pPr>
                  <w:r>
                    <w:rPr>
                      <w:color w:val="000000" w:themeColor="text1"/>
                      <w:szCs w:val="21"/>
                    </w:rPr>
                    <w:t>9</w:t>
                  </w:r>
                </w:p>
              </w:tc>
              <w:tc>
                <w:tcPr>
                  <w:tcW w:w="3402" w:type="dxa"/>
                  <w:vAlign w:val="center"/>
                </w:tcPr>
                <w:p>
                  <w:pPr>
                    <w:pStyle w:val="32"/>
                    <w:spacing w:line="360" w:lineRule="exact"/>
                    <w:rPr>
                      <w:color w:val="000000" w:themeColor="text1"/>
                      <w:szCs w:val="21"/>
                    </w:rPr>
                  </w:pPr>
                  <w:r>
                    <w:rPr>
                      <w:color w:val="000000" w:themeColor="text1"/>
                      <w:szCs w:val="21"/>
                    </w:rPr>
                    <w:t>铁（mg/L）≤</w:t>
                  </w:r>
                </w:p>
              </w:tc>
              <w:tc>
                <w:tcPr>
                  <w:tcW w:w="2455" w:type="dxa"/>
                  <w:vAlign w:val="center"/>
                </w:tcPr>
                <w:p>
                  <w:pPr>
                    <w:pStyle w:val="32"/>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pStyle w:val="32"/>
                    <w:spacing w:line="360" w:lineRule="exact"/>
                    <w:rPr>
                      <w:color w:val="000000" w:themeColor="text1"/>
                      <w:szCs w:val="21"/>
                    </w:rPr>
                  </w:pPr>
                  <w:r>
                    <w:rPr>
                      <w:color w:val="000000" w:themeColor="text1"/>
                      <w:szCs w:val="21"/>
                    </w:rPr>
                    <w:t>10</w:t>
                  </w:r>
                </w:p>
              </w:tc>
              <w:tc>
                <w:tcPr>
                  <w:tcW w:w="3402" w:type="dxa"/>
                  <w:vAlign w:val="center"/>
                </w:tcPr>
                <w:p>
                  <w:pPr>
                    <w:pStyle w:val="32"/>
                    <w:spacing w:line="360" w:lineRule="exact"/>
                    <w:rPr>
                      <w:color w:val="000000" w:themeColor="text1"/>
                      <w:szCs w:val="21"/>
                    </w:rPr>
                  </w:pPr>
                  <w:r>
                    <w:rPr>
                      <w:color w:val="000000" w:themeColor="text1"/>
                      <w:szCs w:val="21"/>
                    </w:rPr>
                    <w:t>锰（mg/L）≤</w:t>
                  </w:r>
                </w:p>
              </w:tc>
              <w:tc>
                <w:tcPr>
                  <w:tcW w:w="2455" w:type="dxa"/>
                  <w:vAlign w:val="center"/>
                </w:tcPr>
                <w:p>
                  <w:pPr>
                    <w:pStyle w:val="32"/>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pStyle w:val="32"/>
                    <w:spacing w:line="360" w:lineRule="exact"/>
                    <w:rPr>
                      <w:color w:val="000000" w:themeColor="text1"/>
                      <w:szCs w:val="21"/>
                    </w:rPr>
                  </w:pPr>
                  <w:r>
                    <w:rPr>
                      <w:color w:val="000000" w:themeColor="text1"/>
                      <w:szCs w:val="21"/>
                    </w:rPr>
                    <w:t>11</w:t>
                  </w:r>
                </w:p>
              </w:tc>
              <w:tc>
                <w:tcPr>
                  <w:tcW w:w="3402" w:type="dxa"/>
                  <w:vAlign w:val="center"/>
                </w:tcPr>
                <w:p>
                  <w:pPr>
                    <w:pStyle w:val="32"/>
                    <w:spacing w:line="360" w:lineRule="exact"/>
                    <w:rPr>
                      <w:color w:val="000000" w:themeColor="text1"/>
                      <w:szCs w:val="21"/>
                    </w:rPr>
                  </w:pPr>
                  <w:r>
                    <w:rPr>
                      <w:color w:val="000000" w:themeColor="text1"/>
                      <w:szCs w:val="21"/>
                    </w:rPr>
                    <w:t>溶解氧（mg/L）≥</w:t>
                  </w:r>
                </w:p>
              </w:tc>
              <w:tc>
                <w:tcPr>
                  <w:tcW w:w="2455" w:type="dxa"/>
                  <w:vAlign w:val="center"/>
                </w:tcPr>
                <w:p>
                  <w:pPr>
                    <w:pStyle w:val="32"/>
                    <w:spacing w:line="360" w:lineRule="exact"/>
                    <w:rPr>
                      <w:color w:val="000000" w:themeColor="text1"/>
                      <w:szCs w:val="21"/>
                    </w:rPr>
                  </w:pPr>
                  <w:r>
                    <w:rPr>
                      <w:color w:val="000000" w:themeColor="text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pStyle w:val="32"/>
                    <w:spacing w:line="360" w:lineRule="exact"/>
                    <w:rPr>
                      <w:color w:val="000000" w:themeColor="text1"/>
                      <w:szCs w:val="21"/>
                    </w:rPr>
                  </w:pPr>
                  <w:r>
                    <w:rPr>
                      <w:color w:val="000000" w:themeColor="text1"/>
                      <w:szCs w:val="21"/>
                    </w:rPr>
                    <w:t>12</w:t>
                  </w:r>
                </w:p>
              </w:tc>
              <w:tc>
                <w:tcPr>
                  <w:tcW w:w="3402" w:type="dxa"/>
                  <w:vAlign w:val="center"/>
                </w:tcPr>
                <w:p>
                  <w:pPr>
                    <w:pStyle w:val="32"/>
                    <w:spacing w:line="360" w:lineRule="exact"/>
                    <w:rPr>
                      <w:color w:val="000000" w:themeColor="text1"/>
                      <w:szCs w:val="21"/>
                    </w:rPr>
                  </w:pPr>
                  <w:r>
                    <w:rPr>
                      <w:color w:val="000000" w:themeColor="text1"/>
                      <w:szCs w:val="21"/>
                    </w:rPr>
                    <w:t>总余氯（mg/L）≤</w:t>
                  </w:r>
                </w:p>
              </w:tc>
              <w:tc>
                <w:tcPr>
                  <w:tcW w:w="2455" w:type="dxa"/>
                  <w:vAlign w:val="center"/>
                </w:tcPr>
                <w:p>
                  <w:pPr>
                    <w:pStyle w:val="32"/>
                    <w:spacing w:line="360" w:lineRule="exact"/>
                    <w:rPr>
                      <w:color w:val="000000" w:themeColor="text1"/>
                      <w:szCs w:val="21"/>
                    </w:rPr>
                  </w:pPr>
                  <w:r>
                    <w:rPr>
                      <w:color w:val="000000" w:themeColor="text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pStyle w:val="32"/>
                    <w:spacing w:line="360" w:lineRule="exact"/>
                    <w:rPr>
                      <w:color w:val="000000" w:themeColor="text1"/>
                      <w:szCs w:val="21"/>
                    </w:rPr>
                  </w:pPr>
                  <w:r>
                    <w:rPr>
                      <w:color w:val="000000" w:themeColor="text1"/>
                      <w:szCs w:val="21"/>
                    </w:rPr>
                    <w:t>13</w:t>
                  </w:r>
                </w:p>
              </w:tc>
              <w:tc>
                <w:tcPr>
                  <w:tcW w:w="3402" w:type="dxa"/>
                  <w:vAlign w:val="center"/>
                </w:tcPr>
                <w:p>
                  <w:pPr>
                    <w:pStyle w:val="32"/>
                    <w:spacing w:line="360" w:lineRule="exact"/>
                    <w:rPr>
                      <w:color w:val="000000" w:themeColor="text1"/>
                      <w:szCs w:val="21"/>
                    </w:rPr>
                  </w:pPr>
                  <w:r>
                    <w:rPr>
                      <w:color w:val="000000" w:themeColor="text1"/>
                      <w:szCs w:val="21"/>
                    </w:rPr>
                    <w:t>大肠埃氏菌/（MPN/100mL，或CFU/100 mL）</w:t>
                  </w:r>
                </w:p>
              </w:tc>
              <w:tc>
                <w:tcPr>
                  <w:tcW w:w="2455" w:type="dxa"/>
                  <w:vAlign w:val="center"/>
                </w:tcPr>
                <w:p>
                  <w:pPr>
                    <w:pStyle w:val="32"/>
                    <w:spacing w:line="360" w:lineRule="exact"/>
                    <w:rPr>
                      <w:color w:val="000000" w:themeColor="text1"/>
                      <w:szCs w:val="21"/>
                    </w:rPr>
                  </w:pPr>
                  <w:r>
                    <w:rPr>
                      <w:color w:val="000000" w:themeColor="text1"/>
                      <w:szCs w:val="21"/>
                    </w:rPr>
                    <w:t>无</w:t>
                  </w:r>
                </w:p>
              </w:tc>
            </w:tr>
          </w:tbl>
          <w:p>
            <w:pPr>
              <w:pStyle w:val="40"/>
              <w:spacing w:beforeLines="50"/>
              <w:ind w:firstLine="482"/>
              <w:rPr>
                <w:rFonts w:eastAsiaTheme="minorEastAsia"/>
                <w:b/>
                <w:color w:val="000000" w:themeColor="text1"/>
                <w:szCs w:val="24"/>
              </w:rPr>
            </w:pPr>
            <w:r>
              <w:rPr>
                <w:rFonts w:eastAsiaTheme="minorEastAsia"/>
                <w:b/>
                <w:color w:val="000000" w:themeColor="text1"/>
                <w:szCs w:val="24"/>
              </w:rPr>
              <w:t>3.3.3 噪声排放标准</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（1）施工期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施工期噪声排放执行《建筑施工场界噪声环境噪声排放标准》（GB12523-2011）。标准值详见下表。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表3.3.3-1 建筑施工场界噪声标准限值  单位：dB（A）</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9"/>
              <w:gridCol w:w="2824"/>
              <w:gridCol w:w="2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5" w:type="dxa"/>
                  <w:vMerge w:val="restart"/>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控制区域</w:t>
                  </w:r>
                </w:p>
              </w:tc>
              <w:tc>
                <w:tcPr>
                  <w:tcW w:w="5857" w:type="dxa"/>
                  <w:gridSpan w:val="2"/>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5" w:type="dxa"/>
                  <w:vMerge w:val="continue"/>
                  <w:vAlign w:val="center"/>
                </w:tcPr>
                <w:p>
                  <w:pPr>
                    <w:pStyle w:val="32"/>
                    <w:spacing w:line="360" w:lineRule="exact"/>
                    <w:ind w:left="11"/>
                    <w:rPr>
                      <w:rFonts w:eastAsiaTheme="minorEastAsia"/>
                      <w:color w:val="000000" w:themeColor="text1"/>
                      <w:szCs w:val="21"/>
                    </w:rPr>
                  </w:pPr>
                </w:p>
              </w:tc>
              <w:tc>
                <w:tcPr>
                  <w:tcW w:w="2977" w:type="dxa"/>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昼间</w:t>
                  </w:r>
                </w:p>
              </w:tc>
              <w:tc>
                <w:tcPr>
                  <w:tcW w:w="2880" w:type="dxa"/>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5" w:type="dxa"/>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厂界</w:t>
                  </w:r>
                </w:p>
              </w:tc>
              <w:tc>
                <w:tcPr>
                  <w:tcW w:w="2977" w:type="dxa"/>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70</w:t>
                  </w:r>
                </w:p>
              </w:tc>
              <w:tc>
                <w:tcPr>
                  <w:tcW w:w="2880" w:type="dxa"/>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55</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（2）运营期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项目位于昆明市东川区因民镇牛厂坪村，该项目噪声执行《工业企业厂界环境噪声排放标准》（GB12348-2008）2类标准。标准限值详见下表。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表3.3.3-2 《工业企业厂界环境噪声排放标准》  Leq[dB（A）</w:t>
            </w:r>
          </w:p>
          <w:tbl>
            <w:tblPr>
              <w:tblStyle w:val="20"/>
              <w:tblW w:w="5000"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2783"/>
              <w:gridCol w:w="2920"/>
              <w:gridCol w:w="2896"/>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618" w:type="pct"/>
                  <w:vMerge w:val="restart"/>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声环境功能区类别</w:t>
                  </w:r>
                </w:p>
              </w:tc>
              <w:tc>
                <w:tcPr>
                  <w:tcW w:w="3382" w:type="pct"/>
                  <w:gridSpan w:val="2"/>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时段</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618" w:type="pct"/>
                  <w:vMerge w:val="continue"/>
                  <w:vAlign w:val="center"/>
                </w:tcPr>
                <w:p>
                  <w:pPr>
                    <w:pStyle w:val="32"/>
                    <w:spacing w:line="360" w:lineRule="exact"/>
                    <w:ind w:left="11"/>
                    <w:rPr>
                      <w:rFonts w:eastAsiaTheme="minorEastAsia"/>
                      <w:color w:val="000000" w:themeColor="text1"/>
                      <w:szCs w:val="21"/>
                    </w:rPr>
                  </w:pPr>
                </w:p>
              </w:tc>
              <w:tc>
                <w:tcPr>
                  <w:tcW w:w="1698" w:type="pc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昼间</w:t>
                  </w:r>
                </w:p>
              </w:tc>
              <w:tc>
                <w:tcPr>
                  <w:tcW w:w="1684" w:type="pc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夜间</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618" w:type="pct"/>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2类</w:t>
                  </w:r>
                </w:p>
              </w:tc>
              <w:tc>
                <w:tcPr>
                  <w:tcW w:w="1698" w:type="pc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60</w:t>
                  </w:r>
                </w:p>
              </w:tc>
              <w:tc>
                <w:tcPr>
                  <w:tcW w:w="1684" w:type="pc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50</w:t>
                  </w:r>
                </w:p>
              </w:tc>
            </w:tr>
          </w:tbl>
          <w:p>
            <w:pPr>
              <w:pStyle w:val="40"/>
              <w:spacing w:beforeLines="50"/>
              <w:ind w:firstLine="482"/>
              <w:rPr>
                <w:rFonts w:eastAsiaTheme="minorEastAsia"/>
                <w:b/>
                <w:color w:val="000000" w:themeColor="text1"/>
                <w:szCs w:val="24"/>
              </w:rPr>
            </w:pPr>
            <w:r>
              <w:rPr>
                <w:rFonts w:eastAsiaTheme="minorEastAsia"/>
                <w:b/>
                <w:color w:val="000000" w:themeColor="text1"/>
                <w:szCs w:val="24"/>
              </w:rPr>
              <w:t>3.4.4 固废执行标准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1 \* GB3 </w:instrText>
            </w:r>
            <w:r>
              <w:rPr>
                <w:rFonts w:ascii="Times New Roman" w:hAnsi="Times New Roman" w:cs="Times New Roman"/>
                <w:color w:val="000000" w:themeColor="text1"/>
                <w:sz w:val="24"/>
                <w:szCs w:val="24"/>
              </w:rPr>
              <w:fldChar w:fldCharType="separate"/>
            </w:r>
            <w:r>
              <w:rPr>
                <w:rFonts w:ascii="宋体" w:hAnsi="Times New Roman" w:eastAsia="宋体" w:cs="Times New Roman"/>
                <w:color w:val="000000" w:themeColor="text1"/>
                <w:sz w:val="24"/>
                <w:szCs w:val="24"/>
              </w:rPr>
              <w:t>①</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危险废物执行《危险废物贮存污染控制标准》（GB18597-2001）及修改单。</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2 \* GB3 </w:instrText>
            </w:r>
            <w:r>
              <w:rPr>
                <w:rFonts w:ascii="Times New Roman" w:hAnsi="Times New Roman" w:cs="Times New Roman"/>
                <w:color w:val="000000" w:themeColor="text1"/>
                <w:sz w:val="24"/>
                <w:szCs w:val="24"/>
              </w:rPr>
              <w:fldChar w:fldCharType="separate"/>
            </w:r>
            <w:r>
              <w:rPr>
                <w:rFonts w:ascii="宋体" w:hAnsi="Times New Roman" w:eastAsia="宋体" w:cs="Times New Roman"/>
                <w:color w:val="000000" w:themeColor="text1"/>
                <w:sz w:val="24"/>
                <w:szCs w:val="24"/>
              </w:rPr>
              <w:t>②</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一般固体废物处置执行《一般工业固体废物贮存和填埋污染控制标准》（GB18599-2020）。</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③废石属性判断标准如下：废石执行《危险废物鉴别标准 腐蚀性鉴别》（GB5085.1-2007）和《危险废物鉴别标准 浸出毒性鉴别》（GB5085.3-2007）标准要求，标准值如下表所示。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表3.4.4-1  腐蚀性、浸出毒性限值一览表 mg/L</w:t>
            </w:r>
          </w:p>
          <w:tbl>
            <w:tblPr>
              <w:tblStyle w:val="2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59"/>
              <w:gridCol w:w="1137"/>
              <w:gridCol w:w="2838"/>
              <w:gridCol w:w="277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1" w:type="dxa"/>
                  <w:vAlign w:val="center"/>
                </w:tcPr>
                <w:p>
                  <w:pPr>
                    <w:pStyle w:val="32"/>
                    <w:spacing w:line="360" w:lineRule="exact"/>
                    <w:rPr>
                      <w:color w:val="000000" w:themeColor="text1"/>
                      <w:szCs w:val="21"/>
                    </w:rPr>
                  </w:pPr>
                  <w:r>
                    <w:rPr>
                      <w:color w:val="000000" w:themeColor="text1"/>
                      <w:szCs w:val="21"/>
                    </w:rPr>
                    <w:t>鉴别标准</w:t>
                  </w:r>
                </w:p>
              </w:tc>
              <w:tc>
                <w:tcPr>
                  <w:tcW w:w="1126" w:type="dxa"/>
                  <w:vAlign w:val="center"/>
                </w:tcPr>
                <w:p>
                  <w:pPr>
                    <w:pStyle w:val="32"/>
                    <w:spacing w:line="360" w:lineRule="exact"/>
                    <w:rPr>
                      <w:color w:val="000000" w:themeColor="text1"/>
                      <w:szCs w:val="21"/>
                    </w:rPr>
                  </w:pPr>
                  <w:r>
                    <w:rPr>
                      <w:color w:val="000000" w:themeColor="text1"/>
                      <w:szCs w:val="21"/>
                    </w:rPr>
                    <w:t>序号</w:t>
                  </w:r>
                </w:p>
              </w:tc>
              <w:tc>
                <w:tcPr>
                  <w:tcW w:w="2811" w:type="dxa"/>
                  <w:vAlign w:val="center"/>
                </w:tcPr>
                <w:p>
                  <w:pPr>
                    <w:pStyle w:val="32"/>
                    <w:spacing w:line="360" w:lineRule="exact"/>
                    <w:rPr>
                      <w:color w:val="000000" w:themeColor="text1"/>
                      <w:szCs w:val="21"/>
                    </w:rPr>
                  </w:pPr>
                  <w:r>
                    <w:rPr>
                      <w:color w:val="000000" w:themeColor="text1"/>
                      <w:szCs w:val="21"/>
                    </w:rPr>
                    <w:t>污染因子</w:t>
                  </w:r>
                </w:p>
              </w:tc>
              <w:tc>
                <w:tcPr>
                  <w:tcW w:w="2744" w:type="dxa"/>
                  <w:vAlign w:val="center"/>
                </w:tcPr>
                <w:p>
                  <w:pPr>
                    <w:pStyle w:val="32"/>
                    <w:spacing w:line="360" w:lineRule="exact"/>
                    <w:rPr>
                      <w:color w:val="000000" w:themeColor="text1"/>
                      <w:szCs w:val="21"/>
                    </w:rPr>
                  </w:pPr>
                  <w:r>
                    <w:rPr>
                      <w:color w:val="000000" w:themeColor="text1"/>
                      <w:szCs w:val="21"/>
                    </w:rPr>
                    <w:t>危险废物参考标准值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1" w:type="dxa"/>
                  <w:vAlign w:val="center"/>
                </w:tcPr>
                <w:p>
                  <w:pPr>
                    <w:pStyle w:val="32"/>
                    <w:spacing w:line="360" w:lineRule="exact"/>
                    <w:rPr>
                      <w:color w:val="000000" w:themeColor="text1"/>
                      <w:szCs w:val="21"/>
                    </w:rPr>
                  </w:pPr>
                  <w:r>
                    <w:rPr>
                      <w:color w:val="000000" w:themeColor="text1"/>
                      <w:szCs w:val="21"/>
                    </w:rPr>
                    <w:t>腐蚀性鉴别</w:t>
                  </w:r>
                </w:p>
              </w:tc>
              <w:tc>
                <w:tcPr>
                  <w:tcW w:w="1126" w:type="dxa"/>
                  <w:vAlign w:val="center"/>
                </w:tcPr>
                <w:p>
                  <w:pPr>
                    <w:pStyle w:val="32"/>
                    <w:spacing w:line="360" w:lineRule="exact"/>
                    <w:rPr>
                      <w:color w:val="000000" w:themeColor="text1"/>
                      <w:szCs w:val="21"/>
                    </w:rPr>
                  </w:pPr>
                  <w:r>
                    <w:rPr>
                      <w:color w:val="000000" w:themeColor="text1"/>
                      <w:szCs w:val="21"/>
                    </w:rPr>
                    <w:t>1</w:t>
                  </w:r>
                </w:p>
              </w:tc>
              <w:tc>
                <w:tcPr>
                  <w:tcW w:w="2811" w:type="dxa"/>
                  <w:vAlign w:val="center"/>
                </w:tcPr>
                <w:p>
                  <w:pPr>
                    <w:pStyle w:val="32"/>
                    <w:spacing w:line="360" w:lineRule="exact"/>
                    <w:rPr>
                      <w:color w:val="000000" w:themeColor="text1"/>
                      <w:szCs w:val="21"/>
                    </w:rPr>
                  </w:pPr>
                  <w:r>
                    <w:rPr>
                      <w:color w:val="000000" w:themeColor="text1"/>
                      <w:szCs w:val="21"/>
                    </w:rPr>
                    <w:t>pH值</w:t>
                  </w:r>
                </w:p>
              </w:tc>
              <w:tc>
                <w:tcPr>
                  <w:tcW w:w="2744" w:type="dxa"/>
                  <w:vAlign w:val="center"/>
                </w:tcPr>
                <w:p>
                  <w:pPr>
                    <w:pStyle w:val="32"/>
                    <w:spacing w:line="360" w:lineRule="exact"/>
                    <w:rPr>
                      <w:color w:val="000000" w:themeColor="text1"/>
                      <w:szCs w:val="21"/>
                    </w:rPr>
                  </w:pPr>
                  <w:r>
                    <w:rPr>
                      <w:color w:val="000000" w:themeColor="text1"/>
                      <w:szCs w:val="21"/>
                    </w:rPr>
                    <w:t>≥12.5或≤2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1" w:type="dxa"/>
                  <w:vMerge w:val="restart"/>
                  <w:vAlign w:val="center"/>
                </w:tcPr>
                <w:p>
                  <w:pPr>
                    <w:pStyle w:val="32"/>
                    <w:spacing w:line="360" w:lineRule="exact"/>
                    <w:rPr>
                      <w:color w:val="000000" w:themeColor="text1"/>
                      <w:szCs w:val="21"/>
                    </w:rPr>
                  </w:pPr>
                  <w:r>
                    <w:rPr>
                      <w:color w:val="000000" w:themeColor="text1"/>
                      <w:szCs w:val="21"/>
                    </w:rPr>
                    <w:t>浸出毒性鉴别</w:t>
                  </w:r>
                </w:p>
              </w:tc>
              <w:tc>
                <w:tcPr>
                  <w:tcW w:w="1126" w:type="dxa"/>
                  <w:vAlign w:val="center"/>
                </w:tcPr>
                <w:p>
                  <w:pPr>
                    <w:pStyle w:val="32"/>
                    <w:spacing w:line="360" w:lineRule="exact"/>
                    <w:rPr>
                      <w:color w:val="000000" w:themeColor="text1"/>
                      <w:szCs w:val="21"/>
                    </w:rPr>
                  </w:pPr>
                  <w:r>
                    <w:rPr>
                      <w:color w:val="000000" w:themeColor="text1"/>
                      <w:szCs w:val="21"/>
                    </w:rPr>
                    <w:t>1</w:t>
                  </w:r>
                </w:p>
              </w:tc>
              <w:tc>
                <w:tcPr>
                  <w:tcW w:w="2811" w:type="dxa"/>
                  <w:vAlign w:val="center"/>
                </w:tcPr>
                <w:p>
                  <w:pPr>
                    <w:pStyle w:val="32"/>
                    <w:spacing w:line="360" w:lineRule="exact"/>
                    <w:rPr>
                      <w:color w:val="000000" w:themeColor="text1"/>
                      <w:szCs w:val="21"/>
                    </w:rPr>
                  </w:pPr>
                  <w:r>
                    <w:rPr>
                      <w:color w:val="000000" w:themeColor="text1"/>
                      <w:szCs w:val="21"/>
                    </w:rPr>
                    <w:t>氟化物</w:t>
                  </w:r>
                </w:p>
              </w:tc>
              <w:tc>
                <w:tcPr>
                  <w:tcW w:w="2744" w:type="dxa"/>
                  <w:vAlign w:val="center"/>
                </w:tcPr>
                <w:p>
                  <w:pPr>
                    <w:pStyle w:val="32"/>
                    <w:spacing w:line="360" w:lineRule="exact"/>
                    <w:rPr>
                      <w:color w:val="000000" w:themeColor="text1"/>
                      <w:szCs w:val="21"/>
                    </w:rPr>
                  </w:pPr>
                  <w:r>
                    <w:rPr>
                      <w:color w:val="000000" w:themeColor="text1"/>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1" w:type="dxa"/>
                  <w:vMerge w:val="continue"/>
                  <w:vAlign w:val="center"/>
                </w:tcPr>
                <w:p>
                  <w:pPr>
                    <w:pStyle w:val="32"/>
                    <w:spacing w:line="360" w:lineRule="exact"/>
                    <w:rPr>
                      <w:color w:val="000000" w:themeColor="text1"/>
                      <w:szCs w:val="21"/>
                    </w:rPr>
                  </w:pPr>
                </w:p>
              </w:tc>
              <w:tc>
                <w:tcPr>
                  <w:tcW w:w="1126" w:type="dxa"/>
                  <w:vAlign w:val="center"/>
                </w:tcPr>
                <w:p>
                  <w:pPr>
                    <w:pStyle w:val="32"/>
                    <w:spacing w:line="360" w:lineRule="exact"/>
                    <w:rPr>
                      <w:color w:val="000000" w:themeColor="text1"/>
                      <w:szCs w:val="21"/>
                    </w:rPr>
                  </w:pPr>
                  <w:r>
                    <w:rPr>
                      <w:color w:val="000000" w:themeColor="text1"/>
                      <w:szCs w:val="21"/>
                    </w:rPr>
                    <w:t>2</w:t>
                  </w:r>
                </w:p>
              </w:tc>
              <w:tc>
                <w:tcPr>
                  <w:tcW w:w="2811" w:type="dxa"/>
                  <w:vAlign w:val="center"/>
                </w:tcPr>
                <w:p>
                  <w:pPr>
                    <w:pStyle w:val="32"/>
                    <w:spacing w:line="360" w:lineRule="exact"/>
                    <w:rPr>
                      <w:color w:val="000000" w:themeColor="text1"/>
                      <w:szCs w:val="21"/>
                    </w:rPr>
                  </w:pPr>
                  <w:r>
                    <w:rPr>
                      <w:color w:val="000000" w:themeColor="text1"/>
                      <w:szCs w:val="21"/>
                    </w:rPr>
                    <w:t>氰化物</w:t>
                  </w:r>
                </w:p>
              </w:tc>
              <w:tc>
                <w:tcPr>
                  <w:tcW w:w="2744" w:type="dxa"/>
                  <w:vAlign w:val="center"/>
                </w:tcPr>
                <w:p>
                  <w:pPr>
                    <w:pStyle w:val="32"/>
                    <w:spacing w:line="360" w:lineRule="exact"/>
                    <w:rPr>
                      <w:color w:val="000000" w:themeColor="text1"/>
                      <w:szCs w:val="21"/>
                    </w:rPr>
                  </w:pPr>
                  <w:r>
                    <w:rPr>
                      <w:color w:val="000000" w:themeColor="text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1" w:type="dxa"/>
                  <w:vMerge w:val="continue"/>
                  <w:vAlign w:val="center"/>
                </w:tcPr>
                <w:p>
                  <w:pPr>
                    <w:pStyle w:val="32"/>
                    <w:spacing w:line="360" w:lineRule="exact"/>
                    <w:rPr>
                      <w:color w:val="000000" w:themeColor="text1"/>
                      <w:szCs w:val="21"/>
                    </w:rPr>
                  </w:pPr>
                </w:p>
              </w:tc>
              <w:tc>
                <w:tcPr>
                  <w:tcW w:w="1126" w:type="dxa"/>
                  <w:vAlign w:val="center"/>
                </w:tcPr>
                <w:p>
                  <w:pPr>
                    <w:pStyle w:val="32"/>
                    <w:spacing w:line="360" w:lineRule="exact"/>
                    <w:rPr>
                      <w:color w:val="000000" w:themeColor="text1"/>
                      <w:szCs w:val="21"/>
                    </w:rPr>
                  </w:pPr>
                  <w:r>
                    <w:rPr>
                      <w:color w:val="000000" w:themeColor="text1"/>
                      <w:szCs w:val="21"/>
                    </w:rPr>
                    <w:t>3</w:t>
                  </w:r>
                </w:p>
              </w:tc>
              <w:tc>
                <w:tcPr>
                  <w:tcW w:w="2811" w:type="dxa"/>
                  <w:vAlign w:val="center"/>
                </w:tcPr>
                <w:p>
                  <w:pPr>
                    <w:pStyle w:val="32"/>
                    <w:spacing w:line="360" w:lineRule="exact"/>
                    <w:rPr>
                      <w:color w:val="000000" w:themeColor="text1"/>
                      <w:szCs w:val="21"/>
                    </w:rPr>
                  </w:pPr>
                  <w:r>
                    <w:rPr>
                      <w:color w:val="000000" w:themeColor="text1"/>
                      <w:szCs w:val="21"/>
                    </w:rPr>
                    <w:t>六价铬</w:t>
                  </w:r>
                </w:p>
              </w:tc>
              <w:tc>
                <w:tcPr>
                  <w:tcW w:w="2744" w:type="dxa"/>
                  <w:vAlign w:val="center"/>
                </w:tcPr>
                <w:p>
                  <w:pPr>
                    <w:pStyle w:val="32"/>
                    <w:spacing w:line="360" w:lineRule="exact"/>
                    <w:rPr>
                      <w:color w:val="000000" w:themeColor="text1"/>
                      <w:szCs w:val="21"/>
                    </w:rPr>
                  </w:pPr>
                  <w:r>
                    <w:rPr>
                      <w:color w:val="000000" w:themeColor="text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1" w:type="dxa"/>
                  <w:vMerge w:val="continue"/>
                  <w:vAlign w:val="center"/>
                </w:tcPr>
                <w:p>
                  <w:pPr>
                    <w:pStyle w:val="32"/>
                    <w:spacing w:line="360" w:lineRule="exact"/>
                    <w:rPr>
                      <w:color w:val="000000" w:themeColor="text1"/>
                      <w:szCs w:val="21"/>
                    </w:rPr>
                  </w:pPr>
                </w:p>
              </w:tc>
              <w:tc>
                <w:tcPr>
                  <w:tcW w:w="1126" w:type="dxa"/>
                  <w:vAlign w:val="center"/>
                </w:tcPr>
                <w:p>
                  <w:pPr>
                    <w:pStyle w:val="32"/>
                    <w:spacing w:line="360" w:lineRule="exact"/>
                    <w:rPr>
                      <w:color w:val="000000" w:themeColor="text1"/>
                      <w:szCs w:val="21"/>
                    </w:rPr>
                  </w:pPr>
                  <w:r>
                    <w:rPr>
                      <w:color w:val="000000" w:themeColor="text1"/>
                      <w:szCs w:val="21"/>
                    </w:rPr>
                    <w:t>4</w:t>
                  </w:r>
                </w:p>
              </w:tc>
              <w:tc>
                <w:tcPr>
                  <w:tcW w:w="2811" w:type="dxa"/>
                  <w:vAlign w:val="center"/>
                </w:tcPr>
                <w:p>
                  <w:pPr>
                    <w:pStyle w:val="32"/>
                    <w:spacing w:line="360" w:lineRule="exact"/>
                    <w:rPr>
                      <w:color w:val="000000" w:themeColor="text1"/>
                      <w:szCs w:val="21"/>
                    </w:rPr>
                  </w:pPr>
                  <w:r>
                    <w:rPr>
                      <w:color w:val="000000" w:themeColor="text1"/>
                      <w:szCs w:val="21"/>
                    </w:rPr>
                    <w:t>铜</w:t>
                  </w:r>
                </w:p>
              </w:tc>
              <w:tc>
                <w:tcPr>
                  <w:tcW w:w="2744" w:type="dxa"/>
                  <w:vAlign w:val="center"/>
                </w:tcPr>
                <w:p>
                  <w:pPr>
                    <w:pStyle w:val="32"/>
                    <w:spacing w:line="360" w:lineRule="exact"/>
                    <w:rPr>
                      <w:color w:val="000000" w:themeColor="text1"/>
                      <w:szCs w:val="21"/>
                    </w:rPr>
                  </w:pPr>
                  <w:r>
                    <w:rPr>
                      <w:color w:val="000000" w:themeColor="text1"/>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1" w:type="dxa"/>
                  <w:vMerge w:val="continue"/>
                  <w:vAlign w:val="center"/>
                </w:tcPr>
                <w:p>
                  <w:pPr>
                    <w:pStyle w:val="32"/>
                    <w:spacing w:line="360" w:lineRule="exact"/>
                    <w:rPr>
                      <w:color w:val="000000" w:themeColor="text1"/>
                      <w:szCs w:val="21"/>
                    </w:rPr>
                  </w:pPr>
                </w:p>
              </w:tc>
              <w:tc>
                <w:tcPr>
                  <w:tcW w:w="1126" w:type="dxa"/>
                  <w:vAlign w:val="center"/>
                </w:tcPr>
                <w:p>
                  <w:pPr>
                    <w:pStyle w:val="32"/>
                    <w:spacing w:line="360" w:lineRule="exact"/>
                    <w:rPr>
                      <w:color w:val="000000" w:themeColor="text1"/>
                      <w:szCs w:val="21"/>
                    </w:rPr>
                  </w:pPr>
                  <w:r>
                    <w:rPr>
                      <w:color w:val="000000" w:themeColor="text1"/>
                      <w:szCs w:val="21"/>
                    </w:rPr>
                    <w:t>5</w:t>
                  </w:r>
                </w:p>
              </w:tc>
              <w:tc>
                <w:tcPr>
                  <w:tcW w:w="2811" w:type="dxa"/>
                  <w:vAlign w:val="center"/>
                </w:tcPr>
                <w:p>
                  <w:pPr>
                    <w:pStyle w:val="32"/>
                    <w:spacing w:line="360" w:lineRule="exact"/>
                    <w:rPr>
                      <w:color w:val="000000" w:themeColor="text1"/>
                      <w:szCs w:val="21"/>
                    </w:rPr>
                  </w:pPr>
                  <w:r>
                    <w:rPr>
                      <w:color w:val="000000" w:themeColor="text1"/>
                      <w:szCs w:val="21"/>
                    </w:rPr>
                    <w:t>锌</w:t>
                  </w:r>
                </w:p>
              </w:tc>
              <w:tc>
                <w:tcPr>
                  <w:tcW w:w="2744" w:type="dxa"/>
                  <w:vAlign w:val="center"/>
                </w:tcPr>
                <w:p>
                  <w:pPr>
                    <w:pStyle w:val="32"/>
                    <w:spacing w:line="360" w:lineRule="exact"/>
                    <w:rPr>
                      <w:color w:val="000000" w:themeColor="text1"/>
                      <w:szCs w:val="21"/>
                    </w:rPr>
                  </w:pPr>
                  <w:r>
                    <w:rPr>
                      <w:color w:val="000000" w:themeColor="text1"/>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1" w:type="dxa"/>
                  <w:vMerge w:val="continue"/>
                  <w:vAlign w:val="center"/>
                </w:tcPr>
                <w:p>
                  <w:pPr>
                    <w:pStyle w:val="32"/>
                    <w:spacing w:line="360" w:lineRule="exact"/>
                    <w:rPr>
                      <w:color w:val="000000" w:themeColor="text1"/>
                      <w:szCs w:val="21"/>
                    </w:rPr>
                  </w:pPr>
                </w:p>
              </w:tc>
              <w:tc>
                <w:tcPr>
                  <w:tcW w:w="1126" w:type="dxa"/>
                  <w:vAlign w:val="center"/>
                </w:tcPr>
                <w:p>
                  <w:pPr>
                    <w:pStyle w:val="32"/>
                    <w:spacing w:line="360" w:lineRule="exact"/>
                    <w:rPr>
                      <w:color w:val="000000" w:themeColor="text1"/>
                      <w:szCs w:val="21"/>
                    </w:rPr>
                  </w:pPr>
                  <w:r>
                    <w:rPr>
                      <w:color w:val="000000" w:themeColor="text1"/>
                      <w:szCs w:val="21"/>
                    </w:rPr>
                    <w:t>6</w:t>
                  </w:r>
                </w:p>
              </w:tc>
              <w:tc>
                <w:tcPr>
                  <w:tcW w:w="2811" w:type="dxa"/>
                  <w:vAlign w:val="center"/>
                </w:tcPr>
                <w:p>
                  <w:pPr>
                    <w:pStyle w:val="32"/>
                    <w:spacing w:line="360" w:lineRule="exact"/>
                    <w:rPr>
                      <w:color w:val="000000" w:themeColor="text1"/>
                      <w:szCs w:val="21"/>
                    </w:rPr>
                  </w:pPr>
                  <w:r>
                    <w:rPr>
                      <w:color w:val="000000" w:themeColor="text1"/>
                      <w:szCs w:val="21"/>
                    </w:rPr>
                    <w:t>砷</w:t>
                  </w:r>
                </w:p>
              </w:tc>
              <w:tc>
                <w:tcPr>
                  <w:tcW w:w="2744" w:type="dxa"/>
                  <w:vAlign w:val="center"/>
                </w:tcPr>
                <w:p>
                  <w:pPr>
                    <w:pStyle w:val="32"/>
                    <w:spacing w:line="360" w:lineRule="exact"/>
                    <w:rPr>
                      <w:color w:val="000000" w:themeColor="text1"/>
                      <w:szCs w:val="21"/>
                    </w:rPr>
                  </w:pPr>
                  <w:r>
                    <w:rPr>
                      <w:color w:val="000000" w:themeColor="text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1" w:type="dxa"/>
                  <w:vMerge w:val="continue"/>
                  <w:vAlign w:val="center"/>
                </w:tcPr>
                <w:p>
                  <w:pPr>
                    <w:pStyle w:val="32"/>
                    <w:spacing w:line="360" w:lineRule="exact"/>
                    <w:rPr>
                      <w:color w:val="000000" w:themeColor="text1"/>
                      <w:szCs w:val="21"/>
                    </w:rPr>
                  </w:pPr>
                </w:p>
              </w:tc>
              <w:tc>
                <w:tcPr>
                  <w:tcW w:w="1126" w:type="dxa"/>
                  <w:vAlign w:val="center"/>
                </w:tcPr>
                <w:p>
                  <w:pPr>
                    <w:pStyle w:val="32"/>
                    <w:spacing w:line="360" w:lineRule="exact"/>
                    <w:rPr>
                      <w:color w:val="000000" w:themeColor="text1"/>
                      <w:szCs w:val="21"/>
                    </w:rPr>
                  </w:pPr>
                  <w:r>
                    <w:rPr>
                      <w:color w:val="000000" w:themeColor="text1"/>
                      <w:szCs w:val="21"/>
                    </w:rPr>
                    <w:t>7</w:t>
                  </w:r>
                </w:p>
              </w:tc>
              <w:tc>
                <w:tcPr>
                  <w:tcW w:w="2811" w:type="dxa"/>
                  <w:vAlign w:val="center"/>
                </w:tcPr>
                <w:p>
                  <w:pPr>
                    <w:pStyle w:val="32"/>
                    <w:spacing w:line="360" w:lineRule="exact"/>
                    <w:rPr>
                      <w:color w:val="000000" w:themeColor="text1"/>
                      <w:szCs w:val="21"/>
                    </w:rPr>
                  </w:pPr>
                  <w:r>
                    <w:rPr>
                      <w:color w:val="000000" w:themeColor="text1"/>
                      <w:szCs w:val="21"/>
                    </w:rPr>
                    <w:t>镉</w:t>
                  </w:r>
                </w:p>
              </w:tc>
              <w:tc>
                <w:tcPr>
                  <w:tcW w:w="2744" w:type="dxa"/>
                  <w:vAlign w:val="center"/>
                </w:tcPr>
                <w:p>
                  <w:pPr>
                    <w:pStyle w:val="32"/>
                    <w:spacing w:line="360" w:lineRule="exact"/>
                    <w:rPr>
                      <w:color w:val="000000" w:themeColor="text1"/>
                      <w:szCs w:val="21"/>
                    </w:rPr>
                  </w:pPr>
                  <w:r>
                    <w:rPr>
                      <w:color w:val="000000" w:themeColor="text1"/>
                      <w:szCs w:val="21"/>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1" w:type="dxa"/>
                  <w:vMerge w:val="continue"/>
                  <w:vAlign w:val="center"/>
                </w:tcPr>
                <w:p>
                  <w:pPr>
                    <w:pStyle w:val="32"/>
                    <w:spacing w:line="360" w:lineRule="exact"/>
                    <w:rPr>
                      <w:color w:val="000000" w:themeColor="text1"/>
                      <w:szCs w:val="21"/>
                    </w:rPr>
                  </w:pPr>
                </w:p>
              </w:tc>
              <w:tc>
                <w:tcPr>
                  <w:tcW w:w="1126" w:type="dxa"/>
                  <w:vAlign w:val="center"/>
                </w:tcPr>
                <w:p>
                  <w:pPr>
                    <w:pStyle w:val="32"/>
                    <w:spacing w:line="360" w:lineRule="exact"/>
                    <w:rPr>
                      <w:color w:val="000000" w:themeColor="text1"/>
                      <w:szCs w:val="21"/>
                    </w:rPr>
                  </w:pPr>
                  <w:r>
                    <w:rPr>
                      <w:color w:val="000000" w:themeColor="text1"/>
                      <w:szCs w:val="21"/>
                    </w:rPr>
                    <w:t>8</w:t>
                  </w:r>
                </w:p>
              </w:tc>
              <w:tc>
                <w:tcPr>
                  <w:tcW w:w="2811" w:type="dxa"/>
                  <w:vAlign w:val="center"/>
                </w:tcPr>
                <w:p>
                  <w:pPr>
                    <w:pStyle w:val="32"/>
                    <w:spacing w:line="360" w:lineRule="exact"/>
                    <w:rPr>
                      <w:color w:val="000000" w:themeColor="text1"/>
                      <w:szCs w:val="21"/>
                    </w:rPr>
                  </w:pPr>
                  <w:r>
                    <w:rPr>
                      <w:color w:val="000000" w:themeColor="text1"/>
                      <w:szCs w:val="21"/>
                    </w:rPr>
                    <w:t>铅</w:t>
                  </w:r>
                </w:p>
              </w:tc>
              <w:tc>
                <w:tcPr>
                  <w:tcW w:w="2744" w:type="dxa"/>
                  <w:vAlign w:val="center"/>
                </w:tcPr>
                <w:p>
                  <w:pPr>
                    <w:pStyle w:val="32"/>
                    <w:spacing w:line="360" w:lineRule="exact"/>
                    <w:rPr>
                      <w:color w:val="000000" w:themeColor="text1"/>
                      <w:szCs w:val="21"/>
                    </w:rPr>
                  </w:pPr>
                  <w:r>
                    <w:rPr>
                      <w:color w:val="000000" w:themeColor="text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1" w:type="dxa"/>
                  <w:vMerge w:val="continue"/>
                  <w:vAlign w:val="center"/>
                </w:tcPr>
                <w:p>
                  <w:pPr>
                    <w:pStyle w:val="32"/>
                    <w:spacing w:line="360" w:lineRule="exact"/>
                    <w:rPr>
                      <w:color w:val="000000" w:themeColor="text1"/>
                      <w:szCs w:val="21"/>
                    </w:rPr>
                  </w:pPr>
                </w:p>
              </w:tc>
              <w:tc>
                <w:tcPr>
                  <w:tcW w:w="1126" w:type="dxa"/>
                  <w:vAlign w:val="center"/>
                </w:tcPr>
                <w:p>
                  <w:pPr>
                    <w:pStyle w:val="32"/>
                    <w:spacing w:line="360" w:lineRule="exact"/>
                    <w:rPr>
                      <w:color w:val="000000" w:themeColor="text1"/>
                      <w:szCs w:val="21"/>
                    </w:rPr>
                  </w:pPr>
                  <w:r>
                    <w:rPr>
                      <w:color w:val="000000" w:themeColor="text1"/>
                      <w:szCs w:val="21"/>
                    </w:rPr>
                    <w:t>9</w:t>
                  </w:r>
                </w:p>
              </w:tc>
              <w:tc>
                <w:tcPr>
                  <w:tcW w:w="2811" w:type="dxa"/>
                  <w:vAlign w:val="center"/>
                </w:tcPr>
                <w:p>
                  <w:pPr>
                    <w:pStyle w:val="32"/>
                    <w:spacing w:line="360" w:lineRule="exact"/>
                    <w:rPr>
                      <w:color w:val="000000" w:themeColor="text1"/>
                      <w:szCs w:val="21"/>
                    </w:rPr>
                  </w:pPr>
                  <w:r>
                    <w:rPr>
                      <w:color w:val="000000" w:themeColor="text1"/>
                      <w:szCs w:val="21"/>
                    </w:rPr>
                    <w:t>硒</w:t>
                  </w:r>
                </w:p>
              </w:tc>
              <w:tc>
                <w:tcPr>
                  <w:tcW w:w="2744" w:type="dxa"/>
                  <w:vAlign w:val="center"/>
                </w:tcPr>
                <w:p>
                  <w:pPr>
                    <w:pStyle w:val="32"/>
                    <w:spacing w:line="360" w:lineRule="exact"/>
                    <w:rPr>
                      <w:color w:val="000000" w:themeColor="text1"/>
                      <w:szCs w:val="21"/>
                    </w:rPr>
                  </w:pPr>
                  <w:r>
                    <w:rPr>
                      <w:color w:val="000000" w:themeColor="text1"/>
                      <w:szCs w:val="21"/>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1" w:type="dxa"/>
                  <w:vMerge w:val="continue"/>
                  <w:vAlign w:val="center"/>
                </w:tcPr>
                <w:p>
                  <w:pPr>
                    <w:pStyle w:val="32"/>
                    <w:spacing w:line="360" w:lineRule="exact"/>
                    <w:rPr>
                      <w:color w:val="000000" w:themeColor="text1"/>
                      <w:szCs w:val="21"/>
                    </w:rPr>
                  </w:pPr>
                </w:p>
              </w:tc>
              <w:tc>
                <w:tcPr>
                  <w:tcW w:w="1126" w:type="dxa"/>
                  <w:vAlign w:val="center"/>
                </w:tcPr>
                <w:p>
                  <w:pPr>
                    <w:pStyle w:val="32"/>
                    <w:spacing w:line="360" w:lineRule="exact"/>
                    <w:rPr>
                      <w:color w:val="000000" w:themeColor="text1"/>
                      <w:szCs w:val="21"/>
                    </w:rPr>
                  </w:pPr>
                  <w:r>
                    <w:rPr>
                      <w:color w:val="000000" w:themeColor="text1"/>
                      <w:szCs w:val="21"/>
                    </w:rPr>
                    <w:t>10</w:t>
                  </w:r>
                </w:p>
              </w:tc>
              <w:tc>
                <w:tcPr>
                  <w:tcW w:w="2811" w:type="dxa"/>
                  <w:vAlign w:val="center"/>
                </w:tcPr>
                <w:p>
                  <w:pPr>
                    <w:pStyle w:val="32"/>
                    <w:spacing w:line="360" w:lineRule="exact"/>
                    <w:rPr>
                      <w:color w:val="000000" w:themeColor="text1"/>
                      <w:szCs w:val="21"/>
                    </w:rPr>
                  </w:pPr>
                  <w:r>
                    <w:rPr>
                      <w:color w:val="000000" w:themeColor="text1"/>
                      <w:szCs w:val="21"/>
                    </w:rPr>
                    <w:t>汞</w:t>
                  </w:r>
                </w:p>
              </w:tc>
              <w:tc>
                <w:tcPr>
                  <w:tcW w:w="2744" w:type="dxa"/>
                  <w:vAlign w:val="center"/>
                </w:tcPr>
                <w:p>
                  <w:pPr>
                    <w:pStyle w:val="32"/>
                    <w:spacing w:line="360" w:lineRule="exact"/>
                    <w:rPr>
                      <w:color w:val="000000" w:themeColor="text1"/>
                      <w:szCs w:val="21"/>
                    </w:rPr>
                  </w:pPr>
                  <w:r>
                    <w:rPr>
                      <w:color w:val="000000" w:themeColor="text1"/>
                      <w:szCs w:val="21"/>
                    </w:rPr>
                    <w:t>≤0.1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1" w:type="dxa"/>
                  <w:vMerge w:val="continue"/>
                  <w:vAlign w:val="center"/>
                </w:tcPr>
                <w:p>
                  <w:pPr>
                    <w:pStyle w:val="32"/>
                    <w:spacing w:line="360" w:lineRule="exact"/>
                    <w:rPr>
                      <w:color w:val="000000" w:themeColor="text1"/>
                      <w:szCs w:val="21"/>
                    </w:rPr>
                  </w:pPr>
                </w:p>
              </w:tc>
              <w:tc>
                <w:tcPr>
                  <w:tcW w:w="1126" w:type="dxa"/>
                  <w:vAlign w:val="center"/>
                </w:tcPr>
                <w:p>
                  <w:pPr>
                    <w:pStyle w:val="32"/>
                    <w:spacing w:line="360" w:lineRule="exact"/>
                    <w:rPr>
                      <w:color w:val="000000" w:themeColor="text1"/>
                      <w:szCs w:val="21"/>
                    </w:rPr>
                  </w:pPr>
                  <w:r>
                    <w:rPr>
                      <w:color w:val="000000" w:themeColor="text1"/>
                      <w:szCs w:val="21"/>
                    </w:rPr>
                    <w:t>11</w:t>
                  </w:r>
                </w:p>
              </w:tc>
              <w:tc>
                <w:tcPr>
                  <w:tcW w:w="2811" w:type="dxa"/>
                  <w:vAlign w:val="center"/>
                </w:tcPr>
                <w:p>
                  <w:pPr>
                    <w:pStyle w:val="32"/>
                    <w:spacing w:line="360" w:lineRule="exact"/>
                    <w:rPr>
                      <w:color w:val="000000" w:themeColor="text1"/>
                      <w:szCs w:val="21"/>
                    </w:rPr>
                  </w:pPr>
                  <w:r>
                    <w:rPr>
                      <w:color w:val="000000" w:themeColor="text1"/>
                      <w:szCs w:val="21"/>
                    </w:rPr>
                    <w:t>铍</w:t>
                  </w:r>
                </w:p>
              </w:tc>
              <w:tc>
                <w:tcPr>
                  <w:tcW w:w="2744" w:type="dxa"/>
                  <w:vAlign w:val="center"/>
                </w:tcPr>
                <w:p>
                  <w:pPr>
                    <w:pStyle w:val="32"/>
                    <w:spacing w:line="360" w:lineRule="exact"/>
                    <w:rPr>
                      <w:color w:val="000000" w:themeColor="text1"/>
                      <w:szCs w:val="21"/>
                    </w:rPr>
                  </w:pPr>
                  <w:r>
                    <w:rPr>
                      <w:color w:val="000000" w:themeColor="text1"/>
                      <w:szCs w:val="21"/>
                    </w:rPr>
                    <w:t>≤0.02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1" w:type="dxa"/>
                  <w:vMerge w:val="continue"/>
                  <w:vAlign w:val="center"/>
                </w:tcPr>
                <w:p>
                  <w:pPr>
                    <w:pStyle w:val="32"/>
                    <w:spacing w:line="360" w:lineRule="exact"/>
                    <w:rPr>
                      <w:color w:val="000000" w:themeColor="text1"/>
                      <w:szCs w:val="21"/>
                    </w:rPr>
                  </w:pPr>
                </w:p>
              </w:tc>
              <w:tc>
                <w:tcPr>
                  <w:tcW w:w="1126" w:type="dxa"/>
                  <w:vAlign w:val="center"/>
                </w:tcPr>
                <w:p>
                  <w:pPr>
                    <w:pStyle w:val="32"/>
                    <w:spacing w:line="360" w:lineRule="exact"/>
                    <w:rPr>
                      <w:color w:val="000000" w:themeColor="text1"/>
                      <w:szCs w:val="21"/>
                    </w:rPr>
                  </w:pPr>
                  <w:r>
                    <w:rPr>
                      <w:color w:val="000000" w:themeColor="text1"/>
                      <w:szCs w:val="21"/>
                    </w:rPr>
                    <w:t>12</w:t>
                  </w:r>
                </w:p>
              </w:tc>
              <w:tc>
                <w:tcPr>
                  <w:tcW w:w="2811" w:type="dxa"/>
                  <w:vAlign w:val="center"/>
                </w:tcPr>
                <w:p>
                  <w:pPr>
                    <w:pStyle w:val="32"/>
                    <w:spacing w:line="360" w:lineRule="exact"/>
                    <w:rPr>
                      <w:color w:val="000000" w:themeColor="text1"/>
                      <w:szCs w:val="21"/>
                    </w:rPr>
                  </w:pPr>
                  <w:r>
                    <w:rPr>
                      <w:color w:val="000000" w:themeColor="text1"/>
                      <w:szCs w:val="21"/>
                    </w:rPr>
                    <w:t>镍</w:t>
                  </w:r>
                </w:p>
              </w:tc>
              <w:tc>
                <w:tcPr>
                  <w:tcW w:w="2744" w:type="dxa"/>
                  <w:vAlign w:val="center"/>
                </w:tcPr>
                <w:p>
                  <w:pPr>
                    <w:pStyle w:val="32"/>
                    <w:spacing w:line="360" w:lineRule="exact"/>
                    <w:rPr>
                      <w:color w:val="000000" w:themeColor="text1"/>
                      <w:szCs w:val="21"/>
                    </w:rPr>
                  </w:pPr>
                  <w:r>
                    <w:rPr>
                      <w:color w:val="000000" w:themeColor="text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1" w:type="dxa"/>
                  <w:vMerge w:val="continue"/>
                  <w:vAlign w:val="center"/>
                </w:tcPr>
                <w:p>
                  <w:pPr>
                    <w:pStyle w:val="32"/>
                    <w:spacing w:line="360" w:lineRule="exact"/>
                    <w:rPr>
                      <w:color w:val="000000" w:themeColor="text1"/>
                      <w:szCs w:val="21"/>
                    </w:rPr>
                  </w:pPr>
                </w:p>
              </w:tc>
              <w:tc>
                <w:tcPr>
                  <w:tcW w:w="1126" w:type="dxa"/>
                  <w:vAlign w:val="center"/>
                </w:tcPr>
                <w:p>
                  <w:pPr>
                    <w:pStyle w:val="32"/>
                    <w:spacing w:line="360" w:lineRule="exact"/>
                    <w:rPr>
                      <w:color w:val="000000" w:themeColor="text1"/>
                      <w:szCs w:val="21"/>
                    </w:rPr>
                  </w:pPr>
                  <w:r>
                    <w:rPr>
                      <w:color w:val="000000" w:themeColor="text1"/>
                      <w:szCs w:val="21"/>
                    </w:rPr>
                    <w:t>13</w:t>
                  </w:r>
                </w:p>
              </w:tc>
              <w:tc>
                <w:tcPr>
                  <w:tcW w:w="2811" w:type="dxa"/>
                  <w:vAlign w:val="center"/>
                </w:tcPr>
                <w:p>
                  <w:pPr>
                    <w:pStyle w:val="32"/>
                    <w:spacing w:line="360" w:lineRule="exact"/>
                    <w:rPr>
                      <w:color w:val="000000" w:themeColor="text1"/>
                      <w:szCs w:val="21"/>
                    </w:rPr>
                  </w:pPr>
                  <w:r>
                    <w:rPr>
                      <w:color w:val="000000" w:themeColor="text1"/>
                      <w:szCs w:val="21"/>
                    </w:rPr>
                    <w:t>钡</w:t>
                  </w:r>
                </w:p>
              </w:tc>
              <w:tc>
                <w:tcPr>
                  <w:tcW w:w="2744" w:type="dxa"/>
                  <w:vAlign w:val="center"/>
                </w:tcPr>
                <w:p>
                  <w:pPr>
                    <w:pStyle w:val="32"/>
                    <w:spacing w:line="360" w:lineRule="exact"/>
                    <w:rPr>
                      <w:color w:val="000000" w:themeColor="text1"/>
                      <w:szCs w:val="21"/>
                    </w:rPr>
                  </w:pPr>
                  <w:r>
                    <w:rPr>
                      <w:color w:val="000000" w:themeColor="text1"/>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1" w:type="dxa"/>
                  <w:vMerge w:val="continue"/>
                  <w:vAlign w:val="center"/>
                </w:tcPr>
                <w:p>
                  <w:pPr>
                    <w:pStyle w:val="32"/>
                    <w:spacing w:line="360" w:lineRule="exact"/>
                    <w:rPr>
                      <w:color w:val="000000" w:themeColor="text1"/>
                      <w:szCs w:val="21"/>
                    </w:rPr>
                  </w:pPr>
                </w:p>
              </w:tc>
              <w:tc>
                <w:tcPr>
                  <w:tcW w:w="1126" w:type="dxa"/>
                  <w:vAlign w:val="center"/>
                </w:tcPr>
                <w:p>
                  <w:pPr>
                    <w:pStyle w:val="32"/>
                    <w:spacing w:line="360" w:lineRule="exact"/>
                    <w:rPr>
                      <w:color w:val="000000" w:themeColor="text1"/>
                      <w:szCs w:val="21"/>
                    </w:rPr>
                  </w:pPr>
                  <w:r>
                    <w:rPr>
                      <w:color w:val="000000" w:themeColor="text1"/>
                      <w:szCs w:val="21"/>
                    </w:rPr>
                    <w:t>14</w:t>
                  </w:r>
                </w:p>
              </w:tc>
              <w:tc>
                <w:tcPr>
                  <w:tcW w:w="2811" w:type="dxa"/>
                  <w:vAlign w:val="center"/>
                </w:tcPr>
                <w:p>
                  <w:pPr>
                    <w:pStyle w:val="32"/>
                    <w:spacing w:line="360" w:lineRule="exact"/>
                    <w:rPr>
                      <w:color w:val="000000" w:themeColor="text1"/>
                      <w:szCs w:val="21"/>
                    </w:rPr>
                  </w:pPr>
                  <w:r>
                    <w:rPr>
                      <w:color w:val="000000" w:themeColor="text1"/>
                      <w:szCs w:val="21"/>
                    </w:rPr>
                    <w:t>银</w:t>
                  </w:r>
                </w:p>
              </w:tc>
              <w:tc>
                <w:tcPr>
                  <w:tcW w:w="2744" w:type="dxa"/>
                  <w:vAlign w:val="center"/>
                </w:tcPr>
                <w:p>
                  <w:pPr>
                    <w:pStyle w:val="32"/>
                    <w:spacing w:line="360" w:lineRule="exact"/>
                    <w:rPr>
                      <w:color w:val="000000" w:themeColor="text1"/>
                      <w:szCs w:val="21"/>
                    </w:rPr>
                  </w:pPr>
                  <w:r>
                    <w:rPr>
                      <w:color w:val="000000" w:themeColor="text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1" w:type="dxa"/>
                  <w:vMerge w:val="continue"/>
                  <w:vAlign w:val="center"/>
                </w:tcPr>
                <w:p>
                  <w:pPr>
                    <w:pStyle w:val="32"/>
                    <w:spacing w:line="360" w:lineRule="exact"/>
                    <w:rPr>
                      <w:color w:val="000000" w:themeColor="text1"/>
                      <w:szCs w:val="21"/>
                    </w:rPr>
                  </w:pPr>
                </w:p>
              </w:tc>
              <w:tc>
                <w:tcPr>
                  <w:tcW w:w="1126" w:type="dxa"/>
                  <w:vAlign w:val="center"/>
                </w:tcPr>
                <w:p>
                  <w:pPr>
                    <w:pStyle w:val="32"/>
                    <w:spacing w:line="360" w:lineRule="exact"/>
                    <w:rPr>
                      <w:color w:val="000000" w:themeColor="text1"/>
                      <w:szCs w:val="21"/>
                    </w:rPr>
                  </w:pPr>
                  <w:r>
                    <w:rPr>
                      <w:color w:val="000000" w:themeColor="text1"/>
                      <w:szCs w:val="21"/>
                    </w:rPr>
                    <w:t>15</w:t>
                  </w:r>
                </w:p>
              </w:tc>
              <w:tc>
                <w:tcPr>
                  <w:tcW w:w="2811" w:type="dxa"/>
                  <w:vAlign w:val="center"/>
                </w:tcPr>
                <w:p>
                  <w:pPr>
                    <w:pStyle w:val="32"/>
                    <w:spacing w:line="360" w:lineRule="exact"/>
                    <w:rPr>
                      <w:color w:val="000000" w:themeColor="text1"/>
                      <w:szCs w:val="21"/>
                    </w:rPr>
                  </w:pPr>
                  <w:r>
                    <w:rPr>
                      <w:color w:val="000000" w:themeColor="text1"/>
                      <w:szCs w:val="21"/>
                    </w:rPr>
                    <w:t>总铬</w:t>
                  </w:r>
                </w:p>
              </w:tc>
              <w:tc>
                <w:tcPr>
                  <w:tcW w:w="2744" w:type="dxa"/>
                  <w:vAlign w:val="center"/>
                </w:tcPr>
                <w:p>
                  <w:pPr>
                    <w:pStyle w:val="32"/>
                    <w:spacing w:line="360" w:lineRule="exact"/>
                    <w:rPr>
                      <w:color w:val="000000" w:themeColor="text1"/>
                      <w:szCs w:val="21"/>
                    </w:rPr>
                  </w:pPr>
                  <w:r>
                    <w:rPr>
                      <w:color w:val="000000" w:themeColor="text1"/>
                      <w:szCs w:val="21"/>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1" w:type="dxa"/>
                  <w:vMerge w:val="continue"/>
                  <w:vAlign w:val="center"/>
                </w:tcPr>
                <w:p>
                  <w:pPr>
                    <w:pStyle w:val="32"/>
                    <w:spacing w:line="360" w:lineRule="exact"/>
                    <w:rPr>
                      <w:color w:val="000000" w:themeColor="text1"/>
                      <w:szCs w:val="21"/>
                    </w:rPr>
                  </w:pPr>
                </w:p>
              </w:tc>
              <w:tc>
                <w:tcPr>
                  <w:tcW w:w="1126" w:type="dxa"/>
                  <w:vAlign w:val="center"/>
                </w:tcPr>
                <w:p>
                  <w:pPr>
                    <w:pStyle w:val="32"/>
                    <w:spacing w:line="360" w:lineRule="exact"/>
                    <w:rPr>
                      <w:color w:val="000000" w:themeColor="text1"/>
                      <w:szCs w:val="21"/>
                    </w:rPr>
                  </w:pPr>
                  <w:r>
                    <w:rPr>
                      <w:color w:val="000000" w:themeColor="text1"/>
                      <w:szCs w:val="21"/>
                    </w:rPr>
                    <w:t>16</w:t>
                  </w:r>
                </w:p>
              </w:tc>
              <w:tc>
                <w:tcPr>
                  <w:tcW w:w="2811" w:type="dxa"/>
                  <w:vAlign w:val="center"/>
                </w:tcPr>
                <w:p>
                  <w:pPr>
                    <w:pStyle w:val="32"/>
                    <w:spacing w:line="360" w:lineRule="exact"/>
                    <w:rPr>
                      <w:color w:val="000000" w:themeColor="text1"/>
                      <w:szCs w:val="21"/>
                    </w:rPr>
                  </w:pPr>
                  <w:r>
                    <w:rPr>
                      <w:color w:val="000000" w:themeColor="text1"/>
                      <w:szCs w:val="21"/>
                    </w:rPr>
                    <w:t>烷基汞</w:t>
                  </w:r>
                </w:p>
              </w:tc>
              <w:tc>
                <w:tcPr>
                  <w:tcW w:w="2744" w:type="dxa"/>
                  <w:vAlign w:val="center"/>
                </w:tcPr>
                <w:p>
                  <w:pPr>
                    <w:pStyle w:val="32"/>
                    <w:spacing w:line="360" w:lineRule="exact"/>
                    <w:rPr>
                      <w:color w:val="000000" w:themeColor="text1"/>
                      <w:szCs w:val="21"/>
                    </w:rPr>
                  </w:pPr>
                  <w:r>
                    <w:rPr>
                      <w:color w:val="000000" w:themeColor="text1"/>
                      <w:szCs w:val="21"/>
                    </w:rPr>
                    <w:t>不得检出</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若浸出液中任何一种污染物的浓度均未超过上表限值，则该废物不是危险废物。判断固体废物不属于危险废物后，再将浸出液和《污水综合排放标准》（GB8978-1996）一级标准限值进行对照，达到其标准限值，且pH值在6-9范围之内的一般工业固体废物为第I类一般工业固体废物；反之则一般工业固体废物为第II类一般工业固体废物。《污水综合排放标准》（GB8978-1996）一级标准，标准限值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表3.4.4-2  污水综合排放标准排放限值  （单位： mg/L，pH除外）</w:t>
            </w:r>
          </w:p>
          <w:tbl>
            <w:tblPr>
              <w:tblStyle w:val="20"/>
              <w:tblW w:w="5000" w:type="pct"/>
              <w:tblInd w:w="0" w:type="dxa"/>
              <w:tblLayout w:type="fixed"/>
              <w:tblCellMar>
                <w:top w:w="0" w:type="dxa"/>
                <w:left w:w="108" w:type="dxa"/>
                <w:bottom w:w="0" w:type="dxa"/>
                <w:right w:w="108" w:type="dxa"/>
              </w:tblCellMar>
            </w:tblPr>
            <w:tblGrid>
              <w:gridCol w:w="1651"/>
              <w:gridCol w:w="1121"/>
              <w:gridCol w:w="1115"/>
              <w:gridCol w:w="1111"/>
              <w:gridCol w:w="1111"/>
              <w:gridCol w:w="1111"/>
              <w:gridCol w:w="1394"/>
            </w:tblGrid>
            <w:tr>
              <w:tblPrEx>
                <w:tblCellMar>
                  <w:top w:w="0" w:type="dxa"/>
                  <w:left w:w="108" w:type="dxa"/>
                  <w:bottom w:w="0" w:type="dxa"/>
                  <w:right w:w="108" w:type="dxa"/>
                </w:tblCellMar>
              </w:tblPrEx>
              <w:trPr>
                <w:trHeight w:val="280" w:hRule="atLeast"/>
              </w:trPr>
              <w:tc>
                <w:tcPr>
                  <w:tcW w:w="1756" w:type="dxa"/>
                  <w:tcBorders>
                    <w:top w:val="single" w:color="000000" w:sz="4" w:space="0"/>
                    <w:left w:val="single" w:color="000000" w:sz="4" w:space="0"/>
                    <w:bottom w:val="single" w:color="000000" w:sz="6" w:space="0"/>
                    <w:right w:val="single" w:color="000000" w:sz="6" w:space="0"/>
                  </w:tcBorders>
                  <w:vAlign w:val="center"/>
                </w:tcPr>
                <w:p>
                  <w:pPr>
                    <w:pStyle w:val="32"/>
                    <w:spacing w:line="360" w:lineRule="exact"/>
                    <w:rPr>
                      <w:color w:val="000000" w:themeColor="text1"/>
                      <w:szCs w:val="21"/>
                    </w:rPr>
                  </w:pPr>
                  <w:r>
                    <w:rPr>
                      <w:color w:val="000000" w:themeColor="text1"/>
                      <w:szCs w:val="21"/>
                    </w:rPr>
                    <w:t>项目</w:t>
                  </w:r>
                </w:p>
              </w:tc>
              <w:tc>
                <w:tcPr>
                  <w:tcW w:w="1187" w:type="dxa"/>
                  <w:tcBorders>
                    <w:top w:val="single" w:color="000000" w:sz="4" w:space="0"/>
                    <w:left w:val="single" w:color="000000" w:sz="6" w:space="0"/>
                    <w:bottom w:val="single" w:color="000000" w:sz="6" w:space="0"/>
                    <w:right w:val="single" w:color="000000" w:sz="6" w:space="0"/>
                  </w:tcBorders>
                  <w:vAlign w:val="center"/>
                </w:tcPr>
                <w:p>
                  <w:pPr>
                    <w:pStyle w:val="32"/>
                    <w:spacing w:line="360" w:lineRule="exact"/>
                    <w:rPr>
                      <w:color w:val="000000" w:themeColor="text1"/>
                      <w:szCs w:val="21"/>
                    </w:rPr>
                  </w:pPr>
                  <w:r>
                    <w:rPr>
                      <w:color w:val="000000" w:themeColor="text1"/>
                      <w:szCs w:val="21"/>
                    </w:rPr>
                    <w:t>pH</w:t>
                  </w:r>
                </w:p>
              </w:tc>
              <w:tc>
                <w:tcPr>
                  <w:tcW w:w="1180" w:type="dxa"/>
                  <w:tcBorders>
                    <w:top w:val="single" w:color="000000" w:sz="4" w:space="0"/>
                    <w:left w:val="single" w:color="000000" w:sz="6" w:space="0"/>
                    <w:bottom w:val="single" w:color="000000" w:sz="6" w:space="0"/>
                    <w:right w:val="single" w:color="000000" w:sz="6" w:space="0"/>
                  </w:tcBorders>
                  <w:vAlign w:val="center"/>
                </w:tcPr>
                <w:p>
                  <w:pPr>
                    <w:pStyle w:val="32"/>
                    <w:spacing w:line="360" w:lineRule="exact"/>
                    <w:rPr>
                      <w:color w:val="000000" w:themeColor="text1"/>
                      <w:szCs w:val="21"/>
                    </w:rPr>
                  </w:pPr>
                  <w:r>
                    <w:rPr>
                      <w:color w:val="000000" w:themeColor="text1"/>
                      <w:szCs w:val="21"/>
                    </w:rPr>
                    <w:t>总铜</w:t>
                  </w:r>
                </w:p>
              </w:tc>
              <w:tc>
                <w:tcPr>
                  <w:tcW w:w="1176" w:type="dxa"/>
                  <w:tcBorders>
                    <w:top w:val="single" w:color="000000" w:sz="4" w:space="0"/>
                    <w:left w:val="single" w:color="000000" w:sz="6" w:space="0"/>
                    <w:bottom w:val="single" w:color="000000" w:sz="6" w:space="0"/>
                    <w:right w:val="single" w:color="000000" w:sz="6" w:space="0"/>
                  </w:tcBorders>
                  <w:vAlign w:val="center"/>
                </w:tcPr>
                <w:p>
                  <w:pPr>
                    <w:pStyle w:val="32"/>
                    <w:spacing w:line="360" w:lineRule="exact"/>
                    <w:rPr>
                      <w:color w:val="000000" w:themeColor="text1"/>
                      <w:szCs w:val="21"/>
                    </w:rPr>
                  </w:pPr>
                  <w:r>
                    <w:rPr>
                      <w:color w:val="000000" w:themeColor="text1"/>
                      <w:szCs w:val="21"/>
                    </w:rPr>
                    <w:t>总锌</w:t>
                  </w:r>
                </w:p>
              </w:tc>
              <w:tc>
                <w:tcPr>
                  <w:tcW w:w="1176" w:type="dxa"/>
                  <w:tcBorders>
                    <w:top w:val="single" w:color="000000" w:sz="4" w:space="0"/>
                    <w:left w:val="single" w:color="000000" w:sz="6" w:space="0"/>
                    <w:bottom w:val="single" w:color="000000" w:sz="6" w:space="0"/>
                    <w:right w:val="single" w:color="000000" w:sz="6" w:space="0"/>
                  </w:tcBorders>
                  <w:vAlign w:val="center"/>
                </w:tcPr>
                <w:p>
                  <w:pPr>
                    <w:pStyle w:val="32"/>
                    <w:spacing w:line="360" w:lineRule="exact"/>
                    <w:rPr>
                      <w:color w:val="000000" w:themeColor="text1"/>
                      <w:szCs w:val="21"/>
                    </w:rPr>
                  </w:pPr>
                  <w:r>
                    <w:rPr>
                      <w:color w:val="000000" w:themeColor="text1"/>
                      <w:szCs w:val="21"/>
                    </w:rPr>
                    <w:t>总铅</w:t>
                  </w:r>
                </w:p>
              </w:tc>
              <w:tc>
                <w:tcPr>
                  <w:tcW w:w="1176" w:type="dxa"/>
                  <w:tcBorders>
                    <w:top w:val="single" w:color="000000" w:sz="4" w:space="0"/>
                    <w:left w:val="single" w:color="000000" w:sz="6" w:space="0"/>
                    <w:bottom w:val="single" w:color="000000" w:sz="6" w:space="0"/>
                    <w:right w:val="single" w:color="000000" w:sz="6" w:space="0"/>
                  </w:tcBorders>
                  <w:vAlign w:val="center"/>
                </w:tcPr>
                <w:p>
                  <w:pPr>
                    <w:pStyle w:val="32"/>
                    <w:spacing w:line="360" w:lineRule="exact"/>
                    <w:rPr>
                      <w:color w:val="000000" w:themeColor="text1"/>
                      <w:szCs w:val="21"/>
                    </w:rPr>
                  </w:pPr>
                  <w:r>
                    <w:rPr>
                      <w:color w:val="000000" w:themeColor="text1"/>
                      <w:szCs w:val="21"/>
                    </w:rPr>
                    <w:t>总镉</w:t>
                  </w:r>
                </w:p>
              </w:tc>
              <w:tc>
                <w:tcPr>
                  <w:tcW w:w="1479" w:type="dxa"/>
                  <w:tcBorders>
                    <w:top w:val="single" w:color="000000" w:sz="4" w:space="0"/>
                    <w:left w:val="single" w:color="000000" w:sz="6" w:space="0"/>
                    <w:bottom w:val="single" w:color="000000" w:sz="6" w:space="0"/>
                    <w:right w:val="single" w:color="000000" w:sz="4" w:space="0"/>
                  </w:tcBorders>
                  <w:vAlign w:val="center"/>
                </w:tcPr>
                <w:p>
                  <w:pPr>
                    <w:pStyle w:val="32"/>
                    <w:spacing w:line="360" w:lineRule="exact"/>
                    <w:rPr>
                      <w:color w:val="000000" w:themeColor="text1"/>
                      <w:szCs w:val="21"/>
                    </w:rPr>
                  </w:pPr>
                  <w:r>
                    <w:rPr>
                      <w:color w:val="000000" w:themeColor="text1"/>
                      <w:szCs w:val="21"/>
                    </w:rPr>
                    <w:t>六价铬</w:t>
                  </w:r>
                </w:p>
              </w:tc>
            </w:tr>
            <w:tr>
              <w:tblPrEx>
                <w:tblCellMar>
                  <w:top w:w="0" w:type="dxa"/>
                  <w:left w:w="108" w:type="dxa"/>
                  <w:bottom w:w="0" w:type="dxa"/>
                  <w:right w:w="108" w:type="dxa"/>
                </w:tblCellMar>
              </w:tblPrEx>
              <w:trPr>
                <w:trHeight w:val="294" w:hRule="atLeast"/>
              </w:trPr>
              <w:tc>
                <w:tcPr>
                  <w:tcW w:w="1756" w:type="dxa"/>
                  <w:tcBorders>
                    <w:top w:val="single" w:color="000000" w:sz="6" w:space="0"/>
                    <w:left w:val="single" w:color="000000" w:sz="4" w:space="0"/>
                    <w:bottom w:val="single" w:color="000000" w:sz="6" w:space="0"/>
                    <w:right w:val="single" w:color="000000" w:sz="6" w:space="0"/>
                  </w:tcBorders>
                  <w:vAlign w:val="center"/>
                </w:tcPr>
                <w:p>
                  <w:pPr>
                    <w:pStyle w:val="32"/>
                    <w:spacing w:line="360" w:lineRule="exact"/>
                    <w:rPr>
                      <w:color w:val="000000" w:themeColor="text1"/>
                      <w:szCs w:val="21"/>
                    </w:rPr>
                  </w:pPr>
                  <w:r>
                    <w:rPr>
                      <w:color w:val="000000" w:themeColor="text1"/>
                      <w:szCs w:val="21"/>
                    </w:rPr>
                    <w:t>一级标准值</w:t>
                  </w:r>
                </w:p>
              </w:tc>
              <w:tc>
                <w:tcPr>
                  <w:tcW w:w="1187"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exact"/>
                    <w:rPr>
                      <w:color w:val="000000" w:themeColor="text1"/>
                      <w:szCs w:val="21"/>
                    </w:rPr>
                  </w:pPr>
                  <w:r>
                    <w:rPr>
                      <w:color w:val="000000" w:themeColor="text1"/>
                      <w:szCs w:val="21"/>
                    </w:rPr>
                    <w:t>6-9</w:t>
                  </w:r>
                </w:p>
              </w:tc>
              <w:tc>
                <w:tcPr>
                  <w:tcW w:w="1180"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exact"/>
                    <w:rPr>
                      <w:color w:val="000000" w:themeColor="text1"/>
                      <w:szCs w:val="21"/>
                    </w:rPr>
                  </w:pPr>
                  <w:r>
                    <w:rPr>
                      <w:color w:val="000000" w:themeColor="text1"/>
                      <w:szCs w:val="21"/>
                    </w:rPr>
                    <w:t>0.5</w:t>
                  </w:r>
                </w:p>
              </w:tc>
              <w:tc>
                <w:tcPr>
                  <w:tcW w:w="1176"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exact"/>
                    <w:rPr>
                      <w:color w:val="000000" w:themeColor="text1"/>
                      <w:szCs w:val="21"/>
                    </w:rPr>
                  </w:pPr>
                  <w:r>
                    <w:rPr>
                      <w:color w:val="000000" w:themeColor="text1"/>
                      <w:szCs w:val="21"/>
                    </w:rPr>
                    <w:t>2.0</w:t>
                  </w:r>
                </w:p>
              </w:tc>
              <w:tc>
                <w:tcPr>
                  <w:tcW w:w="1176"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exact"/>
                    <w:rPr>
                      <w:color w:val="000000" w:themeColor="text1"/>
                      <w:szCs w:val="21"/>
                    </w:rPr>
                  </w:pPr>
                  <w:r>
                    <w:rPr>
                      <w:color w:val="000000" w:themeColor="text1"/>
                      <w:szCs w:val="21"/>
                    </w:rPr>
                    <w:t>1.0</w:t>
                  </w:r>
                </w:p>
              </w:tc>
              <w:tc>
                <w:tcPr>
                  <w:tcW w:w="1176"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exact"/>
                    <w:rPr>
                      <w:color w:val="000000" w:themeColor="text1"/>
                      <w:szCs w:val="21"/>
                    </w:rPr>
                  </w:pPr>
                  <w:r>
                    <w:rPr>
                      <w:color w:val="000000" w:themeColor="text1"/>
                      <w:szCs w:val="21"/>
                    </w:rPr>
                    <w:t>0.1</w:t>
                  </w:r>
                </w:p>
              </w:tc>
              <w:tc>
                <w:tcPr>
                  <w:tcW w:w="1479" w:type="dxa"/>
                  <w:tcBorders>
                    <w:top w:val="single" w:color="000000" w:sz="6" w:space="0"/>
                    <w:left w:val="single" w:color="000000" w:sz="6" w:space="0"/>
                    <w:bottom w:val="single" w:color="000000" w:sz="6" w:space="0"/>
                    <w:right w:val="single" w:color="000000" w:sz="4" w:space="0"/>
                  </w:tcBorders>
                  <w:vAlign w:val="center"/>
                </w:tcPr>
                <w:p>
                  <w:pPr>
                    <w:pStyle w:val="32"/>
                    <w:spacing w:line="360" w:lineRule="exact"/>
                    <w:rPr>
                      <w:color w:val="000000" w:themeColor="text1"/>
                      <w:szCs w:val="21"/>
                    </w:rPr>
                  </w:pPr>
                  <w:r>
                    <w:rPr>
                      <w:color w:val="000000" w:themeColor="text1"/>
                      <w:szCs w:val="21"/>
                    </w:rPr>
                    <w:t>0.5</w:t>
                  </w:r>
                </w:p>
              </w:tc>
            </w:tr>
            <w:tr>
              <w:tblPrEx>
                <w:tblCellMar>
                  <w:top w:w="0" w:type="dxa"/>
                  <w:left w:w="108" w:type="dxa"/>
                  <w:bottom w:w="0" w:type="dxa"/>
                  <w:right w:w="108" w:type="dxa"/>
                </w:tblCellMar>
              </w:tblPrEx>
              <w:trPr>
                <w:trHeight w:val="294" w:hRule="atLeast"/>
              </w:trPr>
              <w:tc>
                <w:tcPr>
                  <w:tcW w:w="1756" w:type="dxa"/>
                  <w:tcBorders>
                    <w:top w:val="single" w:color="000000" w:sz="6" w:space="0"/>
                    <w:left w:val="single" w:color="000000" w:sz="4" w:space="0"/>
                    <w:bottom w:val="single" w:color="000000" w:sz="6" w:space="0"/>
                    <w:right w:val="single" w:color="000000" w:sz="6" w:space="0"/>
                  </w:tcBorders>
                  <w:vAlign w:val="center"/>
                </w:tcPr>
                <w:p>
                  <w:pPr>
                    <w:pStyle w:val="32"/>
                    <w:spacing w:line="360" w:lineRule="exact"/>
                    <w:rPr>
                      <w:color w:val="000000" w:themeColor="text1"/>
                      <w:szCs w:val="21"/>
                    </w:rPr>
                  </w:pPr>
                  <w:r>
                    <w:rPr>
                      <w:color w:val="000000" w:themeColor="text1"/>
                      <w:szCs w:val="21"/>
                    </w:rPr>
                    <w:t>项目</w:t>
                  </w:r>
                </w:p>
              </w:tc>
              <w:tc>
                <w:tcPr>
                  <w:tcW w:w="1187"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exact"/>
                    <w:rPr>
                      <w:color w:val="000000" w:themeColor="text1"/>
                      <w:szCs w:val="21"/>
                    </w:rPr>
                  </w:pPr>
                  <w:r>
                    <w:rPr>
                      <w:color w:val="000000" w:themeColor="text1"/>
                      <w:szCs w:val="21"/>
                    </w:rPr>
                    <w:t>总铬</w:t>
                  </w:r>
                </w:p>
              </w:tc>
              <w:tc>
                <w:tcPr>
                  <w:tcW w:w="1180"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exact"/>
                    <w:rPr>
                      <w:color w:val="000000" w:themeColor="text1"/>
                      <w:szCs w:val="21"/>
                    </w:rPr>
                  </w:pPr>
                  <w:r>
                    <w:rPr>
                      <w:color w:val="000000" w:themeColor="text1"/>
                      <w:szCs w:val="21"/>
                    </w:rPr>
                    <w:t>总镍</w:t>
                  </w:r>
                </w:p>
              </w:tc>
              <w:tc>
                <w:tcPr>
                  <w:tcW w:w="1176"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exact"/>
                    <w:rPr>
                      <w:color w:val="000000" w:themeColor="text1"/>
                      <w:szCs w:val="21"/>
                    </w:rPr>
                  </w:pPr>
                  <w:r>
                    <w:rPr>
                      <w:color w:val="000000" w:themeColor="text1"/>
                      <w:szCs w:val="21"/>
                    </w:rPr>
                    <w:t>总银</w:t>
                  </w:r>
                </w:p>
              </w:tc>
              <w:tc>
                <w:tcPr>
                  <w:tcW w:w="1176"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exact"/>
                    <w:rPr>
                      <w:color w:val="000000" w:themeColor="text1"/>
                      <w:szCs w:val="21"/>
                    </w:rPr>
                  </w:pPr>
                  <w:r>
                    <w:rPr>
                      <w:color w:val="000000" w:themeColor="text1"/>
                      <w:szCs w:val="21"/>
                    </w:rPr>
                    <w:t>总砷</w:t>
                  </w:r>
                </w:p>
              </w:tc>
              <w:tc>
                <w:tcPr>
                  <w:tcW w:w="1176"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exact"/>
                    <w:rPr>
                      <w:color w:val="000000" w:themeColor="text1"/>
                      <w:szCs w:val="21"/>
                    </w:rPr>
                  </w:pPr>
                  <w:r>
                    <w:rPr>
                      <w:color w:val="000000" w:themeColor="text1"/>
                      <w:szCs w:val="21"/>
                    </w:rPr>
                    <w:t>氟化物</w:t>
                  </w:r>
                </w:p>
              </w:tc>
              <w:tc>
                <w:tcPr>
                  <w:tcW w:w="1479" w:type="dxa"/>
                  <w:tcBorders>
                    <w:top w:val="single" w:color="000000" w:sz="6" w:space="0"/>
                    <w:left w:val="single" w:color="000000" w:sz="6" w:space="0"/>
                    <w:bottom w:val="single" w:color="000000" w:sz="6" w:space="0"/>
                    <w:right w:val="single" w:color="000000" w:sz="4" w:space="0"/>
                  </w:tcBorders>
                  <w:vAlign w:val="center"/>
                </w:tcPr>
                <w:p>
                  <w:pPr>
                    <w:pStyle w:val="32"/>
                    <w:spacing w:line="360" w:lineRule="exact"/>
                    <w:rPr>
                      <w:color w:val="000000" w:themeColor="text1"/>
                      <w:szCs w:val="21"/>
                    </w:rPr>
                  </w:pPr>
                  <w:r>
                    <w:rPr>
                      <w:color w:val="000000" w:themeColor="text1"/>
                      <w:szCs w:val="21"/>
                    </w:rPr>
                    <w:t>总氰化合物</w:t>
                  </w:r>
                </w:p>
              </w:tc>
            </w:tr>
            <w:tr>
              <w:tblPrEx>
                <w:tblCellMar>
                  <w:top w:w="0" w:type="dxa"/>
                  <w:left w:w="108" w:type="dxa"/>
                  <w:bottom w:w="0" w:type="dxa"/>
                  <w:right w:w="108" w:type="dxa"/>
                </w:tblCellMar>
              </w:tblPrEx>
              <w:trPr>
                <w:trHeight w:val="294" w:hRule="atLeast"/>
              </w:trPr>
              <w:tc>
                <w:tcPr>
                  <w:tcW w:w="1756" w:type="dxa"/>
                  <w:tcBorders>
                    <w:top w:val="single" w:color="000000" w:sz="6" w:space="0"/>
                    <w:left w:val="single" w:color="000000" w:sz="4" w:space="0"/>
                    <w:bottom w:val="single" w:color="000000" w:sz="6" w:space="0"/>
                    <w:right w:val="single" w:color="000000" w:sz="6" w:space="0"/>
                  </w:tcBorders>
                  <w:vAlign w:val="center"/>
                </w:tcPr>
                <w:p>
                  <w:pPr>
                    <w:pStyle w:val="32"/>
                    <w:spacing w:line="360" w:lineRule="exact"/>
                    <w:rPr>
                      <w:color w:val="000000" w:themeColor="text1"/>
                      <w:szCs w:val="21"/>
                    </w:rPr>
                  </w:pPr>
                  <w:r>
                    <w:rPr>
                      <w:color w:val="000000" w:themeColor="text1"/>
                      <w:szCs w:val="21"/>
                    </w:rPr>
                    <w:t>一级标准值</w:t>
                  </w:r>
                </w:p>
              </w:tc>
              <w:tc>
                <w:tcPr>
                  <w:tcW w:w="1187"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exact"/>
                    <w:rPr>
                      <w:color w:val="000000" w:themeColor="text1"/>
                      <w:szCs w:val="21"/>
                    </w:rPr>
                  </w:pPr>
                  <w:r>
                    <w:rPr>
                      <w:color w:val="000000" w:themeColor="text1"/>
                      <w:szCs w:val="21"/>
                    </w:rPr>
                    <w:t>1.5</w:t>
                  </w:r>
                </w:p>
              </w:tc>
              <w:tc>
                <w:tcPr>
                  <w:tcW w:w="1180"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exact"/>
                    <w:rPr>
                      <w:color w:val="000000" w:themeColor="text1"/>
                      <w:szCs w:val="21"/>
                    </w:rPr>
                  </w:pPr>
                  <w:r>
                    <w:rPr>
                      <w:color w:val="000000" w:themeColor="text1"/>
                      <w:szCs w:val="21"/>
                    </w:rPr>
                    <w:t>1.0</w:t>
                  </w:r>
                </w:p>
              </w:tc>
              <w:tc>
                <w:tcPr>
                  <w:tcW w:w="1176"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exact"/>
                    <w:rPr>
                      <w:color w:val="000000" w:themeColor="text1"/>
                      <w:szCs w:val="21"/>
                    </w:rPr>
                  </w:pPr>
                  <w:r>
                    <w:rPr>
                      <w:color w:val="000000" w:themeColor="text1"/>
                      <w:szCs w:val="21"/>
                    </w:rPr>
                    <w:t>0.5</w:t>
                  </w:r>
                </w:p>
              </w:tc>
              <w:tc>
                <w:tcPr>
                  <w:tcW w:w="1176"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exact"/>
                    <w:rPr>
                      <w:color w:val="000000" w:themeColor="text1"/>
                      <w:szCs w:val="21"/>
                    </w:rPr>
                  </w:pPr>
                  <w:r>
                    <w:rPr>
                      <w:color w:val="000000" w:themeColor="text1"/>
                      <w:szCs w:val="21"/>
                    </w:rPr>
                    <w:t>0.5</w:t>
                  </w:r>
                </w:p>
              </w:tc>
              <w:tc>
                <w:tcPr>
                  <w:tcW w:w="1176"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exact"/>
                    <w:rPr>
                      <w:color w:val="000000" w:themeColor="text1"/>
                      <w:szCs w:val="21"/>
                    </w:rPr>
                  </w:pPr>
                  <w:r>
                    <w:rPr>
                      <w:color w:val="000000" w:themeColor="text1"/>
                      <w:szCs w:val="21"/>
                    </w:rPr>
                    <w:t>10</w:t>
                  </w:r>
                </w:p>
              </w:tc>
              <w:tc>
                <w:tcPr>
                  <w:tcW w:w="1479" w:type="dxa"/>
                  <w:tcBorders>
                    <w:top w:val="single" w:color="000000" w:sz="6" w:space="0"/>
                    <w:left w:val="single" w:color="000000" w:sz="6" w:space="0"/>
                    <w:bottom w:val="single" w:color="000000" w:sz="6" w:space="0"/>
                    <w:right w:val="single" w:color="000000" w:sz="4" w:space="0"/>
                  </w:tcBorders>
                  <w:vAlign w:val="center"/>
                </w:tcPr>
                <w:p>
                  <w:pPr>
                    <w:pStyle w:val="32"/>
                    <w:spacing w:line="360" w:lineRule="exact"/>
                    <w:rPr>
                      <w:color w:val="000000" w:themeColor="text1"/>
                      <w:szCs w:val="21"/>
                    </w:rPr>
                  </w:pPr>
                  <w:r>
                    <w:rPr>
                      <w:color w:val="000000" w:themeColor="text1"/>
                      <w:szCs w:val="21"/>
                    </w:rPr>
                    <w:t>0.5</w:t>
                  </w:r>
                </w:p>
              </w:tc>
            </w:tr>
            <w:tr>
              <w:tblPrEx>
                <w:tblCellMar>
                  <w:top w:w="0" w:type="dxa"/>
                  <w:left w:w="108" w:type="dxa"/>
                  <w:bottom w:w="0" w:type="dxa"/>
                  <w:right w:w="108" w:type="dxa"/>
                </w:tblCellMar>
              </w:tblPrEx>
              <w:trPr>
                <w:trHeight w:val="294" w:hRule="atLeast"/>
              </w:trPr>
              <w:tc>
                <w:tcPr>
                  <w:tcW w:w="1756" w:type="dxa"/>
                  <w:tcBorders>
                    <w:top w:val="single" w:color="000000" w:sz="6" w:space="0"/>
                    <w:left w:val="single" w:color="000000" w:sz="4" w:space="0"/>
                    <w:bottom w:val="single" w:color="000000" w:sz="6" w:space="0"/>
                    <w:right w:val="single" w:color="000000" w:sz="6" w:space="0"/>
                  </w:tcBorders>
                  <w:vAlign w:val="center"/>
                </w:tcPr>
                <w:p>
                  <w:pPr>
                    <w:pStyle w:val="32"/>
                    <w:spacing w:line="360" w:lineRule="exact"/>
                    <w:rPr>
                      <w:color w:val="000000" w:themeColor="text1"/>
                      <w:szCs w:val="21"/>
                    </w:rPr>
                  </w:pPr>
                  <w:r>
                    <w:rPr>
                      <w:color w:val="000000" w:themeColor="text1"/>
                      <w:szCs w:val="21"/>
                    </w:rPr>
                    <w:t>项目</w:t>
                  </w:r>
                </w:p>
              </w:tc>
              <w:tc>
                <w:tcPr>
                  <w:tcW w:w="1187"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exact"/>
                    <w:rPr>
                      <w:color w:val="000000" w:themeColor="text1"/>
                      <w:szCs w:val="21"/>
                    </w:rPr>
                  </w:pPr>
                  <w:r>
                    <w:rPr>
                      <w:color w:val="000000" w:themeColor="text1"/>
                      <w:szCs w:val="21"/>
                    </w:rPr>
                    <w:t>总汞</w:t>
                  </w:r>
                </w:p>
              </w:tc>
              <w:tc>
                <w:tcPr>
                  <w:tcW w:w="1180"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exact"/>
                    <w:rPr>
                      <w:color w:val="000000" w:themeColor="text1"/>
                      <w:szCs w:val="21"/>
                    </w:rPr>
                  </w:pPr>
                  <w:r>
                    <w:rPr>
                      <w:color w:val="000000" w:themeColor="text1"/>
                      <w:szCs w:val="21"/>
                    </w:rPr>
                    <w:t>烷基汞</w:t>
                  </w:r>
                </w:p>
              </w:tc>
              <w:tc>
                <w:tcPr>
                  <w:tcW w:w="1176"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exact"/>
                    <w:rPr>
                      <w:color w:val="000000" w:themeColor="text1"/>
                      <w:szCs w:val="21"/>
                    </w:rPr>
                  </w:pPr>
                  <w:r>
                    <w:rPr>
                      <w:color w:val="000000" w:themeColor="text1"/>
                      <w:szCs w:val="21"/>
                    </w:rPr>
                    <w:t>总铍</w:t>
                  </w:r>
                </w:p>
              </w:tc>
              <w:tc>
                <w:tcPr>
                  <w:tcW w:w="1176"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exact"/>
                    <w:rPr>
                      <w:color w:val="000000" w:themeColor="text1"/>
                      <w:szCs w:val="21"/>
                    </w:rPr>
                  </w:pPr>
                  <w:r>
                    <w:rPr>
                      <w:color w:val="000000" w:themeColor="text1"/>
                      <w:szCs w:val="21"/>
                    </w:rPr>
                    <w:t>总硒</w:t>
                  </w:r>
                </w:p>
              </w:tc>
              <w:tc>
                <w:tcPr>
                  <w:tcW w:w="1176" w:type="dxa"/>
                  <w:tcBorders>
                    <w:top w:val="single" w:color="000000" w:sz="6" w:space="0"/>
                    <w:left w:val="single" w:color="000000" w:sz="6" w:space="0"/>
                    <w:bottom w:val="single" w:color="000000" w:sz="6" w:space="0"/>
                    <w:right w:val="single" w:color="000000" w:sz="6" w:space="0"/>
                  </w:tcBorders>
                  <w:vAlign w:val="center"/>
                </w:tcPr>
                <w:p>
                  <w:pPr>
                    <w:pStyle w:val="32"/>
                    <w:spacing w:line="360" w:lineRule="exact"/>
                    <w:rPr>
                      <w:color w:val="000000" w:themeColor="text1"/>
                      <w:szCs w:val="21"/>
                    </w:rPr>
                  </w:pPr>
                  <w:r>
                    <w:rPr>
                      <w:color w:val="000000" w:themeColor="text1"/>
                      <w:szCs w:val="21"/>
                    </w:rPr>
                    <w:t>--</w:t>
                  </w:r>
                </w:p>
              </w:tc>
              <w:tc>
                <w:tcPr>
                  <w:tcW w:w="1479" w:type="dxa"/>
                  <w:tcBorders>
                    <w:top w:val="single" w:color="000000" w:sz="6" w:space="0"/>
                    <w:left w:val="single" w:color="000000" w:sz="6" w:space="0"/>
                    <w:bottom w:val="single" w:color="000000" w:sz="6" w:space="0"/>
                    <w:right w:val="single" w:color="000000" w:sz="4" w:space="0"/>
                  </w:tcBorders>
                  <w:vAlign w:val="center"/>
                </w:tcPr>
                <w:p>
                  <w:pPr>
                    <w:pStyle w:val="32"/>
                    <w:spacing w:line="360" w:lineRule="exact"/>
                    <w:rPr>
                      <w:color w:val="000000" w:themeColor="text1"/>
                      <w:szCs w:val="21"/>
                    </w:rPr>
                  </w:pPr>
                  <w:r>
                    <w:rPr>
                      <w:color w:val="000000" w:themeColor="text1"/>
                      <w:szCs w:val="21"/>
                    </w:rPr>
                    <w:t>--</w:t>
                  </w:r>
                </w:p>
              </w:tc>
            </w:tr>
            <w:tr>
              <w:tblPrEx>
                <w:tblCellMar>
                  <w:top w:w="0" w:type="dxa"/>
                  <w:left w:w="108" w:type="dxa"/>
                  <w:bottom w:w="0" w:type="dxa"/>
                  <w:right w:w="108" w:type="dxa"/>
                </w:tblCellMar>
              </w:tblPrEx>
              <w:trPr>
                <w:trHeight w:val="294" w:hRule="atLeast"/>
              </w:trPr>
              <w:tc>
                <w:tcPr>
                  <w:tcW w:w="1756" w:type="dxa"/>
                  <w:tcBorders>
                    <w:top w:val="single" w:color="000000" w:sz="6" w:space="0"/>
                    <w:left w:val="single" w:color="000000" w:sz="4" w:space="0"/>
                    <w:bottom w:val="single" w:color="000000" w:sz="4" w:space="0"/>
                    <w:right w:val="single" w:color="000000" w:sz="6" w:space="0"/>
                  </w:tcBorders>
                  <w:vAlign w:val="center"/>
                </w:tcPr>
                <w:p>
                  <w:pPr>
                    <w:pStyle w:val="32"/>
                    <w:spacing w:line="360" w:lineRule="exact"/>
                    <w:rPr>
                      <w:color w:val="000000" w:themeColor="text1"/>
                      <w:szCs w:val="21"/>
                    </w:rPr>
                  </w:pPr>
                  <w:r>
                    <w:rPr>
                      <w:color w:val="000000" w:themeColor="text1"/>
                      <w:szCs w:val="21"/>
                    </w:rPr>
                    <w:t>一级标准值</w:t>
                  </w:r>
                </w:p>
              </w:tc>
              <w:tc>
                <w:tcPr>
                  <w:tcW w:w="1187" w:type="dxa"/>
                  <w:tcBorders>
                    <w:top w:val="single" w:color="000000" w:sz="6" w:space="0"/>
                    <w:left w:val="single" w:color="000000" w:sz="6" w:space="0"/>
                    <w:bottom w:val="single" w:color="000000" w:sz="4" w:space="0"/>
                    <w:right w:val="single" w:color="000000" w:sz="6" w:space="0"/>
                  </w:tcBorders>
                  <w:vAlign w:val="center"/>
                </w:tcPr>
                <w:p>
                  <w:pPr>
                    <w:pStyle w:val="32"/>
                    <w:spacing w:line="360" w:lineRule="exact"/>
                    <w:rPr>
                      <w:color w:val="000000" w:themeColor="text1"/>
                      <w:szCs w:val="21"/>
                    </w:rPr>
                  </w:pPr>
                  <w:r>
                    <w:rPr>
                      <w:color w:val="000000" w:themeColor="text1"/>
                      <w:szCs w:val="21"/>
                    </w:rPr>
                    <w:t>0.05</w:t>
                  </w:r>
                </w:p>
              </w:tc>
              <w:tc>
                <w:tcPr>
                  <w:tcW w:w="1180" w:type="dxa"/>
                  <w:tcBorders>
                    <w:top w:val="single" w:color="000000" w:sz="6" w:space="0"/>
                    <w:left w:val="single" w:color="000000" w:sz="6" w:space="0"/>
                    <w:bottom w:val="single" w:color="000000" w:sz="4" w:space="0"/>
                    <w:right w:val="single" w:color="000000" w:sz="6" w:space="0"/>
                  </w:tcBorders>
                  <w:vAlign w:val="center"/>
                </w:tcPr>
                <w:p>
                  <w:pPr>
                    <w:pStyle w:val="32"/>
                    <w:spacing w:line="360" w:lineRule="exact"/>
                    <w:rPr>
                      <w:color w:val="000000" w:themeColor="text1"/>
                      <w:szCs w:val="21"/>
                    </w:rPr>
                  </w:pPr>
                  <w:r>
                    <w:rPr>
                      <w:color w:val="000000" w:themeColor="text1"/>
                      <w:szCs w:val="21"/>
                    </w:rPr>
                    <w:t>不得检出</w:t>
                  </w:r>
                </w:p>
              </w:tc>
              <w:tc>
                <w:tcPr>
                  <w:tcW w:w="1176" w:type="dxa"/>
                  <w:tcBorders>
                    <w:top w:val="single" w:color="000000" w:sz="6" w:space="0"/>
                    <w:left w:val="single" w:color="000000" w:sz="6" w:space="0"/>
                    <w:bottom w:val="single" w:color="000000" w:sz="4" w:space="0"/>
                    <w:right w:val="single" w:color="000000" w:sz="6" w:space="0"/>
                  </w:tcBorders>
                  <w:vAlign w:val="center"/>
                </w:tcPr>
                <w:p>
                  <w:pPr>
                    <w:pStyle w:val="32"/>
                    <w:spacing w:line="360" w:lineRule="exact"/>
                    <w:rPr>
                      <w:color w:val="000000" w:themeColor="text1"/>
                      <w:szCs w:val="21"/>
                    </w:rPr>
                  </w:pPr>
                  <w:r>
                    <w:rPr>
                      <w:color w:val="000000" w:themeColor="text1"/>
                      <w:szCs w:val="21"/>
                    </w:rPr>
                    <w:t>0.005</w:t>
                  </w:r>
                </w:p>
              </w:tc>
              <w:tc>
                <w:tcPr>
                  <w:tcW w:w="1176" w:type="dxa"/>
                  <w:tcBorders>
                    <w:top w:val="single" w:color="000000" w:sz="6" w:space="0"/>
                    <w:left w:val="single" w:color="000000" w:sz="6" w:space="0"/>
                    <w:bottom w:val="single" w:color="000000" w:sz="4" w:space="0"/>
                    <w:right w:val="single" w:color="000000" w:sz="6" w:space="0"/>
                  </w:tcBorders>
                  <w:vAlign w:val="center"/>
                </w:tcPr>
                <w:p>
                  <w:pPr>
                    <w:pStyle w:val="32"/>
                    <w:spacing w:line="360" w:lineRule="exact"/>
                    <w:rPr>
                      <w:color w:val="000000" w:themeColor="text1"/>
                      <w:szCs w:val="21"/>
                    </w:rPr>
                  </w:pPr>
                  <w:r>
                    <w:rPr>
                      <w:color w:val="000000" w:themeColor="text1"/>
                      <w:szCs w:val="21"/>
                    </w:rPr>
                    <w:t>0.1</w:t>
                  </w:r>
                </w:p>
              </w:tc>
              <w:tc>
                <w:tcPr>
                  <w:tcW w:w="1176" w:type="dxa"/>
                  <w:tcBorders>
                    <w:top w:val="single" w:color="000000" w:sz="6" w:space="0"/>
                    <w:left w:val="single" w:color="000000" w:sz="6" w:space="0"/>
                    <w:bottom w:val="single" w:color="000000" w:sz="4" w:space="0"/>
                    <w:right w:val="single" w:color="000000" w:sz="6" w:space="0"/>
                  </w:tcBorders>
                  <w:vAlign w:val="center"/>
                </w:tcPr>
                <w:p>
                  <w:pPr>
                    <w:pStyle w:val="32"/>
                    <w:spacing w:line="360" w:lineRule="exact"/>
                    <w:rPr>
                      <w:color w:val="000000" w:themeColor="text1"/>
                      <w:szCs w:val="21"/>
                    </w:rPr>
                  </w:pPr>
                  <w:r>
                    <w:rPr>
                      <w:color w:val="000000" w:themeColor="text1"/>
                      <w:szCs w:val="21"/>
                    </w:rPr>
                    <w:t>--</w:t>
                  </w:r>
                </w:p>
              </w:tc>
              <w:tc>
                <w:tcPr>
                  <w:tcW w:w="1479" w:type="dxa"/>
                  <w:tcBorders>
                    <w:top w:val="single" w:color="000000" w:sz="6" w:space="0"/>
                    <w:left w:val="single" w:color="000000" w:sz="6" w:space="0"/>
                    <w:bottom w:val="single" w:color="000000" w:sz="4" w:space="0"/>
                    <w:right w:val="single" w:color="000000" w:sz="4" w:space="0"/>
                  </w:tcBorders>
                  <w:vAlign w:val="center"/>
                </w:tcPr>
                <w:p>
                  <w:pPr>
                    <w:pStyle w:val="32"/>
                    <w:spacing w:line="360" w:lineRule="exact"/>
                    <w:rPr>
                      <w:color w:val="000000" w:themeColor="text1"/>
                      <w:szCs w:val="21"/>
                    </w:rPr>
                  </w:pPr>
                  <w:r>
                    <w:rPr>
                      <w:color w:val="000000" w:themeColor="text1"/>
                      <w:szCs w:val="21"/>
                    </w:rPr>
                    <w:t>--</w:t>
                  </w:r>
                </w:p>
              </w:tc>
            </w:tr>
          </w:tbl>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hint="eastAsia" w:ascii="Times New Roman" w:hAnsi="Times New Roman" w:cs="Times New Roman"/>
                <w:color w:val="000000" w:themeColor="text1"/>
                <w:sz w:val="24"/>
                <w:szCs w:val="24"/>
              </w:rPr>
            </w:pPr>
          </w:p>
          <w:p>
            <w:pPr>
              <w:spacing w:line="360" w:lineRule="auto"/>
              <w:ind w:firstLine="480" w:firstLineChars="200"/>
              <w:rPr>
                <w:rFonts w:hint="eastAsia" w:ascii="Times New Roman" w:hAnsi="Times New Roman" w:cs="Times New Roman"/>
                <w:color w:val="000000" w:themeColor="text1"/>
                <w:sz w:val="24"/>
                <w:szCs w:val="24"/>
              </w:rPr>
            </w:pPr>
          </w:p>
          <w:p>
            <w:pPr>
              <w:spacing w:line="360" w:lineRule="auto"/>
              <w:ind w:firstLine="480" w:firstLineChars="200"/>
              <w:rPr>
                <w:rFonts w:hint="eastAsia" w:ascii="Times New Roman" w:hAnsi="Times New Roman" w:cs="Times New Roman"/>
                <w:color w:val="000000" w:themeColor="text1"/>
                <w:sz w:val="24"/>
                <w:szCs w:val="24"/>
              </w:rPr>
            </w:pPr>
          </w:p>
          <w:p>
            <w:pPr>
              <w:spacing w:line="360" w:lineRule="auto"/>
              <w:ind w:firstLine="480" w:firstLineChars="200"/>
              <w:rPr>
                <w:rFonts w:hint="eastAsia" w:ascii="Times New Roman" w:hAnsi="Times New Roman" w:cs="Times New Roman"/>
                <w:color w:val="000000" w:themeColor="text1"/>
                <w:sz w:val="24"/>
                <w:szCs w:val="24"/>
              </w:rPr>
            </w:pPr>
          </w:p>
          <w:p>
            <w:pPr>
              <w:spacing w:line="360" w:lineRule="auto"/>
              <w:ind w:firstLine="480" w:firstLineChars="200"/>
              <w:rPr>
                <w:rFonts w:hint="eastAsia" w:ascii="Times New Roman" w:hAnsi="Times New Roman" w:cs="Times New Roman"/>
                <w:color w:val="000000" w:themeColor="text1"/>
                <w:sz w:val="24"/>
                <w:szCs w:val="24"/>
              </w:rPr>
            </w:pPr>
          </w:p>
          <w:p>
            <w:pPr>
              <w:spacing w:line="360" w:lineRule="auto"/>
              <w:ind w:firstLine="480" w:firstLineChars="200"/>
              <w:rPr>
                <w:rFonts w:hint="eastAsia" w:ascii="Times New Roman" w:hAnsi="Times New Roman" w:cs="Times New Roman"/>
                <w:color w:val="000000" w:themeColor="text1"/>
                <w:sz w:val="24"/>
                <w:szCs w:val="24"/>
              </w:rPr>
            </w:pPr>
          </w:p>
          <w:p>
            <w:pPr>
              <w:spacing w:line="360" w:lineRule="auto"/>
              <w:ind w:firstLine="480" w:firstLineChars="200"/>
              <w:rPr>
                <w:rFonts w:hint="eastAsia"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2" w:hRule="atLeast"/>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总量控制指标</w:t>
            </w:r>
          </w:p>
        </w:tc>
        <w:tc>
          <w:tcPr>
            <w:tcW w:w="8831" w:type="dxa"/>
            <w:vAlign w:val="center"/>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根据《建设项目环境影响报告表编制技术指南》（污染影响类）（试行）的要求，总量指标主要为地方生态环境主管部门核定的总量控制指标。</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3.5 总量控制指标</w:t>
            </w:r>
          </w:p>
          <w:p>
            <w:pPr>
              <w:spacing w:line="360" w:lineRule="auto"/>
              <w:ind w:firstLine="361" w:firstLineChars="15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（1）废气</w:t>
            </w:r>
          </w:p>
          <w:p>
            <w:pPr>
              <w:pStyle w:val="40"/>
              <w:ind w:firstLine="480"/>
              <w:rPr>
                <w:color w:val="000000" w:themeColor="text1"/>
                <w:kern w:val="0"/>
                <w:szCs w:val="21"/>
              </w:rPr>
            </w:pPr>
            <w:r>
              <w:rPr>
                <w:color w:val="000000" w:themeColor="text1"/>
                <w:kern w:val="0"/>
                <w:szCs w:val="21"/>
              </w:rPr>
              <w:t>有组织排放废气：废气量</w:t>
            </w:r>
            <w:r>
              <w:rPr>
                <w:rFonts w:hint="eastAsia"/>
                <w:color w:val="000000" w:themeColor="text1"/>
                <w:kern w:val="0"/>
                <w:szCs w:val="21"/>
              </w:rPr>
              <w:t>2411.055</w:t>
            </w:r>
            <w:r>
              <w:rPr>
                <w:color w:val="000000" w:themeColor="text1"/>
                <w:kern w:val="0"/>
                <w:szCs w:val="21"/>
              </w:rPr>
              <w:t>万m³/a，颗粒物：</w:t>
            </w:r>
            <w:r>
              <w:rPr>
                <w:rFonts w:hint="eastAsia"/>
                <w:color w:val="000000" w:themeColor="text1"/>
                <w:kern w:val="0"/>
                <w:szCs w:val="21"/>
              </w:rPr>
              <w:t>0.0315</w:t>
            </w:r>
            <w:r>
              <w:rPr>
                <w:color w:val="000000" w:themeColor="text1"/>
                <w:kern w:val="0"/>
                <w:szCs w:val="21"/>
              </w:rPr>
              <w:t>t/a。</w:t>
            </w:r>
          </w:p>
          <w:p>
            <w:pPr>
              <w:pStyle w:val="40"/>
              <w:ind w:firstLine="480"/>
              <w:rPr>
                <w:color w:val="000000" w:themeColor="text1"/>
                <w:kern w:val="0"/>
                <w:szCs w:val="21"/>
              </w:rPr>
            </w:pPr>
            <w:r>
              <w:rPr>
                <w:color w:val="000000" w:themeColor="text1"/>
                <w:kern w:val="0"/>
                <w:szCs w:val="21"/>
              </w:rPr>
              <w:t>无组织排放废气：颗粒物：</w:t>
            </w:r>
            <w:r>
              <w:rPr>
                <w:rFonts w:hint="eastAsia"/>
                <w:color w:val="000000" w:themeColor="text1"/>
                <w:kern w:val="0"/>
                <w:szCs w:val="21"/>
              </w:rPr>
              <w:t>45.04</w:t>
            </w:r>
            <w:r>
              <w:rPr>
                <w:color w:val="000000" w:themeColor="text1"/>
                <w:kern w:val="0"/>
                <w:szCs w:val="21"/>
              </w:rPr>
              <w:t>t/a。</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（2）废水</w:t>
            </w:r>
          </w:p>
          <w:p>
            <w:pPr>
              <w:pStyle w:val="40"/>
              <w:ind w:firstLine="480"/>
              <w:rPr>
                <w:color w:val="000000" w:themeColor="text1"/>
                <w:kern w:val="0"/>
                <w:szCs w:val="21"/>
              </w:rPr>
            </w:pPr>
            <w:r>
              <w:rPr>
                <w:rFonts w:hint="eastAsia"/>
                <w:color w:val="000000" w:themeColor="text1"/>
                <w:kern w:val="0"/>
                <w:szCs w:val="21"/>
              </w:rPr>
              <w:t>项目砂石骨料生产废水420</w:t>
            </w:r>
            <w:r>
              <w:rPr>
                <w:color w:val="000000" w:themeColor="text1"/>
                <w:kern w:val="0"/>
                <w:szCs w:val="21"/>
              </w:rPr>
              <w:t>m³/d</w:t>
            </w:r>
            <w:r>
              <w:rPr>
                <w:rFonts w:hint="eastAsia"/>
                <w:color w:val="000000" w:themeColor="text1"/>
                <w:kern w:val="0"/>
                <w:szCs w:val="21"/>
              </w:rPr>
              <w:t>，</w:t>
            </w:r>
            <w:r>
              <w:rPr>
                <w:color w:val="000000" w:themeColor="text1"/>
                <w:kern w:val="0"/>
                <w:szCs w:val="21"/>
              </w:rPr>
              <w:t>首先进入三级沉淀池进行沉淀，沉淀后，约90%的上层清水进入回水池回用于骨料生产系统，而三级沉淀池产生的的含水污泥则进入</w:t>
            </w:r>
            <w:r>
              <w:rPr>
                <w:rFonts w:hint="eastAsia"/>
                <w:color w:val="000000" w:themeColor="text1"/>
                <w:kern w:val="0"/>
                <w:szCs w:val="21"/>
              </w:rPr>
              <w:t>建设单位建设的</w:t>
            </w:r>
            <w:r>
              <w:rPr>
                <w:color w:val="000000" w:themeColor="text1"/>
                <w:kern w:val="0"/>
                <w:szCs w:val="21"/>
              </w:rPr>
              <w:t>昆明市东川金水矿业有限责任公司牛厂坪尾矿充填环境综合治理项目</w:t>
            </w:r>
            <w:r>
              <w:rPr>
                <w:rFonts w:hint="eastAsia"/>
                <w:color w:val="000000" w:themeColor="text1"/>
                <w:kern w:val="0"/>
                <w:szCs w:val="21"/>
              </w:rPr>
              <w:t>进行井下充填处理；水泥砖养护废水产生量为</w:t>
            </w:r>
            <w:r>
              <w:rPr>
                <w:color w:val="000000" w:themeColor="text1"/>
                <w:kern w:val="0"/>
                <w:szCs w:val="21"/>
              </w:rPr>
              <w:t>2.</w:t>
            </w:r>
            <w:r>
              <w:rPr>
                <w:rFonts w:hint="eastAsia"/>
                <w:color w:val="000000" w:themeColor="text1"/>
                <w:kern w:val="0"/>
                <w:szCs w:val="21"/>
              </w:rPr>
              <w:t>3</w:t>
            </w:r>
            <w:r>
              <w:rPr>
                <w:color w:val="000000" w:themeColor="text1"/>
                <w:kern w:val="0"/>
                <w:szCs w:val="21"/>
              </w:rPr>
              <w:t>m³/d</w:t>
            </w:r>
            <w:r>
              <w:rPr>
                <w:rFonts w:hint="eastAsia"/>
                <w:color w:val="000000" w:themeColor="text1"/>
                <w:kern w:val="0"/>
                <w:szCs w:val="21"/>
              </w:rPr>
              <w:t>，通过1个有效容积为6</w:t>
            </w:r>
            <w:r>
              <w:rPr>
                <w:color w:val="000000" w:themeColor="text1"/>
                <w:kern w:val="0"/>
                <w:szCs w:val="21"/>
              </w:rPr>
              <w:t>m³</w:t>
            </w:r>
            <w:r>
              <w:rPr>
                <w:rFonts w:hint="eastAsia"/>
                <w:color w:val="000000" w:themeColor="text1"/>
                <w:kern w:val="0"/>
                <w:szCs w:val="21"/>
              </w:rPr>
              <w:t>的养护废水收集池对其进行收集后，返回养护工序使用，不外排。</w:t>
            </w:r>
            <w:r>
              <w:rPr>
                <w:rFonts w:hint="eastAsia"/>
                <w:color w:val="FF0000"/>
                <w:kern w:val="0"/>
                <w:szCs w:val="21"/>
              </w:rPr>
              <w:t>生活污水产生量为288</w:t>
            </w:r>
            <w:r>
              <w:rPr>
                <w:color w:val="FF0000"/>
                <w:kern w:val="0"/>
                <w:szCs w:val="21"/>
              </w:rPr>
              <w:t>m³/</w:t>
            </w:r>
            <w:r>
              <w:rPr>
                <w:rFonts w:hint="eastAsia"/>
                <w:color w:val="FF0000"/>
                <w:kern w:val="0"/>
                <w:szCs w:val="21"/>
              </w:rPr>
              <w:t>a，</w:t>
            </w:r>
            <w:r>
              <w:rPr>
                <w:color w:val="000000" w:themeColor="text1"/>
                <w:kern w:val="0"/>
                <w:szCs w:val="21"/>
              </w:rPr>
              <w:t>生活污水先进入1个有效容积为3m³的化粪池预处理，处理后统一进入1套处理能力为3m³/d的一体化污水处理设施处理，处理达到《城市污水再生利用 城市杂用水水质》（GB/T18920-2020）城市绿化标准后，回用于项目区绿化，不外排。</w:t>
            </w:r>
          </w:p>
          <w:p>
            <w:pPr>
              <w:pStyle w:val="40"/>
              <w:ind w:firstLine="480"/>
              <w:rPr>
                <w:color w:val="000000" w:themeColor="text1"/>
                <w:kern w:val="0"/>
                <w:szCs w:val="21"/>
              </w:rPr>
            </w:pPr>
            <w:r>
              <w:rPr>
                <w:rFonts w:hint="eastAsia"/>
                <w:color w:val="000000" w:themeColor="text1"/>
                <w:kern w:val="0"/>
                <w:szCs w:val="21"/>
              </w:rPr>
              <w:t>一期工程</w:t>
            </w:r>
            <w:r>
              <w:rPr>
                <w:color w:val="000000" w:themeColor="text1"/>
                <w:kern w:val="0"/>
                <w:szCs w:val="21"/>
              </w:rPr>
              <w:t>初期雨水</w:t>
            </w:r>
            <w:r>
              <w:rPr>
                <w:rFonts w:hint="eastAsia"/>
                <w:color w:val="000000" w:themeColor="text1"/>
                <w:kern w:val="0"/>
                <w:szCs w:val="21"/>
              </w:rPr>
              <w:t>产生量为6.71</w:t>
            </w:r>
            <w:r>
              <w:rPr>
                <w:color w:val="000000" w:themeColor="text1"/>
                <w:kern w:val="0"/>
                <w:szCs w:val="21"/>
              </w:rPr>
              <w:t>m³/次</w:t>
            </w:r>
            <w:r>
              <w:rPr>
                <w:rFonts w:hint="eastAsia"/>
                <w:color w:val="000000" w:themeColor="text1"/>
                <w:kern w:val="0"/>
                <w:szCs w:val="21"/>
              </w:rPr>
              <w:t>，经1个有效容积为9m³的初期雨水收集池收集；二期工程</w:t>
            </w:r>
            <w:r>
              <w:rPr>
                <w:color w:val="000000" w:themeColor="text1"/>
                <w:kern w:val="0"/>
                <w:szCs w:val="21"/>
              </w:rPr>
              <w:t>初期雨水</w:t>
            </w:r>
            <w:r>
              <w:rPr>
                <w:rFonts w:hint="eastAsia"/>
                <w:color w:val="000000" w:themeColor="text1"/>
                <w:kern w:val="0"/>
                <w:szCs w:val="21"/>
              </w:rPr>
              <w:t>产生量为2.87</w:t>
            </w:r>
            <w:r>
              <w:rPr>
                <w:color w:val="000000" w:themeColor="text1"/>
                <w:kern w:val="0"/>
                <w:szCs w:val="21"/>
              </w:rPr>
              <w:t>m³/次</w:t>
            </w:r>
            <w:r>
              <w:rPr>
                <w:rFonts w:hint="eastAsia"/>
                <w:color w:val="000000" w:themeColor="text1"/>
                <w:kern w:val="0"/>
                <w:szCs w:val="21"/>
              </w:rPr>
              <w:t>，经1个有效容积为5m³的初期雨水收集池收集，初期雨水收集后用于该项目生产用水</w:t>
            </w:r>
            <w:r>
              <w:rPr>
                <w:color w:val="000000" w:themeColor="text1"/>
                <w:kern w:val="0"/>
                <w:szCs w:val="21"/>
              </w:rPr>
              <w:t>，不外排。不设总量控制指标。</w:t>
            </w:r>
          </w:p>
          <w:p>
            <w:pPr>
              <w:pStyle w:val="40"/>
              <w:ind w:firstLine="482"/>
              <w:rPr>
                <w:rFonts w:eastAsiaTheme="minorEastAsia"/>
                <w:b/>
                <w:color w:val="000000" w:themeColor="text1"/>
                <w:szCs w:val="24"/>
              </w:rPr>
            </w:pPr>
          </w:p>
          <w:p>
            <w:pPr>
              <w:pStyle w:val="40"/>
              <w:ind w:firstLine="482"/>
              <w:rPr>
                <w:rFonts w:eastAsiaTheme="minorEastAsia"/>
                <w:b/>
                <w:color w:val="000000" w:themeColor="text1"/>
                <w:szCs w:val="24"/>
              </w:rPr>
            </w:pPr>
          </w:p>
          <w:p>
            <w:pPr>
              <w:pStyle w:val="40"/>
              <w:ind w:firstLine="482"/>
              <w:rPr>
                <w:rFonts w:eastAsiaTheme="minorEastAsia"/>
                <w:b/>
                <w:color w:val="000000" w:themeColor="text1"/>
                <w:szCs w:val="24"/>
              </w:rPr>
            </w:pPr>
          </w:p>
          <w:p>
            <w:pPr>
              <w:pStyle w:val="40"/>
              <w:ind w:firstLine="482"/>
              <w:rPr>
                <w:rFonts w:eastAsiaTheme="minorEastAsia"/>
                <w:b/>
                <w:color w:val="000000" w:themeColor="text1"/>
                <w:szCs w:val="24"/>
              </w:rPr>
            </w:pPr>
          </w:p>
          <w:p>
            <w:pPr>
              <w:pStyle w:val="40"/>
              <w:ind w:firstLine="482"/>
              <w:rPr>
                <w:rFonts w:eastAsiaTheme="minorEastAsia"/>
                <w:b/>
                <w:color w:val="000000" w:themeColor="text1"/>
                <w:szCs w:val="24"/>
              </w:rPr>
            </w:pPr>
          </w:p>
          <w:p>
            <w:pPr>
              <w:pStyle w:val="40"/>
              <w:ind w:firstLine="482"/>
              <w:rPr>
                <w:rFonts w:eastAsiaTheme="minorEastAsia"/>
                <w:b/>
                <w:color w:val="000000" w:themeColor="text1"/>
                <w:szCs w:val="24"/>
              </w:rPr>
            </w:pPr>
          </w:p>
          <w:p>
            <w:pPr>
              <w:pStyle w:val="40"/>
              <w:ind w:firstLine="482"/>
              <w:rPr>
                <w:rFonts w:eastAsiaTheme="minorEastAsia"/>
                <w:b/>
                <w:color w:val="000000" w:themeColor="text1"/>
                <w:szCs w:val="24"/>
              </w:rPr>
            </w:pPr>
          </w:p>
          <w:p>
            <w:pPr>
              <w:pStyle w:val="40"/>
              <w:ind w:firstLine="482"/>
              <w:rPr>
                <w:rFonts w:hint="eastAsia" w:eastAsiaTheme="minorEastAsia"/>
                <w:b/>
                <w:color w:val="000000" w:themeColor="text1"/>
                <w:szCs w:val="24"/>
              </w:rPr>
            </w:pPr>
          </w:p>
          <w:p>
            <w:pPr>
              <w:pStyle w:val="40"/>
              <w:ind w:firstLine="482"/>
              <w:rPr>
                <w:rFonts w:eastAsiaTheme="minorEastAsia"/>
                <w:b/>
                <w:color w:val="000000" w:themeColor="text1"/>
                <w:szCs w:val="24"/>
              </w:rPr>
            </w:pPr>
          </w:p>
          <w:p>
            <w:pPr>
              <w:pStyle w:val="40"/>
              <w:ind w:firstLine="482"/>
              <w:rPr>
                <w:rFonts w:eastAsiaTheme="minorEastAsia"/>
                <w:b/>
                <w:color w:val="000000" w:themeColor="text1"/>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四、主要环境影响和保护措施</w:t>
      </w:r>
    </w:p>
    <w:tbl>
      <w:tblPr>
        <w:tblStyle w:val="21"/>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5"/>
        <w:gridCol w:w="88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施工期环境保护措施</w:t>
            </w:r>
          </w:p>
        </w:tc>
        <w:tc>
          <w:tcPr>
            <w:tcW w:w="8831" w:type="dxa"/>
            <w:vAlign w:val="center"/>
          </w:tcPr>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4.1 施工期环境保护措施</w:t>
            </w:r>
          </w:p>
          <w:p>
            <w:pPr>
              <w:pStyle w:val="40"/>
              <w:ind w:firstLine="482"/>
              <w:rPr>
                <w:rFonts w:eastAsiaTheme="minorEastAsia"/>
                <w:b/>
                <w:color w:val="000000" w:themeColor="text1"/>
                <w:szCs w:val="24"/>
              </w:rPr>
            </w:pPr>
            <w:r>
              <w:rPr>
                <w:rFonts w:eastAsiaTheme="minorEastAsia"/>
                <w:b/>
                <w:color w:val="000000" w:themeColor="text1"/>
                <w:szCs w:val="24"/>
              </w:rPr>
              <w:t>4.1.1 施工期废气污染防治措施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项目施工期拟采取的扬尘防治措施主要包括：</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1 \* GB3 </w:instrText>
            </w:r>
            <w:r>
              <w:rPr>
                <w:rFonts w:ascii="Times New Roman" w:hAnsi="Times New Roman" w:cs="Times New Roman"/>
                <w:color w:val="000000" w:themeColor="text1"/>
                <w:sz w:val="24"/>
                <w:szCs w:val="24"/>
              </w:rPr>
              <w:fldChar w:fldCharType="separate"/>
            </w:r>
            <w:r>
              <w:rPr>
                <w:rFonts w:ascii="宋体" w:hAnsi="Times New Roman" w:eastAsia="宋体" w:cs="Times New Roman"/>
                <w:color w:val="000000" w:themeColor="text1"/>
                <w:sz w:val="24"/>
                <w:szCs w:val="24"/>
              </w:rPr>
              <w:t>①</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在施工场地安排员工定期对施工场地洒水以减少扬尘量，若遇到大风或干燥天气可适当增加洒水次数；并采取遮阴网覆盖等措施降低扬尘产生；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2 \* GB3 </w:instrText>
            </w:r>
            <w:r>
              <w:rPr>
                <w:rFonts w:ascii="Times New Roman" w:hAnsi="Times New Roman" w:cs="Times New Roman"/>
                <w:color w:val="000000" w:themeColor="text1"/>
                <w:sz w:val="24"/>
                <w:szCs w:val="24"/>
              </w:rPr>
              <w:fldChar w:fldCharType="separate"/>
            </w:r>
            <w:r>
              <w:rPr>
                <w:rFonts w:ascii="宋体" w:hAnsi="Times New Roman" w:eastAsia="宋体" w:cs="Times New Roman"/>
                <w:color w:val="000000" w:themeColor="text1"/>
                <w:sz w:val="24"/>
                <w:szCs w:val="24"/>
              </w:rPr>
              <w:t>②</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尽量避免在大风天气下进行施工作业。根据同类项目工程经验，4级以上大风天气不宜实施土方施工；</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3 \* GB3 </w:instrText>
            </w:r>
            <w:r>
              <w:rPr>
                <w:rFonts w:ascii="Times New Roman" w:hAnsi="Times New Roman" w:cs="Times New Roman"/>
                <w:color w:val="000000" w:themeColor="text1"/>
                <w:sz w:val="24"/>
                <w:szCs w:val="24"/>
              </w:rPr>
              <w:fldChar w:fldCharType="separate"/>
            </w:r>
            <w:r>
              <w:rPr>
                <w:rFonts w:ascii="宋体" w:hAnsi="Times New Roman" w:eastAsia="宋体" w:cs="Times New Roman"/>
                <w:color w:val="000000" w:themeColor="text1"/>
                <w:sz w:val="24"/>
                <w:szCs w:val="24"/>
              </w:rPr>
              <w:t>③</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加强施工现场运输车辆管理。进出建筑工地的运输车辆必须车身整洁，装载车厢完好，装载货物堆码整齐，不得污染道路；运输车辆严禁带泥上路，严禁超载，渣土及易抛洒材料实行封闭车辆运输，防止建筑材料、垃圾和尘土飞扬、洒落和流溢，在进出施工工地的出入口地面设置湿润的草席，以减轻汽车轮胎行驶携带的扬尘。</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另外，在施工期，建设单位、施工单位和监理单位必须严格执行《昆明市人民政府办公厅关于进一步落实工地扬尘污染防治责任的通知》（昆政办【2018】27号）相关规定，具体如下：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（1）建设单位相关要求</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eastAsia="宋体" w:cs="Times New Roman"/>
                <w:color w:val="000000" w:themeColor="text1"/>
                <w:sz w:val="24"/>
                <w:szCs w:val="24"/>
              </w:rPr>
              <w:t>①</w:t>
            </w:r>
            <w:r>
              <w:rPr>
                <w:rFonts w:ascii="Times New Roman" w:hAnsi="Times New Roman" w:cs="Times New Roman"/>
                <w:color w:val="000000" w:themeColor="text1"/>
                <w:sz w:val="24"/>
                <w:szCs w:val="24"/>
              </w:rPr>
              <w:t>将工地扬尘污染防治的费用列入工程造价，并在施工承包合同中明确施工单位扬尘污染防治责任；认真审查施工单位编制的扬尘污染防治实施方案；在工地现场安排专人负责扬尘污染防治，督促项目施工、监理单位落实《建筑工地扬尘污染防治细化规定》；</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eastAsia="宋体" w:cs="Times New Roman"/>
                <w:color w:val="000000" w:themeColor="text1"/>
                <w:sz w:val="24"/>
                <w:szCs w:val="24"/>
              </w:rPr>
              <w:t>②</w:t>
            </w:r>
            <w:r>
              <w:rPr>
                <w:rFonts w:ascii="Times New Roman" w:hAnsi="Times New Roman" w:cs="Times New Roman"/>
                <w:color w:val="000000" w:themeColor="text1"/>
                <w:sz w:val="24"/>
                <w:szCs w:val="24"/>
              </w:rPr>
              <w:t>督促施工单位按规定做好工地现场PM</w:t>
            </w:r>
            <w:r>
              <w:rPr>
                <w:rFonts w:ascii="Times New Roman" w:hAnsi="Times New Roman" w:cs="Times New Roman"/>
                <w:color w:val="000000" w:themeColor="text1"/>
                <w:sz w:val="24"/>
                <w:szCs w:val="24"/>
                <w:vertAlign w:val="subscript"/>
              </w:rPr>
              <w:t>10</w:t>
            </w:r>
            <w:r>
              <w:rPr>
                <w:rFonts w:ascii="Times New Roman" w:hAnsi="Times New Roman" w:cs="Times New Roman"/>
                <w:color w:val="000000" w:themeColor="text1"/>
                <w:sz w:val="24"/>
                <w:szCs w:val="24"/>
              </w:rPr>
              <w:t>监测、视频监控等扬尘信息化监管设备的安装、使用、维护工作，工地现场PM</w:t>
            </w:r>
            <w:r>
              <w:rPr>
                <w:rFonts w:ascii="Times New Roman" w:hAnsi="Times New Roman" w:cs="Times New Roman"/>
                <w:color w:val="000000" w:themeColor="text1"/>
                <w:sz w:val="24"/>
                <w:szCs w:val="24"/>
                <w:vertAlign w:val="subscript"/>
              </w:rPr>
              <w:t>10</w:t>
            </w:r>
            <w:r>
              <w:rPr>
                <w:rFonts w:ascii="Times New Roman" w:hAnsi="Times New Roman" w:cs="Times New Roman"/>
                <w:color w:val="000000" w:themeColor="text1"/>
                <w:sz w:val="24"/>
                <w:szCs w:val="24"/>
              </w:rPr>
              <w:t>浓度达到规定的临界值时，督促施工单位采取相应的应急措施；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eastAsia="宋体" w:cs="Times New Roman"/>
                <w:color w:val="000000" w:themeColor="text1"/>
                <w:sz w:val="24"/>
                <w:szCs w:val="24"/>
              </w:rPr>
              <w:t>③</w:t>
            </w:r>
            <w:r>
              <w:rPr>
                <w:rFonts w:ascii="Times New Roman" w:hAnsi="Times New Roman" w:cs="Times New Roman"/>
                <w:color w:val="000000" w:themeColor="text1"/>
                <w:sz w:val="24"/>
                <w:szCs w:val="24"/>
              </w:rPr>
              <w:t>配合管理部门，督促项目施工、监理等单位做好渣土车等工程运输车辆扬尘污染防治的工地源头管理工作。</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（2）施工单位相关要求</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eastAsia="宋体" w:cs="Times New Roman"/>
                <w:color w:val="000000" w:themeColor="text1"/>
                <w:sz w:val="24"/>
                <w:szCs w:val="24"/>
              </w:rPr>
              <w:t>①</w:t>
            </w:r>
            <w:r>
              <w:rPr>
                <w:rFonts w:ascii="Times New Roman" w:hAnsi="Times New Roman" w:cs="Times New Roman"/>
                <w:color w:val="000000" w:themeColor="text1"/>
                <w:sz w:val="24"/>
                <w:szCs w:val="24"/>
              </w:rPr>
              <w:t>施工单位必须设立建筑工地扬尘污染防治专门工作机构，层层落实工作责任，工地现场必须有专人负责扬尘污染防治工作、专人负责台帐管理；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eastAsia="宋体" w:cs="Times New Roman"/>
                <w:color w:val="000000" w:themeColor="text1"/>
                <w:sz w:val="24"/>
                <w:szCs w:val="24"/>
              </w:rPr>
              <w:t>②</w:t>
            </w:r>
            <w:r>
              <w:rPr>
                <w:rFonts w:ascii="Times New Roman" w:hAnsi="Times New Roman" w:cs="Times New Roman"/>
                <w:color w:val="000000" w:themeColor="text1"/>
                <w:sz w:val="24"/>
                <w:szCs w:val="24"/>
              </w:rPr>
              <w:t>按照《建筑工地扬尘污染防治细化规定》要求，开工前必须编制扬尘污染防治实施方案，报建设单位和监理单位审核通过后，在项目施工全过程严格实施。确保建筑工地扬尘污染防治专项经费专款专用；</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eastAsia="宋体" w:cs="Times New Roman"/>
                <w:color w:val="000000" w:themeColor="text1"/>
                <w:sz w:val="24"/>
                <w:szCs w:val="24"/>
              </w:rPr>
              <w:t>③</w:t>
            </w:r>
            <w:r>
              <w:rPr>
                <w:rFonts w:ascii="Times New Roman" w:hAnsi="Times New Roman" w:cs="Times New Roman"/>
                <w:color w:val="000000" w:themeColor="text1"/>
                <w:sz w:val="24"/>
                <w:szCs w:val="24"/>
              </w:rPr>
              <w:t>按规定做好工地现场PM</w:t>
            </w:r>
            <w:r>
              <w:rPr>
                <w:rFonts w:ascii="Times New Roman" w:hAnsi="Times New Roman" w:cs="Times New Roman"/>
                <w:color w:val="000000" w:themeColor="text1"/>
                <w:sz w:val="24"/>
                <w:szCs w:val="24"/>
                <w:vertAlign w:val="subscript"/>
              </w:rPr>
              <w:t>10</w:t>
            </w:r>
            <w:r>
              <w:rPr>
                <w:rFonts w:ascii="Times New Roman" w:hAnsi="Times New Roman" w:cs="Times New Roman"/>
                <w:color w:val="000000" w:themeColor="text1"/>
                <w:sz w:val="24"/>
                <w:szCs w:val="24"/>
              </w:rPr>
              <w:t>监测、视频监控等扬尘信息化监管设备的安装、使用、维护工作，现场PM</w:t>
            </w:r>
            <w:r>
              <w:rPr>
                <w:rFonts w:ascii="Times New Roman" w:hAnsi="Times New Roman" w:cs="Times New Roman"/>
                <w:color w:val="000000" w:themeColor="text1"/>
                <w:sz w:val="24"/>
                <w:szCs w:val="24"/>
                <w:vertAlign w:val="subscript"/>
              </w:rPr>
              <w:t>10</w:t>
            </w:r>
            <w:r>
              <w:rPr>
                <w:rFonts w:ascii="Times New Roman" w:hAnsi="Times New Roman" w:cs="Times New Roman"/>
                <w:color w:val="000000" w:themeColor="text1"/>
                <w:sz w:val="24"/>
                <w:szCs w:val="24"/>
              </w:rPr>
              <w:t>浓度超过60时，立即采取洒水抑尘+喷雾降尘等综合降尘措施，12h平均PM</w:t>
            </w:r>
            <w:r>
              <w:rPr>
                <w:rFonts w:ascii="Times New Roman" w:hAnsi="Times New Roman" w:cs="Times New Roman"/>
                <w:color w:val="000000" w:themeColor="text1"/>
                <w:sz w:val="24"/>
                <w:szCs w:val="24"/>
                <w:vertAlign w:val="subscript"/>
              </w:rPr>
              <w:t>10</w:t>
            </w:r>
            <w:r>
              <w:rPr>
                <w:rFonts w:ascii="Times New Roman" w:hAnsi="Times New Roman" w:cs="Times New Roman"/>
                <w:color w:val="000000" w:themeColor="text1"/>
                <w:sz w:val="24"/>
                <w:szCs w:val="24"/>
              </w:rPr>
              <w:t>浓度超过100时，必须停工整改、加强综合降尘措施；</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④</w:t>
            </w:r>
            <w:r>
              <w:rPr>
                <w:rFonts w:ascii="Times New Roman" w:hAnsi="Times New Roman" w:cs="Times New Roman"/>
                <w:color w:val="000000" w:themeColor="text1"/>
                <w:sz w:val="24"/>
                <w:szCs w:val="24"/>
              </w:rPr>
              <w:t>施工全过程，一是坚持每天自检自查，各项扬尘污染防治措施必须落实到位，特别是洒水、喷淋降尘和渣土、裸露地面的全苫盖；二是每天24小时对进出工地的渣土车等工程车辆进行检查、登记，规范使用“三池一设备”，未清洗干净的车辆，未按规定密闭容易产生泼洒、滴漏的渣运车辆，不得驶出工地现场。发现渣土车违法违规行为及时上报城管综合执法部门和项目监督机构；三是依法依规开展渣土外运作业，对项目渣土外运全过程负责；</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⑤</w:t>
            </w:r>
            <w:r>
              <w:rPr>
                <w:rFonts w:ascii="Times New Roman" w:hAnsi="Times New Roman" w:cs="Times New Roman"/>
                <w:color w:val="000000" w:themeColor="text1"/>
                <w:sz w:val="24"/>
                <w:szCs w:val="24"/>
              </w:rPr>
              <w:t>必须服从各级政府及相关管理部门的管理，被责令整改的工地，必须按要求认真、及时、全面的进行整改；被责令停工的工地，非经同意，严禁复工。</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（3）监理单位</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①</w:t>
            </w:r>
            <w:r>
              <w:rPr>
                <w:rFonts w:ascii="Times New Roman" w:hAnsi="Times New Roman" w:cs="Times New Roman"/>
                <w:color w:val="000000" w:themeColor="text1"/>
                <w:sz w:val="24"/>
                <w:szCs w:val="24"/>
              </w:rPr>
              <w:t>在监理规划、监理实施细则中建立完善的建筑工地扬尘污染防治监理制度、台帐管理制度并严格按要求开展监理工作；</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②</w:t>
            </w:r>
            <w:r>
              <w:rPr>
                <w:rFonts w:ascii="Times New Roman" w:hAnsi="Times New Roman" w:cs="Times New Roman"/>
                <w:color w:val="000000" w:themeColor="text1"/>
                <w:sz w:val="24"/>
                <w:szCs w:val="24"/>
              </w:rPr>
              <w:t>认真审查施工单位编制的文明施工、扬尘污染防治实施方案，并在施工全过程监督施工单位认真履行工地扬尘污染防治主体责任；</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③</w:t>
            </w:r>
            <w:r>
              <w:rPr>
                <w:rFonts w:ascii="Times New Roman" w:hAnsi="Times New Roman" w:cs="Times New Roman"/>
                <w:color w:val="000000" w:themeColor="text1"/>
                <w:sz w:val="24"/>
                <w:szCs w:val="24"/>
              </w:rPr>
              <w:t>监督施工单位做好工地现场PM</w:t>
            </w:r>
            <w:r>
              <w:rPr>
                <w:rFonts w:ascii="Times New Roman" w:hAnsi="Times New Roman" w:cs="Times New Roman"/>
                <w:color w:val="000000" w:themeColor="text1"/>
                <w:sz w:val="24"/>
                <w:szCs w:val="24"/>
                <w:vertAlign w:val="subscript"/>
              </w:rPr>
              <w:t>10</w:t>
            </w:r>
            <w:r>
              <w:rPr>
                <w:rFonts w:ascii="Times New Roman" w:hAnsi="Times New Roman" w:cs="Times New Roman"/>
                <w:color w:val="000000" w:themeColor="text1"/>
                <w:sz w:val="24"/>
                <w:szCs w:val="24"/>
              </w:rPr>
              <w:t>监测、视频监控等扬尘信息化监管设备的安装、使用、维护工作，现场PM</w:t>
            </w:r>
            <w:r>
              <w:rPr>
                <w:rFonts w:ascii="Times New Roman" w:hAnsi="Times New Roman" w:cs="Times New Roman"/>
                <w:color w:val="000000" w:themeColor="text1"/>
                <w:sz w:val="24"/>
                <w:szCs w:val="24"/>
                <w:vertAlign w:val="subscript"/>
              </w:rPr>
              <w:t>10</w:t>
            </w:r>
            <w:r>
              <w:rPr>
                <w:rFonts w:ascii="Times New Roman" w:hAnsi="Times New Roman" w:cs="Times New Roman"/>
                <w:color w:val="000000" w:themeColor="text1"/>
                <w:sz w:val="24"/>
                <w:szCs w:val="24"/>
              </w:rPr>
              <w:t>浓度超过临界值时，督促施工单位及时采取应急措施；</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④</w:t>
            </w:r>
            <w:r>
              <w:rPr>
                <w:rFonts w:ascii="Times New Roman" w:hAnsi="Times New Roman" w:cs="Times New Roman"/>
                <w:color w:val="000000" w:themeColor="text1"/>
                <w:sz w:val="24"/>
                <w:szCs w:val="24"/>
              </w:rPr>
              <w:t>安排专门监理人员，每天对施工单位落实苫盖和洒水喷淋降尘措施进行监理，参照“旁站监理”模式，每天对施工单位工程车辆监管、规范使用“三池一设备”情况进行监理，形成台帐；</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⑤</w:t>
            </w:r>
            <w:r>
              <w:rPr>
                <w:rFonts w:ascii="Times New Roman" w:hAnsi="Times New Roman" w:cs="Times New Roman"/>
                <w:color w:val="000000" w:themeColor="text1"/>
                <w:sz w:val="24"/>
                <w:szCs w:val="24"/>
              </w:rPr>
              <w:t>对施工单位扬尘污染防治工作不到位的，予以责令整改，拒不整改或整改不到位的及时上报建设单位和项目监督机构。</w:t>
            </w:r>
          </w:p>
          <w:p>
            <w:pPr>
              <w:pStyle w:val="40"/>
              <w:ind w:firstLine="482"/>
              <w:rPr>
                <w:rFonts w:eastAsiaTheme="minorEastAsia"/>
                <w:b/>
                <w:color w:val="000000" w:themeColor="text1"/>
                <w:szCs w:val="24"/>
              </w:rPr>
            </w:pPr>
            <w:r>
              <w:rPr>
                <w:rFonts w:eastAsiaTheme="minorEastAsia"/>
                <w:b/>
                <w:color w:val="000000" w:themeColor="text1"/>
                <w:szCs w:val="24"/>
              </w:rPr>
              <w:t>4.1.2 施工期废水污染防治措施</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①</w:t>
            </w:r>
            <w:r>
              <w:rPr>
                <w:rFonts w:ascii="Times New Roman" w:hAnsi="Times New Roman" w:cs="Times New Roman"/>
                <w:color w:val="000000" w:themeColor="text1"/>
                <w:sz w:val="24"/>
                <w:szCs w:val="24"/>
              </w:rPr>
              <w:t>施工期施工人员不在项目区食宿，生活污水仅为洗手污水，施工废水和施工生活污水通过施工场地的临时沉淀池沉淀处理后，回用于施工场地洒水抑尘，不外排。</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②</w:t>
            </w:r>
            <w:r>
              <w:rPr>
                <w:rFonts w:ascii="Times New Roman" w:hAnsi="Times New Roman" w:cs="Times New Roman"/>
                <w:color w:val="000000" w:themeColor="text1"/>
                <w:sz w:val="24"/>
                <w:szCs w:val="24"/>
              </w:rPr>
              <w:t>项目在雨季施工时容易造成局部水土流失，施工场地雨天产生的地表径流与施工期间天气状况有较大的关系，难以定量分析。该部分废水含有泥沙，直接外排会使周围水体的悬浮物含量增加，甚至还会阻塞排水管网。针对施工地表径流，拟采取措施如下：施工期应按在施工场地内设置临时截洪沟，引排施工场地雨天产生的地表径流水，施工场地地表径流经施工废水沉淀池沉淀后回用，可减少径流水对项目区域地表水体水质的污染。</w:t>
            </w:r>
          </w:p>
          <w:p>
            <w:pPr>
              <w:pStyle w:val="40"/>
              <w:ind w:firstLine="482"/>
              <w:rPr>
                <w:rFonts w:eastAsiaTheme="minorEastAsia"/>
                <w:b/>
                <w:color w:val="000000" w:themeColor="text1"/>
                <w:szCs w:val="24"/>
              </w:rPr>
            </w:pPr>
            <w:r>
              <w:rPr>
                <w:rFonts w:eastAsiaTheme="minorEastAsia"/>
                <w:b/>
                <w:color w:val="000000" w:themeColor="text1"/>
                <w:szCs w:val="24"/>
              </w:rPr>
              <w:t>4.1.3 施工期噪声污染防治措施</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①</w:t>
            </w:r>
            <w:r>
              <w:rPr>
                <w:rFonts w:ascii="Times New Roman" w:hAnsi="Times New Roman" w:cs="Times New Roman"/>
                <w:color w:val="000000" w:themeColor="text1"/>
                <w:sz w:val="24"/>
                <w:szCs w:val="24"/>
              </w:rPr>
              <w:t>加强施工期的操作规范；</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②</w:t>
            </w:r>
            <w:r>
              <w:rPr>
                <w:rFonts w:ascii="Times New Roman" w:hAnsi="Times New Roman" w:cs="Times New Roman"/>
                <w:color w:val="000000" w:themeColor="text1"/>
                <w:sz w:val="24"/>
                <w:szCs w:val="24"/>
              </w:rPr>
              <w:t>运输车辆进出施工场地时应控制车速，禁止鸣笛，减少车辆在施工场地的停留时间，减小运输噪声对环境的影响；</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③</w:t>
            </w:r>
            <w:r>
              <w:rPr>
                <w:rFonts w:ascii="Times New Roman" w:hAnsi="Times New Roman" w:cs="Times New Roman"/>
                <w:color w:val="000000" w:themeColor="text1"/>
                <w:sz w:val="24"/>
                <w:szCs w:val="24"/>
              </w:rPr>
              <w:t>加强与周围居民的沟通，避免扰民事件发生。</w:t>
            </w:r>
          </w:p>
          <w:p>
            <w:pPr>
              <w:pStyle w:val="40"/>
              <w:ind w:firstLine="482"/>
              <w:rPr>
                <w:rFonts w:eastAsiaTheme="minorEastAsia"/>
                <w:b/>
                <w:color w:val="000000" w:themeColor="text1"/>
                <w:szCs w:val="24"/>
              </w:rPr>
            </w:pPr>
            <w:r>
              <w:rPr>
                <w:rFonts w:eastAsiaTheme="minorEastAsia"/>
                <w:b/>
                <w:color w:val="000000" w:themeColor="text1"/>
                <w:szCs w:val="24"/>
              </w:rPr>
              <w:t>4.1.4 施工期固体废物污染防治措施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项目施工期产生的固体废弃物主要包括建筑垃圾、废土石方和施工人员产生的生活垃圾。主要采取的施工固废防治措施如下：</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①</w:t>
            </w:r>
            <w:r>
              <w:rPr>
                <w:rFonts w:ascii="Times New Roman" w:hAnsi="Times New Roman" w:cs="Times New Roman"/>
                <w:color w:val="000000" w:themeColor="text1"/>
                <w:sz w:val="24"/>
                <w:szCs w:val="24"/>
              </w:rPr>
              <w:t>建设垃圾包括混凝土块、废木材、废钢材等，严格按照园区的要求，对其进行分类收集，其中废钢材收集后外售废品收购站，其他不能回收部分运至管理部门指定地点进行合理处置。</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②</w:t>
            </w:r>
            <w:r>
              <w:rPr>
                <w:rFonts w:ascii="Times New Roman" w:hAnsi="Times New Roman" w:cs="Times New Roman"/>
                <w:color w:val="000000" w:themeColor="text1"/>
                <w:sz w:val="24"/>
                <w:szCs w:val="24"/>
              </w:rPr>
              <w:t>产生的少量废土石方直接用于场地低洼处平整。</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③</w:t>
            </w:r>
            <w:r>
              <w:rPr>
                <w:rFonts w:ascii="Times New Roman" w:hAnsi="Times New Roman" w:cs="Times New Roman"/>
                <w:color w:val="000000" w:themeColor="text1"/>
                <w:sz w:val="24"/>
                <w:szCs w:val="24"/>
              </w:rPr>
              <w:t>生活垃圾委托环卫部门清运处置。</w:t>
            </w:r>
          </w:p>
          <w:p>
            <w:pPr>
              <w:pStyle w:val="40"/>
              <w:ind w:firstLine="482"/>
              <w:rPr>
                <w:rFonts w:eastAsiaTheme="minorEastAsia"/>
                <w:b/>
                <w:color w:val="000000" w:themeColor="text1"/>
                <w:szCs w:val="24"/>
              </w:rPr>
            </w:pPr>
            <w:r>
              <w:rPr>
                <w:rFonts w:eastAsiaTheme="minorEastAsia"/>
                <w:b/>
                <w:color w:val="000000" w:themeColor="text1"/>
                <w:szCs w:val="24"/>
              </w:rPr>
              <w:t>4.1.5 施工期生态环境影响防治措施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该项目位于昆明市东川区因民镇牛厂坪村，该项目购买原昆明东川众誉矿业有限责任公司砂厂范围内建设，因此施工期对生态环境影响较小。</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运营期环境影响和保护措施</w:t>
            </w:r>
          </w:p>
        </w:tc>
        <w:tc>
          <w:tcPr>
            <w:tcW w:w="8831" w:type="dxa"/>
            <w:vAlign w:val="center"/>
          </w:tcPr>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 运营期环境影响和保护措施</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4.2.1 运营期废气环境影响和保护措施</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（1）废气污染源强核算</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w:instrText>
            </w:r>
            <w:r>
              <w:rPr>
                <w:rFonts w:hint="eastAsia" w:ascii="Times New Roman" w:hAnsi="Times New Roman" w:cs="Times New Roman"/>
                <w:b/>
                <w:color w:val="000000" w:themeColor="text1"/>
                <w:sz w:val="24"/>
                <w:szCs w:val="24"/>
              </w:rPr>
              <w:instrText xml:space="preserve">= 1 \* GB4</w:instrText>
            </w:r>
            <w:r>
              <w:rPr>
                <w:rFonts w:ascii="Times New Roman" w:hAnsi="Times New Roman" w:cs="Times New Roman"/>
                <w:b/>
                <w:color w:val="000000" w:themeColor="text1"/>
                <w:sz w:val="24"/>
                <w:szCs w:val="24"/>
              </w:rPr>
              <w:instrText xml:space="preserve">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㈠</w:t>
            </w:r>
            <w:r>
              <w:rPr>
                <w:rFonts w:ascii="Times New Roman" w:hAnsi="Times New Roman" w:cs="Times New Roman"/>
                <w:b/>
                <w:color w:val="000000" w:themeColor="text1"/>
                <w:sz w:val="24"/>
                <w:szCs w:val="24"/>
              </w:rPr>
              <w:fldChar w:fldCharType="end"/>
            </w:r>
            <w:r>
              <w:rPr>
                <w:rFonts w:hint="eastAsia" w:ascii="Times New Roman" w:hAnsi="Times New Roman" w:cs="Times New Roman"/>
                <w:b/>
                <w:color w:val="000000" w:themeColor="text1"/>
                <w:sz w:val="24"/>
                <w:szCs w:val="24"/>
              </w:rPr>
              <w:t>一期工程</w:t>
            </w:r>
            <w:r>
              <w:rPr>
                <w:rFonts w:ascii="Times New Roman" w:hAnsi="Times New Roman" w:cs="Times New Roman"/>
                <w:b/>
                <w:color w:val="000000" w:themeColor="text1"/>
                <w:sz w:val="24"/>
                <w:szCs w:val="24"/>
              </w:rPr>
              <w:t>废气污染源强核算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w:t>
            </w: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建设内容及生产工艺，项目</w:t>
            </w: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废气主要包括砂石骨料生产线堆场扬尘、装卸扬尘、皮带输送过程扬尘和破碎筛分粉尘。具体产排情况核算如下：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①堆场扬尘</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根据项目工程内容，项目</w:t>
            </w: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分别设置了</w:t>
            </w:r>
            <w:r>
              <w:rPr>
                <w:rFonts w:hint="eastAsia"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个废石堆场和1个产品堆场（含1#料场、2#料场和3#料场），堆场扬尘</w:t>
            </w:r>
            <w:r>
              <w:rPr>
                <w:rFonts w:hint="eastAsia" w:ascii="Times New Roman" w:hAnsi="Times New Roman" w:cs="Times New Roman"/>
                <w:color w:val="000000" w:themeColor="text1"/>
                <w:sz w:val="24"/>
                <w:szCs w:val="24"/>
              </w:rPr>
              <w:t>包括</w:t>
            </w:r>
            <w:r>
              <w:rPr>
                <w:rFonts w:ascii="Times New Roman" w:hAnsi="Times New Roman" w:cs="Times New Roman"/>
                <w:color w:val="000000" w:themeColor="text1"/>
                <w:sz w:val="24"/>
                <w:szCs w:val="24"/>
              </w:rPr>
              <w:t>废石堆场扬尘和产品堆场扬尘，具体如下：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1 \* GB2 </w:instrText>
            </w:r>
            <w:r>
              <w:rPr>
                <w:rFonts w:ascii="Times New Roman" w:hAnsi="Times New Roman" w:cs="Times New Roman"/>
                <w:b/>
                <w:color w:val="000000" w:themeColor="text1"/>
                <w:sz w:val="24"/>
                <w:szCs w:val="24"/>
              </w:rPr>
              <w:fldChar w:fldCharType="separate"/>
            </w:r>
            <w:r>
              <w:rPr>
                <w:rFonts w:ascii="宋体" w:hAnsi="Times New Roman" w:eastAsia="宋体" w:cs="Times New Roman"/>
                <w:b/>
                <w:color w:val="000000" w:themeColor="text1"/>
                <w:sz w:val="24"/>
                <w:szCs w:val="24"/>
              </w:rPr>
              <w:t>⑴</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废石堆场扬尘</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w:t>
            </w: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工程内容，项目设置了</w:t>
            </w:r>
            <w:r>
              <w:rPr>
                <w:rFonts w:hint="eastAsia"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个废石堆场，废石在废石堆场堆存过程中会有一定量的扬尘产生，其扬尘产生量受风速、水分含量等多种因素的影响。</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本环评采用西安冶金建筑学院的石块、砂料起尘量推荐公式进行计算，公示如下：</w:t>
            </w:r>
          </w:p>
          <w:p>
            <w:pPr>
              <w:spacing w:line="360" w:lineRule="auto"/>
              <w:ind w:firstLine="480" w:firstLineChars="200"/>
              <w:rPr>
                <w:rFonts w:ascii="Times New Roman" w:hAnsi="Times New Roman" w:cs="Times New Roman"/>
                <w:color w:val="000000" w:themeColor="text1"/>
                <w:sz w:val="24"/>
                <w:szCs w:val="24"/>
              </w:rPr>
            </w:pPr>
            <m:oMathPara>
              <m:oMath>
                <m:r>
                  <m:rPr>
                    <m:sty m:val="p"/>
                  </m:rPr>
                  <w:rPr>
                    <w:rFonts w:ascii="Cambria Math" w:hAnsi="Times New Roman" w:cs="Times New Roman"/>
                    <w:color w:val="000000" w:themeColor="text1"/>
                    <w:sz w:val="24"/>
                    <w:szCs w:val="24"/>
                  </w:rPr>
                  <m:t>Q</m:t>
                </m:r>
                <m:sSup>
                  <m:sSupPr>
                    <m:ctrlPr>
                      <w:rPr>
                        <w:rFonts w:ascii="Cambria Math" w:hAnsi="Times New Roman" w:cs="Times New Roman"/>
                        <w:color w:val="000000" w:themeColor="text1"/>
                        <w:sz w:val="24"/>
                        <w:szCs w:val="24"/>
                      </w:rPr>
                    </m:ctrlPr>
                  </m:sSupPr>
                  <m:e>
                    <m:r>
                      <m:rPr>
                        <m:sty m:val="p"/>
                      </m:rPr>
                      <w:rPr>
                        <w:rFonts w:ascii="Cambria Math" w:hAnsi="Times New Roman" w:cs="Times New Roman"/>
                        <w:color w:val="000000" w:themeColor="text1"/>
                        <w:sz w:val="24"/>
                        <w:szCs w:val="24"/>
                      </w:rPr>
                      <m:t>=4.23×10</m:t>
                    </m:r>
                    <m:ctrlPr>
                      <w:rPr>
                        <w:rFonts w:ascii="Cambria Math" w:hAnsi="Times New Roman" w:cs="Times New Roman"/>
                        <w:color w:val="000000" w:themeColor="text1"/>
                        <w:sz w:val="24"/>
                        <w:szCs w:val="24"/>
                      </w:rPr>
                    </m:ctrlPr>
                  </m:e>
                  <m:sup>
                    <m:r>
                      <m:rPr>
                        <m:sty m:val="p"/>
                      </m:rPr>
                      <w:rPr>
                        <w:rFonts w:ascii="Times New Roman" w:hAnsi="Times New Roman" w:cs="Times New Roman"/>
                        <w:color w:val="000000" w:themeColor="text1"/>
                        <w:sz w:val="24"/>
                        <w:szCs w:val="24"/>
                      </w:rPr>
                      <m:t>−</m:t>
                    </m:r>
                    <m:r>
                      <m:rPr>
                        <m:sty m:val="p"/>
                      </m:rPr>
                      <w:rPr>
                        <w:rFonts w:ascii="Cambria Math" w:hAnsi="Times New Roman" w:cs="Times New Roman"/>
                        <w:color w:val="000000" w:themeColor="text1"/>
                        <w:sz w:val="24"/>
                        <w:szCs w:val="24"/>
                      </w:rPr>
                      <m:t>4</m:t>
                    </m:r>
                    <m:ctrlPr>
                      <w:rPr>
                        <w:rFonts w:ascii="Cambria Math" w:hAnsi="Times New Roman" w:cs="Times New Roman"/>
                        <w:color w:val="000000" w:themeColor="text1"/>
                        <w:sz w:val="24"/>
                        <w:szCs w:val="24"/>
                      </w:rPr>
                    </m:ctrlPr>
                  </m:sup>
                </m:sSup>
                <m:r>
                  <m:rPr>
                    <m:sty m:val="p"/>
                  </m:rPr>
                  <w:rPr>
                    <w:rFonts w:ascii="Times New Roman" w:hAnsi="Times New Roman" w:cs="Times New Roman"/>
                    <w:color w:val="000000" w:themeColor="text1"/>
                    <w:sz w:val="24"/>
                    <w:szCs w:val="24"/>
                  </w:rPr>
                  <m:t>×</m:t>
                </m:r>
                <m:sSup>
                  <m:sSupPr>
                    <m:ctrlPr>
                      <w:rPr>
                        <w:rFonts w:ascii="Cambria Math" w:hAnsi="Times New Roman" w:cs="Times New Roman"/>
                        <w:color w:val="000000" w:themeColor="text1"/>
                        <w:sz w:val="24"/>
                        <w:szCs w:val="24"/>
                      </w:rPr>
                    </m:ctrlPr>
                  </m:sSupPr>
                  <m:e>
                    <m:r>
                      <m:rPr>
                        <m:sty m:val="p"/>
                      </m:rPr>
                      <w:rPr>
                        <w:rFonts w:ascii="Cambria Math" w:hAnsi="Times New Roman" w:cs="Times New Roman"/>
                        <w:color w:val="000000" w:themeColor="text1"/>
                        <w:sz w:val="24"/>
                        <w:szCs w:val="24"/>
                      </w:rPr>
                      <m:t>V</m:t>
                    </m:r>
                    <m:ctrlPr>
                      <w:rPr>
                        <w:rFonts w:ascii="Cambria Math" w:hAnsi="Times New Roman" w:cs="Times New Roman"/>
                        <w:color w:val="000000" w:themeColor="text1"/>
                        <w:sz w:val="24"/>
                        <w:szCs w:val="24"/>
                      </w:rPr>
                    </m:ctrlPr>
                  </m:e>
                  <m:sup>
                    <m:r>
                      <m:rPr>
                        <m:sty m:val="p"/>
                      </m:rPr>
                      <w:rPr>
                        <w:rFonts w:ascii="Cambria Math" w:hAnsi="Times New Roman" w:cs="Times New Roman"/>
                        <w:color w:val="000000" w:themeColor="text1"/>
                        <w:sz w:val="24"/>
                        <w:szCs w:val="24"/>
                      </w:rPr>
                      <m:t>4.9</m:t>
                    </m:r>
                    <m:ctrlPr>
                      <w:rPr>
                        <w:rFonts w:ascii="Cambria Math" w:hAnsi="Times New Roman" w:cs="Times New Roman"/>
                        <w:color w:val="000000" w:themeColor="text1"/>
                        <w:sz w:val="24"/>
                        <w:szCs w:val="24"/>
                      </w:rPr>
                    </m:ctrlPr>
                  </m:sup>
                </m:sSup>
                <m:r>
                  <m:rPr>
                    <m:sty m:val="p"/>
                  </m:rPr>
                  <w:rPr>
                    <w:rFonts w:ascii="Times New Roman" w:hAnsi="Times New Roman" w:cs="Times New Roman"/>
                    <w:color w:val="000000" w:themeColor="text1"/>
                    <w:sz w:val="24"/>
                    <w:szCs w:val="24"/>
                  </w:rPr>
                  <m:t>×</m:t>
                </m:r>
                <m:r>
                  <m:rPr>
                    <m:sty m:val="p"/>
                  </m:rPr>
                  <w:rPr>
                    <w:rFonts w:ascii="Cambria Math" w:hAnsi="Times New Roman" w:cs="Times New Roman"/>
                    <w:color w:val="000000" w:themeColor="text1"/>
                    <w:sz w:val="24"/>
                    <w:szCs w:val="24"/>
                  </w:rPr>
                  <m:t>S</m:t>
                </m:r>
              </m:oMath>
            </m:oMathPara>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式中：Q--起尘量，（mg/s）</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V--当地风速，（m/s）</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S--堆场面积，（m²）</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根据设计，项目拟设置的废石堆场建筑面积约为500m²</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当地平均风速约为3.4m/s；经计算，该项目废石堆场扬尘产生量约为</w:t>
            </w:r>
            <w:r>
              <w:rPr>
                <w:rFonts w:hint="eastAsia" w:ascii="Times New Roman" w:hAnsi="Times New Roman" w:cs="Times New Roman"/>
                <w:color w:val="000000" w:themeColor="text1"/>
                <w:sz w:val="24"/>
                <w:szCs w:val="24"/>
              </w:rPr>
              <w:t>2.20</w:t>
            </w:r>
            <w:r>
              <w:rPr>
                <w:rFonts w:ascii="Times New Roman" w:hAnsi="Times New Roman" w:cs="Times New Roman"/>
                <w:color w:val="000000" w:themeColor="text1"/>
                <w:sz w:val="24"/>
                <w:szCs w:val="24"/>
              </w:rPr>
              <w:t>t/a；为了降低堆场的扬尘，对废石堆场除车辆进出区域，其他区域均设置不低于物料堆存高度围挡和顶棚，其扬尘抑制率约为80%，则废石堆场堆存扬尘排放量为</w:t>
            </w:r>
            <w:r>
              <w:rPr>
                <w:rFonts w:hint="eastAsia" w:ascii="Times New Roman" w:hAnsi="Times New Roman" w:cs="Times New Roman"/>
                <w:color w:val="000000" w:themeColor="text1"/>
                <w:sz w:val="24"/>
                <w:szCs w:val="24"/>
              </w:rPr>
              <w:t>0.44</w:t>
            </w:r>
            <w:r>
              <w:rPr>
                <w:rFonts w:ascii="Times New Roman" w:hAnsi="Times New Roman" w:cs="Times New Roman"/>
                <w:color w:val="000000" w:themeColor="text1"/>
                <w:sz w:val="24"/>
                <w:szCs w:val="24"/>
              </w:rPr>
              <w:t>t/a；为无组织排放。</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2 \* GB2 </w:instrText>
            </w:r>
            <w:r>
              <w:rPr>
                <w:rFonts w:ascii="Times New Roman" w:hAnsi="Times New Roman" w:cs="Times New Roman"/>
                <w:b/>
                <w:color w:val="000000" w:themeColor="text1"/>
                <w:sz w:val="24"/>
                <w:szCs w:val="24"/>
              </w:rPr>
              <w:fldChar w:fldCharType="separate"/>
            </w:r>
            <w:r>
              <w:rPr>
                <w:rFonts w:ascii="宋体" w:hAnsi="Times New Roman" w:eastAsia="宋体" w:cs="Times New Roman"/>
                <w:b/>
                <w:color w:val="000000" w:themeColor="text1"/>
                <w:sz w:val="24"/>
                <w:szCs w:val="24"/>
              </w:rPr>
              <w:t>⑵</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产品堆场扬尘</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w:t>
            </w: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工程内容，项目设置了1个产品堆场（含1#料场、2#料场和3#料场），砂石骨料在产品堆场堆存过程中会有一定量的扬尘产生，其扬尘产生量受风速、水分含量等多种因素的影响。</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本环评采用西安冶金建筑学院的石块、砂料起尘量推荐公式进行计算，公示如下：</w:t>
            </w:r>
          </w:p>
          <w:p>
            <w:pPr>
              <w:spacing w:line="360" w:lineRule="auto"/>
              <w:ind w:firstLine="480" w:firstLineChars="200"/>
              <w:rPr>
                <w:rFonts w:ascii="Times New Roman" w:hAnsi="Times New Roman" w:cs="Times New Roman"/>
                <w:color w:val="000000" w:themeColor="text1"/>
                <w:sz w:val="24"/>
                <w:szCs w:val="24"/>
              </w:rPr>
            </w:pPr>
            <m:oMathPara>
              <m:oMath>
                <m:r>
                  <m:rPr>
                    <m:sty m:val="p"/>
                  </m:rPr>
                  <w:rPr>
                    <w:rFonts w:ascii="Cambria Math" w:hAnsi="Times New Roman" w:cs="Times New Roman"/>
                    <w:color w:val="000000" w:themeColor="text1"/>
                    <w:sz w:val="24"/>
                    <w:szCs w:val="24"/>
                  </w:rPr>
                  <m:t>Q</m:t>
                </m:r>
                <m:sSup>
                  <m:sSupPr>
                    <m:ctrlPr>
                      <w:rPr>
                        <w:rFonts w:ascii="Cambria Math" w:hAnsi="Times New Roman" w:cs="Times New Roman"/>
                        <w:color w:val="000000" w:themeColor="text1"/>
                        <w:sz w:val="24"/>
                        <w:szCs w:val="24"/>
                      </w:rPr>
                    </m:ctrlPr>
                  </m:sSupPr>
                  <m:e>
                    <m:r>
                      <m:rPr>
                        <m:sty m:val="p"/>
                      </m:rPr>
                      <w:rPr>
                        <w:rFonts w:ascii="Cambria Math" w:hAnsi="Times New Roman" w:cs="Times New Roman"/>
                        <w:color w:val="000000" w:themeColor="text1"/>
                        <w:sz w:val="24"/>
                        <w:szCs w:val="24"/>
                      </w:rPr>
                      <m:t>=4.23×10</m:t>
                    </m:r>
                    <m:ctrlPr>
                      <w:rPr>
                        <w:rFonts w:ascii="Cambria Math" w:hAnsi="Times New Roman" w:cs="Times New Roman"/>
                        <w:color w:val="000000" w:themeColor="text1"/>
                        <w:sz w:val="24"/>
                        <w:szCs w:val="24"/>
                      </w:rPr>
                    </m:ctrlPr>
                  </m:e>
                  <m:sup>
                    <m:r>
                      <m:rPr>
                        <m:sty m:val="p"/>
                      </m:rPr>
                      <w:rPr>
                        <w:rFonts w:ascii="Times New Roman" w:hAnsi="Times New Roman" w:cs="Times New Roman"/>
                        <w:color w:val="000000" w:themeColor="text1"/>
                        <w:sz w:val="24"/>
                        <w:szCs w:val="24"/>
                      </w:rPr>
                      <m:t>−</m:t>
                    </m:r>
                    <m:r>
                      <m:rPr>
                        <m:sty m:val="p"/>
                      </m:rPr>
                      <w:rPr>
                        <w:rFonts w:ascii="Cambria Math" w:hAnsi="Times New Roman" w:cs="Times New Roman"/>
                        <w:color w:val="000000" w:themeColor="text1"/>
                        <w:sz w:val="24"/>
                        <w:szCs w:val="24"/>
                      </w:rPr>
                      <m:t>4</m:t>
                    </m:r>
                    <m:ctrlPr>
                      <w:rPr>
                        <w:rFonts w:ascii="Cambria Math" w:hAnsi="Times New Roman" w:cs="Times New Roman"/>
                        <w:color w:val="000000" w:themeColor="text1"/>
                        <w:sz w:val="24"/>
                        <w:szCs w:val="24"/>
                      </w:rPr>
                    </m:ctrlPr>
                  </m:sup>
                </m:sSup>
                <m:r>
                  <m:rPr>
                    <m:sty m:val="p"/>
                  </m:rPr>
                  <w:rPr>
                    <w:rFonts w:ascii="Times New Roman" w:hAnsi="Times New Roman" w:cs="Times New Roman"/>
                    <w:color w:val="000000" w:themeColor="text1"/>
                    <w:sz w:val="24"/>
                    <w:szCs w:val="24"/>
                  </w:rPr>
                  <m:t>×</m:t>
                </m:r>
                <m:sSup>
                  <m:sSupPr>
                    <m:ctrlPr>
                      <w:rPr>
                        <w:rFonts w:ascii="Cambria Math" w:hAnsi="Times New Roman" w:cs="Times New Roman"/>
                        <w:color w:val="000000" w:themeColor="text1"/>
                        <w:sz w:val="24"/>
                        <w:szCs w:val="24"/>
                      </w:rPr>
                    </m:ctrlPr>
                  </m:sSupPr>
                  <m:e>
                    <m:r>
                      <m:rPr>
                        <m:sty m:val="p"/>
                      </m:rPr>
                      <w:rPr>
                        <w:rFonts w:ascii="Cambria Math" w:hAnsi="Times New Roman" w:cs="Times New Roman"/>
                        <w:color w:val="000000" w:themeColor="text1"/>
                        <w:sz w:val="24"/>
                        <w:szCs w:val="24"/>
                      </w:rPr>
                      <m:t>V</m:t>
                    </m:r>
                    <m:ctrlPr>
                      <w:rPr>
                        <w:rFonts w:ascii="Cambria Math" w:hAnsi="Times New Roman" w:cs="Times New Roman"/>
                        <w:color w:val="000000" w:themeColor="text1"/>
                        <w:sz w:val="24"/>
                        <w:szCs w:val="24"/>
                      </w:rPr>
                    </m:ctrlPr>
                  </m:e>
                  <m:sup>
                    <m:r>
                      <m:rPr>
                        <m:sty m:val="p"/>
                      </m:rPr>
                      <w:rPr>
                        <w:rFonts w:ascii="Cambria Math" w:hAnsi="Times New Roman" w:cs="Times New Roman"/>
                        <w:color w:val="000000" w:themeColor="text1"/>
                        <w:sz w:val="24"/>
                        <w:szCs w:val="24"/>
                      </w:rPr>
                      <m:t>4.9</m:t>
                    </m:r>
                    <m:ctrlPr>
                      <w:rPr>
                        <w:rFonts w:ascii="Cambria Math" w:hAnsi="Times New Roman" w:cs="Times New Roman"/>
                        <w:color w:val="000000" w:themeColor="text1"/>
                        <w:sz w:val="24"/>
                        <w:szCs w:val="24"/>
                      </w:rPr>
                    </m:ctrlPr>
                  </m:sup>
                </m:sSup>
                <m:r>
                  <m:rPr>
                    <m:sty m:val="p"/>
                  </m:rPr>
                  <w:rPr>
                    <w:rFonts w:ascii="Times New Roman" w:hAnsi="Times New Roman" w:cs="Times New Roman"/>
                    <w:color w:val="000000" w:themeColor="text1"/>
                    <w:sz w:val="24"/>
                    <w:szCs w:val="24"/>
                  </w:rPr>
                  <m:t>×</m:t>
                </m:r>
                <m:r>
                  <m:rPr>
                    <m:sty m:val="p"/>
                  </m:rPr>
                  <w:rPr>
                    <w:rFonts w:ascii="Cambria Math" w:hAnsi="Times New Roman" w:cs="Times New Roman"/>
                    <w:color w:val="000000" w:themeColor="text1"/>
                    <w:sz w:val="24"/>
                    <w:szCs w:val="24"/>
                  </w:rPr>
                  <m:t>S</m:t>
                </m:r>
              </m:oMath>
            </m:oMathPara>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式中：Q--起尘量，（mg/s）</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V--当地风速，（m/s）</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S--堆场面积，（m²）</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设计，项目拟设置的产品堆场（含1#料场、2#料场和3#料场）建筑面积合计为1790m²，当地平均风速约为3.4m/s；经计算，该项目产品堆场扬尘产生量约为7.89t/a；为了降低堆场的扬尘，对产品堆场除车辆进出区域，其他区域均设置不低于物料堆存高度围挡和顶棚，其扬尘抑制率约为80%，则产品堆场堆存扬尘排放量为1.58t/a；为无组织排放。</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综上，该项目</w:t>
            </w: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堆场扬尘产生量为</w:t>
            </w:r>
            <w:r>
              <w:rPr>
                <w:rFonts w:hint="eastAsia" w:ascii="Times New Roman" w:hAnsi="Times New Roman" w:cs="Times New Roman"/>
                <w:color w:val="000000" w:themeColor="text1"/>
                <w:sz w:val="24"/>
                <w:szCs w:val="24"/>
              </w:rPr>
              <w:t>10.09</w:t>
            </w:r>
            <w:r>
              <w:rPr>
                <w:rFonts w:ascii="Times New Roman" w:hAnsi="Times New Roman" w:cs="Times New Roman"/>
                <w:color w:val="000000" w:themeColor="text1"/>
                <w:sz w:val="24"/>
                <w:szCs w:val="24"/>
              </w:rPr>
              <w:t>t/a，排放量为</w:t>
            </w:r>
            <w:r>
              <w:rPr>
                <w:rFonts w:hint="eastAsia"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t/a。</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②装卸扬尘</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w:t>
            </w: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装卸扬尘包括废石装卸扬尘和砂石骨料装卸扬尘。</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1 \* GB2 </w:instrText>
            </w:r>
            <w:r>
              <w:rPr>
                <w:rFonts w:ascii="Times New Roman" w:hAnsi="Times New Roman" w:cs="Times New Roman"/>
                <w:b/>
                <w:color w:val="000000" w:themeColor="text1"/>
                <w:sz w:val="24"/>
                <w:szCs w:val="24"/>
              </w:rPr>
              <w:fldChar w:fldCharType="separate"/>
            </w:r>
            <w:r>
              <w:rPr>
                <w:rFonts w:ascii="宋体" w:hAnsi="Times New Roman" w:eastAsia="宋体" w:cs="Times New Roman"/>
                <w:b/>
                <w:color w:val="000000" w:themeColor="text1"/>
                <w:sz w:val="24"/>
                <w:szCs w:val="24"/>
              </w:rPr>
              <w:t>⑴</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废石装卸扬尘</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废石运输至项目区后卸入堆场并采装、运输过程均会产生一定量的扬尘，项目废石利用量为90万t/a，参考《逸散性工业粉尘控制技术》中“矿物的开采”中的卡车装料作业的逸散尘排放因子，碎石（前端式装载机）为0.025kg/t（卸料），则废石装卸扬尘产生量为22.5t/a，针对废石装卸扬尘，废石卸料均在废石堆场，废石堆场除车辆进出区域，其他区域均设置不低于物料堆存高度围挡和顶棚，并配套1台雾炮机对厂区内废矿石采装、卸料及运输过程扬尘进行洒水抑尘，其扬尘抑制率约为80%，则废石卸料扬尘排放量为4.5t/a。</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2 \* GB2 </w:instrText>
            </w:r>
            <w:r>
              <w:rPr>
                <w:rFonts w:ascii="Times New Roman" w:hAnsi="Times New Roman" w:cs="Times New Roman"/>
                <w:b/>
                <w:color w:val="000000" w:themeColor="text1"/>
                <w:sz w:val="24"/>
                <w:szCs w:val="24"/>
              </w:rPr>
              <w:fldChar w:fldCharType="separate"/>
            </w:r>
            <w:r>
              <w:rPr>
                <w:rFonts w:ascii="宋体" w:hAnsi="Times New Roman" w:eastAsia="宋体" w:cs="Times New Roman"/>
                <w:b/>
                <w:color w:val="000000" w:themeColor="text1"/>
                <w:sz w:val="24"/>
                <w:szCs w:val="24"/>
              </w:rPr>
              <w:t>⑵</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砂石骨料装卸扬尘</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砂石骨料在产品堆场采装运输过程均会产生一定量的扬尘，项目砂石骨料生产量为90万t/a，参考《逸散性工业粉尘控制技术》中“砖和粘土产品制造厂逸散尘的排放因子”中的卡车卸料排放因子为0.02kg/t（卸料），则砂石骨料装卸扬尘产生量为18t/a，针对砂石骨料装卸扬尘，砂石骨料卸料均在产品堆场，产品堆场除车辆进出区域，其他区域均设置不低于物料堆存高度围挡和顶棚，且项目生产的砂石骨料含水率较高，因此其其扬尘抑制率约为80%，则砂石骨料卸料扬尘排放量为3.5t/a。</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综上，该项目</w:t>
            </w: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装卸扬尘产生量为40.5t/a，排放量为8t/a。</w:t>
            </w:r>
          </w:p>
          <w:p>
            <w:pPr>
              <w:spacing w:line="360" w:lineRule="auto"/>
              <w:ind w:firstLine="482" w:firstLineChars="200"/>
              <w:rPr>
                <w:rFonts w:ascii="Times New Roman" w:hAnsi="Times New Roman" w:cs="Times New Roman"/>
                <w:b/>
                <w:color w:val="000000" w:themeColor="text1"/>
                <w:sz w:val="24"/>
                <w:szCs w:val="24"/>
              </w:rPr>
            </w:pPr>
            <w:r>
              <w:rPr>
                <w:rFonts w:ascii="宋体" w:hAnsi="Times New Roman" w:eastAsia="宋体" w:cs="Times New Roman"/>
                <w:b/>
                <w:color w:val="000000" w:themeColor="text1"/>
                <w:sz w:val="24"/>
                <w:szCs w:val="24"/>
              </w:rPr>
              <w:t>③</w:t>
            </w:r>
            <w:r>
              <w:rPr>
                <w:rFonts w:ascii="Times New Roman" w:hAnsi="Times New Roman" w:cs="Times New Roman"/>
                <w:b/>
                <w:color w:val="000000" w:themeColor="text1"/>
                <w:sz w:val="24"/>
                <w:szCs w:val="24"/>
              </w:rPr>
              <w:t>皮带输送过程扬尘</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工艺流程，项目物料在各工段之间皮带运输过程会产生少量的粉尘，其产生量主要取决于物料含水率和室内风速，无法对其进行定量计算，为降低扬尘对环境的影响，各工段之间的粉料运输均采用皮带密闭运输，则物料输送过程扬尘排放量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④破碎筛分粉尘</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w:t>
            </w: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生产工艺，破碎筛分粉尘包括砂石骨料一段筛分、鄂破、反击破、二段筛分、球磨和制砂等六个环节。项目砂石骨料属于C3039 其他建筑材料制造项目，根据《排放源统计调查产排污核算方法和系数手册》中“303砖瓦、石材等建筑材料制造行业系数手册”中“3039其他建筑材料制造”颗粒物的产污系数如下表所示。</w:t>
            </w:r>
          </w:p>
          <w:p>
            <w:pPr>
              <w:jc w:val="center"/>
              <w:rPr>
                <w:rFonts w:ascii="Times New Roman" w:hAnsi="Times New Roman" w:eastAsia="宋体" w:cs="Times New Roman"/>
                <w:b/>
                <w:color w:val="000000" w:themeColor="text1"/>
                <w:szCs w:val="24"/>
              </w:rPr>
            </w:pPr>
            <w:r>
              <w:rPr>
                <w:rFonts w:ascii="Times New Roman" w:hAnsi="Times New Roman" w:eastAsia="宋体" w:cs="Times New Roman"/>
                <w:b/>
                <w:color w:val="000000" w:themeColor="text1"/>
                <w:szCs w:val="24"/>
              </w:rPr>
              <w:t>表4.2.1-1   3039其他建筑材料制造行业系数表</w:t>
            </w:r>
          </w:p>
          <w:tbl>
            <w:tblPr>
              <w:tblStyle w:val="2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89"/>
              <w:gridCol w:w="1096"/>
              <w:gridCol w:w="993"/>
              <w:gridCol w:w="708"/>
              <w:gridCol w:w="709"/>
              <w:gridCol w:w="709"/>
              <w:gridCol w:w="992"/>
              <w:gridCol w:w="851"/>
              <w:gridCol w:w="1154"/>
              <w:gridCol w:w="90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89" w:type="dxa"/>
                  <w:vAlign w:val="center"/>
                </w:tcPr>
                <w:p>
                  <w:pPr>
                    <w:pStyle w:val="32"/>
                    <w:spacing w:line="360" w:lineRule="exact"/>
                    <w:rPr>
                      <w:color w:val="000000" w:themeColor="text1"/>
                      <w:szCs w:val="21"/>
                    </w:rPr>
                  </w:pPr>
                  <w:r>
                    <w:rPr>
                      <w:color w:val="000000" w:themeColor="text1"/>
                      <w:szCs w:val="21"/>
                    </w:rPr>
                    <w:t>工段名称</w:t>
                  </w:r>
                </w:p>
              </w:tc>
              <w:tc>
                <w:tcPr>
                  <w:tcW w:w="1096" w:type="dxa"/>
                  <w:vAlign w:val="center"/>
                </w:tcPr>
                <w:p>
                  <w:pPr>
                    <w:pStyle w:val="32"/>
                    <w:spacing w:line="360" w:lineRule="exact"/>
                    <w:rPr>
                      <w:color w:val="000000" w:themeColor="text1"/>
                      <w:szCs w:val="21"/>
                    </w:rPr>
                  </w:pPr>
                  <w:r>
                    <w:rPr>
                      <w:color w:val="000000" w:themeColor="text1"/>
                      <w:szCs w:val="21"/>
                    </w:rPr>
                    <w:t>产品名称</w:t>
                  </w:r>
                </w:p>
              </w:tc>
              <w:tc>
                <w:tcPr>
                  <w:tcW w:w="993" w:type="dxa"/>
                  <w:vAlign w:val="center"/>
                </w:tcPr>
                <w:p>
                  <w:pPr>
                    <w:pStyle w:val="32"/>
                    <w:spacing w:line="360" w:lineRule="exact"/>
                    <w:rPr>
                      <w:color w:val="000000" w:themeColor="text1"/>
                      <w:szCs w:val="21"/>
                    </w:rPr>
                  </w:pPr>
                  <w:r>
                    <w:rPr>
                      <w:color w:val="000000" w:themeColor="text1"/>
                      <w:szCs w:val="21"/>
                    </w:rPr>
                    <w:t>工艺名称</w:t>
                  </w:r>
                </w:p>
              </w:tc>
              <w:tc>
                <w:tcPr>
                  <w:tcW w:w="708" w:type="dxa"/>
                  <w:vAlign w:val="center"/>
                </w:tcPr>
                <w:p>
                  <w:pPr>
                    <w:pStyle w:val="32"/>
                    <w:spacing w:line="360" w:lineRule="exact"/>
                    <w:rPr>
                      <w:color w:val="000000" w:themeColor="text1"/>
                      <w:szCs w:val="21"/>
                    </w:rPr>
                  </w:pPr>
                  <w:r>
                    <w:rPr>
                      <w:color w:val="000000" w:themeColor="text1"/>
                      <w:szCs w:val="21"/>
                    </w:rPr>
                    <w:t>规模等级</w:t>
                  </w:r>
                </w:p>
              </w:tc>
              <w:tc>
                <w:tcPr>
                  <w:tcW w:w="1418" w:type="dxa"/>
                  <w:gridSpan w:val="2"/>
                  <w:vAlign w:val="center"/>
                </w:tcPr>
                <w:p>
                  <w:pPr>
                    <w:pStyle w:val="32"/>
                    <w:spacing w:line="360" w:lineRule="exact"/>
                    <w:rPr>
                      <w:color w:val="000000" w:themeColor="text1"/>
                      <w:szCs w:val="21"/>
                    </w:rPr>
                  </w:pPr>
                  <w:r>
                    <w:rPr>
                      <w:color w:val="000000" w:themeColor="text1"/>
                      <w:szCs w:val="21"/>
                    </w:rPr>
                    <w:t>污染物指标</w:t>
                  </w:r>
                </w:p>
              </w:tc>
              <w:tc>
                <w:tcPr>
                  <w:tcW w:w="992" w:type="dxa"/>
                  <w:vAlign w:val="center"/>
                </w:tcPr>
                <w:p>
                  <w:pPr>
                    <w:pStyle w:val="32"/>
                    <w:spacing w:line="360" w:lineRule="exact"/>
                    <w:rPr>
                      <w:color w:val="000000" w:themeColor="text1"/>
                      <w:szCs w:val="21"/>
                    </w:rPr>
                  </w:pPr>
                  <w:r>
                    <w:rPr>
                      <w:color w:val="000000" w:themeColor="text1"/>
                      <w:szCs w:val="21"/>
                    </w:rPr>
                    <w:t>系数单位</w:t>
                  </w:r>
                </w:p>
              </w:tc>
              <w:tc>
                <w:tcPr>
                  <w:tcW w:w="851" w:type="dxa"/>
                  <w:vAlign w:val="center"/>
                </w:tcPr>
                <w:p>
                  <w:pPr>
                    <w:pStyle w:val="32"/>
                    <w:spacing w:line="360" w:lineRule="exact"/>
                    <w:rPr>
                      <w:color w:val="000000" w:themeColor="text1"/>
                      <w:szCs w:val="21"/>
                    </w:rPr>
                  </w:pPr>
                  <w:r>
                    <w:rPr>
                      <w:color w:val="000000" w:themeColor="text1"/>
                      <w:szCs w:val="21"/>
                    </w:rPr>
                    <w:t>产污系数</w:t>
                  </w:r>
                </w:p>
              </w:tc>
              <w:tc>
                <w:tcPr>
                  <w:tcW w:w="1154" w:type="dxa"/>
                  <w:vAlign w:val="center"/>
                </w:tcPr>
                <w:p>
                  <w:pPr>
                    <w:pStyle w:val="32"/>
                    <w:spacing w:line="360" w:lineRule="exact"/>
                    <w:rPr>
                      <w:color w:val="000000" w:themeColor="text1"/>
                      <w:szCs w:val="21"/>
                    </w:rPr>
                  </w:pPr>
                  <w:r>
                    <w:rPr>
                      <w:color w:val="000000" w:themeColor="text1"/>
                      <w:szCs w:val="21"/>
                    </w:rPr>
                    <w:t>末端治理技术</w:t>
                  </w:r>
                </w:p>
              </w:tc>
              <w:tc>
                <w:tcPr>
                  <w:tcW w:w="904" w:type="dxa"/>
                  <w:vAlign w:val="center"/>
                </w:tcPr>
                <w:p>
                  <w:pPr>
                    <w:pStyle w:val="32"/>
                    <w:spacing w:line="360" w:lineRule="exact"/>
                    <w:rPr>
                      <w:color w:val="000000" w:themeColor="text1"/>
                      <w:szCs w:val="21"/>
                    </w:rPr>
                  </w:pPr>
                  <w:r>
                    <w:rPr>
                      <w:color w:val="000000" w:themeColor="text1"/>
                      <w:szCs w:val="21"/>
                    </w:rPr>
                    <w:t>末端治理技术效率（%）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489" w:type="dxa"/>
                  <w:vMerge w:val="restart"/>
                  <w:vAlign w:val="center"/>
                </w:tcPr>
                <w:p>
                  <w:pPr>
                    <w:pStyle w:val="32"/>
                    <w:spacing w:line="360" w:lineRule="exact"/>
                    <w:rPr>
                      <w:color w:val="000000" w:themeColor="text1"/>
                      <w:szCs w:val="21"/>
                    </w:rPr>
                  </w:pPr>
                  <w:r>
                    <w:rPr>
                      <w:color w:val="000000" w:themeColor="text1"/>
                      <w:szCs w:val="21"/>
                    </w:rPr>
                    <w:t>/</w:t>
                  </w:r>
                </w:p>
              </w:tc>
              <w:tc>
                <w:tcPr>
                  <w:tcW w:w="1096" w:type="dxa"/>
                  <w:vMerge w:val="restart"/>
                  <w:vAlign w:val="center"/>
                </w:tcPr>
                <w:p>
                  <w:pPr>
                    <w:pStyle w:val="32"/>
                    <w:spacing w:line="360" w:lineRule="exact"/>
                    <w:rPr>
                      <w:color w:val="000000" w:themeColor="text1"/>
                      <w:szCs w:val="21"/>
                    </w:rPr>
                  </w:pPr>
                  <w:r>
                    <w:rPr>
                      <w:color w:val="000000" w:themeColor="text1"/>
                      <w:szCs w:val="21"/>
                    </w:rPr>
                    <w:t>砂石骨料</w:t>
                  </w:r>
                </w:p>
              </w:tc>
              <w:tc>
                <w:tcPr>
                  <w:tcW w:w="993" w:type="dxa"/>
                  <w:vMerge w:val="restart"/>
                  <w:vAlign w:val="center"/>
                </w:tcPr>
                <w:p>
                  <w:pPr>
                    <w:pStyle w:val="32"/>
                    <w:spacing w:line="360" w:lineRule="exact"/>
                    <w:rPr>
                      <w:color w:val="000000" w:themeColor="text1"/>
                      <w:szCs w:val="21"/>
                    </w:rPr>
                  </w:pPr>
                  <w:r>
                    <w:rPr>
                      <w:color w:val="000000" w:themeColor="text1"/>
                      <w:szCs w:val="21"/>
                    </w:rPr>
                    <w:t>岩石、矿石、建筑固体废弃物、尾矿等</w:t>
                  </w:r>
                </w:p>
              </w:tc>
              <w:tc>
                <w:tcPr>
                  <w:tcW w:w="708" w:type="dxa"/>
                  <w:vMerge w:val="restart"/>
                  <w:vAlign w:val="center"/>
                </w:tcPr>
                <w:p>
                  <w:pPr>
                    <w:pStyle w:val="32"/>
                    <w:spacing w:line="360" w:lineRule="exact"/>
                    <w:rPr>
                      <w:color w:val="000000" w:themeColor="text1"/>
                      <w:szCs w:val="21"/>
                    </w:rPr>
                  </w:pPr>
                  <w:r>
                    <w:rPr>
                      <w:color w:val="000000" w:themeColor="text1"/>
                      <w:szCs w:val="21"/>
                    </w:rPr>
                    <w:t>所有规模</w:t>
                  </w:r>
                </w:p>
              </w:tc>
              <w:tc>
                <w:tcPr>
                  <w:tcW w:w="709" w:type="dxa"/>
                  <w:vMerge w:val="restart"/>
                  <w:vAlign w:val="center"/>
                </w:tcPr>
                <w:p>
                  <w:pPr>
                    <w:pStyle w:val="32"/>
                    <w:spacing w:line="360" w:lineRule="exact"/>
                    <w:rPr>
                      <w:color w:val="000000" w:themeColor="text1"/>
                      <w:szCs w:val="21"/>
                    </w:rPr>
                  </w:pPr>
                  <w:r>
                    <w:rPr>
                      <w:color w:val="000000" w:themeColor="text1"/>
                      <w:szCs w:val="21"/>
                    </w:rPr>
                    <w:t>废气</w:t>
                  </w:r>
                </w:p>
              </w:tc>
              <w:tc>
                <w:tcPr>
                  <w:tcW w:w="709" w:type="dxa"/>
                  <w:vMerge w:val="restart"/>
                  <w:vAlign w:val="center"/>
                </w:tcPr>
                <w:p>
                  <w:pPr>
                    <w:pStyle w:val="32"/>
                    <w:spacing w:line="360" w:lineRule="exact"/>
                    <w:rPr>
                      <w:color w:val="000000" w:themeColor="text1"/>
                      <w:szCs w:val="21"/>
                    </w:rPr>
                  </w:pPr>
                  <w:r>
                    <w:rPr>
                      <w:color w:val="000000" w:themeColor="text1"/>
                      <w:szCs w:val="21"/>
                    </w:rPr>
                    <w:t>颗粒物</w:t>
                  </w:r>
                </w:p>
              </w:tc>
              <w:tc>
                <w:tcPr>
                  <w:tcW w:w="992" w:type="dxa"/>
                  <w:vMerge w:val="restart"/>
                  <w:vAlign w:val="center"/>
                </w:tcPr>
                <w:p>
                  <w:pPr>
                    <w:pStyle w:val="32"/>
                    <w:spacing w:line="360" w:lineRule="exact"/>
                    <w:rPr>
                      <w:color w:val="000000" w:themeColor="text1"/>
                      <w:szCs w:val="21"/>
                    </w:rPr>
                  </w:pPr>
                  <w:r>
                    <w:rPr>
                      <w:color w:val="000000" w:themeColor="text1"/>
                      <w:szCs w:val="21"/>
                    </w:rPr>
                    <w:t>千克/吨-产品</w:t>
                  </w:r>
                </w:p>
              </w:tc>
              <w:tc>
                <w:tcPr>
                  <w:tcW w:w="851" w:type="dxa"/>
                  <w:vMerge w:val="restart"/>
                  <w:vAlign w:val="center"/>
                </w:tcPr>
                <w:p>
                  <w:pPr>
                    <w:pStyle w:val="32"/>
                    <w:spacing w:line="360" w:lineRule="exact"/>
                    <w:rPr>
                      <w:color w:val="000000" w:themeColor="text1"/>
                      <w:szCs w:val="21"/>
                    </w:rPr>
                  </w:pPr>
                  <w:r>
                    <w:rPr>
                      <w:color w:val="000000" w:themeColor="text1"/>
                      <w:szCs w:val="21"/>
                    </w:rPr>
                    <w:t>1.89</w:t>
                  </w:r>
                </w:p>
              </w:tc>
              <w:tc>
                <w:tcPr>
                  <w:tcW w:w="1154" w:type="dxa"/>
                  <w:tcBorders>
                    <w:bottom w:val="single" w:color="auto" w:sz="4" w:space="0"/>
                  </w:tcBorders>
                  <w:vAlign w:val="center"/>
                </w:tcPr>
                <w:p>
                  <w:pPr>
                    <w:pStyle w:val="32"/>
                    <w:spacing w:line="360" w:lineRule="exact"/>
                    <w:rPr>
                      <w:color w:val="000000" w:themeColor="text1"/>
                      <w:szCs w:val="21"/>
                    </w:rPr>
                  </w:pPr>
                  <w:r>
                    <w:rPr>
                      <w:color w:val="000000" w:themeColor="text1"/>
                      <w:szCs w:val="21"/>
                    </w:rPr>
                    <w:t>袋式除尘</w:t>
                  </w:r>
                </w:p>
              </w:tc>
              <w:tc>
                <w:tcPr>
                  <w:tcW w:w="904" w:type="dxa"/>
                  <w:tcBorders>
                    <w:bottom w:val="single" w:color="auto" w:sz="4" w:space="0"/>
                  </w:tcBorders>
                  <w:vAlign w:val="center"/>
                </w:tcPr>
                <w:p>
                  <w:pPr>
                    <w:pStyle w:val="32"/>
                    <w:spacing w:line="360" w:lineRule="exact"/>
                    <w:rPr>
                      <w:color w:val="000000" w:themeColor="text1"/>
                      <w:szCs w:val="21"/>
                    </w:rPr>
                  </w:pPr>
                  <w:r>
                    <w:rPr>
                      <w:color w:val="000000" w:themeColor="text1"/>
                      <w:szCs w:val="21"/>
                    </w:rPr>
                    <w:t>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7" w:hRule="atLeast"/>
              </w:trPr>
              <w:tc>
                <w:tcPr>
                  <w:tcW w:w="489" w:type="dxa"/>
                  <w:vMerge w:val="continue"/>
                  <w:vAlign w:val="center"/>
                </w:tcPr>
                <w:p>
                  <w:pPr>
                    <w:pStyle w:val="32"/>
                    <w:spacing w:line="360" w:lineRule="exact"/>
                    <w:rPr>
                      <w:color w:val="000000" w:themeColor="text1"/>
                      <w:szCs w:val="21"/>
                    </w:rPr>
                  </w:pPr>
                </w:p>
              </w:tc>
              <w:tc>
                <w:tcPr>
                  <w:tcW w:w="1096" w:type="dxa"/>
                  <w:vMerge w:val="continue"/>
                  <w:vAlign w:val="center"/>
                </w:tcPr>
                <w:p>
                  <w:pPr>
                    <w:pStyle w:val="32"/>
                    <w:spacing w:line="360" w:lineRule="exact"/>
                    <w:rPr>
                      <w:color w:val="000000" w:themeColor="text1"/>
                      <w:szCs w:val="21"/>
                    </w:rPr>
                  </w:pPr>
                </w:p>
              </w:tc>
              <w:tc>
                <w:tcPr>
                  <w:tcW w:w="993" w:type="dxa"/>
                  <w:vMerge w:val="continue"/>
                  <w:vAlign w:val="center"/>
                </w:tcPr>
                <w:p>
                  <w:pPr>
                    <w:pStyle w:val="32"/>
                    <w:spacing w:line="360" w:lineRule="exact"/>
                    <w:rPr>
                      <w:color w:val="000000" w:themeColor="text1"/>
                      <w:szCs w:val="21"/>
                    </w:rPr>
                  </w:pPr>
                </w:p>
              </w:tc>
              <w:tc>
                <w:tcPr>
                  <w:tcW w:w="708" w:type="dxa"/>
                  <w:vMerge w:val="continue"/>
                  <w:vAlign w:val="center"/>
                </w:tcPr>
                <w:p>
                  <w:pPr>
                    <w:pStyle w:val="32"/>
                    <w:spacing w:line="360" w:lineRule="exac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992" w:type="dxa"/>
                  <w:vMerge w:val="continue"/>
                  <w:vAlign w:val="center"/>
                </w:tcPr>
                <w:p>
                  <w:pPr>
                    <w:pStyle w:val="32"/>
                    <w:spacing w:line="360" w:lineRule="exact"/>
                    <w:rPr>
                      <w:color w:val="000000" w:themeColor="text1"/>
                      <w:szCs w:val="21"/>
                    </w:rPr>
                  </w:pPr>
                </w:p>
              </w:tc>
              <w:tc>
                <w:tcPr>
                  <w:tcW w:w="851" w:type="dxa"/>
                  <w:vMerge w:val="continue"/>
                  <w:vAlign w:val="center"/>
                </w:tcPr>
                <w:p>
                  <w:pPr>
                    <w:pStyle w:val="32"/>
                    <w:spacing w:line="360" w:lineRule="exact"/>
                    <w:rPr>
                      <w:color w:val="000000" w:themeColor="text1"/>
                      <w:szCs w:val="21"/>
                    </w:rPr>
                  </w:pPr>
                </w:p>
              </w:tc>
              <w:tc>
                <w:tcPr>
                  <w:tcW w:w="1154" w:type="dxa"/>
                  <w:tcBorders>
                    <w:top w:val="single" w:color="auto" w:sz="4" w:space="0"/>
                    <w:bottom w:val="single" w:color="auto" w:sz="4" w:space="0"/>
                  </w:tcBorders>
                  <w:vAlign w:val="center"/>
                </w:tcPr>
                <w:p>
                  <w:pPr>
                    <w:pStyle w:val="32"/>
                    <w:spacing w:line="360" w:lineRule="exact"/>
                    <w:rPr>
                      <w:color w:val="000000" w:themeColor="text1"/>
                      <w:szCs w:val="21"/>
                    </w:rPr>
                  </w:pPr>
                  <w:r>
                    <w:rPr>
                      <w:color w:val="000000" w:themeColor="text1"/>
                      <w:szCs w:val="21"/>
                    </w:rPr>
                    <w:t>湿式除尘</w:t>
                  </w:r>
                </w:p>
              </w:tc>
              <w:tc>
                <w:tcPr>
                  <w:tcW w:w="904" w:type="dxa"/>
                  <w:tcBorders>
                    <w:top w:val="single" w:color="auto" w:sz="4" w:space="0"/>
                    <w:bottom w:val="single" w:color="auto" w:sz="4" w:space="0"/>
                  </w:tcBorders>
                  <w:vAlign w:val="center"/>
                </w:tcPr>
                <w:p>
                  <w:pPr>
                    <w:pStyle w:val="32"/>
                    <w:spacing w:line="360" w:lineRule="exact"/>
                    <w:rPr>
                      <w:color w:val="000000" w:themeColor="text1"/>
                      <w:szCs w:val="21"/>
                    </w:rPr>
                  </w:pPr>
                  <w:r>
                    <w:rPr>
                      <w:color w:val="000000" w:themeColor="text1"/>
                      <w:szCs w:val="21"/>
                    </w:rPr>
                    <w:t>90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4" w:hRule="atLeast"/>
              </w:trPr>
              <w:tc>
                <w:tcPr>
                  <w:tcW w:w="489" w:type="dxa"/>
                  <w:vMerge w:val="continue"/>
                  <w:vAlign w:val="center"/>
                </w:tcPr>
                <w:p>
                  <w:pPr>
                    <w:pStyle w:val="32"/>
                    <w:spacing w:line="360" w:lineRule="exact"/>
                    <w:rPr>
                      <w:color w:val="000000" w:themeColor="text1"/>
                      <w:szCs w:val="21"/>
                    </w:rPr>
                  </w:pPr>
                </w:p>
              </w:tc>
              <w:tc>
                <w:tcPr>
                  <w:tcW w:w="1096" w:type="dxa"/>
                  <w:vMerge w:val="continue"/>
                  <w:vAlign w:val="center"/>
                </w:tcPr>
                <w:p>
                  <w:pPr>
                    <w:pStyle w:val="32"/>
                    <w:spacing w:line="360" w:lineRule="exact"/>
                    <w:rPr>
                      <w:color w:val="000000" w:themeColor="text1"/>
                      <w:szCs w:val="21"/>
                    </w:rPr>
                  </w:pPr>
                </w:p>
              </w:tc>
              <w:tc>
                <w:tcPr>
                  <w:tcW w:w="993" w:type="dxa"/>
                  <w:vMerge w:val="continue"/>
                  <w:vAlign w:val="center"/>
                </w:tcPr>
                <w:p>
                  <w:pPr>
                    <w:pStyle w:val="32"/>
                    <w:spacing w:line="360" w:lineRule="exact"/>
                    <w:rPr>
                      <w:color w:val="000000" w:themeColor="text1"/>
                      <w:szCs w:val="21"/>
                    </w:rPr>
                  </w:pPr>
                </w:p>
              </w:tc>
              <w:tc>
                <w:tcPr>
                  <w:tcW w:w="708" w:type="dxa"/>
                  <w:vMerge w:val="continue"/>
                  <w:vAlign w:val="center"/>
                </w:tcPr>
                <w:p>
                  <w:pPr>
                    <w:pStyle w:val="32"/>
                    <w:spacing w:line="360" w:lineRule="exac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992" w:type="dxa"/>
                  <w:vMerge w:val="continue"/>
                  <w:vAlign w:val="center"/>
                </w:tcPr>
                <w:p>
                  <w:pPr>
                    <w:pStyle w:val="32"/>
                    <w:spacing w:line="360" w:lineRule="exact"/>
                    <w:rPr>
                      <w:color w:val="000000" w:themeColor="text1"/>
                      <w:szCs w:val="21"/>
                    </w:rPr>
                  </w:pPr>
                </w:p>
              </w:tc>
              <w:tc>
                <w:tcPr>
                  <w:tcW w:w="851" w:type="dxa"/>
                  <w:vMerge w:val="continue"/>
                  <w:vAlign w:val="center"/>
                </w:tcPr>
                <w:p>
                  <w:pPr>
                    <w:pStyle w:val="32"/>
                    <w:spacing w:line="360" w:lineRule="exact"/>
                    <w:rPr>
                      <w:color w:val="000000" w:themeColor="text1"/>
                      <w:szCs w:val="21"/>
                    </w:rPr>
                  </w:pPr>
                </w:p>
              </w:tc>
              <w:tc>
                <w:tcPr>
                  <w:tcW w:w="1154" w:type="dxa"/>
                  <w:tcBorders>
                    <w:top w:val="single" w:color="auto" w:sz="4" w:space="0"/>
                    <w:bottom w:val="single" w:color="auto" w:sz="4" w:space="0"/>
                  </w:tcBorders>
                  <w:vAlign w:val="center"/>
                </w:tcPr>
                <w:p>
                  <w:pPr>
                    <w:pStyle w:val="32"/>
                    <w:spacing w:line="360" w:lineRule="exact"/>
                    <w:rPr>
                      <w:color w:val="000000" w:themeColor="text1"/>
                      <w:szCs w:val="21"/>
                    </w:rPr>
                  </w:pPr>
                  <w:r>
                    <w:rPr>
                      <w:color w:val="000000" w:themeColor="text1"/>
                      <w:szCs w:val="21"/>
                    </w:rPr>
                    <w:t>其他</w:t>
                  </w:r>
                </w:p>
              </w:tc>
              <w:tc>
                <w:tcPr>
                  <w:tcW w:w="904" w:type="dxa"/>
                  <w:tcBorders>
                    <w:top w:val="single" w:color="auto" w:sz="4" w:space="0"/>
                    <w:bottom w:val="single" w:color="auto" w:sz="4" w:space="0"/>
                  </w:tcBorders>
                  <w:vAlign w:val="center"/>
                </w:tcPr>
                <w:p>
                  <w:pPr>
                    <w:pStyle w:val="32"/>
                    <w:spacing w:line="360" w:lineRule="exact"/>
                    <w:rPr>
                      <w:color w:val="000000" w:themeColor="text1"/>
                      <w:szCs w:val="21"/>
                    </w:rPr>
                  </w:pPr>
                  <w:r>
                    <w:rPr>
                      <w:color w:val="000000" w:themeColor="text1"/>
                      <w:szCs w:val="21"/>
                    </w:rPr>
                    <w:t>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 w:hRule="atLeast"/>
              </w:trPr>
              <w:tc>
                <w:tcPr>
                  <w:tcW w:w="8605" w:type="dxa"/>
                  <w:gridSpan w:val="10"/>
                  <w:vAlign w:val="center"/>
                </w:tcPr>
                <w:p>
                  <w:pPr>
                    <w:pStyle w:val="32"/>
                    <w:spacing w:line="360" w:lineRule="exact"/>
                    <w:ind w:firstLine="210" w:firstLineChars="100"/>
                    <w:jc w:val="left"/>
                    <w:rPr>
                      <w:color w:val="000000" w:themeColor="text1"/>
                      <w:szCs w:val="21"/>
                    </w:rPr>
                  </w:pPr>
                  <w:r>
                    <w:rPr>
                      <w:color w:val="000000" w:themeColor="text1"/>
                      <w:szCs w:val="21"/>
                    </w:rPr>
                    <w:t>末端治理技术“其他”指喷雾降尘、机械除尘等。</w:t>
                  </w:r>
                </w:p>
              </w:tc>
            </w:tr>
          </w:tbl>
          <w:p>
            <w:pPr>
              <w:spacing w:beforeLines="50"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由上表可知，项目砂石骨料年产量为90万t/a，则各破碎筛分工段粉尘产生量为1701t/a，项目为降低破碎筛分粉尘产生，拟对一段筛分、鄂破、反击破、二段筛分、球磨和制砂等六个环节均采用加水作业，加水量较大，其处理效率大于湿式除尘+喷雾降尘组合，则实际除尘效率约为98%，则破碎筛分粉尘排放量为34.02t/a。</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w:instrText>
            </w:r>
            <w:r>
              <w:rPr>
                <w:rFonts w:hint="eastAsia" w:ascii="Times New Roman" w:hAnsi="Times New Roman" w:cs="Times New Roman"/>
                <w:b/>
                <w:color w:val="000000" w:themeColor="text1"/>
                <w:sz w:val="24"/>
                <w:szCs w:val="24"/>
              </w:rPr>
              <w:instrText xml:space="preserve">= 2 \* GB4</w:instrText>
            </w:r>
            <w:r>
              <w:rPr>
                <w:rFonts w:ascii="Times New Roman" w:hAnsi="Times New Roman" w:cs="Times New Roman"/>
                <w:b/>
                <w:color w:val="000000" w:themeColor="text1"/>
                <w:sz w:val="24"/>
                <w:szCs w:val="24"/>
              </w:rPr>
              <w:instrText xml:space="preserve">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㈡</w:t>
            </w:r>
            <w:r>
              <w:rPr>
                <w:rFonts w:ascii="Times New Roman" w:hAnsi="Times New Roman" w:cs="Times New Roman"/>
                <w:b/>
                <w:color w:val="000000" w:themeColor="text1"/>
                <w:sz w:val="24"/>
                <w:szCs w:val="24"/>
              </w:rPr>
              <w:fldChar w:fldCharType="end"/>
            </w:r>
            <w:r>
              <w:rPr>
                <w:rFonts w:hint="eastAsia" w:ascii="Times New Roman" w:hAnsi="Times New Roman" w:cs="Times New Roman"/>
                <w:b/>
                <w:color w:val="000000" w:themeColor="text1"/>
                <w:sz w:val="24"/>
                <w:szCs w:val="24"/>
              </w:rPr>
              <w:t>二期工程</w:t>
            </w:r>
            <w:r>
              <w:rPr>
                <w:rFonts w:ascii="Times New Roman" w:hAnsi="Times New Roman" w:cs="Times New Roman"/>
                <w:b/>
                <w:color w:val="000000" w:themeColor="text1"/>
                <w:sz w:val="24"/>
                <w:szCs w:val="24"/>
              </w:rPr>
              <w:t>废气污染源强核算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w:t>
            </w:r>
            <w:r>
              <w:rPr>
                <w:rFonts w:hint="eastAsia" w:ascii="Times New Roman" w:hAnsi="Times New Roman" w:cs="Times New Roman"/>
                <w:color w:val="000000" w:themeColor="text1"/>
                <w:sz w:val="24"/>
                <w:szCs w:val="24"/>
              </w:rPr>
              <w:t>二期工程</w:t>
            </w:r>
            <w:r>
              <w:rPr>
                <w:rFonts w:ascii="Times New Roman" w:hAnsi="Times New Roman" w:cs="Times New Roman"/>
                <w:color w:val="000000" w:themeColor="text1"/>
                <w:sz w:val="24"/>
                <w:szCs w:val="24"/>
              </w:rPr>
              <w:t>建设内容及生产工艺，项目</w:t>
            </w:r>
            <w:r>
              <w:rPr>
                <w:rFonts w:hint="eastAsia" w:ascii="Times New Roman" w:hAnsi="Times New Roman" w:cs="Times New Roman"/>
                <w:color w:val="000000" w:themeColor="text1"/>
                <w:sz w:val="24"/>
                <w:szCs w:val="24"/>
              </w:rPr>
              <w:t>二期工程</w:t>
            </w:r>
            <w:r>
              <w:rPr>
                <w:rFonts w:ascii="Times New Roman" w:hAnsi="Times New Roman" w:cs="Times New Roman"/>
                <w:color w:val="000000" w:themeColor="text1"/>
                <w:sz w:val="24"/>
                <w:szCs w:val="24"/>
              </w:rPr>
              <w:t>废气主要包括水泥砖生产线水泥仓粉尘和搅拌混合粉尘。具体产排情况核算如下：</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①</w:t>
            </w:r>
            <w:r>
              <w:rPr>
                <w:rFonts w:ascii="Times New Roman" w:hAnsi="Times New Roman" w:cs="Times New Roman"/>
                <w:b/>
                <w:color w:val="000000" w:themeColor="text1"/>
                <w:sz w:val="24"/>
                <w:szCs w:val="24"/>
              </w:rPr>
              <w:t>水泥仓粉尘</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根据设计，项目</w:t>
            </w:r>
            <w:r>
              <w:rPr>
                <w:rFonts w:hint="eastAsia" w:ascii="Times New Roman" w:hAnsi="Times New Roman" w:cs="Times New Roman"/>
                <w:color w:val="000000" w:themeColor="text1"/>
                <w:sz w:val="24"/>
                <w:szCs w:val="24"/>
              </w:rPr>
              <w:t>二期工程</w:t>
            </w:r>
            <w:r>
              <w:rPr>
                <w:rFonts w:ascii="Times New Roman" w:hAnsi="Times New Roman" w:cs="Times New Roman"/>
                <w:color w:val="000000" w:themeColor="text1"/>
                <w:sz w:val="24"/>
                <w:szCs w:val="24"/>
              </w:rPr>
              <w:t>水泥砖生产线拟设置1个100t水泥仓对水泥砖生产用水泥进行罐装，水泥在装卸、储存、输送过程会产生一定量粉尘。水泥砖属于C3021 水泥制品制造，根据《排放源统计调查产排污核算方法和系数手册》中“C3021 水泥制品制造行业系数手册”物料输送储存过程颗粒物产污系数如下表所示。</w:t>
            </w:r>
          </w:p>
          <w:p>
            <w:pPr>
              <w:jc w:val="center"/>
              <w:rPr>
                <w:rFonts w:ascii="Times New Roman" w:hAnsi="Times New Roman" w:eastAsia="宋体" w:cs="Times New Roman"/>
                <w:b/>
                <w:color w:val="000000" w:themeColor="text1"/>
                <w:szCs w:val="24"/>
              </w:rPr>
            </w:pPr>
            <w:r>
              <w:rPr>
                <w:rFonts w:ascii="Times New Roman" w:hAnsi="Times New Roman" w:eastAsia="宋体" w:cs="Times New Roman"/>
                <w:b/>
                <w:color w:val="000000" w:themeColor="text1"/>
                <w:szCs w:val="24"/>
              </w:rPr>
              <w:t>表4.2.1-2   3021 水泥制品制造行业系数表</w:t>
            </w:r>
          </w:p>
          <w:tbl>
            <w:tblPr>
              <w:tblStyle w:val="2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89"/>
              <w:gridCol w:w="664"/>
              <w:gridCol w:w="858"/>
              <w:gridCol w:w="708"/>
              <w:gridCol w:w="709"/>
              <w:gridCol w:w="567"/>
              <w:gridCol w:w="709"/>
              <w:gridCol w:w="1134"/>
              <w:gridCol w:w="709"/>
              <w:gridCol w:w="1154"/>
              <w:gridCol w:w="90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89" w:type="dxa"/>
                  <w:vAlign w:val="center"/>
                </w:tcPr>
                <w:p>
                  <w:pPr>
                    <w:pStyle w:val="32"/>
                    <w:spacing w:line="360" w:lineRule="exact"/>
                    <w:rPr>
                      <w:color w:val="000000" w:themeColor="text1"/>
                      <w:szCs w:val="21"/>
                    </w:rPr>
                  </w:pPr>
                  <w:r>
                    <w:rPr>
                      <w:color w:val="000000" w:themeColor="text1"/>
                      <w:szCs w:val="21"/>
                    </w:rPr>
                    <w:t>工段名称</w:t>
                  </w:r>
                </w:p>
              </w:tc>
              <w:tc>
                <w:tcPr>
                  <w:tcW w:w="664"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产品名称</w:t>
                  </w:r>
                </w:p>
              </w:tc>
              <w:tc>
                <w:tcPr>
                  <w:tcW w:w="858"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原料名称</w:t>
                  </w:r>
                </w:p>
              </w:tc>
              <w:tc>
                <w:tcPr>
                  <w:tcW w:w="708" w:type="dxa"/>
                  <w:vAlign w:val="center"/>
                </w:tcPr>
                <w:p>
                  <w:pPr>
                    <w:pStyle w:val="32"/>
                    <w:spacing w:line="360" w:lineRule="exact"/>
                    <w:rPr>
                      <w:color w:val="000000" w:themeColor="text1"/>
                      <w:szCs w:val="21"/>
                    </w:rPr>
                  </w:pPr>
                  <w:r>
                    <w:rPr>
                      <w:color w:val="000000" w:themeColor="text1"/>
                      <w:szCs w:val="21"/>
                    </w:rPr>
                    <w:t>工艺名称</w:t>
                  </w:r>
                </w:p>
              </w:tc>
              <w:tc>
                <w:tcPr>
                  <w:tcW w:w="709" w:type="dxa"/>
                  <w:vAlign w:val="center"/>
                </w:tcPr>
                <w:p>
                  <w:pPr>
                    <w:pStyle w:val="32"/>
                    <w:spacing w:line="360" w:lineRule="exact"/>
                    <w:rPr>
                      <w:color w:val="000000" w:themeColor="text1"/>
                      <w:szCs w:val="21"/>
                    </w:rPr>
                  </w:pPr>
                  <w:r>
                    <w:rPr>
                      <w:color w:val="000000" w:themeColor="text1"/>
                      <w:szCs w:val="21"/>
                    </w:rPr>
                    <w:t>规模等级</w:t>
                  </w:r>
                </w:p>
              </w:tc>
              <w:tc>
                <w:tcPr>
                  <w:tcW w:w="1276" w:type="dxa"/>
                  <w:gridSpan w:val="2"/>
                  <w:vAlign w:val="center"/>
                </w:tcPr>
                <w:p>
                  <w:pPr>
                    <w:pStyle w:val="32"/>
                    <w:spacing w:line="360" w:lineRule="exact"/>
                    <w:rPr>
                      <w:color w:val="000000" w:themeColor="text1"/>
                      <w:szCs w:val="21"/>
                    </w:rPr>
                  </w:pPr>
                  <w:r>
                    <w:rPr>
                      <w:color w:val="000000" w:themeColor="text1"/>
                      <w:szCs w:val="21"/>
                    </w:rPr>
                    <w:t>污染物指标</w:t>
                  </w:r>
                </w:p>
              </w:tc>
              <w:tc>
                <w:tcPr>
                  <w:tcW w:w="1134" w:type="dxa"/>
                  <w:vAlign w:val="center"/>
                </w:tcPr>
                <w:p>
                  <w:pPr>
                    <w:pStyle w:val="32"/>
                    <w:spacing w:line="360" w:lineRule="exact"/>
                    <w:rPr>
                      <w:color w:val="000000" w:themeColor="text1"/>
                      <w:szCs w:val="21"/>
                    </w:rPr>
                  </w:pPr>
                  <w:r>
                    <w:rPr>
                      <w:color w:val="000000" w:themeColor="text1"/>
                      <w:szCs w:val="21"/>
                    </w:rPr>
                    <w:t>系数单位</w:t>
                  </w:r>
                </w:p>
              </w:tc>
              <w:tc>
                <w:tcPr>
                  <w:tcW w:w="709" w:type="dxa"/>
                  <w:vAlign w:val="center"/>
                </w:tcPr>
                <w:p>
                  <w:pPr>
                    <w:pStyle w:val="32"/>
                    <w:spacing w:line="360" w:lineRule="exact"/>
                    <w:rPr>
                      <w:color w:val="000000" w:themeColor="text1"/>
                      <w:szCs w:val="21"/>
                    </w:rPr>
                  </w:pPr>
                  <w:r>
                    <w:rPr>
                      <w:color w:val="000000" w:themeColor="text1"/>
                      <w:szCs w:val="21"/>
                    </w:rPr>
                    <w:t>产污系数</w:t>
                  </w:r>
                </w:p>
              </w:tc>
              <w:tc>
                <w:tcPr>
                  <w:tcW w:w="1154" w:type="dxa"/>
                  <w:vAlign w:val="center"/>
                </w:tcPr>
                <w:p>
                  <w:pPr>
                    <w:pStyle w:val="32"/>
                    <w:spacing w:line="360" w:lineRule="exact"/>
                    <w:rPr>
                      <w:color w:val="000000" w:themeColor="text1"/>
                      <w:szCs w:val="21"/>
                    </w:rPr>
                  </w:pPr>
                  <w:r>
                    <w:rPr>
                      <w:color w:val="000000" w:themeColor="text1"/>
                      <w:szCs w:val="21"/>
                    </w:rPr>
                    <w:t>末端治理技术</w:t>
                  </w:r>
                </w:p>
              </w:tc>
              <w:tc>
                <w:tcPr>
                  <w:tcW w:w="904" w:type="dxa"/>
                  <w:vAlign w:val="center"/>
                </w:tcPr>
                <w:p>
                  <w:pPr>
                    <w:pStyle w:val="32"/>
                    <w:spacing w:line="360" w:lineRule="exact"/>
                    <w:rPr>
                      <w:color w:val="000000" w:themeColor="text1"/>
                      <w:szCs w:val="21"/>
                    </w:rPr>
                  </w:pPr>
                  <w:r>
                    <w:rPr>
                      <w:color w:val="000000" w:themeColor="text1"/>
                      <w:szCs w:val="21"/>
                    </w:rPr>
                    <w:t>末端治理技术效率（%）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89" w:type="dxa"/>
                  <w:vMerge w:val="restart"/>
                  <w:vAlign w:val="center"/>
                </w:tcPr>
                <w:p>
                  <w:pPr>
                    <w:pStyle w:val="32"/>
                    <w:spacing w:line="360" w:lineRule="exact"/>
                    <w:rPr>
                      <w:color w:val="000000" w:themeColor="text1"/>
                      <w:szCs w:val="21"/>
                    </w:rPr>
                  </w:pPr>
                  <w:r>
                    <w:rPr>
                      <w:color w:val="000000" w:themeColor="text1"/>
                      <w:szCs w:val="21"/>
                    </w:rPr>
                    <w:t>物料输送</w:t>
                  </w:r>
                </w:p>
              </w:tc>
              <w:tc>
                <w:tcPr>
                  <w:tcW w:w="664" w:type="dxa"/>
                  <w:vMerge w:val="restart"/>
                  <w:tcBorders>
                    <w:right w:val="single" w:color="auto" w:sz="4" w:space="0"/>
                  </w:tcBorders>
                  <w:vAlign w:val="center"/>
                </w:tcPr>
                <w:p>
                  <w:pPr>
                    <w:pStyle w:val="32"/>
                    <w:spacing w:line="360" w:lineRule="exact"/>
                    <w:rPr>
                      <w:color w:val="000000" w:themeColor="text1"/>
                      <w:szCs w:val="21"/>
                    </w:rPr>
                  </w:pPr>
                  <w:r>
                    <w:rPr>
                      <w:color w:val="000000" w:themeColor="text1"/>
                      <w:szCs w:val="21"/>
                    </w:rPr>
                    <w:t>各种水泥制品</w:t>
                  </w:r>
                </w:p>
              </w:tc>
              <w:tc>
                <w:tcPr>
                  <w:tcW w:w="858" w:type="dxa"/>
                  <w:vMerge w:val="restart"/>
                  <w:tcBorders>
                    <w:left w:val="single" w:color="auto" w:sz="4" w:space="0"/>
                  </w:tcBorders>
                  <w:vAlign w:val="center"/>
                </w:tcPr>
                <w:p>
                  <w:pPr>
                    <w:pStyle w:val="32"/>
                    <w:spacing w:line="360" w:lineRule="exact"/>
                    <w:rPr>
                      <w:color w:val="000000" w:themeColor="text1"/>
                      <w:szCs w:val="21"/>
                    </w:rPr>
                  </w:pPr>
                  <w:r>
                    <w:rPr>
                      <w:color w:val="000000" w:themeColor="text1"/>
                      <w:szCs w:val="21"/>
                    </w:rPr>
                    <w:t>水泥、砂子、石子、钢筋</w:t>
                  </w:r>
                </w:p>
              </w:tc>
              <w:tc>
                <w:tcPr>
                  <w:tcW w:w="708" w:type="dxa"/>
                  <w:vMerge w:val="restart"/>
                  <w:vAlign w:val="center"/>
                </w:tcPr>
                <w:p>
                  <w:pPr>
                    <w:pStyle w:val="32"/>
                    <w:spacing w:line="360" w:lineRule="exact"/>
                    <w:rPr>
                      <w:color w:val="000000" w:themeColor="text1"/>
                      <w:szCs w:val="21"/>
                    </w:rPr>
                  </w:pPr>
                  <w:r>
                    <w:rPr>
                      <w:color w:val="000000" w:themeColor="text1"/>
                      <w:szCs w:val="21"/>
                    </w:rPr>
                    <w:t>物料输送储存</w:t>
                  </w:r>
                </w:p>
              </w:tc>
              <w:tc>
                <w:tcPr>
                  <w:tcW w:w="709" w:type="dxa"/>
                  <w:vMerge w:val="restart"/>
                  <w:vAlign w:val="center"/>
                </w:tcPr>
                <w:p>
                  <w:pPr>
                    <w:pStyle w:val="32"/>
                    <w:spacing w:line="360" w:lineRule="exact"/>
                    <w:rPr>
                      <w:color w:val="000000" w:themeColor="text1"/>
                      <w:szCs w:val="21"/>
                    </w:rPr>
                  </w:pPr>
                  <w:r>
                    <w:rPr>
                      <w:color w:val="000000" w:themeColor="text1"/>
                      <w:szCs w:val="21"/>
                    </w:rPr>
                    <w:t>所有规模</w:t>
                  </w:r>
                </w:p>
              </w:tc>
              <w:tc>
                <w:tcPr>
                  <w:tcW w:w="567" w:type="dxa"/>
                  <w:vMerge w:val="restart"/>
                  <w:tcBorders>
                    <w:right w:val="single" w:color="auto" w:sz="4" w:space="0"/>
                  </w:tcBorders>
                  <w:vAlign w:val="center"/>
                </w:tcPr>
                <w:p>
                  <w:pPr>
                    <w:pStyle w:val="32"/>
                    <w:spacing w:line="360" w:lineRule="exact"/>
                    <w:rPr>
                      <w:color w:val="000000" w:themeColor="text1"/>
                      <w:szCs w:val="21"/>
                    </w:rPr>
                  </w:pPr>
                  <w:r>
                    <w:rPr>
                      <w:color w:val="000000" w:themeColor="text1"/>
                      <w:szCs w:val="21"/>
                    </w:rPr>
                    <w:t>废气</w:t>
                  </w:r>
                </w:p>
              </w:tc>
              <w:tc>
                <w:tcPr>
                  <w:tcW w:w="709"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废气量</w:t>
                  </w:r>
                </w:p>
              </w:tc>
              <w:tc>
                <w:tcPr>
                  <w:tcW w:w="1134" w:type="dxa"/>
                  <w:vAlign w:val="center"/>
                </w:tcPr>
                <w:p>
                  <w:pPr>
                    <w:pStyle w:val="32"/>
                    <w:spacing w:line="360" w:lineRule="exact"/>
                    <w:rPr>
                      <w:color w:val="000000" w:themeColor="text1"/>
                      <w:szCs w:val="21"/>
                    </w:rPr>
                  </w:pPr>
                  <w:r>
                    <w:rPr>
                      <w:color w:val="000000" w:themeColor="text1"/>
                      <w:szCs w:val="21"/>
                    </w:rPr>
                    <w:t>标立方米/吨-产品</w:t>
                  </w:r>
                </w:p>
              </w:tc>
              <w:tc>
                <w:tcPr>
                  <w:tcW w:w="709" w:type="dxa"/>
                  <w:vAlign w:val="center"/>
                </w:tcPr>
                <w:p>
                  <w:pPr>
                    <w:pStyle w:val="32"/>
                    <w:spacing w:line="360" w:lineRule="exact"/>
                    <w:rPr>
                      <w:color w:val="000000" w:themeColor="text1"/>
                      <w:szCs w:val="21"/>
                    </w:rPr>
                  </w:pPr>
                  <w:r>
                    <w:rPr>
                      <w:color w:val="000000" w:themeColor="text1"/>
                      <w:szCs w:val="21"/>
                    </w:rPr>
                    <w:t>41.8</w:t>
                  </w:r>
                </w:p>
              </w:tc>
              <w:tc>
                <w:tcPr>
                  <w:tcW w:w="1154" w:type="dxa"/>
                  <w:vAlign w:val="center"/>
                </w:tcPr>
                <w:p>
                  <w:pPr>
                    <w:pStyle w:val="32"/>
                    <w:spacing w:line="360" w:lineRule="exact"/>
                    <w:rPr>
                      <w:color w:val="000000" w:themeColor="text1"/>
                      <w:szCs w:val="21"/>
                    </w:rPr>
                  </w:pPr>
                  <w:r>
                    <w:rPr>
                      <w:color w:val="000000" w:themeColor="text1"/>
                      <w:szCs w:val="21"/>
                    </w:rPr>
                    <w:t>/</w:t>
                  </w:r>
                </w:p>
              </w:tc>
              <w:tc>
                <w:tcPr>
                  <w:tcW w:w="904" w:type="dxa"/>
                  <w:vAlign w:val="center"/>
                </w:tcPr>
                <w:p>
                  <w:pPr>
                    <w:pStyle w:val="32"/>
                    <w:spacing w:line="360" w:lineRule="exact"/>
                    <w:rPr>
                      <w:color w:val="000000" w:themeColor="text1"/>
                      <w:szCs w:val="21"/>
                    </w:rPr>
                  </w:pP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7" w:hRule="atLeast"/>
              </w:trPr>
              <w:tc>
                <w:tcPr>
                  <w:tcW w:w="489" w:type="dxa"/>
                  <w:vMerge w:val="continue"/>
                  <w:vAlign w:val="center"/>
                </w:tcPr>
                <w:p>
                  <w:pPr>
                    <w:pStyle w:val="32"/>
                    <w:spacing w:line="360" w:lineRule="exact"/>
                    <w:rPr>
                      <w:color w:val="000000" w:themeColor="text1"/>
                      <w:szCs w:val="21"/>
                    </w:rPr>
                  </w:pPr>
                </w:p>
              </w:tc>
              <w:tc>
                <w:tcPr>
                  <w:tcW w:w="664" w:type="dxa"/>
                  <w:vMerge w:val="continue"/>
                  <w:tcBorders>
                    <w:right w:val="single" w:color="auto" w:sz="4" w:space="0"/>
                  </w:tcBorders>
                  <w:vAlign w:val="center"/>
                </w:tcPr>
                <w:p>
                  <w:pPr>
                    <w:pStyle w:val="32"/>
                    <w:spacing w:line="360" w:lineRule="exact"/>
                    <w:rPr>
                      <w:color w:val="000000" w:themeColor="text1"/>
                      <w:szCs w:val="21"/>
                    </w:rPr>
                  </w:pPr>
                </w:p>
              </w:tc>
              <w:tc>
                <w:tcPr>
                  <w:tcW w:w="858" w:type="dxa"/>
                  <w:vMerge w:val="continue"/>
                  <w:tcBorders>
                    <w:left w:val="single" w:color="auto" w:sz="4" w:space="0"/>
                  </w:tcBorders>
                  <w:vAlign w:val="center"/>
                </w:tcPr>
                <w:p>
                  <w:pPr>
                    <w:pStyle w:val="32"/>
                    <w:spacing w:line="360" w:lineRule="exact"/>
                    <w:rPr>
                      <w:color w:val="000000" w:themeColor="text1"/>
                      <w:szCs w:val="21"/>
                    </w:rPr>
                  </w:pPr>
                </w:p>
              </w:tc>
              <w:tc>
                <w:tcPr>
                  <w:tcW w:w="708" w:type="dxa"/>
                  <w:vMerge w:val="continue"/>
                  <w:vAlign w:val="center"/>
                </w:tcPr>
                <w:p>
                  <w:pPr>
                    <w:pStyle w:val="32"/>
                    <w:spacing w:line="360" w:lineRule="exac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567" w:type="dxa"/>
                  <w:vMerge w:val="continue"/>
                  <w:tcBorders>
                    <w:right w:val="single" w:color="auto" w:sz="4" w:space="0"/>
                  </w:tcBorders>
                  <w:vAlign w:val="center"/>
                </w:tcPr>
                <w:p>
                  <w:pPr>
                    <w:pStyle w:val="32"/>
                    <w:spacing w:line="360" w:lineRule="exact"/>
                    <w:rPr>
                      <w:color w:val="000000" w:themeColor="text1"/>
                      <w:szCs w:val="21"/>
                    </w:rPr>
                  </w:pPr>
                </w:p>
              </w:tc>
              <w:tc>
                <w:tcPr>
                  <w:tcW w:w="709" w:type="dxa"/>
                  <w:vMerge w:val="restart"/>
                  <w:tcBorders>
                    <w:left w:val="single" w:color="auto" w:sz="4" w:space="0"/>
                  </w:tcBorders>
                  <w:vAlign w:val="center"/>
                </w:tcPr>
                <w:p>
                  <w:pPr>
                    <w:pStyle w:val="32"/>
                    <w:spacing w:line="360" w:lineRule="exact"/>
                    <w:rPr>
                      <w:color w:val="000000" w:themeColor="text1"/>
                      <w:szCs w:val="21"/>
                    </w:rPr>
                  </w:pPr>
                  <w:r>
                    <w:rPr>
                      <w:color w:val="000000" w:themeColor="text1"/>
                      <w:szCs w:val="21"/>
                    </w:rPr>
                    <w:t>颗粒物</w:t>
                  </w:r>
                </w:p>
              </w:tc>
              <w:tc>
                <w:tcPr>
                  <w:tcW w:w="1134" w:type="dxa"/>
                  <w:vMerge w:val="restart"/>
                  <w:vAlign w:val="center"/>
                </w:tcPr>
                <w:p>
                  <w:pPr>
                    <w:pStyle w:val="32"/>
                    <w:spacing w:line="360" w:lineRule="exact"/>
                    <w:rPr>
                      <w:color w:val="000000" w:themeColor="text1"/>
                      <w:szCs w:val="21"/>
                    </w:rPr>
                  </w:pPr>
                  <w:r>
                    <w:rPr>
                      <w:color w:val="000000" w:themeColor="text1"/>
                      <w:szCs w:val="21"/>
                    </w:rPr>
                    <w:t>千克/吨-产品</w:t>
                  </w:r>
                </w:p>
              </w:tc>
              <w:tc>
                <w:tcPr>
                  <w:tcW w:w="709" w:type="dxa"/>
                  <w:vMerge w:val="restart"/>
                  <w:vAlign w:val="center"/>
                </w:tcPr>
                <w:p>
                  <w:pPr>
                    <w:pStyle w:val="32"/>
                    <w:spacing w:line="360" w:lineRule="exact"/>
                    <w:rPr>
                      <w:color w:val="000000" w:themeColor="text1"/>
                      <w:szCs w:val="21"/>
                    </w:rPr>
                  </w:pPr>
                  <w:r>
                    <w:rPr>
                      <w:color w:val="000000" w:themeColor="text1"/>
                      <w:szCs w:val="21"/>
                    </w:rPr>
                    <w:t>0.19</w:t>
                  </w:r>
                </w:p>
              </w:tc>
              <w:tc>
                <w:tcPr>
                  <w:tcW w:w="1154" w:type="dxa"/>
                  <w:tcBorders>
                    <w:bottom w:val="single" w:color="auto" w:sz="4" w:space="0"/>
                  </w:tcBorders>
                  <w:vAlign w:val="center"/>
                </w:tcPr>
                <w:p>
                  <w:pPr>
                    <w:pStyle w:val="32"/>
                    <w:spacing w:line="360" w:lineRule="exact"/>
                    <w:rPr>
                      <w:color w:val="000000" w:themeColor="text1"/>
                      <w:szCs w:val="21"/>
                    </w:rPr>
                  </w:pPr>
                  <w:r>
                    <w:rPr>
                      <w:color w:val="000000" w:themeColor="text1"/>
                      <w:szCs w:val="21"/>
                    </w:rPr>
                    <w:t>袋式除尘</w:t>
                  </w:r>
                </w:p>
              </w:tc>
              <w:tc>
                <w:tcPr>
                  <w:tcW w:w="904" w:type="dxa"/>
                  <w:tcBorders>
                    <w:bottom w:val="single" w:color="auto" w:sz="4" w:space="0"/>
                  </w:tcBorders>
                  <w:vAlign w:val="center"/>
                </w:tcPr>
                <w:p>
                  <w:pPr>
                    <w:pStyle w:val="32"/>
                    <w:spacing w:line="360" w:lineRule="exact"/>
                    <w:rPr>
                      <w:color w:val="000000" w:themeColor="text1"/>
                      <w:szCs w:val="21"/>
                    </w:rPr>
                  </w:pPr>
                  <w:r>
                    <w:rPr>
                      <w:color w:val="000000" w:themeColor="text1"/>
                      <w:szCs w:val="21"/>
                    </w:rPr>
                    <w:t>99.7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 w:hRule="atLeast"/>
              </w:trPr>
              <w:tc>
                <w:tcPr>
                  <w:tcW w:w="489" w:type="dxa"/>
                  <w:vMerge w:val="continue"/>
                  <w:vAlign w:val="center"/>
                </w:tcPr>
                <w:p>
                  <w:pPr>
                    <w:pStyle w:val="32"/>
                    <w:spacing w:line="360" w:lineRule="exact"/>
                    <w:rPr>
                      <w:color w:val="000000" w:themeColor="text1"/>
                      <w:szCs w:val="21"/>
                    </w:rPr>
                  </w:pPr>
                </w:p>
              </w:tc>
              <w:tc>
                <w:tcPr>
                  <w:tcW w:w="664" w:type="dxa"/>
                  <w:vMerge w:val="continue"/>
                  <w:tcBorders>
                    <w:right w:val="single" w:color="auto" w:sz="4" w:space="0"/>
                  </w:tcBorders>
                  <w:vAlign w:val="center"/>
                </w:tcPr>
                <w:p>
                  <w:pPr>
                    <w:pStyle w:val="32"/>
                    <w:spacing w:line="360" w:lineRule="exact"/>
                    <w:rPr>
                      <w:color w:val="000000" w:themeColor="text1"/>
                      <w:szCs w:val="21"/>
                    </w:rPr>
                  </w:pPr>
                </w:p>
              </w:tc>
              <w:tc>
                <w:tcPr>
                  <w:tcW w:w="858" w:type="dxa"/>
                  <w:vMerge w:val="continue"/>
                  <w:tcBorders>
                    <w:left w:val="single" w:color="auto" w:sz="4" w:space="0"/>
                  </w:tcBorders>
                  <w:vAlign w:val="center"/>
                </w:tcPr>
                <w:p>
                  <w:pPr>
                    <w:pStyle w:val="32"/>
                    <w:spacing w:line="360" w:lineRule="exact"/>
                    <w:rPr>
                      <w:color w:val="000000" w:themeColor="text1"/>
                      <w:szCs w:val="21"/>
                    </w:rPr>
                  </w:pPr>
                </w:p>
              </w:tc>
              <w:tc>
                <w:tcPr>
                  <w:tcW w:w="708" w:type="dxa"/>
                  <w:vMerge w:val="continue"/>
                  <w:vAlign w:val="center"/>
                </w:tcPr>
                <w:p>
                  <w:pPr>
                    <w:pStyle w:val="32"/>
                    <w:spacing w:line="360" w:lineRule="exac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567" w:type="dxa"/>
                  <w:vMerge w:val="continue"/>
                  <w:tcBorders>
                    <w:right w:val="single" w:color="auto" w:sz="4" w:space="0"/>
                  </w:tcBorders>
                  <w:vAlign w:val="center"/>
                </w:tcPr>
                <w:p>
                  <w:pPr>
                    <w:pStyle w:val="32"/>
                    <w:spacing w:line="360" w:lineRule="exact"/>
                    <w:rPr>
                      <w:color w:val="000000" w:themeColor="text1"/>
                      <w:szCs w:val="21"/>
                    </w:rPr>
                  </w:pPr>
                </w:p>
              </w:tc>
              <w:tc>
                <w:tcPr>
                  <w:tcW w:w="709" w:type="dxa"/>
                  <w:vMerge w:val="continue"/>
                  <w:tcBorders>
                    <w:left w:val="single" w:color="auto" w:sz="4" w:space="0"/>
                  </w:tcBorders>
                  <w:vAlign w:val="center"/>
                </w:tcPr>
                <w:p>
                  <w:pPr>
                    <w:pStyle w:val="32"/>
                    <w:spacing w:line="360" w:lineRule="exact"/>
                    <w:rPr>
                      <w:color w:val="000000" w:themeColor="text1"/>
                      <w:szCs w:val="21"/>
                    </w:rPr>
                  </w:pPr>
                </w:p>
              </w:tc>
              <w:tc>
                <w:tcPr>
                  <w:tcW w:w="1134" w:type="dxa"/>
                  <w:vMerge w:val="continue"/>
                  <w:vAlign w:val="center"/>
                </w:tcPr>
                <w:p>
                  <w:pPr>
                    <w:pStyle w:val="32"/>
                    <w:spacing w:line="360" w:lineRule="exac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1154" w:type="dxa"/>
                  <w:tcBorders>
                    <w:top w:val="single" w:color="auto" w:sz="4" w:space="0"/>
                    <w:bottom w:val="single" w:color="auto" w:sz="4" w:space="0"/>
                  </w:tcBorders>
                  <w:vAlign w:val="center"/>
                </w:tcPr>
                <w:p>
                  <w:pPr>
                    <w:pStyle w:val="32"/>
                    <w:spacing w:line="360" w:lineRule="exact"/>
                    <w:rPr>
                      <w:color w:val="000000" w:themeColor="text1"/>
                      <w:szCs w:val="21"/>
                    </w:rPr>
                  </w:pPr>
                  <w:r>
                    <w:rPr>
                      <w:color w:val="000000" w:themeColor="text1"/>
                      <w:szCs w:val="21"/>
                    </w:rPr>
                    <w:t>直排</w:t>
                  </w:r>
                </w:p>
              </w:tc>
              <w:tc>
                <w:tcPr>
                  <w:tcW w:w="904" w:type="dxa"/>
                  <w:tcBorders>
                    <w:top w:val="single" w:color="auto" w:sz="4" w:space="0"/>
                    <w:bottom w:val="single" w:color="auto" w:sz="4" w:space="0"/>
                  </w:tcBorders>
                  <w:vAlign w:val="center"/>
                </w:tcPr>
                <w:p>
                  <w:pPr>
                    <w:pStyle w:val="32"/>
                    <w:spacing w:line="360" w:lineRule="exact"/>
                    <w:rPr>
                      <w:color w:val="000000" w:themeColor="text1"/>
                      <w:szCs w:val="21"/>
                    </w:rPr>
                  </w:pPr>
                  <w:r>
                    <w:rPr>
                      <w:color w:val="000000" w:themeColor="text1"/>
                      <w:szCs w:val="21"/>
                    </w:rPr>
                    <w:t>/</w:t>
                  </w:r>
                </w:p>
              </w:tc>
            </w:tr>
          </w:tbl>
          <w:p>
            <w:pPr>
              <w:spacing w:beforeLines="50"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由上表可知，项目水泥用量为2644.65t/a，水泥仓顶端设置1#袋式除尘器对其处理后通过（DA001）外排，袋式除尘器除尘效率为99.7%，根据上表参数计算，项目水泥仓粉尘产排情况如下表所示。</w:t>
            </w:r>
          </w:p>
          <w:p>
            <w:pPr>
              <w:jc w:val="center"/>
              <w:rPr>
                <w:rFonts w:ascii="Times New Roman" w:hAnsi="Times New Roman" w:eastAsia="宋体" w:cs="Times New Roman"/>
                <w:b/>
                <w:color w:val="000000" w:themeColor="text1"/>
                <w:szCs w:val="24"/>
              </w:rPr>
            </w:pPr>
            <w:r>
              <w:rPr>
                <w:rFonts w:ascii="Times New Roman" w:hAnsi="Times New Roman" w:eastAsia="宋体" w:cs="Times New Roman"/>
                <w:b/>
                <w:color w:val="000000" w:themeColor="text1"/>
                <w:szCs w:val="24"/>
              </w:rPr>
              <w:t>表4.2.1-3  水泥仓粉尘产排情况一览表</w:t>
            </w:r>
          </w:p>
          <w:tbl>
            <w:tblPr>
              <w:tblStyle w:val="20"/>
              <w:tblW w:w="5000" w:type="pct"/>
              <w:jc w:val="center"/>
              <w:tblLayout w:type="fixed"/>
              <w:tblCellMar>
                <w:top w:w="0" w:type="dxa"/>
                <w:left w:w="108" w:type="dxa"/>
                <w:bottom w:w="0" w:type="dxa"/>
                <w:right w:w="108" w:type="dxa"/>
              </w:tblCellMar>
            </w:tblPr>
            <w:tblGrid>
              <w:gridCol w:w="884"/>
              <w:gridCol w:w="1060"/>
              <w:gridCol w:w="1063"/>
              <w:gridCol w:w="1062"/>
              <w:gridCol w:w="1210"/>
              <w:gridCol w:w="1062"/>
              <w:gridCol w:w="1062"/>
              <w:gridCol w:w="1210"/>
            </w:tblGrid>
            <w:tr>
              <w:tblPrEx>
                <w:tblCellMar>
                  <w:top w:w="0" w:type="dxa"/>
                  <w:left w:w="108" w:type="dxa"/>
                  <w:bottom w:w="0" w:type="dxa"/>
                  <w:right w:w="108" w:type="dxa"/>
                </w:tblCellMar>
              </w:tblPrEx>
              <w:trPr>
                <w:trHeight w:val="331" w:hRule="atLeast"/>
                <w:jc w:val="center"/>
              </w:trPr>
              <w:tc>
                <w:tcPr>
                  <w:tcW w:w="874"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产物环节</w:t>
                  </w:r>
                </w:p>
              </w:tc>
              <w:tc>
                <w:tcPr>
                  <w:tcW w:w="1049"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污染物类型</w:t>
                  </w:r>
                </w:p>
              </w:tc>
              <w:tc>
                <w:tcPr>
                  <w:tcW w:w="3300" w:type="dxa"/>
                  <w:gridSpan w:val="3"/>
                  <w:tcBorders>
                    <w:top w:val="single" w:color="auto" w:sz="8" w:space="0"/>
                    <w:left w:val="nil"/>
                    <w:right w:val="single" w:color="auto" w:sz="4" w:space="0"/>
                  </w:tcBorders>
                  <w:shd w:val="clear" w:color="auto" w:fill="auto"/>
                  <w:vAlign w:val="center"/>
                </w:tcPr>
                <w:p>
                  <w:pPr>
                    <w:pStyle w:val="32"/>
                    <w:snapToGrid w:val="0"/>
                    <w:spacing w:line="360" w:lineRule="exact"/>
                    <w:rPr>
                      <w:color w:val="000000" w:themeColor="text1"/>
                      <w:szCs w:val="21"/>
                    </w:rPr>
                  </w:pPr>
                  <w:r>
                    <w:rPr>
                      <w:color w:val="000000" w:themeColor="text1"/>
                      <w:szCs w:val="21"/>
                    </w:rPr>
                    <w:t>产生情况</w:t>
                  </w:r>
                </w:p>
              </w:tc>
              <w:tc>
                <w:tcPr>
                  <w:tcW w:w="3299" w:type="dxa"/>
                  <w:gridSpan w:val="3"/>
                  <w:tcBorders>
                    <w:top w:val="single" w:color="auto" w:sz="8" w:space="0"/>
                    <w:left w:val="single" w:color="auto" w:sz="4" w:space="0"/>
                    <w:right w:val="single" w:color="000000" w:sz="8" w:space="0"/>
                  </w:tcBorders>
                  <w:shd w:val="clear" w:color="auto" w:fill="auto"/>
                  <w:vAlign w:val="center"/>
                </w:tcPr>
                <w:p>
                  <w:pPr>
                    <w:pStyle w:val="32"/>
                    <w:snapToGrid w:val="0"/>
                    <w:spacing w:line="360" w:lineRule="exact"/>
                    <w:rPr>
                      <w:color w:val="000000" w:themeColor="text1"/>
                      <w:szCs w:val="21"/>
                    </w:rPr>
                  </w:pPr>
                  <w:r>
                    <w:rPr>
                      <w:color w:val="000000" w:themeColor="text1"/>
                      <w:szCs w:val="21"/>
                    </w:rPr>
                    <w:t>排放情况</w:t>
                  </w:r>
                </w:p>
              </w:tc>
            </w:tr>
            <w:tr>
              <w:tblPrEx>
                <w:tblCellMar>
                  <w:top w:w="0" w:type="dxa"/>
                  <w:left w:w="108" w:type="dxa"/>
                  <w:bottom w:w="0" w:type="dxa"/>
                  <w:right w:w="108" w:type="dxa"/>
                </w:tblCellMar>
              </w:tblPrEx>
              <w:trPr>
                <w:trHeight w:val="588" w:hRule="atLeast"/>
                <w:jc w:val="center"/>
              </w:trPr>
              <w:tc>
                <w:tcPr>
                  <w:tcW w:w="874"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szCs w:val="21"/>
                    </w:rPr>
                  </w:pPr>
                </w:p>
              </w:tc>
              <w:tc>
                <w:tcPr>
                  <w:tcW w:w="1049"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szCs w:val="21"/>
                    </w:rPr>
                  </w:pPr>
                </w:p>
              </w:tc>
              <w:tc>
                <w:tcPr>
                  <w:tcW w:w="1052"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产生量（t/a）</w:t>
                  </w:r>
                </w:p>
              </w:tc>
              <w:tc>
                <w:tcPr>
                  <w:tcW w:w="1051" w:type="dxa"/>
                  <w:tcBorders>
                    <w:top w:val="single" w:color="auto" w:sz="4" w:space="0"/>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rPr>
                  </w:pPr>
                  <w:r>
                    <w:rPr>
                      <w:color w:val="000000" w:themeColor="text1"/>
                      <w:szCs w:val="21"/>
                    </w:rPr>
                    <w:t>产生速率（kg/h）</w:t>
                  </w:r>
                </w:p>
              </w:tc>
              <w:tc>
                <w:tcPr>
                  <w:tcW w:w="1197" w:type="dxa"/>
                  <w:tcBorders>
                    <w:top w:val="single" w:color="auto" w:sz="4" w:space="0"/>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产生浓度（mg/m³）</w:t>
                  </w:r>
                </w:p>
              </w:tc>
              <w:tc>
                <w:tcPr>
                  <w:tcW w:w="1051" w:type="dxa"/>
                  <w:tcBorders>
                    <w:top w:val="single" w:color="auto" w:sz="4" w:space="0"/>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排放量（t/a）</w:t>
                  </w:r>
                </w:p>
              </w:tc>
              <w:tc>
                <w:tcPr>
                  <w:tcW w:w="1051" w:type="dxa"/>
                  <w:tcBorders>
                    <w:top w:val="single" w:color="auto" w:sz="4" w:space="0"/>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rPr>
                  </w:pPr>
                  <w:r>
                    <w:rPr>
                      <w:color w:val="000000" w:themeColor="text1"/>
                      <w:szCs w:val="21"/>
                    </w:rPr>
                    <w:t>排放速率（kg/h）</w:t>
                  </w:r>
                </w:p>
              </w:tc>
              <w:tc>
                <w:tcPr>
                  <w:tcW w:w="1197" w:type="dxa"/>
                  <w:tcBorders>
                    <w:top w:val="single" w:color="auto" w:sz="4" w:space="0"/>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排放浓度（mg/m³）</w:t>
                  </w:r>
                </w:p>
              </w:tc>
            </w:tr>
            <w:tr>
              <w:tblPrEx>
                <w:tblCellMar>
                  <w:top w:w="0" w:type="dxa"/>
                  <w:left w:w="108" w:type="dxa"/>
                  <w:bottom w:w="0" w:type="dxa"/>
                  <w:right w:w="108" w:type="dxa"/>
                </w:tblCellMar>
              </w:tblPrEx>
              <w:trPr>
                <w:trHeight w:val="56" w:hRule="atLeast"/>
                <w:jc w:val="center"/>
              </w:trPr>
              <w:tc>
                <w:tcPr>
                  <w:tcW w:w="874" w:type="dxa"/>
                  <w:vMerge w:val="restart"/>
                  <w:tcBorders>
                    <w:top w:val="single" w:color="auto" w:sz="8" w:space="0"/>
                    <w:left w:val="single" w:color="auto" w:sz="8" w:space="0"/>
                    <w:right w:val="single" w:color="auto" w:sz="8" w:space="0"/>
                  </w:tcBorders>
                  <w:vAlign w:val="center"/>
                </w:tcPr>
                <w:p>
                  <w:pPr>
                    <w:pStyle w:val="32"/>
                    <w:spacing w:line="360" w:lineRule="exact"/>
                    <w:rPr>
                      <w:color w:val="000000" w:themeColor="text1"/>
                      <w:szCs w:val="21"/>
                    </w:rPr>
                  </w:pPr>
                  <w:r>
                    <w:rPr>
                      <w:color w:val="000000" w:themeColor="text1"/>
                      <w:szCs w:val="21"/>
                    </w:rPr>
                    <w:t>水泥仓粉尘</w:t>
                  </w:r>
                </w:p>
              </w:tc>
              <w:tc>
                <w:tcPr>
                  <w:tcW w:w="1049" w:type="dxa"/>
                  <w:tcBorders>
                    <w:top w:val="single" w:color="auto" w:sz="8" w:space="0"/>
                    <w:left w:val="single" w:color="auto" w:sz="8" w:space="0"/>
                    <w:bottom w:val="single" w:color="auto" w:sz="4" w:space="0"/>
                    <w:right w:val="single" w:color="auto" w:sz="8" w:space="0"/>
                  </w:tcBorders>
                  <w:vAlign w:val="center"/>
                </w:tcPr>
                <w:p>
                  <w:pPr>
                    <w:pStyle w:val="32"/>
                    <w:spacing w:line="360" w:lineRule="exact"/>
                    <w:rPr>
                      <w:color w:val="000000" w:themeColor="text1"/>
                      <w:szCs w:val="21"/>
                    </w:rPr>
                  </w:pPr>
                  <w:r>
                    <w:rPr>
                      <w:color w:val="000000" w:themeColor="text1"/>
                      <w:szCs w:val="21"/>
                    </w:rPr>
                    <w:t>废气量</w:t>
                  </w:r>
                </w:p>
              </w:tc>
              <w:tc>
                <w:tcPr>
                  <w:tcW w:w="3300" w:type="dxa"/>
                  <w:gridSpan w:val="3"/>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110546</w:t>
                  </w:r>
                </w:p>
              </w:tc>
              <w:tc>
                <w:tcPr>
                  <w:tcW w:w="3299" w:type="dxa"/>
                  <w:gridSpan w:val="3"/>
                  <w:tcBorders>
                    <w:top w:val="nil"/>
                    <w:left w:val="nil"/>
                    <w:bottom w:val="single" w:color="auto" w:sz="4"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110546</w:t>
                  </w:r>
                </w:p>
              </w:tc>
            </w:tr>
            <w:tr>
              <w:tblPrEx>
                <w:tblCellMar>
                  <w:top w:w="0" w:type="dxa"/>
                  <w:left w:w="108" w:type="dxa"/>
                  <w:bottom w:w="0" w:type="dxa"/>
                  <w:right w:w="108" w:type="dxa"/>
                </w:tblCellMar>
              </w:tblPrEx>
              <w:trPr>
                <w:trHeight w:val="56" w:hRule="atLeast"/>
                <w:jc w:val="center"/>
              </w:trPr>
              <w:tc>
                <w:tcPr>
                  <w:tcW w:w="874" w:type="dxa"/>
                  <w:vMerge w:val="continue"/>
                  <w:tcBorders>
                    <w:left w:val="single" w:color="auto" w:sz="8" w:space="0"/>
                    <w:bottom w:val="single" w:color="auto" w:sz="4" w:space="0"/>
                    <w:right w:val="single" w:color="auto" w:sz="8" w:space="0"/>
                  </w:tcBorders>
                  <w:vAlign w:val="center"/>
                </w:tcPr>
                <w:p>
                  <w:pPr>
                    <w:pStyle w:val="32"/>
                    <w:spacing w:line="360" w:lineRule="exact"/>
                    <w:rPr>
                      <w:color w:val="000000" w:themeColor="text1"/>
                      <w:szCs w:val="21"/>
                    </w:rPr>
                  </w:pPr>
                </w:p>
              </w:tc>
              <w:tc>
                <w:tcPr>
                  <w:tcW w:w="1049" w:type="dxa"/>
                  <w:tcBorders>
                    <w:top w:val="single" w:color="auto" w:sz="8" w:space="0"/>
                    <w:left w:val="single" w:color="auto" w:sz="8" w:space="0"/>
                    <w:bottom w:val="single" w:color="auto" w:sz="4" w:space="0"/>
                    <w:right w:val="single" w:color="auto" w:sz="8" w:space="0"/>
                  </w:tcBorders>
                  <w:vAlign w:val="center"/>
                </w:tcPr>
                <w:p>
                  <w:pPr>
                    <w:pStyle w:val="32"/>
                    <w:spacing w:line="360" w:lineRule="exact"/>
                    <w:rPr>
                      <w:color w:val="000000" w:themeColor="text1"/>
                      <w:szCs w:val="21"/>
                    </w:rPr>
                  </w:pPr>
                  <w:r>
                    <w:rPr>
                      <w:color w:val="000000" w:themeColor="text1"/>
                      <w:szCs w:val="21"/>
                    </w:rPr>
                    <w:t>颗粒物</w:t>
                  </w:r>
                </w:p>
              </w:tc>
              <w:tc>
                <w:tcPr>
                  <w:tcW w:w="1052"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0.50</w:t>
                  </w:r>
                </w:p>
              </w:tc>
              <w:tc>
                <w:tcPr>
                  <w:tcW w:w="1051" w:type="dxa"/>
                  <w:tcBorders>
                    <w:top w:val="nil"/>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rPr>
                  </w:pPr>
                  <w:r>
                    <w:rPr>
                      <w:color w:val="000000" w:themeColor="text1"/>
                      <w:szCs w:val="21"/>
                    </w:rPr>
                    <w:t>0.10</w:t>
                  </w:r>
                </w:p>
              </w:tc>
              <w:tc>
                <w:tcPr>
                  <w:tcW w:w="1197" w:type="dxa"/>
                  <w:tcBorders>
                    <w:top w:val="nil"/>
                    <w:left w:val="single" w:color="auto" w:sz="4" w:space="0"/>
                    <w:bottom w:val="single" w:color="auto" w:sz="4"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4523</w:t>
                  </w:r>
                </w:p>
              </w:tc>
              <w:tc>
                <w:tcPr>
                  <w:tcW w:w="1051" w:type="dxa"/>
                  <w:tcBorders>
                    <w:top w:val="nil"/>
                    <w:left w:val="nil"/>
                    <w:bottom w:val="single" w:color="auto" w:sz="4"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0.0015</w:t>
                  </w:r>
                </w:p>
              </w:tc>
              <w:tc>
                <w:tcPr>
                  <w:tcW w:w="1051" w:type="dxa"/>
                  <w:tcBorders>
                    <w:top w:val="nil"/>
                    <w:left w:val="nil"/>
                    <w:bottom w:val="single" w:color="auto" w:sz="4" w:space="0"/>
                    <w:right w:val="single" w:color="auto" w:sz="4" w:space="0"/>
                  </w:tcBorders>
                  <w:shd w:val="clear" w:color="auto" w:fill="auto"/>
                  <w:vAlign w:val="center"/>
                </w:tcPr>
                <w:p>
                  <w:pPr>
                    <w:pStyle w:val="32"/>
                    <w:spacing w:line="360" w:lineRule="exact"/>
                    <w:rPr>
                      <w:color w:val="000000" w:themeColor="text1"/>
                      <w:szCs w:val="21"/>
                    </w:rPr>
                  </w:pPr>
                  <w:r>
                    <w:rPr>
                      <w:color w:val="000000" w:themeColor="text1"/>
                      <w:szCs w:val="21"/>
                    </w:rPr>
                    <w:t>0.0003</w:t>
                  </w:r>
                </w:p>
              </w:tc>
              <w:tc>
                <w:tcPr>
                  <w:tcW w:w="1197" w:type="dxa"/>
                  <w:tcBorders>
                    <w:top w:val="nil"/>
                    <w:left w:val="single" w:color="auto" w:sz="4" w:space="0"/>
                    <w:bottom w:val="single" w:color="auto" w:sz="4"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13.57</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②</w:t>
            </w:r>
            <w:r>
              <w:rPr>
                <w:rFonts w:ascii="Times New Roman" w:hAnsi="Times New Roman" w:cs="Times New Roman"/>
                <w:b/>
                <w:color w:val="000000" w:themeColor="text1"/>
                <w:sz w:val="24"/>
                <w:szCs w:val="24"/>
              </w:rPr>
              <w:t>搅拌混合粉尘</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w:t>
            </w:r>
            <w:r>
              <w:rPr>
                <w:rFonts w:hint="eastAsia" w:ascii="Times New Roman" w:hAnsi="Times New Roman" w:cs="Times New Roman"/>
                <w:color w:val="000000" w:themeColor="text1"/>
                <w:sz w:val="24"/>
                <w:szCs w:val="24"/>
              </w:rPr>
              <w:t>二期工程</w:t>
            </w:r>
            <w:r>
              <w:rPr>
                <w:rFonts w:ascii="Times New Roman" w:hAnsi="Times New Roman" w:cs="Times New Roman"/>
                <w:color w:val="000000" w:themeColor="text1"/>
                <w:sz w:val="24"/>
                <w:szCs w:val="24"/>
              </w:rPr>
              <w:t>生产工艺，水泥砖在搅拌混合工序在加料过程中会产生一定量的粉尘，根据《排放源统计调查产排污核算方法和系数手册》中“C3021 水泥制品制造行业系数手册”物料输送储存过程颗粒物产污系数如下表所示。</w:t>
            </w:r>
          </w:p>
          <w:p>
            <w:pPr>
              <w:jc w:val="center"/>
              <w:rPr>
                <w:rFonts w:ascii="Times New Roman" w:hAnsi="Times New Roman" w:eastAsia="宋体" w:cs="Times New Roman"/>
                <w:b/>
                <w:color w:val="000000" w:themeColor="text1"/>
                <w:szCs w:val="24"/>
              </w:rPr>
            </w:pPr>
            <w:r>
              <w:rPr>
                <w:rFonts w:ascii="Times New Roman" w:hAnsi="Times New Roman" w:eastAsia="宋体" w:cs="Times New Roman"/>
                <w:b/>
                <w:color w:val="000000" w:themeColor="text1"/>
                <w:szCs w:val="24"/>
              </w:rPr>
              <w:t>表4.2.1-</w:t>
            </w:r>
            <w:r>
              <w:rPr>
                <w:rFonts w:hint="eastAsia" w:ascii="Times New Roman" w:hAnsi="Times New Roman" w:eastAsia="宋体" w:cs="Times New Roman"/>
                <w:b/>
                <w:color w:val="000000" w:themeColor="text1"/>
                <w:szCs w:val="24"/>
              </w:rPr>
              <w:t>4</w:t>
            </w:r>
            <w:r>
              <w:rPr>
                <w:rFonts w:ascii="Times New Roman" w:hAnsi="Times New Roman" w:eastAsia="宋体" w:cs="Times New Roman"/>
                <w:b/>
                <w:color w:val="000000" w:themeColor="text1"/>
                <w:szCs w:val="24"/>
              </w:rPr>
              <w:t xml:space="preserve">   3021 水泥制品制造行业系数表</w:t>
            </w:r>
          </w:p>
          <w:tbl>
            <w:tblPr>
              <w:tblStyle w:val="2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92"/>
              <w:gridCol w:w="664"/>
              <w:gridCol w:w="857"/>
              <w:gridCol w:w="850"/>
              <w:gridCol w:w="851"/>
              <w:gridCol w:w="708"/>
              <w:gridCol w:w="567"/>
              <w:gridCol w:w="709"/>
              <w:gridCol w:w="851"/>
              <w:gridCol w:w="1152"/>
              <w:gridCol w:w="90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86" w:type="dxa"/>
                  <w:vAlign w:val="center"/>
                </w:tcPr>
                <w:p>
                  <w:pPr>
                    <w:pStyle w:val="32"/>
                    <w:spacing w:line="360" w:lineRule="exact"/>
                    <w:rPr>
                      <w:color w:val="000000" w:themeColor="text1"/>
                      <w:szCs w:val="21"/>
                    </w:rPr>
                  </w:pPr>
                  <w:r>
                    <w:rPr>
                      <w:color w:val="000000" w:themeColor="text1"/>
                      <w:szCs w:val="21"/>
                    </w:rPr>
                    <w:t>工段名称</w:t>
                  </w:r>
                </w:p>
              </w:tc>
              <w:tc>
                <w:tcPr>
                  <w:tcW w:w="658"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产品名称</w:t>
                  </w:r>
                </w:p>
              </w:tc>
              <w:tc>
                <w:tcPr>
                  <w:tcW w:w="849"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原料名称</w:t>
                  </w:r>
                </w:p>
              </w:tc>
              <w:tc>
                <w:tcPr>
                  <w:tcW w:w="842" w:type="dxa"/>
                  <w:vAlign w:val="center"/>
                </w:tcPr>
                <w:p>
                  <w:pPr>
                    <w:pStyle w:val="32"/>
                    <w:spacing w:line="360" w:lineRule="exact"/>
                    <w:rPr>
                      <w:color w:val="000000" w:themeColor="text1"/>
                      <w:szCs w:val="21"/>
                    </w:rPr>
                  </w:pPr>
                  <w:r>
                    <w:rPr>
                      <w:color w:val="000000" w:themeColor="text1"/>
                      <w:szCs w:val="21"/>
                    </w:rPr>
                    <w:t>工艺名称</w:t>
                  </w:r>
                </w:p>
              </w:tc>
              <w:tc>
                <w:tcPr>
                  <w:tcW w:w="843" w:type="dxa"/>
                  <w:vAlign w:val="center"/>
                </w:tcPr>
                <w:p>
                  <w:pPr>
                    <w:pStyle w:val="32"/>
                    <w:spacing w:line="360" w:lineRule="exact"/>
                    <w:rPr>
                      <w:color w:val="000000" w:themeColor="text1"/>
                      <w:szCs w:val="21"/>
                    </w:rPr>
                  </w:pPr>
                  <w:r>
                    <w:rPr>
                      <w:color w:val="000000" w:themeColor="text1"/>
                      <w:szCs w:val="21"/>
                    </w:rPr>
                    <w:t>规模等级</w:t>
                  </w:r>
                </w:p>
              </w:tc>
              <w:tc>
                <w:tcPr>
                  <w:tcW w:w="1263" w:type="dxa"/>
                  <w:gridSpan w:val="2"/>
                  <w:vAlign w:val="center"/>
                </w:tcPr>
                <w:p>
                  <w:pPr>
                    <w:pStyle w:val="32"/>
                    <w:spacing w:line="360" w:lineRule="exact"/>
                    <w:rPr>
                      <w:color w:val="000000" w:themeColor="text1"/>
                      <w:szCs w:val="21"/>
                    </w:rPr>
                  </w:pPr>
                  <w:r>
                    <w:rPr>
                      <w:color w:val="000000" w:themeColor="text1"/>
                      <w:szCs w:val="21"/>
                    </w:rPr>
                    <w:t>污染物指标</w:t>
                  </w:r>
                </w:p>
              </w:tc>
              <w:tc>
                <w:tcPr>
                  <w:tcW w:w="702" w:type="dxa"/>
                  <w:vAlign w:val="center"/>
                </w:tcPr>
                <w:p>
                  <w:pPr>
                    <w:pStyle w:val="32"/>
                    <w:spacing w:line="360" w:lineRule="exact"/>
                    <w:rPr>
                      <w:color w:val="000000" w:themeColor="text1"/>
                      <w:szCs w:val="21"/>
                    </w:rPr>
                  </w:pPr>
                  <w:r>
                    <w:rPr>
                      <w:color w:val="000000" w:themeColor="text1"/>
                      <w:szCs w:val="21"/>
                    </w:rPr>
                    <w:t>系数单位</w:t>
                  </w:r>
                </w:p>
              </w:tc>
              <w:tc>
                <w:tcPr>
                  <w:tcW w:w="843" w:type="dxa"/>
                  <w:vAlign w:val="center"/>
                </w:tcPr>
                <w:p>
                  <w:pPr>
                    <w:pStyle w:val="32"/>
                    <w:spacing w:line="360" w:lineRule="exact"/>
                    <w:rPr>
                      <w:color w:val="000000" w:themeColor="text1"/>
                      <w:szCs w:val="21"/>
                    </w:rPr>
                  </w:pPr>
                  <w:r>
                    <w:rPr>
                      <w:color w:val="000000" w:themeColor="text1"/>
                      <w:szCs w:val="21"/>
                    </w:rPr>
                    <w:t>产污系数</w:t>
                  </w:r>
                </w:p>
              </w:tc>
              <w:tc>
                <w:tcPr>
                  <w:tcW w:w="1141" w:type="dxa"/>
                  <w:vAlign w:val="center"/>
                </w:tcPr>
                <w:p>
                  <w:pPr>
                    <w:pStyle w:val="32"/>
                    <w:spacing w:line="360" w:lineRule="exact"/>
                    <w:rPr>
                      <w:color w:val="000000" w:themeColor="text1"/>
                      <w:szCs w:val="21"/>
                    </w:rPr>
                  </w:pPr>
                  <w:r>
                    <w:rPr>
                      <w:color w:val="000000" w:themeColor="text1"/>
                      <w:szCs w:val="21"/>
                    </w:rPr>
                    <w:t>末端治理技术</w:t>
                  </w:r>
                </w:p>
              </w:tc>
              <w:tc>
                <w:tcPr>
                  <w:tcW w:w="895" w:type="dxa"/>
                  <w:vAlign w:val="center"/>
                </w:tcPr>
                <w:p>
                  <w:pPr>
                    <w:pStyle w:val="32"/>
                    <w:spacing w:line="360" w:lineRule="exact"/>
                    <w:rPr>
                      <w:color w:val="000000" w:themeColor="text1"/>
                      <w:szCs w:val="21"/>
                    </w:rPr>
                  </w:pPr>
                  <w:r>
                    <w:rPr>
                      <w:color w:val="000000" w:themeColor="text1"/>
                      <w:szCs w:val="21"/>
                    </w:rPr>
                    <w:t>末端治理技术效率（%）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2" w:hRule="atLeast"/>
              </w:trPr>
              <w:tc>
                <w:tcPr>
                  <w:tcW w:w="486" w:type="dxa"/>
                  <w:vMerge w:val="restart"/>
                  <w:vAlign w:val="center"/>
                </w:tcPr>
                <w:p>
                  <w:pPr>
                    <w:pStyle w:val="32"/>
                    <w:spacing w:line="360" w:lineRule="exact"/>
                    <w:rPr>
                      <w:color w:val="000000" w:themeColor="text1"/>
                      <w:szCs w:val="21"/>
                    </w:rPr>
                  </w:pPr>
                  <w:r>
                    <w:rPr>
                      <w:color w:val="000000" w:themeColor="text1"/>
                      <w:szCs w:val="21"/>
                    </w:rPr>
                    <w:t>物料搅拌</w:t>
                  </w:r>
                </w:p>
              </w:tc>
              <w:tc>
                <w:tcPr>
                  <w:tcW w:w="658" w:type="dxa"/>
                  <w:vMerge w:val="restart"/>
                  <w:tcBorders>
                    <w:right w:val="single" w:color="auto" w:sz="4" w:space="0"/>
                  </w:tcBorders>
                  <w:vAlign w:val="center"/>
                </w:tcPr>
                <w:p>
                  <w:pPr>
                    <w:pStyle w:val="32"/>
                    <w:spacing w:line="360" w:lineRule="exact"/>
                    <w:rPr>
                      <w:color w:val="000000" w:themeColor="text1"/>
                      <w:szCs w:val="21"/>
                    </w:rPr>
                  </w:pPr>
                  <w:r>
                    <w:rPr>
                      <w:color w:val="000000" w:themeColor="text1"/>
                      <w:szCs w:val="21"/>
                    </w:rPr>
                    <w:t>各种水泥制品</w:t>
                  </w:r>
                </w:p>
              </w:tc>
              <w:tc>
                <w:tcPr>
                  <w:tcW w:w="849" w:type="dxa"/>
                  <w:vMerge w:val="restart"/>
                  <w:tcBorders>
                    <w:left w:val="single" w:color="auto" w:sz="4" w:space="0"/>
                  </w:tcBorders>
                  <w:vAlign w:val="center"/>
                </w:tcPr>
                <w:p>
                  <w:pPr>
                    <w:pStyle w:val="32"/>
                    <w:spacing w:line="360" w:lineRule="exact"/>
                    <w:rPr>
                      <w:color w:val="000000" w:themeColor="text1"/>
                      <w:szCs w:val="21"/>
                    </w:rPr>
                  </w:pPr>
                  <w:r>
                    <w:rPr>
                      <w:color w:val="000000" w:themeColor="text1"/>
                      <w:szCs w:val="21"/>
                    </w:rPr>
                    <w:t>水泥、砂子、石子、钢筋</w:t>
                  </w:r>
                </w:p>
              </w:tc>
              <w:tc>
                <w:tcPr>
                  <w:tcW w:w="842" w:type="dxa"/>
                  <w:vMerge w:val="restart"/>
                  <w:vAlign w:val="center"/>
                </w:tcPr>
                <w:p>
                  <w:pPr>
                    <w:pStyle w:val="32"/>
                    <w:spacing w:line="360" w:lineRule="exact"/>
                    <w:rPr>
                      <w:color w:val="000000" w:themeColor="text1"/>
                      <w:szCs w:val="21"/>
                    </w:rPr>
                  </w:pPr>
                  <w:r>
                    <w:rPr>
                      <w:color w:val="000000" w:themeColor="text1"/>
                      <w:szCs w:val="21"/>
                    </w:rPr>
                    <w:t>物料混合搅拌</w:t>
                  </w:r>
                </w:p>
              </w:tc>
              <w:tc>
                <w:tcPr>
                  <w:tcW w:w="843" w:type="dxa"/>
                  <w:vMerge w:val="restart"/>
                  <w:vAlign w:val="center"/>
                </w:tcPr>
                <w:p>
                  <w:pPr>
                    <w:pStyle w:val="32"/>
                    <w:spacing w:line="360" w:lineRule="exact"/>
                    <w:rPr>
                      <w:color w:val="000000" w:themeColor="text1"/>
                      <w:szCs w:val="21"/>
                    </w:rPr>
                  </w:pPr>
                  <w:r>
                    <w:rPr>
                      <w:color w:val="000000" w:themeColor="text1"/>
                      <w:szCs w:val="21"/>
                    </w:rPr>
                    <w:t>所有规模</w:t>
                  </w:r>
                </w:p>
              </w:tc>
              <w:tc>
                <w:tcPr>
                  <w:tcW w:w="701" w:type="dxa"/>
                  <w:vMerge w:val="restart"/>
                  <w:vAlign w:val="center"/>
                </w:tcPr>
                <w:p>
                  <w:pPr>
                    <w:pStyle w:val="32"/>
                    <w:spacing w:line="360" w:lineRule="exact"/>
                    <w:rPr>
                      <w:color w:val="000000" w:themeColor="text1"/>
                      <w:szCs w:val="21"/>
                    </w:rPr>
                  </w:pPr>
                  <w:r>
                    <w:rPr>
                      <w:color w:val="000000" w:themeColor="text1"/>
                      <w:szCs w:val="21"/>
                    </w:rPr>
                    <w:t>废气</w:t>
                  </w:r>
                </w:p>
              </w:tc>
              <w:tc>
                <w:tcPr>
                  <w:tcW w:w="562" w:type="dxa"/>
                  <w:vMerge w:val="restart"/>
                  <w:vAlign w:val="center"/>
                </w:tcPr>
                <w:p>
                  <w:pPr>
                    <w:pStyle w:val="32"/>
                    <w:spacing w:line="360" w:lineRule="exact"/>
                    <w:rPr>
                      <w:color w:val="000000" w:themeColor="text1"/>
                      <w:szCs w:val="21"/>
                    </w:rPr>
                  </w:pPr>
                  <w:r>
                    <w:rPr>
                      <w:color w:val="000000" w:themeColor="text1"/>
                      <w:szCs w:val="21"/>
                    </w:rPr>
                    <w:t>颗粒物</w:t>
                  </w:r>
                </w:p>
              </w:tc>
              <w:tc>
                <w:tcPr>
                  <w:tcW w:w="702" w:type="dxa"/>
                  <w:vMerge w:val="restart"/>
                  <w:vAlign w:val="center"/>
                </w:tcPr>
                <w:p>
                  <w:pPr>
                    <w:pStyle w:val="32"/>
                    <w:spacing w:line="360" w:lineRule="exact"/>
                    <w:rPr>
                      <w:color w:val="000000" w:themeColor="text1"/>
                      <w:szCs w:val="21"/>
                    </w:rPr>
                  </w:pPr>
                  <w:r>
                    <w:rPr>
                      <w:color w:val="000000" w:themeColor="text1"/>
                      <w:szCs w:val="21"/>
                    </w:rPr>
                    <w:t>千克/吨-产品</w:t>
                  </w:r>
                </w:p>
              </w:tc>
              <w:tc>
                <w:tcPr>
                  <w:tcW w:w="843" w:type="dxa"/>
                  <w:vMerge w:val="restart"/>
                  <w:vAlign w:val="center"/>
                </w:tcPr>
                <w:p>
                  <w:pPr>
                    <w:pStyle w:val="32"/>
                    <w:spacing w:line="360" w:lineRule="exact"/>
                    <w:rPr>
                      <w:color w:val="000000" w:themeColor="text1"/>
                      <w:szCs w:val="21"/>
                    </w:rPr>
                  </w:pPr>
                  <w:r>
                    <w:rPr>
                      <w:color w:val="000000" w:themeColor="text1"/>
                      <w:szCs w:val="21"/>
                    </w:rPr>
                    <w:t>0.523</w:t>
                  </w:r>
                </w:p>
              </w:tc>
              <w:tc>
                <w:tcPr>
                  <w:tcW w:w="1141" w:type="dxa"/>
                  <w:tcBorders>
                    <w:bottom w:val="single" w:color="auto" w:sz="4" w:space="0"/>
                  </w:tcBorders>
                  <w:vAlign w:val="center"/>
                </w:tcPr>
                <w:p>
                  <w:pPr>
                    <w:pStyle w:val="32"/>
                    <w:spacing w:line="360" w:lineRule="exact"/>
                    <w:rPr>
                      <w:color w:val="000000" w:themeColor="text1"/>
                      <w:szCs w:val="21"/>
                    </w:rPr>
                  </w:pPr>
                  <w:r>
                    <w:rPr>
                      <w:color w:val="000000" w:themeColor="text1"/>
                      <w:szCs w:val="21"/>
                    </w:rPr>
                    <w:t>袋式除尘</w:t>
                  </w:r>
                </w:p>
              </w:tc>
              <w:tc>
                <w:tcPr>
                  <w:tcW w:w="895" w:type="dxa"/>
                  <w:tcBorders>
                    <w:bottom w:val="single" w:color="auto" w:sz="4" w:space="0"/>
                  </w:tcBorders>
                  <w:vAlign w:val="center"/>
                </w:tcPr>
                <w:p>
                  <w:pPr>
                    <w:pStyle w:val="32"/>
                    <w:spacing w:line="360" w:lineRule="exact"/>
                    <w:rPr>
                      <w:color w:val="000000" w:themeColor="text1"/>
                      <w:szCs w:val="21"/>
                    </w:rPr>
                  </w:pPr>
                  <w:r>
                    <w:rPr>
                      <w:color w:val="000000" w:themeColor="text1"/>
                      <w:szCs w:val="21"/>
                    </w:rPr>
                    <w:t>99.7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4" w:hRule="atLeast"/>
              </w:trPr>
              <w:tc>
                <w:tcPr>
                  <w:tcW w:w="486" w:type="dxa"/>
                  <w:vMerge w:val="continue"/>
                  <w:vAlign w:val="center"/>
                </w:tcPr>
                <w:p>
                  <w:pPr>
                    <w:pStyle w:val="32"/>
                    <w:spacing w:line="360" w:lineRule="exact"/>
                    <w:rPr>
                      <w:color w:val="000000" w:themeColor="text1"/>
                      <w:szCs w:val="21"/>
                    </w:rPr>
                  </w:pPr>
                </w:p>
              </w:tc>
              <w:tc>
                <w:tcPr>
                  <w:tcW w:w="658" w:type="dxa"/>
                  <w:vMerge w:val="continue"/>
                  <w:tcBorders>
                    <w:right w:val="single" w:color="auto" w:sz="4" w:space="0"/>
                  </w:tcBorders>
                  <w:vAlign w:val="center"/>
                </w:tcPr>
                <w:p>
                  <w:pPr>
                    <w:pStyle w:val="32"/>
                    <w:spacing w:line="360" w:lineRule="exact"/>
                    <w:rPr>
                      <w:color w:val="000000" w:themeColor="text1"/>
                      <w:szCs w:val="21"/>
                    </w:rPr>
                  </w:pPr>
                </w:p>
              </w:tc>
              <w:tc>
                <w:tcPr>
                  <w:tcW w:w="849" w:type="dxa"/>
                  <w:vMerge w:val="continue"/>
                  <w:tcBorders>
                    <w:left w:val="single" w:color="auto" w:sz="4" w:space="0"/>
                  </w:tcBorders>
                  <w:vAlign w:val="center"/>
                </w:tcPr>
                <w:p>
                  <w:pPr>
                    <w:pStyle w:val="32"/>
                    <w:spacing w:line="360" w:lineRule="exact"/>
                    <w:rPr>
                      <w:color w:val="000000" w:themeColor="text1"/>
                      <w:szCs w:val="21"/>
                    </w:rPr>
                  </w:pPr>
                </w:p>
              </w:tc>
              <w:tc>
                <w:tcPr>
                  <w:tcW w:w="842" w:type="dxa"/>
                  <w:vMerge w:val="continue"/>
                  <w:vAlign w:val="center"/>
                </w:tcPr>
                <w:p>
                  <w:pPr>
                    <w:pStyle w:val="32"/>
                    <w:spacing w:line="360" w:lineRule="exact"/>
                    <w:rPr>
                      <w:color w:val="000000" w:themeColor="text1"/>
                      <w:szCs w:val="21"/>
                    </w:rPr>
                  </w:pPr>
                </w:p>
              </w:tc>
              <w:tc>
                <w:tcPr>
                  <w:tcW w:w="843" w:type="dxa"/>
                  <w:vMerge w:val="continue"/>
                  <w:vAlign w:val="center"/>
                </w:tcPr>
                <w:p>
                  <w:pPr>
                    <w:pStyle w:val="32"/>
                    <w:spacing w:line="360" w:lineRule="exact"/>
                    <w:rPr>
                      <w:color w:val="000000" w:themeColor="text1"/>
                      <w:szCs w:val="21"/>
                    </w:rPr>
                  </w:pPr>
                </w:p>
              </w:tc>
              <w:tc>
                <w:tcPr>
                  <w:tcW w:w="701" w:type="dxa"/>
                  <w:vMerge w:val="continue"/>
                  <w:vAlign w:val="center"/>
                </w:tcPr>
                <w:p>
                  <w:pPr>
                    <w:pStyle w:val="32"/>
                    <w:spacing w:line="360" w:lineRule="exact"/>
                    <w:rPr>
                      <w:color w:val="000000" w:themeColor="text1"/>
                      <w:szCs w:val="21"/>
                    </w:rPr>
                  </w:pPr>
                </w:p>
              </w:tc>
              <w:tc>
                <w:tcPr>
                  <w:tcW w:w="562" w:type="dxa"/>
                  <w:vMerge w:val="continue"/>
                  <w:vAlign w:val="center"/>
                </w:tcPr>
                <w:p>
                  <w:pPr>
                    <w:pStyle w:val="32"/>
                    <w:spacing w:line="360" w:lineRule="exact"/>
                    <w:rPr>
                      <w:color w:val="000000" w:themeColor="text1"/>
                      <w:szCs w:val="21"/>
                    </w:rPr>
                  </w:pPr>
                </w:p>
              </w:tc>
              <w:tc>
                <w:tcPr>
                  <w:tcW w:w="702" w:type="dxa"/>
                  <w:vMerge w:val="continue"/>
                  <w:vAlign w:val="center"/>
                </w:tcPr>
                <w:p>
                  <w:pPr>
                    <w:pStyle w:val="32"/>
                    <w:spacing w:line="360" w:lineRule="exact"/>
                    <w:rPr>
                      <w:color w:val="000000" w:themeColor="text1"/>
                      <w:szCs w:val="21"/>
                    </w:rPr>
                  </w:pPr>
                </w:p>
              </w:tc>
              <w:tc>
                <w:tcPr>
                  <w:tcW w:w="843" w:type="dxa"/>
                  <w:vMerge w:val="continue"/>
                  <w:vAlign w:val="center"/>
                </w:tcPr>
                <w:p>
                  <w:pPr>
                    <w:pStyle w:val="32"/>
                    <w:spacing w:line="360" w:lineRule="exact"/>
                    <w:rPr>
                      <w:color w:val="000000" w:themeColor="text1"/>
                      <w:szCs w:val="21"/>
                    </w:rPr>
                  </w:pPr>
                </w:p>
              </w:tc>
              <w:tc>
                <w:tcPr>
                  <w:tcW w:w="1141" w:type="dxa"/>
                  <w:tcBorders>
                    <w:top w:val="single" w:color="auto" w:sz="4" w:space="0"/>
                    <w:bottom w:val="single" w:color="auto" w:sz="4" w:space="0"/>
                  </w:tcBorders>
                  <w:vAlign w:val="center"/>
                </w:tcPr>
                <w:p>
                  <w:pPr>
                    <w:pStyle w:val="32"/>
                    <w:spacing w:line="360" w:lineRule="exact"/>
                    <w:ind w:left="420"/>
                    <w:rPr>
                      <w:color w:val="000000" w:themeColor="text1"/>
                      <w:szCs w:val="21"/>
                    </w:rPr>
                  </w:pPr>
                  <w:r>
                    <w:rPr>
                      <w:color w:val="000000" w:themeColor="text1"/>
                      <w:szCs w:val="21"/>
                    </w:rPr>
                    <w:t>直排</w:t>
                  </w:r>
                </w:p>
              </w:tc>
              <w:tc>
                <w:tcPr>
                  <w:tcW w:w="895" w:type="dxa"/>
                  <w:tcBorders>
                    <w:top w:val="single" w:color="auto" w:sz="4" w:space="0"/>
                    <w:bottom w:val="single" w:color="auto" w:sz="4" w:space="0"/>
                  </w:tcBorders>
                  <w:vAlign w:val="center"/>
                </w:tcPr>
                <w:p>
                  <w:pPr>
                    <w:pStyle w:val="32"/>
                    <w:spacing w:line="360" w:lineRule="exact"/>
                    <w:ind w:left="420"/>
                    <w:rPr>
                      <w:color w:val="000000" w:themeColor="text1"/>
                      <w:szCs w:val="21"/>
                    </w:rPr>
                  </w:pPr>
                  <w:r>
                    <w:rPr>
                      <w:color w:val="000000" w:themeColor="text1"/>
                      <w:szCs w:val="21"/>
                    </w:rPr>
                    <w:t>/</w:t>
                  </w:r>
                </w:p>
              </w:tc>
            </w:tr>
          </w:tbl>
          <w:p>
            <w:pPr>
              <w:spacing w:beforeLines="50"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由上表可知，项目</w:t>
            </w:r>
            <w:r>
              <w:rPr>
                <w:rFonts w:hint="eastAsia" w:ascii="Times New Roman" w:hAnsi="Times New Roman" w:cs="Times New Roman"/>
                <w:color w:val="000000" w:themeColor="text1"/>
                <w:sz w:val="24"/>
                <w:szCs w:val="24"/>
              </w:rPr>
              <w:t>二期工程</w:t>
            </w:r>
            <w:r>
              <w:rPr>
                <w:rFonts w:ascii="Times New Roman" w:hAnsi="Times New Roman" w:cs="Times New Roman"/>
                <w:bCs/>
                <w:color w:val="000000" w:themeColor="text1"/>
                <w:sz w:val="24"/>
                <w:szCs w:val="24"/>
              </w:rPr>
              <w:t>水泥砖生产项目约为19173.7t/a，针对搅拌混合工序的粉尘，项目拟对该工序产尘点配套设置了集气罩，将其有效统一收集后，通过1台2#袋式除尘器进行处理，处理后通过1根15m高排气筒（DA002）外排。该集气罩风量为5000m³/h，集气效率不低于90%，袋式除尘器除尘效率为99.7%，根据上表参数计算，项目搅拌混合粉尘产排情况如下表所示。</w:t>
            </w:r>
          </w:p>
          <w:p>
            <w:pPr>
              <w:jc w:val="center"/>
              <w:rPr>
                <w:rFonts w:ascii="Times New Roman" w:hAnsi="Times New Roman" w:eastAsia="宋体" w:cs="Times New Roman"/>
                <w:b/>
                <w:color w:val="000000" w:themeColor="text1"/>
                <w:szCs w:val="24"/>
              </w:rPr>
            </w:pPr>
            <w:r>
              <w:rPr>
                <w:rFonts w:ascii="Times New Roman" w:hAnsi="Times New Roman" w:eastAsia="宋体" w:cs="Times New Roman"/>
                <w:b/>
                <w:color w:val="000000" w:themeColor="text1"/>
                <w:szCs w:val="24"/>
              </w:rPr>
              <w:t>表4.2.1-</w:t>
            </w:r>
            <w:r>
              <w:rPr>
                <w:rFonts w:hint="eastAsia" w:ascii="Times New Roman" w:hAnsi="Times New Roman" w:eastAsia="宋体" w:cs="Times New Roman"/>
                <w:b/>
                <w:color w:val="000000" w:themeColor="text1"/>
                <w:szCs w:val="24"/>
              </w:rPr>
              <w:t>5</w:t>
            </w:r>
            <w:r>
              <w:rPr>
                <w:rFonts w:ascii="Times New Roman" w:hAnsi="Times New Roman" w:eastAsia="宋体" w:cs="Times New Roman"/>
                <w:b/>
                <w:color w:val="000000" w:themeColor="text1"/>
                <w:szCs w:val="24"/>
              </w:rPr>
              <w:t xml:space="preserve">  搅拌混合粉尘产排情况一览表</w:t>
            </w:r>
          </w:p>
          <w:tbl>
            <w:tblPr>
              <w:tblStyle w:val="20"/>
              <w:tblW w:w="5000" w:type="pct"/>
              <w:tblInd w:w="0" w:type="dxa"/>
              <w:tblLayout w:type="fixed"/>
              <w:tblCellMar>
                <w:top w:w="0" w:type="dxa"/>
                <w:left w:w="108" w:type="dxa"/>
                <w:bottom w:w="0" w:type="dxa"/>
                <w:right w:w="108" w:type="dxa"/>
              </w:tblCellMar>
            </w:tblPr>
            <w:tblGrid>
              <w:gridCol w:w="731"/>
              <w:gridCol w:w="713"/>
              <w:gridCol w:w="852"/>
              <w:gridCol w:w="1137"/>
              <w:gridCol w:w="857"/>
              <w:gridCol w:w="979"/>
              <w:gridCol w:w="989"/>
              <w:gridCol w:w="1373"/>
              <w:gridCol w:w="984"/>
            </w:tblGrid>
            <w:tr>
              <w:tblPrEx>
                <w:tblCellMar>
                  <w:top w:w="0" w:type="dxa"/>
                  <w:left w:w="108" w:type="dxa"/>
                  <w:bottom w:w="0" w:type="dxa"/>
                  <w:right w:w="108" w:type="dxa"/>
                </w:tblCellMar>
              </w:tblPrEx>
              <w:trPr>
                <w:trHeight w:val="300" w:hRule="atLeast"/>
              </w:trPr>
              <w:tc>
                <w:tcPr>
                  <w:tcW w:w="722"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产物环节</w:t>
                  </w:r>
                </w:p>
              </w:tc>
              <w:tc>
                <w:tcPr>
                  <w:tcW w:w="705"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污染物类型</w:t>
                  </w:r>
                </w:p>
              </w:tc>
              <w:tc>
                <w:tcPr>
                  <w:tcW w:w="2815" w:type="dxa"/>
                  <w:gridSpan w:val="3"/>
                  <w:tcBorders>
                    <w:top w:val="single" w:color="auto" w:sz="8" w:space="0"/>
                    <w:left w:val="single" w:color="auto" w:sz="8" w:space="0"/>
                    <w:bottom w:val="single" w:color="auto" w:sz="4" w:space="0"/>
                    <w:right w:val="single" w:color="000000" w:sz="8" w:space="0"/>
                  </w:tcBorders>
                  <w:shd w:val="clear" w:color="auto" w:fill="auto"/>
                  <w:vAlign w:val="center"/>
                </w:tcPr>
                <w:p>
                  <w:pPr>
                    <w:pStyle w:val="32"/>
                    <w:spacing w:line="360" w:lineRule="exact"/>
                    <w:rPr>
                      <w:color w:val="000000" w:themeColor="text1"/>
                      <w:szCs w:val="21"/>
                    </w:rPr>
                  </w:pPr>
                  <w:r>
                    <w:rPr>
                      <w:color w:val="000000" w:themeColor="text1"/>
                      <w:szCs w:val="21"/>
                    </w:rPr>
                    <w:t>产生情况</w:t>
                  </w:r>
                </w:p>
              </w:tc>
              <w:tc>
                <w:tcPr>
                  <w:tcW w:w="4280" w:type="dxa"/>
                  <w:gridSpan w:val="4"/>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color w:val="000000" w:themeColor="text1"/>
                      <w:szCs w:val="21"/>
                    </w:rPr>
                  </w:pPr>
                  <w:r>
                    <w:rPr>
                      <w:color w:val="000000" w:themeColor="text1"/>
                      <w:szCs w:val="21"/>
                    </w:rPr>
                    <w:t>排放情况</w:t>
                  </w:r>
                </w:p>
              </w:tc>
            </w:tr>
            <w:tr>
              <w:tblPrEx>
                <w:tblCellMar>
                  <w:top w:w="0" w:type="dxa"/>
                  <w:left w:w="108" w:type="dxa"/>
                  <w:bottom w:w="0" w:type="dxa"/>
                  <w:right w:w="108" w:type="dxa"/>
                </w:tblCellMar>
              </w:tblPrEx>
              <w:trPr>
                <w:trHeight w:val="300" w:hRule="atLeast"/>
              </w:trPr>
              <w:tc>
                <w:tcPr>
                  <w:tcW w:w="722"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szCs w:val="21"/>
                    </w:rPr>
                  </w:pPr>
                </w:p>
              </w:tc>
              <w:tc>
                <w:tcPr>
                  <w:tcW w:w="705"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szCs w:val="21"/>
                    </w:rPr>
                  </w:pPr>
                </w:p>
              </w:tc>
              <w:tc>
                <w:tcPr>
                  <w:tcW w:w="1967" w:type="dxa"/>
                  <w:gridSpan w:val="2"/>
                  <w:tcBorders>
                    <w:top w:val="single" w:color="auto" w:sz="4" w:space="0"/>
                    <w:left w:val="single" w:color="auto" w:sz="8" w:space="0"/>
                    <w:bottom w:val="single" w:color="000000" w:sz="8" w:space="0"/>
                    <w:right w:val="single" w:color="auto" w:sz="4" w:space="0"/>
                  </w:tcBorders>
                  <w:vAlign w:val="center"/>
                </w:tcPr>
                <w:p>
                  <w:pPr>
                    <w:pStyle w:val="32"/>
                    <w:spacing w:line="360" w:lineRule="exact"/>
                    <w:rPr>
                      <w:color w:val="000000" w:themeColor="text1"/>
                      <w:szCs w:val="21"/>
                    </w:rPr>
                  </w:pPr>
                  <w:r>
                    <w:rPr>
                      <w:color w:val="000000" w:themeColor="text1"/>
                      <w:szCs w:val="21"/>
                    </w:rPr>
                    <w:t>有组织</w:t>
                  </w:r>
                </w:p>
              </w:tc>
              <w:tc>
                <w:tcPr>
                  <w:tcW w:w="848" w:type="dxa"/>
                  <w:tcBorders>
                    <w:top w:val="single" w:color="auto" w:sz="4" w:space="0"/>
                    <w:left w:val="single" w:color="auto" w:sz="4" w:space="0"/>
                    <w:bottom w:val="single" w:color="000000" w:sz="8" w:space="0"/>
                    <w:right w:val="single" w:color="000000" w:sz="8" w:space="0"/>
                  </w:tcBorders>
                  <w:vAlign w:val="center"/>
                </w:tcPr>
                <w:p>
                  <w:pPr>
                    <w:pStyle w:val="32"/>
                    <w:spacing w:line="360" w:lineRule="exact"/>
                    <w:rPr>
                      <w:color w:val="000000" w:themeColor="text1"/>
                      <w:szCs w:val="21"/>
                    </w:rPr>
                  </w:pPr>
                  <w:r>
                    <w:rPr>
                      <w:color w:val="000000" w:themeColor="text1"/>
                      <w:szCs w:val="21"/>
                    </w:rPr>
                    <w:t>无组织</w:t>
                  </w:r>
                </w:p>
              </w:tc>
              <w:tc>
                <w:tcPr>
                  <w:tcW w:w="3306" w:type="dxa"/>
                  <w:gridSpan w:val="3"/>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color w:val="000000" w:themeColor="text1"/>
                      <w:szCs w:val="21"/>
                    </w:rPr>
                  </w:pPr>
                  <w:r>
                    <w:rPr>
                      <w:color w:val="000000" w:themeColor="text1"/>
                      <w:szCs w:val="21"/>
                    </w:rPr>
                    <w:t>有组织</w:t>
                  </w:r>
                </w:p>
              </w:tc>
              <w:tc>
                <w:tcPr>
                  <w:tcW w:w="974" w:type="dxa"/>
                  <w:tcBorders>
                    <w:top w:val="nil"/>
                    <w:left w:val="nil"/>
                    <w:bottom w:val="single" w:color="auto" w:sz="8" w:space="0"/>
                    <w:right w:val="single" w:color="000000" w:sz="8" w:space="0"/>
                  </w:tcBorders>
                  <w:shd w:val="clear" w:color="auto" w:fill="auto"/>
                  <w:vAlign w:val="center"/>
                </w:tcPr>
                <w:p>
                  <w:pPr>
                    <w:pStyle w:val="32"/>
                    <w:spacing w:line="360" w:lineRule="exact"/>
                    <w:rPr>
                      <w:color w:val="000000" w:themeColor="text1"/>
                      <w:szCs w:val="21"/>
                    </w:rPr>
                  </w:pPr>
                  <w:r>
                    <w:rPr>
                      <w:color w:val="000000" w:themeColor="text1"/>
                      <w:szCs w:val="21"/>
                    </w:rPr>
                    <w:t>无组织</w:t>
                  </w:r>
                </w:p>
              </w:tc>
            </w:tr>
            <w:tr>
              <w:tblPrEx>
                <w:tblCellMar>
                  <w:top w:w="0" w:type="dxa"/>
                  <w:left w:w="108" w:type="dxa"/>
                  <w:bottom w:w="0" w:type="dxa"/>
                  <w:right w:w="108" w:type="dxa"/>
                </w:tblCellMar>
              </w:tblPrEx>
              <w:trPr>
                <w:trHeight w:val="56" w:hRule="atLeast"/>
              </w:trPr>
              <w:tc>
                <w:tcPr>
                  <w:tcW w:w="722"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szCs w:val="21"/>
                    </w:rPr>
                  </w:pPr>
                </w:p>
              </w:tc>
              <w:tc>
                <w:tcPr>
                  <w:tcW w:w="705"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color w:val="000000" w:themeColor="text1"/>
                      <w:szCs w:val="21"/>
                    </w:rPr>
                  </w:pPr>
                </w:p>
              </w:tc>
              <w:tc>
                <w:tcPr>
                  <w:tcW w:w="843" w:type="dxa"/>
                  <w:tcBorders>
                    <w:top w:val="nil"/>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rPr>
                  </w:pPr>
                  <w:r>
                    <w:rPr>
                      <w:color w:val="000000" w:themeColor="text1"/>
                      <w:szCs w:val="21"/>
                    </w:rPr>
                    <w:t>产生量（t/a）</w:t>
                  </w:r>
                </w:p>
              </w:tc>
              <w:tc>
                <w:tcPr>
                  <w:tcW w:w="1124" w:type="dxa"/>
                  <w:tcBorders>
                    <w:top w:val="nil"/>
                    <w:left w:val="single" w:color="auto" w:sz="4" w:space="0"/>
                    <w:bottom w:val="single" w:color="auto" w:sz="8" w:space="0"/>
                    <w:right w:val="single" w:color="auto" w:sz="4" w:space="0"/>
                  </w:tcBorders>
                  <w:shd w:val="clear" w:color="auto" w:fill="auto"/>
                  <w:vAlign w:val="center"/>
                </w:tcPr>
                <w:p>
                  <w:pPr>
                    <w:pStyle w:val="32"/>
                    <w:spacing w:line="360" w:lineRule="exact"/>
                    <w:rPr>
                      <w:color w:val="000000" w:themeColor="text1"/>
                      <w:szCs w:val="21"/>
                    </w:rPr>
                  </w:pPr>
                  <w:r>
                    <w:rPr>
                      <w:color w:val="000000" w:themeColor="text1"/>
                      <w:szCs w:val="21"/>
                    </w:rPr>
                    <w:t>产生浓度（mg/m³）</w:t>
                  </w:r>
                </w:p>
              </w:tc>
              <w:tc>
                <w:tcPr>
                  <w:tcW w:w="848"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产生量（t/a）</w:t>
                  </w:r>
                </w:p>
              </w:tc>
              <w:tc>
                <w:tcPr>
                  <w:tcW w:w="969"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排放量（t/a）</w:t>
                  </w:r>
                </w:p>
              </w:tc>
              <w:tc>
                <w:tcPr>
                  <w:tcW w:w="979"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排放速率（kg/h）</w:t>
                  </w:r>
                </w:p>
              </w:tc>
              <w:tc>
                <w:tcPr>
                  <w:tcW w:w="1358"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排放浓度（mg/m³）</w:t>
                  </w:r>
                </w:p>
              </w:tc>
              <w:tc>
                <w:tcPr>
                  <w:tcW w:w="97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排放量（t/a）</w:t>
                  </w:r>
                </w:p>
              </w:tc>
            </w:tr>
            <w:tr>
              <w:tblPrEx>
                <w:tblCellMar>
                  <w:top w:w="0" w:type="dxa"/>
                  <w:left w:w="108" w:type="dxa"/>
                  <w:bottom w:w="0" w:type="dxa"/>
                  <w:right w:w="108" w:type="dxa"/>
                </w:tblCellMar>
              </w:tblPrEx>
              <w:trPr>
                <w:trHeight w:val="56" w:hRule="atLeast"/>
              </w:trPr>
              <w:tc>
                <w:tcPr>
                  <w:tcW w:w="722" w:type="dxa"/>
                  <w:vMerge w:val="restart"/>
                  <w:tcBorders>
                    <w:top w:val="nil"/>
                    <w:left w:val="single" w:color="auto" w:sz="8" w:space="0"/>
                    <w:bottom w:val="single" w:color="000000"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搅拌混合</w:t>
                  </w:r>
                </w:p>
              </w:tc>
              <w:tc>
                <w:tcPr>
                  <w:tcW w:w="705" w:type="dxa"/>
                  <w:tcBorders>
                    <w:top w:val="nil"/>
                    <w:left w:val="nil"/>
                    <w:bottom w:val="single" w:color="000000"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废气量</w:t>
                  </w:r>
                </w:p>
              </w:tc>
              <w:tc>
                <w:tcPr>
                  <w:tcW w:w="1967" w:type="dxa"/>
                  <w:gridSpan w:val="2"/>
                  <w:tcBorders>
                    <w:top w:val="single" w:color="auto" w:sz="8" w:space="0"/>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rPr>
                  </w:pPr>
                  <w:r>
                    <w:rPr>
                      <w:color w:val="000000" w:themeColor="text1"/>
                      <w:szCs w:val="21"/>
                    </w:rPr>
                    <w:t>2400万m³/a</w:t>
                  </w:r>
                </w:p>
              </w:tc>
              <w:tc>
                <w:tcPr>
                  <w:tcW w:w="848" w:type="dxa"/>
                  <w:tcBorders>
                    <w:top w:val="single" w:color="auto" w:sz="8" w:space="0"/>
                    <w:left w:val="single" w:color="auto" w:sz="4" w:space="0"/>
                    <w:bottom w:val="single" w:color="auto" w:sz="8" w:space="0"/>
                    <w:right w:val="single" w:color="000000" w:sz="8" w:space="0"/>
                  </w:tcBorders>
                  <w:shd w:val="clear" w:color="auto" w:fill="auto"/>
                  <w:vAlign w:val="center"/>
                </w:tcPr>
                <w:p>
                  <w:pPr>
                    <w:pStyle w:val="32"/>
                    <w:spacing w:line="360" w:lineRule="exact"/>
                    <w:rPr>
                      <w:color w:val="000000" w:themeColor="text1"/>
                      <w:szCs w:val="21"/>
                    </w:rPr>
                  </w:pPr>
                  <w:r>
                    <w:rPr>
                      <w:color w:val="000000" w:themeColor="text1"/>
                      <w:szCs w:val="21"/>
                    </w:rPr>
                    <w:t>--</w:t>
                  </w:r>
                </w:p>
              </w:tc>
              <w:tc>
                <w:tcPr>
                  <w:tcW w:w="3306" w:type="dxa"/>
                  <w:gridSpan w:val="3"/>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color w:val="000000" w:themeColor="text1"/>
                      <w:szCs w:val="21"/>
                    </w:rPr>
                  </w:pPr>
                  <w:r>
                    <w:rPr>
                      <w:color w:val="000000" w:themeColor="text1"/>
                      <w:szCs w:val="21"/>
                    </w:rPr>
                    <w:t>2400万m³/a</w:t>
                  </w:r>
                </w:p>
              </w:tc>
              <w:tc>
                <w:tcPr>
                  <w:tcW w:w="97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w:t>
                  </w:r>
                </w:p>
              </w:tc>
            </w:tr>
            <w:tr>
              <w:tblPrEx>
                <w:tblCellMar>
                  <w:top w:w="0" w:type="dxa"/>
                  <w:left w:w="108" w:type="dxa"/>
                  <w:bottom w:w="0" w:type="dxa"/>
                  <w:right w:w="108" w:type="dxa"/>
                </w:tblCellMar>
              </w:tblPrEx>
              <w:trPr>
                <w:trHeight w:val="56" w:hRule="atLeast"/>
              </w:trPr>
              <w:tc>
                <w:tcPr>
                  <w:tcW w:w="722" w:type="dxa"/>
                  <w:vMerge w:val="continue"/>
                  <w:tcBorders>
                    <w:top w:val="nil"/>
                    <w:left w:val="single" w:color="auto" w:sz="8" w:space="0"/>
                    <w:bottom w:val="single" w:color="000000" w:sz="8" w:space="0"/>
                    <w:right w:val="single" w:color="auto" w:sz="8" w:space="0"/>
                  </w:tcBorders>
                  <w:vAlign w:val="center"/>
                </w:tcPr>
                <w:p>
                  <w:pPr>
                    <w:pStyle w:val="32"/>
                    <w:spacing w:line="360" w:lineRule="exact"/>
                    <w:rPr>
                      <w:color w:val="000000" w:themeColor="text1"/>
                      <w:szCs w:val="21"/>
                    </w:rPr>
                  </w:pPr>
                </w:p>
              </w:tc>
              <w:tc>
                <w:tcPr>
                  <w:tcW w:w="705"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粉尘</w:t>
                  </w:r>
                </w:p>
              </w:tc>
              <w:tc>
                <w:tcPr>
                  <w:tcW w:w="843"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9.03</w:t>
                  </w:r>
                </w:p>
              </w:tc>
              <w:tc>
                <w:tcPr>
                  <w:tcW w:w="1124" w:type="dxa"/>
                  <w:tcBorders>
                    <w:top w:val="nil"/>
                    <w:left w:val="nil"/>
                    <w:bottom w:val="single" w:color="auto" w:sz="8" w:space="0"/>
                    <w:right w:val="single" w:color="auto" w:sz="4" w:space="0"/>
                  </w:tcBorders>
                  <w:shd w:val="clear" w:color="auto" w:fill="auto"/>
                  <w:vAlign w:val="center"/>
                </w:tcPr>
                <w:p>
                  <w:pPr>
                    <w:pStyle w:val="32"/>
                    <w:spacing w:line="360" w:lineRule="exact"/>
                    <w:rPr>
                      <w:color w:val="000000" w:themeColor="text1"/>
                      <w:szCs w:val="21"/>
                    </w:rPr>
                  </w:pPr>
                  <w:r>
                    <w:rPr>
                      <w:color w:val="000000" w:themeColor="text1"/>
                      <w:szCs w:val="21"/>
                    </w:rPr>
                    <w:t>376.25</w:t>
                  </w:r>
                </w:p>
              </w:tc>
              <w:tc>
                <w:tcPr>
                  <w:tcW w:w="848" w:type="dxa"/>
                  <w:tcBorders>
                    <w:top w:val="nil"/>
                    <w:left w:val="single" w:color="auto" w:sz="4" w:space="0"/>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1.0</w:t>
                  </w:r>
                </w:p>
              </w:tc>
              <w:tc>
                <w:tcPr>
                  <w:tcW w:w="969"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0.03</w:t>
                  </w:r>
                </w:p>
              </w:tc>
              <w:tc>
                <w:tcPr>
                  <w:tcW w:w="979"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0.006</w:t>
                  </w:r>
                </w:p>
              </w:tc>
              <w:tc>
                <w:tcPr>
                  <w:tcW w:w="1358"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1.25</w:t>
                  </w:r>
                </w:p>
              </w:tc>
              <w:tc>
                <w:tcPr>
                  <w:tcW w:w="974" w:type="dxa"/>
                  <w:tcBorders>
                    <w:top w:val="nil"/>
                    <w:left w:val="nil"/>
                    <w:bottom w:val="single" w:color="auto" w:sz="8" w:space="0"/>
                    <w:right w:val="single" w:color="auto" w:sz="8" w:space="0"/>
                  </w:tcBorders>
                  <w:shd w:val="clear" w:color="auto" w:fill="auto"/>
                  <w:vAlign w:val="center"/>
                </w:tcPr>
                <w:p>
                  <w:pPr>
                    <w:pStyle w:val="32"/>
                    <w:spacing w:line="360" w:lineRule="exact"/>
                    <w:rPr>
                      <w:color w:val="000000" w:themeColor="text1"/>
                      <w:szCs w:val="21"/>
                    </w:rPr>
                  </w:pPr>
                  <w:r>
                    <w:rPr>
                      <w:color w:val="000000" w:themeColor="text1"/>
                      <w:szCs w:val="21"/>
                    </w:rPr>
                    <w:t>1.0</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（2）废气污染物污染防治措施及达标性分析</w:t>
            </w:r>
          </w:p>
          <w:p>
            <w:pPr>
              <w:spacing w:line="360" w:lineRule="auto"/>
              <w:ind w:firstLine="482" w:firstLineChars="200"/>
              <w:rPr>
                <w:rFonts w:ascii="Times New Roman" w:hAnsi="Times New Roman" w:cs="Times New Roman"/>
                <w:b/>
                <w:color w:val="000000" w:themeColor="text1"/>
                <w:sz w:val="24"/>
              </w:rPr>
            </w:pPr>
            <w:r>
              <w:rPr>
                <w:rFonts w:ascii="宋体" w:hAnsi="Times New Roman" w:eastAsia="宋体" w:cs="Times New Roman"/>
                <w:b/>
                <w:color w:val="000000" w:themeColor="text1"/>
                <w:sz w:val="24"/>
              </w:rPr>
              <w:t>①</w:t>
            </w:r>
            <w:r>
              <w:rPr>
                <w:rFonts w:ascii="Times New Roman" w:hAnsi="Times New Roman" w:cs="Times New Roman"/>
                <w:b/>
                <w:color w:val="000000" w:themeColor="text1"/>
                <w:sz w:val="24"/>
              </w:rPr>
              <w:t>废气污染物治理措施及排放方式</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根据项目产污环节和废气污染源强核算可知，项目废气污染物排放源的治理措施及排放方式如下表所示。</w:t>
            </w:r>
          </w:p>
          <w:p>
            <w:pPr>
              <w:jc w:val="center"/>
              <w:rPr>
                <w:rFonts w:ascii="Times New Roman" w:hAnsi="Times New Roman" w:cs="Times New Roman"/>
                <w:b/>
                <w:color w:val="000000" w:themeColor="text1"/>
                <w:szCs w:val="24"/>
              </w:rPr>
            </w:pPr>
            <w:r>
              <w:rPr>
                <w:rFonts w:hint="eastAsia" w:ascii="Times New Roman" w:hAnsi="Times New Roman" w:cs="Times New Roman"/>
                <w:b/>
                <w:color w:val="000000" w:themeColor="text1"/>
                <w:szCs w:val="24"/>
              </w:rPr>
              <w:t>表</w:t>
            </w:r>
            <w:r>
              <w:rPr>
                <w:rFonts w:ascii="Times New Roman" w:hAnsi="Times New Roman" w:cs="Times New Roman"/>
                <w:b/>
                <w:color w:val="000000" w:themeColor="text1"/>
                <w:szCs w:val="24"/>
              </w:rPr>
              <w:t>4.2.1-</w:t>
            </w:r>
            <w:r>
              <w:rPr>
                <w:rFonts w:hint="eastAsia" w:ascii="Times New Roman" w:hAnsi="Times New Roman" w:cs="Times New Roman"/>
                <w:b/>
                <w:color w:val="000000" w:themeColor="text1"/>
                <w:szCs w:val="24"/>
              </w:rPr>
              <w:t>6</w:t>
            </w:r>
            <w:r>
              <w:rPr>
                <w:rFonts w:ascii="Times New Roman" w:hAnsi="Times New Roman" w:cs="Times New Roman"/>
                <w:b/>
                <w:color w:val="000000" w:themeColor="text1"/>
                <w:szCs w:val="24"/>
              </w:rPr>
              <w:t xml:space="preserve"> 废气污染物治理措施及排放方式一览表</w:t>
            </w:r>
          </w:p>
          <w:tbl>
            <w:tblPr>
              <w:tblStyle w:val="21"/>
              <w:tblW w:w="860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51"/>
              <w:gridCol w:w="567"/>
              <w:gridCol w:w="851"/>
              <w:gridCol w:w="709"/>
              <w:gridCol w:w="3260"/>
              <w:gridCol w:w="567"/>
              <w:gridCol w:w="709"/>
              <w:gridCol w:w="149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1" w:type="dxa"/>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工程</w:t>
                  </w:r>
                </w:p>
              </w:tc>
              <w:tc>
                <w:tcPr>
                  <w:tcW w:w="1418" w:type="dxa"/>
                  <w:gridSpan w:val="2"/>
                  <w:tcBorders>
                    <w:left w:val="single" w:color="auto" w:sz="4" w:space="0"/>
                  </w:tcBorders>
                  <w:vAlign w:val="center"/>
                </w:tcPr>
                <w:p>
                  <w:pPr>
                    <w:pStyle w:val="32"/>
                    <w:spacing w:line="360" w:lineRule="exact"/>
                    <w:rPr>
                      <w:color w:val="000000" w:themeColor="text1"/>
                      <w:szCs w:val="21"/>
                    </w:rPr>
                  </w:pPr>
                  <w:r>
                    <w:rPr>
                      <w:color w:val="000000" w:themeColor="text1"/>
                      <w:szCs w:val="21"/>
                    </w:rPr>
                    <w:t>产排污环节</w:t>
                  </w:r>
                </w:p>
              </w:tc>
              <w:tc>
                <w:tcPr>
                  <w:tcW w:w="709" w:type="dxa"/>
                  <w:vAlign w:val="center"/>
                </w:tcPr>
                <w:p>
                  <w:pPr>
                    <w:pStyle w:val="32"/>
                    <w:spacing w:line="360" w:lineRule="exact"/>
                    <w:rPr>
                      <w:color w:val="000000" w:themeColor="text1"/>
                      <w:szCs w:val="21"/>
                    </w:rPr>
                  </w:pPr>
                  <w:r>
                    <w:rPr>
                      <w:color w:val="000000" w:themeColor="text1"/>
                      <w:szCs w:val="21"/>
                    </w:rPr>
                    <w:t>污染物种类</w:t>
                  </w:r>
                </w:p>
              </w:tc>
              <w:tc>
                <w:tcPr>
                  <w:tcW w:w="3260" w:type="dxa"/>
                  <w:vAlign w:val="center"/>
                </w:tcPr>
                <w:p>
                  <w:pPr>
                    <w:pStyle w:val="32"/>
                    <w:spacing w:line="360" w:lineRule="exact"/>
                    <w:rPr>
                      <w:color w:val="000000" w:themeColor="text1"/>
                      <w:szCs w:val="21"/>
                    </w:rPr>
                  </w:pPr>
                  <w:r>
                    <w:rPr>
                      <w:color w:val="000000" w:themeColor="text1"/>
                      <w:szCs w:val="21"/>
                    </w:rPr>
                    <w:t>治理设施及效率</w:t>
                  </w:r>
                </w:p>
              </w:tc>
              <w:tc>
                <w:tcPr>
                  <w:tcW w:w="567"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排放形式</w:t>
                  </w:r>
                </w:p>
              </w:tc>
              <w:tc>
                <w:tcPr>
                  <w:tcW w:w="2200" w:type="dxa"/>
                  <w:gridSpan w:val="2"/>
                  <w:vAlign w:val="center"/>
                </w:tcPr>
                <w:p>
                  <w:pPr>
                    <w:pStyle w:val="32"/>
                    <w:spacing w:line="360" w:lineRule="exact"/>
                    <w:rPr>
                      <w:color w:val="000000" w:themeColor="text1"/>
                      <w:szCs w:val="21"/>
                    </w:rPr>
                  </w:pPr>
                  <w:r>
                    <w:rPr>
                      <w:color w:val="000000" w:themeColor="text1"/>
                      <w:szCs w:val="21"/>
                    </w:rPr>
                    <w:t>排放口基本情况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1" w:type="dxa"/>
                  <w:vMerge w:val="restart"/>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一期工程</w:t>
                  </w:r>
                </w:p>
              </w:tc>
              <w:tc>
                <w:tcPr>
                  <w:tcW w:w="1418" w:type="dxa"/>
                  <w:gridSpan w:val="2"/>
                  <w:tcBorders>
                    <w:left w:val="single" w:color="auto" w:sz="4" w:space="0"/>
                  </w:tcBorders>
                  <w:vAlign w:val="center"/>
                </w:tcPr>
                <w:p>
                  <w:pPr>
                    <w:pStyle w:val="32"/>
                    <w:spacing w:line="360" w:lineRule="exact"/>
                    <w:rPr>
                      <w:color w:val="000000" w:themeColor="text1"/>
                      <w:szCs w:val="21"/>
                    </w:rPr>
                  </w:pPr>
                  <w:r>
                    <w:rPr>
                      <w:color w:val="000000" w:themeColor="text1"/>
                      <w:szCs w:val="21"/>
                    </w:rPr>
                    <w:t>堆场扬尘</w:t>
                  </w:r>
                </w:p>
              </w:tc>
              <w:tc>
                <w:tcPr>
                  <w:tcW w:w="709" w:type="dxa"/>
                  <w:vMerge w:val="restart"/>
                  <w:vAlign w:val="center"/>
                </w:tcPr>
                <w:p>
                  <w:pPr>
                    <w:pStyle w:val="32"/>
                    <w:spacing w:line="360" w:lineRule="exact"/>
                    <w:rPr>
                      <w:color w:val="000000" w:themeColor="text1"/>
                      <w:szCs w:val="21"/>
                    </w:rPr>
                  </w:pPr>
                  <w:r>
                    <w:rPr>
                      <w:color w:val="000000" w:themeColor="text1"/>
                      <w:szCs w:val="21"/>
                    </w:rPr>
                    <w:t>颗粒物</w:t>
                  </w:r>
                </w:p>
              </w:tc>
              <w:tc>
                <w:tcPr>
                  <w:tcW w:w="3260" w:type="dxa"/>
                  <w:vAlign w:val="center"/>
                </w:tcPr>
                <w:p>
                  <w:pPr>
                    <w:pStyle w:val="32"/>
                    <w:spacing w:line="360" w:lineRule="exact"/>
                    <w:ind w:firstLine="210" w:firstLineChars="100"/>
                    <w:jc w:val="both"/>
                    <w:rPr>
                      <w:color w:val="000000" w:themeColor="text1"/>
                      <w:szCs w:val="21"/>
                    </w:rPr>
                  </w:pPr>
                  <w:r>
                    <w:rPr>
                      <w:color w:val="000000" w:themeColor="text1"/>
                      <w:szCs w:val="21"/>
                    </w:rPr>
                    <w:t>为了降低废石堆场和产品堆场的扬尘，对废石堆场和产品堆场除车辆进出区域，其他区域均设置不低于物料堆存高度围挡和顶棚，其扬尘抑制率约为80%。</w:t>
                  </w:r>
                </w:p>
              </w:tc>
              <w:tc>
                <w:tcPr>
                  <w:tcW w:w="567" w:type="dxa"/>
                  <w:vMerge w:val="restart"/>
                  <w:vAlign w:val="center"/>
                </w:tcPr>
                <w:p>
                  <w:pPr>
                    <w:pStyle w:val="32"/>
                    <w:spacing w:line="360" w:lineRule="exact"/>
                    <w:rPr>
                      <w:bCs w:val="0"/>
                      <w:color w:val="000000" w:themeColor="text1"/>
                      <w:szCs w:val="21"/>
                    </w:rPr>
                  </w:pPr>
                  <w:r>
                    <w:rPr>
                      <w:color w:val="000000" w:themeColor="text1"/>
                      <w:szCs w:val="21"/>
                    </w:rPr>
                    <w:t>无组织</w:t>
                  </w:r>
                </w:p>
              </w:tc>
              <w:tc>
                <w:tcPr>
                  <w:tcW w:w="2200" w:type="dxa"/>
                  <w:gridSpan w:val="2"/>
                  <w:vMerge w:val="restart"/>
                  <w:vAlign w:val="center"/>
                </w:tcPr>
                <w:p>
                  <w:pPr>
                    <w:pStyle w:val="32"/>
                    <w:spacing w:line="360" w:lineRule="exact"/>
                    <w:rPr>
                      <w:color w:val="000000" w:themeColor="text1"/>
                      <w:szCs w:val="21"/>
                    </w:rPr>
                  </w:pP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1" w:type="dxa"/>
                  <w:vMerge w:val="continue"/>
                  <w:tcBorders>
                    <w:right w:val="single" w:color="auto" w:sz="4" w:space="0"/>
                  </w:tcBorders>
                  <w:vAlign w:val="center"/>
                </w:tcPr>
                <w:p>
                  <w:pPr>
                    <w:pStyle w:val="32"/>
                    <w:spacing w:line="360" w:lineRule="exact"/>
                    <w:rPr>
                      <w:color w:val="000000" w:themeColor="text1"/>
                      <w:szCs w:val="21"/>
                    </w:rPr>
                  </w:pPr>
                </w:p>
              </w:tc>
              <w:tc>
                <w:tcPr>
                  <w:tcW w:w="1418" w:type="dxa"/>
                  <w:gridSpan w:val="2"/>
                  <w:tcBorders>
                    <w:left w:val="single" w:color="auto" w:sz="4" w:space="0"/>
                  </w:tcBorders>
                  <w:vAlign w:val="center"/>
                </w:tcPr>
                <w:p>
                  <w:pPr>
                    <w:pStyle w:val="32"/>
                    <w:spacing w:line="360" w:lineRule="exact"/>
                    <w:rPr>
                      <w:color w:val="000000" w:themeColor="text1"/>
                      <w:szCs w:val="21"/>
                    </w:rPr>
                  </w:pPr>
                  <w:r>
                    <w:rPr>
                      <w:color w:val="000000" w:themeColor="text1"/>
                      <w:szCs w:val="21"/>
                    </w:rPr>
                    <w:t>装卸</w:t>
                  </w:r>
                </w:p>
              </w:tc>
              <w:tc>
                <w:tcPr>
                  <w:tcW w:w="709" w:type="dxa"/>
                  <w:vMerge w:val="continue"/>
                  <w:vAlign w:val="center"/>
                </w:tcPr>
                <w:p>
                  <w:pPr>
                    <w:pStyle w:val="32"/>
                    <w:spacing w:line="360" w:lineRule="exact"/>
                    <w:rPr>
                      <w:color w:val="000000" w:themeColor="text1"/>
                      <w:szCs w:val="21"/>
                    </w:rPr>
                  </w:pPr>
                </w:p>
              </w:tc>
              <w:tc>
                <w:tcPr>
                  <w:tcW w:w="3260" w:type="dxa"/>
                  <w:vAlign w:val="center"/>
                </w:tcPr>
                <w:p>
                  <w:pPr>
                    <w:pStyle w:val="32"/>
                    <w:spacing w:line="360" w:lineRule="exact"/>
                    <w:ind w:firstLine="210" w:firstLineChars="100"/>
                    <w:jc w:val="both"/>
                    <w:rPr>
                      <w:color w:val="000000" w:themeColor="text1"/>
                      <w:szCs w:val="21"/>
                    </w:rPr>
                  </w:pPr>
                  <w:r>
                    <w:rPr>
                      <w:color w:val="000000" w:themeColor="text1"/>
                      <w:szCs w:val="21"/>
                    </w:rPr>
                    <w:t>①针对废石装卸扬尘，废石卸料均在废石堆场，废石堆场除车辆进出区域，其他区域均设置不低于物料堆存高度围挡和顶棚，并配套1台雾炮机对厂区内废矿石采装、卸料及运输过程扬尘进行洒水抑尘，其扬尘抑制率约为80%；</w:t>
                  </w:r>
                </w:p>
                <w:p>
                  <w:pPr>
                    <w:pStyle w:val="32"/>
                    <w:spacing w:line="360" w:lineRule="exact"/>
                    <w:ind w:firstLine="210" w:firstLineChars="100"/>
                    <w:jc w:val="both"/>
                    <w:rPr>
                      <w:color w:val="000000" w:themeColor="text1"/>
                      <w:szCs w:val="21"/>
                    </w:rPr>
                  </w:pPr>
                  <w:r>
                    <w:rPr>
                      <w:color w:val="000000" w:themeColor="text1"/>
                      <w:szCs w:val="21"/>
                    </w:rPr>
                    <w:t>针对砂石骨料装卸扬尘，砂石骨料卸料均在产品堆场，产品堆场除车辆进出区域，其他区域均设置不低于物料堆存高度围挡和顶棚，且项目生产的砂石骨料含水率较高，因此其其扬尘抑制率约为80%。</w:t>
                  </w:r>
                </w:p>
              </w:tc>
              <w:tc>
                <w:tcPr>
                  <w:tcW w:w="567" w:type="dxa"/>
                  <w:vMerge w:val="continue"/>
                  <w:vAlign w:val="center"/>
                </w:tcPr>
                <w:p>
                  <w:pPr>
                    <w:pStyle w:val="32"/>
                    <w:spacing w:line="360" w:lineRule="exact"/>
                    <w:rPr>
                      <w:color w:val="000000" w:themeColor="text1"/>
                      <w:szCs w:val="21"/>
                    </w:rPr>
                  </w:pPr>
                </w:p>
              </w:tc>
              <w:tc>
                <w:tcPr>
                  <w:tcW w:w="2200" w:type="dxa"/>
                  <w:gridSpan w:val="2"/>
                  <w:vMerge w:val="continue"/>
                  <w:vAlign w:val="center"/>
                </w:tcPr>
                <w:p>
                  <w:pPr>
                    <w:pStyle w:val="32"/>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1" w:type="dxa"/>
                  <w:vMerge w:val="continue"/>
                  <w:tcBorders>
                    <w:right w:val="single" w:color="auto" w:sz="4" w:space="0"/>
                  </w:tcBorders>
                  <w:vAlign w:val="center"/>
                </w:tcPr>
                <w:p>
                  <w:pPr>
                    <w:pStyle w:val="32"/>
                    <w:spacing w:line="360" w:lineRule="exact"/>
                    <w:rPr>
                      <w:color w:val="000000" w:themeColor="text1"/>
                      <w:szCs w:val="21"/>
                    </w:rPr>
                  </w:pPr>
                </w:p>
              </w:tc>
              <w:tc>
                <w:tcPr>
                  <w:tcW w:w="1418" w:type="dxa"/>
                  <w:gridSpan w:val="2"/>
                  <w:tcBorders>
                    <w:left w:val="single" w:color="auto" w:sz="4" w:space="0"/>
                  </w:tcBorders>
                  <w:vAlign w:val="center"/>
                </w:tcPr>
                <w:p>
                  <w:pPr>
                    <w:pStyle w:val="32"/>
                    <w:spacing w:line="360" w:lineRule="exact"/>
                    <w:rPr>
                      <w:color w:val="000000" w:themeColor="text1"/>
                      <w:szCs w:val="21"/>
                    </w:rPr>
                  </w:pPr>
                  <w:r>
                    <w:rPr>
                      <w:color w:val="000000" w:themeColor="text1"/>
                      <w:szCs w:val="21"/>
                    </w:rPr>
                    <w:t>皮带输送</w:t>
                  </w:r>
                </w:p>
              </w:tc>
              <w:tc>
                <w:tcPr>
                  <w:tcW w:w="709" w:type="dxa"/>
                  <w:vMerge w:val="continue"/>
                  <w:vAlign w:val="center"/>
                </w:tcPr>
                <w:p>
                  <w:pPr>
                    <w:pStyle w:val="32"/>
                    <w:spacing w:line="360" w:lineRule="exact"/>
                    <w:rPr>
                      <w:color w:val="000000" w:themeColor="text1"/>
                      <w:szCs w:val="21"/>
                    </w:rPr>
                  </w:pPr>
                </w:p>
              </w:tc>
              <w:tc>
                <w:tcPr>
                  <w:tcW w:w="3260" w:type="dxa"/>
                  <w:vAlign w:val="center"/>
                </w:tcPr>
                <w:p>
                  <w:pPr>
                    <w:pStyle w:val="32"/>
                    <w:spacing w:line="360" w:lineRule="exact"/>
                    <w:ind w:firstLine="210" w:firstLineChars="100"/>
                    <w:jc w:val="both"/>
                    <w:rPr>
                      <w:color w:val="000000" w:themeColor="text1"/>
                      <w:szCs w:val="21"/>
                    </w:rPr>
                  </w:pPr>
                  <w:r>
                    <w:rPr>
                      <w:color w:val="000000" w:themeColor="text1"/>
                      <w:szCs w:val="21"/>
                    </w:rPr>
                    <w:t>--</w:t>
                  </w:r>
                </w:p>
              </w:tc>
              <w:tc>
                <w:tcPr>
                  <w:tcW w:w="567" w:type="dxa"/>
                  <w:vMerge w:val="continue"/>
                  <w:vAlign w:val="center"/>
                </w:tcPr>
                <w:p>
                  <w:pPr>
                    <w:pStyle w:val="32"/>
                    <w:spacing w:line="360" w:lineRule="exact"/>
                    <w:rPr>
                      <w:color w:val="000000" w:themeColor="text1"/>
                      <w:szCs w:val="21"/>
                    </w:rPr>
                  </w:pPr>
                </w:p>
              </w:tc>
              <w:tc>
                <w:tcPr>
                  <w:tcW w:w="2200" w:type="dxa"/>
                  <w:gridSpan w:val="2"/>
                  <w:vMerge w:val="continue"/>
                  <w:vAlign w:val="center"/>
                </w:tcPr>
                <w:p>
                  <w:pPr>
                    <w:pStyle w:val="32"/>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1" w:type="dxa"/>
                  <w:vMerge w:val="continue"/>
                  <w:tcBorders>
                    <w:right w:val="single" w:color="auto" w:sz="4" w:space="0"/>
                  </w:tcBorders>
                  <w:vAlign w:val="center"/>
                </w:tcPr>
                <w:p>
                  <w:pPr>
                    <w:pStyle w:val="32"/>
                    <w:spacing w:line="360" w:lineRule="exact"/>
                    <w:rPr>
                      <w:color w:val="000000" w:themeColor="text1"/>
                      <w:szCs w:val="21"/>
                    </w:rPr>
                  </w:pPr>
                </w:p>
              </w:tc>
              <w:tc>
                <w:tcPr>
                  <w:tcW w:w="1418" w:type="dxa"/>
                  <w:gridSpan w:val="2"/>
                  <w:tcBorders>
                    <w:left w:val="single" w:color="auto" w:sz="4" w:space="0"/>
                  </w:tcBorders>
                  <w:vAlign w:val="center"/>
                </w:tcPr>
                <w:p>
                  <w:pPr>
                    <w:pStyle w:val="32"/>
                    <w:spacing w:line="360" w:lineRule="exact"/>
                    <w:rPr>
                      <w:color w:val="000000" w:themeColor="text1"/>
                      <w:szCs w:val="21"/>
                    </w:rPr>
                  </w:pPr>
                  <w:r>
                    <w:rPr>
                      <w:color w:val="000000" w:themeColor="text1"/>
                      <w:szCs w:val="21"/>
                    </w:rPr>
                    <w:t>破碎筛分</w:t>
                  </w:r>
                </w:p>
              </w:tc>
              <w:tc>
                <w:tcPr>
                  <w:tcW w:w="709" w:type="dxa"/>
                  <w:vMerge w:val="continue"/>
                  <w:vAlign w:val="center"/>
                </w:tcPr>
                <w:p>
                  <w:pPr>
                    <w:pStyle w:val="32"/>
                    <w:spacing w:line="360" w:lineRule="exact"/>
                    <w:rPr>
                      <w:color w:val="000000" w:themeColor="text1"/>
                      <w:szCs w:val="21"/>
                    </w:rPr>
                  </w:pPr>
                </w:p>
              </w:tc>
              <w:tc>
                <w:tcPr>
                  <w:tcW w:w="3260" w:type="dxa"/>
                  <w:vAlign w:val="center"/>
                </w:tcPr>
                <w:p>
                  <w:pPr>
                    <w:pStyle w:val="32"/>
                    <w:spacing w:line="360" w:lineRule="exact"/>
                    <w:ind w:firstLine="210" w:firstLineChars="100"/>
                    <w:jc w:val="both"/>
                    <w:rPr>
                      <w:color w:val="000000" w:themeColor="text1"/>
                      <w:szCs w:val="21"/>
                    </w:rPr>
                  </w:pPr>
                  <w:r>
                    <w:rPr>
                      <w:color w:val="000000" w:themeColor="text1"/>
                      <w:szCs w:val="21"/>
                    </w:rPr>
                    <w:t>项目为降低破碎筛分粉尘产生，拟对一段筛分、鄂破、反击破、二段筛分、球磨和制砂等六个环节均采用加水作业，加水量较大，其处理效率大于湿式除尘+喷雾降尘组合，则实际除尘效率约为98%。</w:t>
                  </w:r>
                </w:p>
              </w:tc>
              <w:tc>
                <w:tcPr>
                  <w:tcW w:w="567" w:type="dxa"/>
                  <w:vMerge w:val="continue"/>
                  <w:vAlign w:val="center"/>
                </w:tcPr>
                <w:p>
                  <w:pPr>
                    <w:pStyle w:val="32"/>
                    <w:spacing w:line="360" w:lineRule="exact"/>
                    <w:rPr>
                      <w:color w:val="000000" w:themeColor="text1"/>
                      <w:szCs w:val="21"/>
                    </w:rPr>
                  </w:pPr>
                </w:p>
              </w:tc>
              <w:tc>
                <w:tcPr>
                  <w:tcW w:w="2200" w:type="dxa"/>
                  <w:gridSpan w:val="2"/>
                  <w:vMerge w:val="continue"/>
                  <w:vAlign w:val="center"/>
                </w:tcPr>
                <w:p>
                  <w:pPr>
                    <w:pStyle w:val="32"/>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1" w:type="dxa"/>
                  <w:vMerge w:val="restart"/>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二期工程</w:t>
                  </w:r>
                </w:p>
              </w:tc>
              <w:tc>
                <w:tcPr>
                  <w:tcW w:w="567" w:type="dxa"/>
                  <w:vMerge w:val="restart"/>
                  <w:tcBorders>
                    <w:left w:val="single" w:color="auto" w:sz="4" w:space="0"/>
                  </w:tcBorders>
                  <w:vAlign w:val="center"/>
                </w:tcPr>
                <w:p>
                  <w:pPr>
                    <w:pStyle w:val="32"/>
                    <w:spacing w:line="360" w:lineRule="exact"/>
                    <w:rPr>
                      <w:color w:val="000000" w:themeColor="text1"/>
                      <w:szCs w:val="21"/>
                    </w:rPr>
                  </w:pPr>
                  <w:r>
                    <w:rPr>
                      <w:color w:val="000000" w:themeColor="text1"/>
                      <w:szCs w:val="21"/>
                    </w:rPr>
                    <w:t>水泥仓</w:t>
                  </w:r>
                </w:p>
              </w:tc>
              <w:tc>
                <w:tcPr>
                  <w:tcW w:w="851" w:type="dxa"/>
                  <w:vMerge w:val="restart"/>
                  <w:vAlign w:val="center"/>
                </w:tcPr>
                <w:p>
                  <w:pPr>
                    <w:pStyle w:val="32"/>
                    <w:spacing w:line="360" w:lineRule="exact"/>
                    <w:rPr>
                      <w:color w:val="000000" w:themeColor="text1"/>
                      <w:szCs w:val="21"/>
                    </w:rPr>
                  </w:pPr>
                  <w:r>
                    <w:rPr>
                      <w:color w:val="000000" w:themeColor="text1"/>
                      <w:szCs w:val="21"/>
                    </w:rPr>
                    <w:t>水泥装卸、储存、输送过程</w:t>
                  </w:r>
                </w:p>
              </w:tc>
              <w:tc>
                <w:tcPr>
                  <w:tcW w:w="709" w:type="dxa"/>
                  <w:vMerge w:val="restart"/>
                  <w:vAlign w:val="center"/>
                </w:tcPr>
                <w:p>
                  <w:pPr>
                    <w:pStyle w:val="32"/>
                    <w:spacing w:line="360" w:lineRule="exact"/>
                    <w:rPr>
                      <w:color w:val="000000" w:themeColor="text1"/>
                      <w:szCs w:val="21"/>
                    </w:rPr>
                  </w:pPr>
                  <w:r>
                    <w:rPr>
                      <w:color w:val="000000" w:themeColor="text1"/>
                      <w:szCs w:val="21"/>
                    </w:rPr>
                    <w:t>颗粒物</w:t>
                  </w:r>
                </w:p>
              </w:tc>
              <w:tc>
                <w:tcPr>
                  <w:tcW w:w="3260" w:type="dxa"/>
                  <w:vMerge w:val="restart"/>
                  <w:vAlign w:val="center"/>
                </w:tcPr>
                <w:p>
                  <w:pPr>
                    <w:pStyle w:val="32"/>
                    <w:spacing w:line="360" w:lineRule="exact"/>
                    <w:ind w:firstLine="210" w:firstLineChars="100"/>
                    <w:jc w:val="both"/>
                    <w:rPr>
                      <w:color w:val="000000" w:themeColor="text1"/>
                      <w:szCs w:val="21"/>
                    </w:rPr>
                  </w:pPr>
                  <w:r>
                    <w:rPr>
                      <w:color w:val="000000" w:themeColor="text1"/>
                      <w:szCs w:val="21"/>
                    </w:rPr>
                    <w:t>水泥仓顶端设置1#袋式除尘器对其处理后通过（DA001）外排，袋式除尘器除尘效率为99.7%。</w:t>
                  </w:r>
                </w:p>
              </w:tc>
              <w:tc>
                <w:tcPr>
                  <w:tcW w:w="567" w:type="dxa"/>
                  <w:vMerge w:val="restart"/>
                  <w:vAlign w:val="center"/>
                </w:tcPr>
                <w:p>
                  <w:pPr>
                    <w:pStyle w:val="32"/>
                    <w:spacing w:line="360" w:lineRule="exact"/>
                    <w:rPr>
                      <w:color w:val="000000" w:themeColor="text1"/>
                      <w:szCs w:val="21"/>
                    </w:rPr>
                  </w:pPr>
                  <w:r>
                    <w:rPr>
                      <w:color w:val="000000" w:themeColor="text1"/>
                      <w:szCs w:val="21"/>
                    </w:rPr>
                    <w:t>有组织</w:t>
                  </w:r>
                </w:p>
              </w:tc>
              <w:tc>
                <w:tcPr>
                  <w:tcW w:w="2200" w:type="dxa"/>
                  <w:gridSpan w:val="2"/>
                  <w:vAlign w:val="center"/>
                </w:tcPr>
                <w:p>
                  <w:pPr>
                    <w:pStyle w:val="32"/>
                    <w:spacing w:line="360" w:lineRule="exact"/>
                    <w:rPr>
                      <w:color w:val="000000" w:themeColor="text1"/>
                      <w:szCs w:val="21"/>
                    </w:rPr>
                  </w:pPr>
                  <w:r>
                    <w:rPr>
                      <w:color w:val="000000" w:themeColor="text1"/>
                      <w:szCs w:val="21"/>
                    </w:rPr>
                    <w:t>排放口参数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1" w:type="dxa"/>
                  <w:vMerge w:val="continue"/>
                  <w:tcBorders>
                    <w:right w:val="single" w:color="auto" w:sz="4" w:space="0"/>
                  </w:tcBorders>
                  <w:vAlign w:val="center"/>
                </w:tcPr>
                <w:p>
                  <w:pPr>
                    <w:pStyle w:val="32"/>
                    <w:spacing w:line="360" w:lineRule="exact"/>
                    <w:rPr>
                      <w:color w:val="000000" w:themeColor="text1"/>
                      <w:szCs w:val="21"/>
                    </w:rPr>
                  </w:pPr>
                </w:p>
              </w:tc>
              <w:tc>
                <w:tcPr>
                  <w:tcW w:w="567" w:type="dxa"/>
                  <w:vMerge w:val="continue"/>
                  <w:tcBorders>
                    <w:left w:val="single" w:color="auto" w:sz="4" w:space="0"/>
                  </w:tcBorders>
                  <w:vAlign w:val="center"/>
                </w:tcPr>
                <w:p>
                  <w:pPr>
                    <w:pStyle w:val="32"/>
                    <w:spacing w:line="360" w:lineRule="exact"/>
                    <w:rPr>
                      <w:color w:val="000000" w:themeColor="text1"/>
                      <w:szCs w:val="21"/>
                    </w:rPr>
                  </w:pPr>
                </w:p>
              </w:tc>
              <w:tc>
                <w:tcPr>
                  <w:tcW w:w="851" w:type="dxa"/>
                  <w:vMerge w:val="continue"/>
                  <w:vAlign w:val="center"/>
                </w:tcPr>
                <w:p>
                  <w:pPr>
                    <w:pStyle w:val="32"/>
                    <w:spacing w:line="360" w:lineRule="exac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3260" w:type="dxa"/>
                  <w:vMerge w:val="continue"/>
                  <w:vAlign w:val="center"/>
                </w:tcPr>
                <w:p>
                  <w:pPr>
                    <w:pStyle w:val="32"/>
                    <w:spacing w:line="360" w:lineRule="exact"/>
                    <w:ind w:firstLine="210" w:firstLineChars="100"/>
                    <w:jc w:val="left"/>
                    <w:rPr>
                      <w:color w:val="000000" w:themeColor="text1"/>
                      <w:szCs w:val="21"/>
                    </w:rPr>
                  </w:pPr>
                </w:p>
              </w:tc>
              <w:tc>
                <w:tcPr>
                  <w:tcW w:w="567" w:type="dxa"/>
                  <w:vMerge w:val="continue"/>
                  <w:vAlign w:val="center"/>
                </w:tcPr>
                <w:p>
                  <w:pPr>
                    <w:pStyle w:val="32"/>
                    <w:spacing w:line="360" w:lineRule="exact"/>
                    <w:rPr>
                      <w:color w:val="000000" w:themeColor="text1"/>
                      <w:szCs w:val="21"/>
                    </w:rPr>
                  </w:pPr>
                </w:p>
              </w:tc>
              <w:tc>
                <w:tcPr>
                  <w:tcW w:w="709" w:type="dxa"/>
                  <w:vAlign w:val="center"/>
                </w:tcPr>
                <w:p>
                  <w:pPr>
                    <w:pStyle w:val="32"/>
                    <w:spacing w:line="360" w:lineRule="exact"/>
                    <w:rPr>
                      <w:color w:val="000000" w:themeColor="text1"/>
                      <w:szCs w:val="21"/>
                    </w:rPr>
                  </w:pPr>
                  <w:r>
                    <w:rPr>
                      <w:color w:val="000000" w:themeColor="text1"/>
                      <w:szCs w:val="21"/>
                    </w:rPr>
                    <w:t>高度</w:t>
                  </w:r>
                </w:p>
              </w:tc>
              <w:tc>
                <w:tcPr>
                  <w:tcW w:w="1491" w:type="dxa"/>
                  <w:vAlign w:val="center"/>
                </w:tcPr>
                <w:p>
                  <w:pPr>
                    <w:pStyle w:val="32"/>
                    <w:spacing w:line="360" w:lineRule="exact"/>
                    <w:rPr>
                      <w:color w:val="000000" w:themeColor="text1"/>
                      <w:szCs w:val="21"/>
                    </w:rPr>
                  </w:pPr>
                  <w:r>
                    <w:rPr>
                      <w:color w:val="000000" w:themeColor="text1"/>
                      <w:szCs w:val="21"/>
                    </w:rPr>
                    <w:t>15m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1" w:type="dxa"/>
                  <w:vMerge w:val="continue"/>
                  <w:tcBorders>
                    <w:right w:val="single" w:color="auto" w:sz="4" w:space="0"/>
                  </w:tcBorders>
                  <w:vAlign w:val="center"/>
                </w:tcPr>
                <w:p>
                  <w:pPr>
                    <w:pStyle w:val="32"/>
                    <w:spacing w:line="360" w:lineRule="exact"/>
                    <w:rPr>
                      <w:color w:val="000000" w:themeColor="text1"/>
                      <w:szCs w:val="21"/>
                    </w:rPr>
                  </w:pPr>
                </w:p>
              </w:tc>
              <w:tc>
                <w:tcPr>
                  <w:tcW w:w="567" w:type="dxa"/>
                  <w:vMerge w:val="continue"/>
                  <w:tcBorders>
                    <w:left w:val="single" w:color="auto" w:sz="4" w:space="0"/>
                  </w:tcBorders>
                  <w:vAlign w:val="center"/>
                </w:tcPr>
                <w:p>
                  <w:pPr>
                    <w:pStyle w:val="32"/>
                    <w:spacing w:line="360" w:lineRule="exact"/>
                    <w:rPr>
                      <w:color w:val="000000" w:themeColor="text1"/>
                      <w:szCs w:val="21"/>
                    </w:rPr>
                  </w:pPr>
                </w:p>
              </w:tc>
              <w:tc>
                <w:tcPr>
                  <w:tcW w:w="851" w:type="dxa"/>
                  <w:vMerge w:val="continue"/>
                  <w:vAlign w:val="center"/>
                </w:tcPr>
                <w:p>
                  <w:pPr>
                    <w:pStyle w:val="32"/>
                    <w:spacing w:line="360" w:lineRule="exac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3260" w:type="dxa"/>
                  <w:vMerge w:val="continue"/>
                  <w:vAlign w:val="center"/>
                </w:tcPr>
                <w:p>
                  <w:pPr>
                    <w:pStyle w:val="32"/>
                    <w:spacing w:line="360" w:lineRule="exact"/>
                    <w:ind w:firstLine="210" w:firstLineChars="100"/>
                    <w:jc w:val="left"/>
                    <w:rPr>
                      <w:color w:val="000000" w:themeColor="text1"/>
                      <w:szCs w:val="21"/>
                    </w:rPr>
                  </w:pPr>
                </w:p>
              </w:tc>
              <w:tc>
                <w:tcPr>
                  <w:tcW w:w="567" w:type="dxa"/>
                  <w:vMerge w:val="continue"/>
                  <w:vAlign w:val="center"/>
                </w:tcPr>
                <w:p>
                  <w:pPr>
                    <w:pStyle w:val="32"/>
                    <w:spacing w:line="360" w:lineRule="exact"/>
                    <w:rPr>
                      <w:color w:val="000000" w:themeColor="text1"/>
                      <w:szCs w:val="21"/>
                    </w:rPr>
                  </w:pPr>
                </w:p>
              </w:tc>
              <w:tc>
                <w:tcPr>
                  <w:tcW w:w="709" w:type="dxa"/>
                  <w:vAlign w:val="center"/>
                </w:tcPr>
                <w:p>
                  <w:pPr>
                    <w:pStyle w:val="32"/>
                    <w:spacing w:line="360" w:lineRule="exact"/>
                    <w:rPr>
                      <w:color w:val="000000" w:themeColor="text1"/>
                      <w:szCs w:val="21"/>
                    </w:rPr>
                  </w:pPr>
                  <w:r>
                    <w:rPr>
                      <w:color w:val="000000" w:themeColor="text1"/>
                      <w:szCs w:val="21"/>
                    </w:rPr>
                    <w:t>内径</w:t>
                  </w:r>
                </w:p>
              </w:tc>
              <w:tc>
                <w:tcPr>
                  <w:tcW w:w="1491" w:type="dxa"/>
                  <w:vAlign w:val="center"/>
                </w:tcPr>
                <w:p>
                  <w:pPr>
                    <w:pStyle w:val="32"/>
                    <w:spacing w:line="360" w:lineRule="exact"/>
                    <w:rPr>
                      <w:color w:val="000000" w:themeColor="text1"/>
                      <w:szCs w:val="21"/>
                    </w:rPr>
                  </w:pPr>
                  <w:r>
                    <w:rPr>
                      <w:color w:val="000000" w:themeColor="text1"/>
                      <w:szCs w:val="21"/>
                    </w:rPr>
                    <w:t>0.2m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1" w:type="dxa"/>
                  <w:vMerge w:val="continue"/>
                  <w:tcBorders>
                    <w:right w:val="single" w:color="auto" w:sz="4" w:space="0"/>
                  </w:tcBorders>
                  <w:vAlign w:val="center"/>
                </w:tcPr>
                <w:p>
                  <w:pPr>
                    <w:pStyle w:val="32"/>
                    <w:spacing w:line="360" w:lineRule="exact"/>
                    <w:rPr>
                      <w:color w:val="000000" w:themeColor="text1"/>
                      <w:szCs w:val="21"/>
                    </w:rPr>
                  </w:pPr>
                </w:p>
              </w:tc>
              <w:tc>
                <w:tcPr>
                  <w:tcW w:w="567" w:type="dxa"/>
                  <w:vMerge w:val="continue"/>
                  <w:tcBorders>
                    <w:left w:val="single" w:color="auto" w:sz="4" w:space="0"/>
                  </w:tcBorders>
                  <w:vAlign w:val="center"/>
                </w:tcPr>
                <w:p>
                  <w:pPr>
                    <w:pStyle w:val="32"/>
                    <w:spacing w:line="360" w:lineRule="exact"/>
                    <w:rPr>
                      <w:color w:val="000000" w:themeColor="text1"/>
                      <w:szCs w:val="21"/>
                    </w:rPr>
                  </w:pPr>
                </w:p>
              </w:tc>
              <w:tc>
                <w:tcPr>
                  <w:tcW w:w="851" w:type="dxa"/>
                  <w:vMerge w:val="continue"/>
                  <w:vAlign w:val="center"/>
                </w:tcPr>
                <w:p>
                  <w:pPr>
                    <w:pStyle w:val="32"/>
                    <w:spacing w:line="360" w:lineRule="exac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3260" w:type="dxa"/>
                  <w:vMerge w:val="continue"/>
                  <w:vAlign w:val="center"/>
                </w:tcPr>
                <w:p>
                  <w:pPr>
                    <w:pStyle w:val="32"/>
                    <w:spacing w:line="360" w:lineRule="exact"/>
                    <w:ind w:firstLine="210" w:firstLineChars="100"/>
                    <w:jc w:val="left"/>
                    <w:rPr>
                      <w:color w:val="000000" w:themeColor="text1"/>
                      <w:szCs w:val="21"/>
                    </w:rPr>
                  </w:pPr>
                </w:p>
              </w:tc>
              <w:tc>
                <w:tcPr>
                  <w:tcW w:w="567" w:type="dxa"/>
                  <w:vMerge w:val="continue"/>
                  <w:vAlign w:val="center"/>
                </w:tcPr>
                <w:p>
                  <w:pPr>
                    <w:pStyle w:val="32"/>
                    <w:spacing w:line="360" w:lineRule="exact"/>
                    <w:rPr>
                      <w:color w:val="000000" w:themeColor="text1"/>
                      <w:szCs w:val="21"/>
                    </w:rPr>
                  </w:pPr>
                </w:p>
              </w:tc>
              <w:tc>
                <w:tcPr>
                  <w:tcW w:w="709" w:type="dxa"/>
                  <w:vAlign w:val="center"/>
                </w:tcPr>
                <w:p>
                  <w:pPr>
                    <w:pStyle w:val="32"/>
                    <w:spacing w:line="360" w:lineRule="exact"/>
                    <w:rPr>
                      <w:color w:val="000000" w:themeColor="text1"/>
                      <w:szCs w:val="21"/>
                    </w:rPr>
                  </w:pPr>
                  <w:r>
                    <w:rPr>
                      <w:color w:val="000000" w:themeColor="text1"/>
                      <w:szCs w:val="21"/>
                    </w:rPr>
                    <w:t>温度</w:t>
                  </w:r>
                </w:p>
              </w:tc>
              <w:tc>
                <w:tcPr>
                  <w:tcW w:w="1491" w:type="dxa"/>
                  <w:vAlign w:val="center"/>
                </w:tcPr>
                <w:p>
                  <w:pPr>
                    <w:pStyle w:val="32"/>
                    <w:spacing w:line="360" w:lineRule="exact"/>
                    <w:rPr>
                      <w:color w:val="000000" w:themeColor="text1"/>
                      <w:szCs w:val="21"/>
                    </w:rPr>
                  </w:pPr>
                  <w:r>
                    <w:rPr>
                      <w:color w:val="000000" w:themeColor="text1"/>
                      <w:szCs w:val="21"/>
                    </w:rPr>
                    <w:t>常温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1" w:type="dxa"/>
                  <w:vMerge w:val="continue"/>
                  <w:tcBorders>
                    <w:right w:val="single" w:color="auto" w:sz="4" w:space="0"/>
                  </w:tcBorders>
                  <w:vAlign w:val="center"/>
                </w:tcPr>
                <w:p>
                  <w:pPr>
                    <w:pStyle w:val="32"/>
                    <w:spacing w:line="360" w:lineRule="exact"/>
                    <w:rPr>
                      <w:color w:val="000000" w:themeColor="text1"/>
                      <w:szCs w:val="21"/>
                    </w:rPr>
                  </w:pPr>
                </w:p>
              </w:tc>
              <w:tc>
                <w:tcPr>
                  <w:tcW w:w="567" w:type="dxa"/>
                  <w:vMerge w:val="continue"/>
                  <w:tcBorders>
                    <w:left w:val="single" w:color="auto" w:sz="4" w:space="0"/>
                  </w:tcBorders>
                  <w:vAlign w:val="center"/>
                </w:tcPr>
                <w:p>
                  <w:pPr>
                    <w:pStyle w:val="32"/>
                    <w:spacing w:line="360" w:lineRule="exact"/>
                    <w:rPr>
                      <w:color w:val="000000" w:themeColor="text1"/>
                      <w:szCs w:val="21"/>
                    </w:rPr>
                  </w:pPr>
                </w:p>
              </w:tc>
              <w:tc>
                <w:tcPr>
                  <w:tcW w:w="851" w:type="dxa"/>
                  <w:vMerge w:val="continue"/>
                  <w:vAlign w:val="center"/>
                </w:tcPr>
                <w:p>
                  <w:pPr>
                    <w:pStyle w:val="32"/>
                    <w:spacing w:line="360" w:lineRule="exac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3260" w:type="dxa"/>
                  <w:vMerge w:val="continue"/>
                  <w:vAlign w:val="center"/>
                </w:tcPr>
                <w:p>
                  <w:pPr>
                    <w:pStyle w:val="32"/>
                    <w:spacing w:line="360" w:lineRule="exact"/>
                    <w:ind w:firstLine="210" w:firstLineChars="100"/>
                    <w:jc w:val="left"/>
                    <w:rPr>
                      <w:color w:val="000000" w:themeColor="text1"/>
                      <w:szCs w:val="21"/>
                    </w:rPr>
                  </w:pPr>
                </w:p>
              </w:tc>
              <w:tc>
                <w:tcPr>
                  <w:tcW w:w="567" w:type="dxa"/>
                  <w:vMerge w:val="continue"/>
                  <w:vAlign w:val="center"/>
                </w:tcPr>
                <w:p>
                  <w:pPr>
                    <w:pStyle w:val="32"/>
                    <w:spacing w:line="360" w:lineRule="exact"/>
                    <w:rPr>
                      <w:color w:val="000000" w:themeColor="text1"/>
                      <w:szCs w:val="21"/>
                    </w:rPr>
                  </w:pPr>
                </w:p>
              </w:tc>
              <w:tc>
                <w:tcPr>
                  <w:tcW w:w="709" w:type="dxa"/>
                  <w:vAlign w:val="center"/>
                </w:tcPr>
                <w:p>
                  <w:pPr>
                    <w:pStyle w:val="32"/>
                    <w:spacing w:line="360" w:lineRule="exact"/>
                    <w:rPr>
                      <w:color w:val="000000" w:themeColor="text1"/>
                      <w:szCs w:val="21"/>
                    </w:rPr>
                  </w:pPr>
                  <w:r>
                    <w:rPr>
                      <w:color w:val="000000" w:themeColor="text1"/>
                      <w:szCs w:val="21"/>
                    </w:rPr>
                    <w:t>编号</w:t>
                  </w:r>
                </w:p>
              </w:tc>
              <w:tc>
                <w:tcPr>
                  <w:tcW w:w="1491" w:type="dxa"/>
                  <w:vAlign w:val="center"/>
                </w:tcPr>
                <w:p>
                  <w:pPr>
                    <w:pStyle w:val="32"/>
                    <w:spacing w:line="360" w:lineRule="exact"/>
                    <w:rPr>
                      <w:color w:val="000000" w:themeColor="text1"/>
                      <w:szCs w:val="21"/>
                    </w:rPr>
                  </w:pPr>
                  <w:r>
                    <w:rPr>
                      <w:color w:val="000000" w:themeColor="text1"/>
                      <w:szCs w:val="21"/>
                    </w:rPr>
                    <w:t>DA001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1" w:type="dxa"/>
                  <w:vMerge w:val="continue"/>
                  <w:tcBorders>
                    <w:right w:val="single" w:color="auto" w:sz="4" w:space="0"/>
                  </w:tcBorders>
                  <w:vAlign w:val="center"/>
                </w:tcPr>
                <w:p>
                  <w:pPr>
                    <w:pStyle w:val="32"/>
                    <w:spacing w:line="360" w:lineRule="exact"/>
                    <w:rPr>
                      <w:color w:val="000000" w:themeColor="text1"/>
                      <w:szCs w:val="21"/>
                    </w:rPr>
                  </w:pPr>
                </w:p>
              </w:tc>
              <w:tc>
                <w:tcPr>
                  <w:tcW w:w="567" w:type="dxa"/>
                  <w:vMerge w:val="continue"/>
                  <w:tcBorders>
                    <w:left w:val="single" w:color="auto" w:sz="4" w:space="0"/>
                  </w:tcBorders>
                  <w:vAlign w:val="center"/>
                </w:tcPr>
                <w:p>
                  <w:pPr>
                    <w:pStyle w:val="32"/>
                    <w:spacing w:line="360" w:lineRule="exact"/>
                    <w:rPr>
                      <w:color w:val="000000" w:themeColor="text1"/>
                      <w:szCs w:val="21"/>
                    </w:rPr>
                  </w:pPr>
                </w:p>
              </w:tc>
              <w:tc>
                <w:tcPr>
                  <w:tcW w:w="851" w:type="dxa"/>
                  <w:vMerge w:val="continue"/>
                  <w:vAlign w:val="center"/>
                </w:tcPr>
                <w:p>
                  <w:pPr>
                    <w:pStyle w:val="32"/>
                    <w:spacing w:line="360" w:lineRule="exac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3260" w:type="dxa"/>
                  <w:vMerge w:val="continue"/>
                  <w:vAlign w:val="center"/>
                </w:tcPr>
                <w:p>
                  <w:pPr>
                    <w:pStyle w:val="32"/>
                    <w:spacing w:line="360" w:lineRule="exact"/>
                    <w:ind w:firstLine="210" w:firstLineChars="100"/>
                    <w:jc w:val="left"/>
                    <w:rPr>
                      <w:color w:val="000000" w:themeColor="text1"/>
                      <w:szCs w:val="21"/>
                    </w:rPr>
                  </w:pPr>
                </w:p>
              </w:tc>
              <w:tc>
                <w:tcPr>
                  <w:tcW w:w="567" w:type="dxa"/>
                  <w:vMerge w:val="continue"/>
                  <w:vAlign w:val="center"/>
                </w:tcPr>
                <w:p>
                  <w:pPr>
                    <w:pStyle w:val="32"/>
                    <w:spacing w:line="360" w:lineRule="exact"/>
                    <w:rPr>
                      <w:color w:val="000000" w:themeColor="text1"/>
                      <w:szCs w:val="21"/>
                    </w:rPr>
                  </w:pPr>
                </w:p>
              </w:tc>
              <w:tc>
                <w:tcPr>
                  <w:tcW w:w="709" w:type="dxa"/>
                  <w:vAlign w:val="center"/>
                </w:tcPr>
                <w:p>
                  <w:pPr>
                    <w:pStyle w:val="32"/>
                    <w:spacing w:line="360" w:lineRule="exact"/>
                    <w:rPr>
                      <w:color w:val="000000" w:themeColor="text1"/>
                      <w:szCs w:val="21"/>
                    </w:rPr>
                  </w:pPr>
                  <w:r>
                    <w:rPr>
                      <w:color w:val="000000" w:themeColor="text1"/>
                      <w:szCs w:val="21"/>
                    </w:rPr>
                    <w:t>类型</w:t>
                  </w:r>
                </w:p>
              </w:tc>
              <w:tc>
                <w:tcPr>
                  <w:tcW w:w="1491" w:type="dxa"/>
                  <w:vAlign w:val="center"/>
                </w:tcPr>
                <w:p>
                  <w:pPr>
                    <w:pStyle w:val="32"/>
                    <w:spacing w:line="360" w:lineRule="exact"/>
                    <w:rPr>
                      <w:color w:val="000000" w:themeColor="text1"/>
                      <w:szCs w:val="21"/>
                    </w:rPr>
                  </w:pP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1" w:type="dxa"/>
                  <w:vMerge w:val="continue"/>
                  <w:tcBorders>
                    <w:right w:val="single" w:color="auto" w:sz="4" w:space="0"/>
                  </w:tcBorders>
                  <w:vAlign w:val="center"/>
                </w:tcPr>
                <w:p>
                  <w:pPr>
                    <w:pStyle w:val="32"/>
                    <w:spacing w:line="360" w:lineRule="exact"/>
                    <w:rPr>
                      <w:color w:val="000000" w:themeColor="text1"/>
                      <w:szCs w:val="21"/>
                    </w:rPr>
                  </w:pPr>
                </w:p>
              </w:tc>
              <w:tc>
                <w:tcPr>
                  <w:tcW w:w="567" w:type="dxa"/>
                  <w:vMerge w:val="continue"/>
                  <w:tcBorders>
                    <w:left w:val="single" w:color="auto" w:sz="4" w:space="0"/>
                  </w:tcBorders>
                  <w:vAlign w:val="center"/>
                </w:tcPr>
                <w:p>
                  <w:pPr>
                    <w:pStyle w:val="32"/>
                    <w:spacing w:line="360" w:lineRule="exact"/>
                    <w:rPr>
                      <w:color w:val="000000" w:themeColor="text1"/>
                      <w:szCs w:val="21"/>
                    </w:rPr>
                  </w:pPr>
                </w:p>
              </w:tc>
              <w:tc>
                <w:tcPr>
                  <w:tcW w:w="851" w:type="dxa"/>
                  <w:vMerge w:val="continue"/>
                  <w:vAlign w:val="center"/>
                </w:tcPr>
                <w:p>
                  <w:pPr>
                    <w:pStyle w:val="32"/>
                    <w:spacing w:line="360" w:lineRule="exac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3260" w:type="dxa"/>
                  <w:vMerge w:val="continue"/>
                  <w:vAlign w:val="center"/>
                </w:tcPr>
                <w:p>
                  <w:pPr>
                    <w:pStyle w:val="32"/>
                    <w:spacing w:line="360" w:lineRule="exact"/>
                    <w:ind w:firstLine="210" w:firstLineChars="100"/>
                    <w:jc w:val="left"/>
                    <w:rPr>
                      <w:color w:val="000000" w:themeColor="text1"/>
                      <w:szCs w:val="21"/>
                    </w:rPr>
                  </w:pPr>
                </w:p>
              </w:tc>
              <w:tc>
                <w:tcPr>
                  <w:tcW w:w="567" w:type="dxa"/>
                  <w:vMerge w:val="continue"/>
                  <w:vAlign w:val="center"/>
                </w:tcPr>
                <w:p>
                  <w:pPr>
                    <w:pStyle w:val="32"/>
                    <w:spacing w:line="360" w:lineRule="exact"/>
                    <w:rPr>
                      <w:color w:val="000000" w:themeColor="text1"/>
                      <w:szCs w:val="21"/>
                    </w:rPr>
                  </w:pPr>
                </w:p>
              </w:tc>
              <w:tc>
                <w:tcPr>
                  <w:tcW w:w="709" w:type="dxa"/>
                  <w:vAlign w:val="center"/>
                </w:tcPr>
                <w:p>
                  <w:pPr>
                    <w:pStyle w:val="32"/>
                    <w:spacing w:line="360" w:lineRule="exact"/>
                    <w:rPr>
                      <w:color w:val="000000" w:themeColor="text1"/>
                      <w:szCs w:val="21"/>
                    </w:rPr>
                  </w:pPr>
                  <w:r>
                    <w:rPr>
                      <w:color w:val="000000" w:themeColor="text1"/>
                      <w:szCs w:val="21"/>
                    </w:rPr>
                    <w:t>坐标</w:t>
                  </w:r>
                </w:p>
              </w:tc>
              <w:tc>
                <w:tcPr>
                  <w:tcW w:w="1491" w:type="dxa"/>
                  <w:vAlign w:val="center"/>
                </w:tcPr>
                <w:p>
                  <w:pPr>
                    <w:pStyle w:val="32"/>
                    <w:spacing w:line="360" w:lineRule="exact"/>
                    <w:rPr>
                      <w:color w:val="000000" w:themeColor="text1"/>
                      <w:szCs w:val="21"/>
                    </w:rPr>
                  </w:pPr>
                  <w:r>
                    <w:rPr>
                      <w:color w:val="000000" w:themeColor="text1"/>
                      <w:szCs w:val="21"/>
                    </w:rPr>
                    <w:t>E102.936169°、N26.326189°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1" w:type="dxa"/>
                  <w:vMerge w:val="continue"/>
                  <w:tcBorders>
                    <w:right w:val="single" w:color="auto" w:sz="4" w:space="0"/>
                  </w:tcBorders>
                  <w:vAlign w:val="center"/>
                </w:tcPr>
                <w:p>
                  <w:pPr>
                    <w:pStyle w:val="32"/>
                    <w:spacing w:line="360" w:lineRule="exact"/>
                    <w:rPr>
                      <w:color w:val="000000" w:themeColor="text1"/>
                      <w:szCs w:val="21"/>
                    </w:rPr>
                  </w:pPr>
                </w:p>
              </w:tc>
              <w:tc>
                <w:tcPr>
                  <w:tcW w:w="567" w:type="dxa"/>
                  <w:vMerge w:val="restart"/>
                  <w:tcBorders>
                    <w:left w:val="single" w:color="auto" w:sz="4" w:space="0"/>
                  </w:tcBorders>
                  <w:vAlign w:val="center"/>
                </w:tcPr>
                <w:p>
                  <w:pPr>
                    <w:pStyle w:val="32"/>
                    <w:spacing w:line="360" w:lineRule="exact"/>
                    <w:rPr>
                      <w:color w:val="000000" w:themeColor="text1"/>
                      <w:szCs w:val="21"/>
                    </w:rPr>
                  </w:pPr>
                  <w:r>
                    <w:rPr>
                      <w:color w:val="000000" w:themeColor="text1"/>
                      <w:szCs w:val="21"/>
                    </w:rPr>
                    <w:t>搅拌混合车间</w:t>
                  </w:r>
                </w:p>
              </w:tc>
              <w:tc>
                <w:tcPr>
                  <w:tcW w:w="851" w:type="dxa"/>
                  <w:vMerge w:val="restart"/>
                  <w:vAlign w:val="center"/>
                </w:tcPr>
                <w:p>
                  <w:pPr>
                    <w:pStyle w:val="32"/>
                    <w:spacing w:line="360" w:lineRule="exact"/>
                    <w:rPr>
                      <w:color w:val="000000" w:themeColor="text1"/>
                      <w:szCs w:val="21"/>
                    </w:rPr>
                  </w:pPr>
                  <w:r>
                    <w:rPr>
                      <w:color w:val="000000" w:themeColor="text1"/>
                      <w:szCs w:val="21"/>
                    </w:rPr>
                    <w:t>搅拌混合</w:t>
                  </w:r>
                </w:p>
              </w:tc>
              <w:tc>
                <w:tcPr>
                  <w:tcW w:w="709" w:type="dxa"/>
                  <w:vMerge w:val="restart"/>
                  <w:vAlign w:val="center"/>
                </w:tcPr>
                <w:p>
                  <w:pPr>
                    <w:pStyle w:val="32"/>
                    <w:spacing w:line="360" w:lineRule="exact"/>
                    <w:rPr>
                      <w:color w:val="000000" w:themeColor="text1"/>
                      <w:szCs w:val="21"/>
                    </w:rPr>
                  </w:pPr>
                  <w:r>
                    <w:rPr>
                      <w:color w:val="000000" w:themeColor="text1"/>
                      <w:szCs w:val="21"/>
                    </w:rPr>
                    <w:t>颗粒物</w:t>
                  </w:r>
                </w:p>
              </w:tc>
              <w:tc>
                <w:tcPr>
                  <w:tcW w:w="3260" w:type="dxa"/>
                  <w:vMerge w:val="restart"/>
                  <w:vAlign w:val="center"/>
                </w:tcPr>
                <w:p>
                  <w:pPr>
                    <w:pStyle w:val="32"/>
                    <w:spacing w:line="360" w:lineRule="exact"/>
                    <w:ind w:firstLine="210" w:firstLineChars="100"/>
                    <w:jc w:val="both"/>
                    <w:rPr>
                      <w:color w:val="000000" w:themeColor="text1"/>
                      <w:szCs w:val="21"/>
                    </w:rPr>
                  </w:pPr>
                  <w:r>
                    <w:rPr>
                      <w:color w:val="000000" w:themeColor="text1"/>
                      <w:szCs w:val="21"/>
                    </w:rPr>
                    <w:t>针对搅拌混合工序的粉尘，项目拟对该工序产尘点配套设置了集气罩，将其有效统一收集后，通过1台2#袋式除尘器进行处理，处理后通过1根15m高排气筒（DA002）外排。该集气罩风量为5000m³/h，集气效率不低于90%，袋式除尘器除尘效率为99.7%。</w:t>
                  </w:r>
                </w:p>
              </w:tc>
              <w:tc>
                <w:tcPr>
                  <w:tcW w:w="567" w:type="dxa"/>
                  <w:vMerge w:val="restart"/>
                  <w:vAlign w:val="center"/>
                </w:tcPr>
                <w:p>
                  <w:pPr>
                    <w:pStyle w:val="32"/>
                    <w:spacing w:line="360" w:lineRule="exact"/>
                    <w:rPr>
                      <w:color w:val="000000" w:themeColor="text1"/>
                      <w:szCs w:val="21"/>
                    </w:rPr>
                  </w:pPr>
                  <w:r>
                    <w:rPr>
                      <w:color w:val="000000" w:themeColor="text1"/>
                      <w:szCs w:val="21"/>
                    </w:rPr>
                    <w:t>有组织</w:t>
                  </w:r>
                </w:p>
              </w:tc>
              <w:tc>
                <w:tcPr>
                  <w:tcW w:w="2200" w:type="dxa"/>
                  <w:gridSpan w:val="2"/>
                  <w:vAlign w:val="center"/>
                </w:tcPr>
                <w:p>
                  <w:pPr>
                    <w:pStyle w:val="32"/>
                    <w:spacing w:line="360" w:lineRule="exact"/>
                    <w:rPr>
                      <w:color w:val="000000" w:themeColor="text1"/>
                      <w:szCs w:val="21"/>
                    </w:rPr>
                  </w:pPr>
                  <w:r>
                    <w:rPr>
                      <w:color w:val="000000" w:themeColor="text1"/>
                      <w:szCs w:val="21"/>
                    </w:rPr>
                    <w:t>排气筒参数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1" w:type="dxa"/>
                  <w:vMerge w:val="continue"/>
                  <w:tcBorders>
                    <w:right w:val="single" w:color="auto" w:sz="4" w:space="0"/>
                  </w:tcBorders>
                  <w:vAlign w:val="center"/>
                </w:tcPr>
                <w:p>
                  <w:pPr>
                    <w:pStyle w:val="32"/>
                    <w:spacing w:line="360" w:lineRule="exact"/>
                    <w:rPr>
                      <w:color w:val="000000" w:themeColor="text1"/>
                      <w:szCs w:val="21"/>
                    </w:rPr>
                  </w:pPr>
                </w:p>
              </w:tc>
              <w:tc>
                <w:tcPr>
                  <w:tcW w:w="567" w:type="dxa"/>
                  <w:vMerge w:val="continue"/>
                  <w:tcBorders>
                    <w:left w:val="single" w:color="auto" w:sz="4" w:space="0"/>
                  </w:tcBorders>
                  <w:vAlign w:val="center"/>
                </w:tcPr>
                <w:p>
                  <w:pPr>
                    <w:pStyle w:val="32"/>
                    <w:spacing w:line="360" w:lineRule="exact"/>
                    <w:rPr>
                      <w:color w:val="000000" w:themeColor="text1"/>
                      <w:szCs w:val="21"/>
                    </w:rPr>
                  </w:pPr>
                </w:p>
              </w:tc>
              <w:tc>
                <w:tcPr>
                  <w:tcW w:w="851" w:type="dxa"/>
                  <w:vMerge w:val="continue"/>
                  <w:vAlign w:val="center"/>
                </w:tcPr>
                <w:p>
                  <w:pPr>
                    <w:pStyle w:val="32"/>
                    <w:spacing w:line="360" w:lineRule="exac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3260" w:type="dxa"/>
                  <w:vMerge w:val="continue"/>
                  <w:vAlign w:val="center"/>
                </w:tcPr>
                <w:p>
                  <w:pPr>
                    <w:pStyle w:val="32"/>
                    <w:spacing w:line="360" w:lineRule="exact"/>
                    <w:ind w:firstLine="210" w:firstLineChars="100"/>
                    <w:jc w:val="left"/>
                    <w:rPr>
                      <w:color w:val="000000" w:themeColor="text1"/>
                      <w:szCs w:val="21"/>
                    </w:rPr>
                  </w:pPr>
                </w:p>
              </w:tc>
              <w:tc>
                <w:tcPr>
                  <w:tcW w:w="567" w:type="dxa"/>
                  <w:vMerge w:val="continue"/>
                  <w:vAlign w:val="center"/>
                </w:tcPr>
                <w:p>
                  <w:pPr>
                    <w:pStyle w:val="32"/>
                    <w:spacing w:line="360" w:lineRule="exact"/>
                    <w:rPr>
                      <w:color w:val="000000" w:themeColor="text1"/>
                      <w:szCs w:val="21"/>
                    </w:rPr>
                  </w:pPr>
                </w:p>
              </w:tc>
              <w:tc>
                <w:tcPr>
                  <w:tcW w:w="709" w:type="dxa"/>
                  <w:vAlign w:val="center"/>
                </w:tcPr>
                <w:p>
                  <w:pPr>
                    <w:pStyle w:val="32"/>
                    <w:spacing w:line="360" w:lineRule="exact"/>
                    <w:rPr>
                      <w:color w:val="000000" w:themeColor="text1"/>
                      <w:szCs w:val="21"/>
                    </w:rPr>
                  </w:pPr>
                  <w:r>
                    <w:rPr>
                      <w:color w:val="000000" w:themeColor="text1"/>
                      <w:szCs w:val="21"/>
                    </w:rPr>
                    <w:t>高度</w:t>
                  </w:r>
                </w:p>
              </w:tc>
              <w:tc>
                <w:tcPr>
                  <w:tcW w:w="1491" w:type="dxa"/>
                  <w:vAlign w:val="center"/>
                </w:tcPr>
                <w:p>
                  <w:pPr>
                    <w:pStyle w:val="32"/>
                    <w:spacing w:line="360" w:lineRule="exact"/>
                    <w:rPr>
                      <w:color w:val="000000" w:themeColor="text1"/>
                      <w:szCs w:val="21"/>
                    </w:rPr>
                  </w:pPr>
                  <w:r>
                    <w:rPr>
                      <w:color w:val="000000" w:themeColor="text1"/>
                      <w:szCs w:val="21"/>
                    </w:rPr>
                    <w:t>15m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1" w:type="dxa"/>
                  <w:vMerge w:val="continue"/>
                  <w:tcBorders>
                    <w:right w:val="single" w:color="auto" w:sz="4" w:space="0"/>
                  </w:tcBorders>
                  <w:vAlign w:val="center"/>
                </w:tcPr>
                <w:p>
                  <w:pPr>
                    <w:pStyle w:val="32"/>
                    <w:spacing w:line="360" w:lineRule="exact"/>
                    <w:rPr>
                      <w:color w:val="000000" w:themeColor="text1"/>
                      <w:szCs w:val="21"/>
                    </w:rPr>
                  </w:pPr>
                </w:p>
              </w:tc>
              <w:tc>
                <w:tcPr>
                  <w:tcW w:w="567" w:type="dxa"/>
                  <w:vMerge w:val="continue"/>
                  <w:tcBorders>
                    <w:left w:val="single" w:color="auto" w:sz="4" w:space="0"/>
                  </w:tcBorders>
                  <w:vAlign w:val="center"/>
                </w:tcPr>
                <w:p>
                  <w:pPr>
                    <w:pStyle w:val="32"/>
                    <w:spacing w:line="360" w:lineRule="exact"/>
                    <w:rPr>
                      <w:color w:val="000000" w:themeColor="text1"/>
                      <w:szCs w:val="21"/>
                    </w:rPr>
                  </w:pPr>
                </w:p>
              </w:tc>
              <w:tc>
                <w:tcPr>
                  <w:tcW w:w="851" w:type="dxa"/>
                  <w:vMerge w:val="continue"/>
                  <w:vAlign w:val="center"/>
                </w:tcPr>
                <w:p>
                  <w:pPr>
                    <w:pStyle w:val="32"/>
                    <w:spacing w:line="360" w:lineRule="exac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3260" w:type="dxa"/>
                  <w:vMerge w:val="continue"/>
                  <w:vAlign w:val="center"/>
                </w:tcPr>
                <w:p>
                  <w:pPr>
                    <w:pStyle w:val="32"/>
                    <w:spacing w:line="360" w:lineRule="exact"/>
                    <w:ind w:firstLine="210" w:firstLineChars="100"/>
                    <w:jc w:val="left"/>
                    <w:rPr>
                      <w:color w:val="000000" w:themeColor="text1"/>
                      <w:szCs w:val="21"/>
                    </w:rPr>
                  </w:pPr>
                </w:p>
              </w:tc>
              <w:tc>
                <w:tcPr>
                  <w:tcW w:w="567" w:type="dxa"/>
                  <w:vMerge w:val="continue"/>
                  <w:vAlign w:val="center"/>
                </w:tcPr>
                <w:p>
                  <w:pPr>
                    <w:pStyle w:val="32"/>
                    <w:spacing w:line="360" w:lineRule="exact"/>
                    <w:rPr>
                      <w:color w:val="000000" w:themeColor="text1"/>
                      <w:szCs w:val="21"/>
                    </w:rPr>
                  </w:pPr>
                </w:p>
              </w:tc>
              <w:tc>
                <w:tcPr>
                  <w:tcW w:w="709" w:type="dxa"/>
                  <w:vAlign w:val="center"/>
                </w:tcPr>
                <w:p>
                  <w:pPr>
                    <w:pStyle w:val="32"/>
                    <w:spacing w:line="360" w:lineRule="exact"/>
                    <w:rPr>
                      <w:color w:val="000000" w:themeColor="text1"/>
                      <w:szCs w:val="21"/>
                    </w:rPr>
                  </w:pPr>
                  <w:r>
                    <w:rPr>
                      <w:color w:val="000000" w:themeColor="text1"/>
                      <w:szCs w:val="21"/>
                    </w:rPr>
                    <w:t>内径</w:t>
                  </w:r>
                </w:p>
              </w:tc>
              <w:tc>
                <w:tcPr>
                  <w:tcW w:w="1491" w:type="dxa"/>
                  <w:vAlign w:val="center"/>
                </w:tcPr>
                <w:p>
                  <w:pPr>
                    <w:pStyle w:val="32"/>
                    <w:spacing w:line="360" w:lineRule="exact"/>
                    <w:rPr>
                      <w:color w:val="000000" w:themeColor="text1"/>
                      <w:szCs w:val="21"/>
                    </w:rPr>
                  </w:pPr>
                  <w:r>
                    <w:rPr>
                      <w:color w:val="000000" w:themeColor="text1"/>
                      <w:szCs w:val="21"/>
                    </w:rPr>
                    <w:t>0.4m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1" w:type="dxa"/>
                  <w:vMerge w:val="continue"/>
                  <w:tcBorders>
                    <w:right w:val="single" w:color="auto" w:sz="4" w:space="0"/>
                  </w:tcBorders>
                  <w:vAlign w:val="center"/>
                </w:tcPr>
                <w:p>
                  <w:pPr>
                    <w:pStyle w:val="32"/>
                    <w:spacing w:line="360" w:lineRule="exact"/>
                    <w:rPr>
                      <w:color w:val="000000" w:themeColor="text1"/>
                      <w:szCs w:val="21"/>
                    </w:rPr>
                  </w:pPr>
                </w:p>
              </w:tc>
              <w:tc>
                <w:tcPr>
                  <w:tcW w:w="567" w:type="dxa"/>
                  <w:vMerge w:val="continue"/>
                  <w:tcBorders>
                    <w:left w:val="single" w:color="auto" w:sz="4" w:space="0"/>
                  </w:tcBorders>
                  <w:vAlign w:val="center"/>
                </w:tcPr>
                <w:p>
                  <w:pPr>
                    <w:pStyle w:val="32"/>
                    <w:spacing w:line="360" w:lineRule="exact"/>
                    <w:rPr>
                      <w:color w:val="000000" w:themeColor="text1"/>
                      <w:szCs w:val="21"/>
                    </w:rPr>
                  </w:pPr>
                </w:p>
              </w:tc>
              <w:tc>
                <w:tcPr>
                  <w:tcW w:w="851" w:type="dxa"/>
                  <w:vMerge w:val="continue"/>
                  <w:vAlign w:val="center"/>
                </w:tcPr>
                <w:p>
                  <w:pPr>
                    <w:pStyle w:val="32"/>
                    <w:spacing w:line="360" w:lineRule="exac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3260" w:type="dxa"/>
                  <w:vMerge w:val="continue"/>
                  <w:vAlign w:val="center"/>
                </w:tcPr>
                <w:p>
                  <w:pPr>
                    <w:pStyle w:val="32"/>
                    <w:spacing w:line="360" w:lineRule="exact"/>
                    <w:ind w:firstLine="210" w:firstLineChars="100"/>
                    <w:jc w:val="left"/>
                    <w:rPr>
                      <w:color w:val="000000" w:themeColor="text1"/>
                      <w:szCs w:val="21"/>
                    </w:rPr>
                  </w:pPr>
                </w:p>
              </w:tc>
              <w:tc>
                <w:tcPr>
                  <w:tcW w:w="567" w:type="dxa"/>
                  <w:vMerge w:val="continue"/>
                  <w:vAlign w:val="center"/>
                </w:tcPr>
                <w:p>
                  <w:pPr>
                    <w:pStyle w:val="32"/>
                    <w:spacing w:line="360" w:lineRule="exact"/>
                    <w:rPr>
                      <w:color w:val="000000" w:themeColor="text1"/>
                      <w:szCs w:val="21"/>
                    </w:rPr>
                  </w:pPr>
                </w:p>
              </w:tc>
              <w:tc>
                <w:tcPr>
                  <w:tcW w:w="709" w:type="dxa"/>
                  <w:vAlign w:val="center"/>
                </w:tcPr>
                <w:p>
                  <w:pPr>
                    <w:pStyle w:val="32"/>
                    <w:spacing w:line="360" w:lineRule="exact"/>
                    <w:rPr>
                      <w:color w:val="000000" w:themeColor="text1"/>
                      <w:szCs w:val="21"/>
                    </w:rPr>
                  </w:pPr>
                  <w:r>
                    <w:rPr>
                      <w:color w:val="000000" w:themeColor="text1"/>
                      <w:szCs w:val="21"/>
                    </w:rPr>
                    <w:t>温度</w:t>
                  </w:r>
                </w:p>
              </w:tc>
              <w:tc>
                <w:tcPr>
                  <w:tcW w:w="1491" w:type="dxa"/>
                  <w:vAlign w:val="center"/>
                </w:tcPr>
                <w:p>
                  <w:pPr>
                    <w:pStyle w:val="32"/>
                    <w:spacing w:line="360" w:lineRule="exact"/>
                    <w:rPr>
                      <w:color w:val="000000" w:themeColor="text1"/>
                      <w:szCs w:val="21"/>
                    </w:rPr>
                  </w:pPr>
                  <w:r>
                    <w:rPr>
                      <w:color w:val="000000" w:themeColor="text1"/>
                      <w:szCs w:val="21"/>
                    </w:rPr>
                    <w:t>常温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1" w:type="dxa"/>
                  <w:vMerge w:val="continue"/>
                  <w:tcBorders>
                    <w:right w:val="single" w:color="auto" w:sz="4" w:space="0"/>
                  </w:tcBorders>
                  <w:vAlign w:val="center"/>
                </w:tcPr>
                <w:p>
                  <w:pPr>
                    <w:pStyle w:val="32"/>
                    <w:spacing w:line="360" w:lineRule="exact"/>
                    <w:rPr>
                      <w:color w:val="000000" w:themeColor="text1"/>
                      <w:szCs w:val="21"/>
                    </w:rPr>
                  </w:pPr>
                </w:p>
              </w:tc>
              <w:tc>
                <w:tcPr>
                  <w:tcW w:w="567" w:type="dxa"/>
                  <w:vMerge w:val="continue"/>
                  <w:tcBorders>
                    <w:left w:val="single" w:color="auto" w:sz="4" w:space="0"/>
                  </w:tcBorders>
                  <w:vAlign w:val="center"/>
                </w:tcPr>
                <w:p>
                  <w:pPr>
                    <w:pStyle w:val="32"/>
                    <w:spacing w:line="360" w:lineRule="exact"/>
                    <w:rPr>
                      <w:color w:val="000000" w:themeColor="text1"/>
                      <w:szCs w:val="21"/>
                    </w:rPr>
                  </w:pPr>
                </w:p>
              </w:tc>
              <w:tc>
                <w:tcPr>
                  <w:tcW w:w="851" w:type="dxa"/>
                  <w:vMerge w:val="continue"/>
                  <w:vAlign w:val="center"/>
                </w:tcPr>
                <w:p>
                  <w:pPr>
                    <w:pStyle w:val="32"/>
                    <w:spacing w:line="360" w:lineRule="exac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3260" w:type="dxa"/>
                  <w:vMerge w:val="continue"/>
                  <w:vAlign w:val="center"/>
                </w:tcPr>
                <w:p>
                  <w:pPr>
                    <w:pStyle w:val="32"/>
                    <w:spacing w:line="360" w:lineRule="exact"/>
                    <w:ind w:firstLine="210" w:firstLineChars="100"/>
                    <w:jc w:val="left"/>
                    <w:rPr>
                      <w:color w:val="000000" w:themeColor="text1"/>
                      <w:szCs w:val="21"/>
                    </w:rPr>
                  </w:pPr>
                </w:p>
              </w:tc>
              <w:tc>
                <w:tcPr>
                  <w:tcW w:w="567" w:type="dxa"/>
                  <w:vMerge w:val="continue"/>
                  <w:vAlign w:val="center"/>
                </w:tcPr>
                <w:p>
                  <w:pPr>
                    <w:pStyle w:val="32"/>
                    <w:spacing w:line="360" w:lineRule="exact"/>
                    <w:rPr>
                      <w:color w:val="000000" w:themeColor="text1"/>
                      <w:szCs w:val="21"/>
                    </w:rPr>
                  </w:pPr>
                </w:p>
              </w:tc>
              <w:tc>
                <w:tcPr>
                  <w:tcW w:w="709" w:type="dxa"/>
                  <w:vAlign w:val="center"/>
                </w:tcPr>
                <w:p>
                  <w:pPr>
                    <w:pStyle w:val="32"/>
                    <w:spacing w:line="360" w:lineRule="exact"/>
                    <w:rPr>
                      <w:color w:val="000000" w:themeColor="text1"/>
                      <w:szCs w:val="21"/>
                    </w:rPr>
                  </w:pPr>
                  <w:r>
                    <w:rPr>
                      <w:color w:val="000000" w:themeColor="text1"/>
                      <w:szCs w:val="21"/>
                    </w:rPr>
                    <w:t>编号</w:t>
                  </w:r>
                </w:p>
              </w:tc>
              <w:tc>
                <w:tcPr>
                  <w:tcW w:w="1491" w:type="dxa"/>
                  <w:vAlign w:val="center"/>
                </w:tcPr>
                <w:p>
                  <w:pPr>
                    <w:pStyle w:val="32"/>
                    <w:spacing w:line="360" w:lineRule="exact"/>
                    <w:rPr>
                      <w:color w:val="000000" w:themeColor="text1"/>
                      <w:szCs w:val="21"/>
                    </w:rPr>
                  </w:pPr>
                  <w:r>
                    <w:rPr>
                      <w:color w:val="000000" w:themeColor="text1"/>
                      <w:szCs w:val="21"/>
                    </w:rPr>
                    <w:t>DA002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1" w:type="dxa"/>
                  <w:vMerge w:val="continue"/>
                  <w:tcBorders>
                    <w:right w:val="single" w:color="auto" w:sz="4" w:space="0"/>
                  </w:tcBorders>
                  <w:vAlign w:val="center"/>
                </w:tcPr>
                <w:p>
                  <w:pPr>
                    <w:pStyle w:val="32"/>
                    <w:spacing w:line="360" w:lineRule="exact"/>
                    <w:rPr>
                      <w:color w:val="000000" w:themeColor="text1"/>
                      <w:szCs w:val="21"/>
                    </w:rPr>
                  </w:pPr>
                </w:p>
              </w:tc>
              <w:tc>
                <w:tcPr>
                  <w:tcW w:w="567" w:type="dxa"/>
                  <w:vMerge w:val="continue"/>
                  <w:tcBorders>
                    <w:left w:val="single" w:color="auto" w:sz="4" w:space="0"/>
                  </w:tcBorders>
                  <w:vAlign w:val="center"/>
                </w:tcPr>
                <w:p>
                  <w:pPr>
                    <w:pStyle w:val="32"/>
                    <w:spacing w:line="360" w:lineRule="exact"/>
                    <w:rPr>
                      <w:color w:val="000000" w:themeColor="text1"/>
                      <w:szCs w:val="21"/>
                    </w:rPr>
                  </w:pPr>
                </w:p>
              </w:tc>
              <w:tc>
                <w:tcPr>
                  <w:tcW w:w="851" w:type="dxa"/>
                  <w:vMerge w:val="continue"/>
                  <w:vAlign w:val="center"/>
                </w:tcPr>
                <w:p>
                  <w:pPr>
                    <w:pStyle w:val="32"/>
                    <w:spacing w:line="360" w:lineRule="exac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3260" w:type="dxa"/>
                  <w:vMerge w:val="continue"/>
                  <w:vAlign w:val="center"/>
                </w:tcPr>
                <w:p>
                  <w:pPr>
                    <w:pStyle w:val="32"/>
                    <w:spacing w:line="360" w:lineRule="exact"/>
                    <w:ind w:firstLine="210" w:firstLineChars="100"/>
                    <w:jc w:val="left"/>
                    <w:rPr>
                      <w:color w:val="000000" w:themeColor="text1"/>
                      <w:szCs w:val="21"/>
                    </w:rPr>
                  </w:pPr>
                </w:p>
              </w:tc>
              <w:tc>
                <w:tcPr>
                  <w:tcW w:w="567" w:type="dxa"/>
                  <w:vMerge w:val="continue"/>
                  <w:vAlign w:val="center"/>
                </w:tcPr>
                <w:p>
                  <w:pPr>
                    <w:pStyle w:val="32"/>
                    <w:spacing w:line="360" w:lineRule="exact"/>
                    <w:rPr>
                      <w:color w:val="000000" w:themeColor="text1"/>
                      <w:szCs w:val="21"/>
                    </w:rPr>
                  </w:pPr>
                </w:p>
              </w:tc>
              <w:tc>
                <w:tcPr>
                  <w:tcW w:w="709" w:type="dxa"/>
                  <w:vAlign w:val="center"/>
                </w:tcPr>
                <w:p>
                  <w:pPr>
                    <w:pStyle w:val="32"/>
                    <w:spacing w:line="360" w:lineRule="exact"/>
                    <w:rPr>
                      <w:color w:val="000000" w:themeColor="text1"/>
                      <w:szCs w:val="21"/>
                    </w:rPr>
                  </w:pPr>
                  <w:r>
                    <w:rPr>
                      <w:color w:val="000000" w:themeColor="text1"/>
                      <w:szCs w:val="21"/>
                    </w:rPr>
                    <w:t>类型</w:t>
                  </w:r>
                </w:p>
              </w:tc>
              <w:tc>
                <w:tcPr>
                  <w:tcW w:w="1491" w:type="dxa"/>
                  <w:vAlign w:val="center"/>
                </w:tcPr>
                <w:p>
                  <w:pPr>
                    <w:pStyle w:val="32"/>
                    <w:spacing w:line="360" w:lineRule="exact"/>
                    <w:rPr>
                      <w:color w:val="000000" w:themeColor="text1"/>
                      <w:szCs w:val="21"/>
                    </w:rPr>
                  </w:pP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1" w:type="dxa"/>
                  <w:vMerge w:val="continue"/>
                  <w:tcBorders>
                    <w:right w:val="single" w:color="auto" w:sz="4" w:space="0"/>
                  </w:tcBorders>
                  <w:vAlign w:val="center"/>
                </w:tcPr>
                <w:p>
                  <w:pPr>
                    <w:pStyle w:val="32"/>
                    <w:spacing w:line="360" w:lineRule="exact"/>
                    <w:rPr>
                      <w:color w:val="000000" w:themeColor="text1"/>
                      <w:szCs w:val="21"/>
                    </w:rPr>
                  </w:pPr>
                </w:p>
              </w:tc>
              <w:tc>
                <w:tcPr>
                  <w:tcW w:w="567" w:type="dxa"/>
                  <w:vMerge w:val="continue"/>
                  <w:tcBorders>
                    <w:left w:val="single" w:color="auto" w:sz="4" w:space="0"/>
                  </w:tcBorders>
                  <w:vAlign w:val="center"/>
                </w:tcPr>
                <w:p>
                  <w:pPr>
                    <w:pStyle w:val="32"/>
                    <w:spacing w:line="360" w:lineRule="exact"/>
                    <w:rPr>
                      <w:color w:val="000000" w:themeColor="text1"/>
                      <w:szCs w:val="21"/>
                    </w:rPr>
                  </w:pPr>
                </w:p>
              </w:tc>
              <w:tc>
                <w:tcPr>
                  <w:tcW w:w="851" w:type="dxa"/>
                  <w:vMerge w:val="continue"/>
                  <w:vAlign w:val="center"/>
                </w:tcPr>
                <w:p>
                  <w:pPr>
                    <w:pStyle w:val="32"/>
                    <w:spacing w:line="360" w:lineRule="exac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3260" w:type="dxa"/>
                  <w:vMerge w:val="continue"/>
                  <w:vAlign w:val="center"/>
                </w:tcPr>
                <w:p>
                  <w:pPr>
                    <w:pStyle w:val="32"/>
                    <w:spacing w:line="360" w:lineRule="exact"/>
                    <w:ind w:firstLine="210" w:firstLineChars="100"/>
                    <w:jc w:val="left"/>
                    <w:rPr>
                      <w:color w:val="000000" w:themeColor="text1"/>
                      <w:szCs w:val="21"/>
                    </w:rPr>
                  </w:pPr>
                </w:p>
              </w:tc>
              <w:tc>
                <w:tcPr>
                  <w:tcW w:w="567" w:type="dxa"/>
                  <w:vMerge w:val="continue"/>
                  <w:vAlign w:val="center"/>
                </w:tcPr>
                <w:p>
                  <w:pPr>
                    <w:pStyle w:val="32"/>
                    <w:spacing w:line="360" w:lineRule="exact"/>
                    <w:rPr>
                      <w:color w:val="000000" w:themeColor="text1"/>
                      <w:szCs w:val="21"/>
                    </w:rPr>
                  </w:pPr>
                </w:p>
              </w:tc>
              <w:tc>
                <w:tcPr>
                  <w:tcW w:w="709" w:type="dxa"/>
                  <w:vAlign w:val="center"/>
                </w:tcPr>
                <w:p>
                  <w:pPr>
                    <w:pStyle w:val="32"/>
                    <w:spacing w:line="360" w:lineRule="exact"/>
                    <w:rPr>
                      <w:color w:val="000000" w:themeColor="text1"/>
                      <w:szCs w:val="21"/>
                    </w:rPr>
                  </w:pPr>
                  <w:r>
                    <w:rPr>
                      <w:color w:val="000000" w:themeColor="text1"/>
                      <w:szCs w:val="21"/>
                    </w:rPr>
                    <w:t>坐标</w:t>
                  </w:r>
                </w:p>
              </w:tc>
              <w:tc>
                <w:tcPr>
                  <w:tcW w:w="1491" w:type="dxa"/>
                  <w:vAlign w:val="center"/>
                </w:tcPr>
                <w:p>
                  <w:pPr>
                    <w:pStyle w:val="32"/>
                    <w:spacing w:line="360" w:lineRule="exact"/>
                    <w:rPr>
                      <w:color w:val="000000" w:themeColor="text1"/>
                      <w:szCs w:val="21"/>
                    </w:rPr>
                  </w:pPr>
                  <w:r>
                    <w:rPr>
                      <w:color w:val="000000" w:themeColor="text1"/>
                      <w:szCs w:val="21"/>
                    </w:rPr>
                    <w:t>E102.936464°、N26.326300°</w:t>
                  </w:r>
                </w:p>
              </w:tc>
            </w:tr>
          </w:tbl>
          <w:p>
            <w:pPr>
              <w:spacing w:beforeLines="50" w:line="360" w:lineRule="auto"/>
              <w:ind w:firstLine="482" w:firstLineChars="200"/>
              <w:rPr>
                <w:rFonts w:ascii="Times New Roman" w:hAnsi="Times New Roman" w:cs="Times New Roman"/>
                <w:b/>
                <w:color w:val="000000" w:themeColor="text1"/>
                <w:sz w:val="24"/>
              </w:rPr>
            </w:pPr>
            <w:r>
              <w:rPr>
                <w:rFonts w:ascii="宋体" w:hAnsi="Times New Roman" w:eastAsia="宋体" w:cs="Times New Roman"/>
                <w:b/>
                <w:color w:val="000000" w:themeColor="text1"/>
                <w:sz w:val="24"/>
              </w:rPr>
              <w:t>②</w:t>
            </w:r>
            <w:r>
              <w:rPr>
                <w:rFonts w:ascii="Times New Roman" w:hAnsi="Times New Roman" w:cs="Times New Roman"/>
                <w:b/>
                <w:color w:val="000000" w:themeColor="text1"/>
                <w:sz w:val="24"/>
              </w:rPr>
              <w:t>废气污染物排放源产排量及达标情况</w:t>
            </w:r>
          </w:p>
          <w:p>
            <w:pPr>
              <w:spacing w:line="360" w:lineRule="auto"/>
              <w:ind w:firstLine="480" w:firstLineChars="200"/>
              <w:rPr>
                <w:rFonts w:hint="eastAsia"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根据项目产污环节和废气污染源强核算可知，项目废气污染物排放源产排量及达标情况如下表所示。</w:t>
            </w:r>
          </w:p>
          <w:p>
            <w:pPr>
              <w:jc w:val="center"/>
              <w:rPr>
                <w:rFonts w:hint="eastAsia" w:ascii="Times New Roman" w:hAnsi="Times New Roman" w:cs="Times New Roman"/>
                <w:b/>
                <w:color w:val="000000" w:themeColor="text1"/>
                <w:szCs w:val="24"/>
              </w:rPr>
            </w:pP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表4.2.1-</w:t>
            </w:r>
            <w:r>
              <w:rPr>
                <w:rFonts w:hint="eastAsia" w:ascii="Times New Roman" w:hAnsi="Times New Roman" w:cs="Times New Roman"/>
                <w:b/>
                <w:color w:val="000000" w:themeColor="text1"/>
                <w:szCs w:val="24"/>
              </w:rPr>
              <w:t>7</w:t>
            </w:r>
            <w:r>
              <w:rPr>
                <w:rFonts w:ascii="Times New Roman" w:hAnsi="Times New Roman" w:cs="Times New Roman"/>
                <w:b/>
                <w:color w:val="000000" w:themeColor="text1"/>
                <w:szCs w:val="24"/>
              </w:rPr>
              <w:t xml:space="preserve">  废气污染物排放源产排量及达标情况一览表</w:t>
            </w:r>
          </w:p>
          <w:tbl>
            <w:tblPr>
              <w:tblStyle w:val="2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40"/>
              <w:gridCol w:w="621"/>
              <w:gridCol w:w="709"/>
              <w:gridCol w:w="1274"/>
              <w:gridCol w:w="850"/>
              <w:gridCol w:w="851"/>
              <w:gridCol w:w="850"/>
              <w:gridCol w:w="851"/>
              <w:gridCol w:w="708"/>
              <w:gridCol w:w="706"/>
              <w:gridCol w:w="6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0" w:type="dxa"/>
                  <w:vMerge w:val="restart"/>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项目</w:t>
                  </w:r>
                </w:p>
              </w:tc>
              <w:tc>
                <w:tcPr>
                  <w:tcW w:w="1330" w:type="dxa"/>
                  <w:gridSpan w:val="2"/>
                  <w:vMerge w:val="restart"/>
                  <w:tcBorders>
                    <w:left w:val="single" w:color="auto" w:sz="4" w:space="0"/>
                  </w:tcBorders>
                  <w:vAlign w:val="center"/>
                </w:tcPr>
                <w:p>
                  <w:pPr>
                    <w:pStyle w:val="32"/>
                    <w:spacing w:line="360" w:lineRule="exact"/>
                    <w:rPr>
                      <w:color w:val="000000" w:themeColor="text1"/>
                      <w:szCs w:val="21"/>
                    </w:rPr>
                  </w:pPr>
                  <w:r>
                    <w:rPr>
                      <w:color w:val="000000" w:themeColor="text1"/>
                      <w:szCs w:val="21"/>
                    </w:rPr>
                    <w:t>产排污环节</w:t>
                  </w:r>
                </w:p>
              </w:tc>
              <w:tc>
                <w:tcPr>
                  <w:tcW w:w="1274" w:type="dxa"/>
                  <w:vMerge w:val="restart"/>
                  <w:vAlign w:val="center"/>
                </w:tcPr>
                <w:p>
                  <w:pPr>
                    <w:pStyle w:val="32"/>
                    <w:spacing w:line="360" w:lineRule="exact"/>
                    <w:rPr>
                      <w:color w:val="000000" w:themeColor="text1"/>
                      <w:szCs w:val="21"/>
                    </w:rPr>
                  </w:pPr>
                  <w:r>
                    <w:rPr>
                      <w:color w:val="000000" w:themeColor="text1"/>
                      <w:szCs w:val="21"/>
                    </w:rPr>
                    <w:t>污染物种类</w:t>
                  </w:r>
                </w:p>
              </w:tc>
              <w:tc>
                <w:tcPr>
                  <w:tcW w:w="1701" w:type="dxa"/>
                  <w:gridSpan w:val="2"/>
                  <w:vAlign w:val="center"/>
                </w:tcPr>
                <w:p>
                  <w:pPr>
                    <w:pStyle w:val="32"/>
                    <w:spacing w:line="360" w:lineRule="exact"/>
                    <w:rPr>
                      <w:color w:val="000000" w:themeColor="text1"/>
                      <w:szCs w:val="21"/>
                    </w:rPr>
                  </w:pPr>
                  <w:r>
                    <w:rPr>
                      <w:color w:val="000000" w:themeColor="text1"/>
                      <w:szCs w:val="21"/>
                    </w:rPr>
                    <w:t>污染物产生情况</w:t>
                  </w:r>
                </w:p>
              </w:tc>
              <w:tc>
                <w:tcPr>
                  <w:tcW w:w="2409" w:type="dxa"/>
                  <w:gridSpan w:val="3"/>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污染物排放量和浓度</w:t>
                  </w:r>
                </w:p>
              </w:tc>
              <w:tc>
                <w:tcPr>
                  <w:tcW w:w="706"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排放标准mg/m³</w:t>
                  </w:r>
                </w:p>
              </w:tc>
              <w:tc>
                <w:tcPr>
                  <w:tcW w:w="645"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0" w:type="dxa"/>
                  <w:vMerge w:val="continue"/>
                  <w:tcBorders>
                    <w:right w:val="single" w:color="auto" w:sz="4" w:space="0"/>
                  </w:tcBorders>
                  <w:vAlign w:val="center"/>
                </w:tcPr>
                <w:p>
                  <w:pPr>
                    <w:pStyle w:val="32"/>
                    <w:spacing w:line="360" w:lineRule="exact"/>
                    <w:rPr>
                      <w:color w:val="000000" w:themeColor="text1"/>
                      <w:szCs w:val="21"/>
                    </w:rPr>
                  </w:pPr>
                </w:p>
              </w:tc>
              <w:tc>
                <w:tcPr>
                  <w:tcW w:w="1330" w:type="dxa"/>
                  <w:gridSpan w:val="2"/>
                  <w:vMerge w:val="continue"/>
                  <w:tcBorders>
                    <w:left w:val="single" w:color="auto" w:sz="4" w:space="0"/>
                  </w:tcBorders>
                  <w:vAlign w:val="center"/>
                </w:tcPr>
                <w:p>
                  <w:pPr>
                    <w:pStyle w:val="32"/>
                    <w:spacing w:line="360" w:lineRule="exact"/>
                    <w:rPr>
                      <w:color w:val="000000" w:themeColor="text1"/>
                      <w:szCs w:val="21"/>
                    </w:rPr>
                  </w:pPr>
                </w:p>
              </w:tc>
              <w:tc>
                <w:tcPr>
                  <w:tcW w:w="1274" w:type="dxa"/>
                  <w:vMerge w:val="continue"/>
                  <w:vAlign w:val="center"/>
                </w:tcPr>
                <w:p>
                  <w:pPr>
                    <w:pStyle w:val="32"/>
                    <w:spacing w:line="360" w:lineRule="exact"/>
                    <w:rPr>
                      <w:color w:val="000000" w:themeColor="text1"/>
                      <w:szCs w:val="21"/>
                    </w:rPr>
                  </w:pPr>
                </w:p>
              </w:tc>
              <w:tc>
                <w:tcPr>
                  <w:tcW w:w="850" w:type="dxa"/>
                  <w:vAlign w:val="center"/>
                </w:tcPr>
                <w:p>
                  <w:pPr>
                    <w:pStyle w:val="32"/>
                    <w:spacing w:line="360" w:lineRule="exact"/>
                    <w:rPr>
                      <w:color w:val="000000" w:themeColor="text1"/>
                      <w:szCs w:val="21"/>
                    </w:rPr>
                  </w:pPr>
                  <w:r>
                    <w:rPr>
                      <w:color w:val="000000" w:themeColor="text1"/>
                      <w:szCs w:val="21"/>
                    </w:rPr>
                    <w:t>产生浓度mg/m³</w:t>
                  </w:r>
                </w:p>
              </w:tc>
              <w:tc>
                <w:tcPr>
                  <w:tcW w:w="851" w:type="dxa"/>
                  <w:vAlign w:val="center"/>
                </w:tcPr>
                <w:p>
                  <w:pPr>
                    <w:pStyle w:val="32"/>
                    <w:spacing w:line="360" w:lineRule="exact"/>
                    <w:rPr>
                      <w:color w:val="000000" w:themeColor="text1"/>
                      <w:szCs w:val="21"/>
                    </w:rPr>
                  </w:pPr>
                  <w:r>
                    <w:rPr>
                      <w:color w:val="000000" w:themeColor="text1"/>
                      <w:szCs w:val="21"/>
                    </w:rPr>
                    <w:t>产生量t/a</w:t>
                  </w:r>
                </w:p>
              </w:tc>
              <w:tc>
                <w:tcPr>
                  <w:tcW w:w="850" w:type="dxa"/>
                  <w:vAlign w:val="center"/>
                </w:tcPr>
                <w:p>
                  <w:pPr>
                    <w:pStyle w:val="32"/>
                    <w:spacing w:line="360" w:lineRule="exact"/>
                    <w:rPr>
                      <w:color w:val="000000" w:themeColor="text1"/>
                      <w:szCs w:val="21"/>
                    </w:rPr>
                  </w:pPr>
                  <w:r>
                    <w:rPr>
                      <w:color w:val="000000" w:themeColor="text1"/>
                      <w:szCs w:val="21"/>
                    </w:rPr>
                    <w:t>排放浓度mg/m³</w:t>
                  </w:r>
                </w:p>
              </w:tc>
              <w:tc>
                <w:tcPr>
                  <w:tcW w:w="851" w:type="dxa"/>
                  <w:tcBorders>
                    <w:top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排放量t/a</w:t>
                  </w:r>
                </w:p>
              </w:tc>
              <w:tc>
                <w:tcPr>
                  <w:tcW w:w="708" w:type="dxa"/>
                  <w:tcBorders>
                    <w:top w:val="single" w:color="auto" w:sz="4" w:space="0"/>
                    <w:left w:val="single" w:color="auto" w:sz="4" w:space="0"/>
                  </w:tcBorders>
                  <w:vAlign w:val="center"/>
                </w:tcPr>
                <w:p>
                  <w:pPr>
                    <w:pStyle w:val="32"/>
                    <w:spacing w:line="360" w:lineRule="exact"/>
                    <w:rPr>
                      <w:color w:val="000000" w:themeColor="text1"/>
                      <w:szCs w:val="21"/>
                    </w:rPr>
                  </w:pPr>
                  <w:r>
                    <w:rPr>
                      <w:color w:val="000000" w:themeColor="text1"/>
                      <w:szCs w:val="21"/>
                    </w:rPr>
                    <w:t>排放速率kg/h</w:t>
                  </w:r>
                </w:p>
              </w:tc>
              <w:tc>
                <w:tcPr>
                  <w:tcW w:w="706" w:type="dxa"/>
                  <w:vMerge w:val="continue"/>
                  <w:vAlign w:val="center"/>
                </w:tcPr>
                <w:p>
                  <w:pPr>
                    <w:pStyle w:val="32"/>
                    <w:spacing w:line="360" w:lineRule="exact"/>
                    <w:rPr>
                      <w:color w:val="000000" w:themeColor="text1"/>
                      <w:szCs w:val="21"/>
                    </w:rPr>
                  </w:pPr>
                </w:p>
              </w:tc>
              <w:tc>
                <w:tcPr>
                  <w:tcW w:w="645"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0" w:type="dxa"/>
                  <w:vMerge w:val="restart"/>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一期工程</w:t>
                  </w:r>
                </w:p>
              </w:tc>
              <w:tc>
                <w:tcPr>
                  <w:tcW w:w="1330" w:type="dxa"/>
                  <w:gridSpan w:val="2"/>
                  <w:tcBorders>
                    <w:left w:val="single" w:color="auto" w:sz="4" w:space="0"/>
                  </w:tcBorders>
                  <w:vAlign w:val="center"/>
                </w:tcPr>
                <w:p>
                  <w:pPr>
                    <w:pStyle w:val="32"/>
                    <w:spacing w:line="360" w:lineRule="exact"/>
                    <w:rPr>
                      <w:color w:val="000000" w:themeColor="text1"/>
                      <w:szCs w:val="21"/>
                    </w:rPr>
                  </w:pPr>
                  <w:r>
                    <w:rPr>
                      <w:color w:val="000000" w:themeColor="text1"/>
                      <w:szCs w:val="21"/>
                    </w:rPr>
                    <w:t>堆场扬尘</w:t>
                  </w:r>
                </w:p>
              </w:tc>
              <w:tc>
                <w:tcPr>
                  <w:tcW w:w="1274" w:type="dxa"/>
                  <w:vMerge w:val="restart"/>
                  <w:vAlign w:val="center"/>
                </w:tcPr>
                <w:p>
                  <w:pPr>
                    <w:pStyle w:val="32"/>
                    <w:spacing w:line="360" w:lineRule="exact"/>
                    <w:rPr>
                      <w:color w:val="000000" w:themeColor="text1"/>
                      <w:szCs w:val="21"/>
                    </w:rPr>
                  </w:pPr>
                  <w:r>
                    <w:rPr>
                      <w:color w:val="000000" w:themeColor="text1"/>
                      <w:szCs w:val="21"/>
                    </w:rPr>
                    <w:t>颗粒物（无组织）</w:t>
                  </w:r>
                </w:p>
              </w:tc>
              <w:tc>
                <w:tcPr>
                  <w:tcW w:w="850" w:type="dxa"/>
                  <w:vAlign w:val="center"/>
                </w:tcPr>
                <w:p>
                  <w:pPr>
                    <w:pStyle w:val="32"/>
                    <w:spacing w:line="360" w:lineRule="exact"/>
                    <w:rPr>
                      <w:color w:val="000000" w:themeColor="text1"/>
                      <w:szCs w:val="21"/>
                    </w:rPr>
                  </w:pPr>
                  <w:r>
                    <w:rPr>
                      <w:color w:val="000000" w:themeColor="text1"/>
                      <w:szCs w:val="21"/>
                    </w:rPr>
                    <w:t>--</w:t>
                  </w:r>
                </w:p>
              </w:tc>
              <w:tc>
                <w:tcPr>
                  <w:tcW w:w="851" w:type="dxa"/>
                  <w:vAlign w:val="center"/>
                </w:tcPr>
                <w:p>
                  <w:pPr>
                    <w:pStyle w:val="32"/>
                    <w:spacing w:line="360" w:lineRule="exact"/>
                    <w:rPr>
                      <w:color w:val="000000" w:themeColor="text1"/>
                      <w:szCs w:val="21"/>
                    </w:rPr>
                  </w:pPr>
                  <w:r>
                    <w:rPr>
                      <w:rFonts w:hint="eastAsia"/>
                      <w:color w:val="000000" w:themeColor="text1"/>
                      <w:szCs w:val="21"/>
                    </w:rPr>
                    <w:t>10.09</w:t>
                  </w:r>
                </w:p>
              </w:tc>
              <w:tc>
                <w:tcPr>
                  <w:tcW w:w="850" w:type="dxa"/>
                  <w:vMerge w:val="restart"/>
                  <w:vAlign w:val="center"/>
                </w:tcPr>
                <w:p>
                  <w:pPr>
                    <w:pStyle w:val="32"/>
                    <w:spacing w:line="360" w:lineRule="exact"/>
                    <w:rPr>
                      <w:color w:val="000000" w:themeColor="text1"/>
                      <w:szCs w:val="21"/>
                    </w:rPr>
                  </w:pPr>
                  <w:r>
                    <w:rPr>
                      <w:color w:val="000000" w:themeColor="text1"/>
                      <w:szCs w:val="21"/>
                    </w:rPr>
                    <w:t>0.42</w:t>
                  </w:r>
                </w:p>
              </w:tc>
              <w:tc>
                <w:tcPr>
                  <w:tcW w:w="851" w:type="dxa"/>
                  <w:tcBorders>
                    <w:top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2.02</w:t>
                  </w:r>
                </w:p>
              </w:tc>
              <w:tc>
                <w:tcPr>
                  <w:tcW w:w="708" w:type="dxa"/>
                  <w:tcBorders>
                    <w:top w:val="single" w:color="auto" w:sz="4" w:space="0"/>
                    <w:left w:val="single" w:color="auto" w:sz="4" w:space="0"/>
                  </w:tcBorders>
                  <w:vAlign w:val="center"/>
                </w:tcPr>
                <w:p>
                  <w:pPr>
                    <w:pStyle w:val="32"/>
                    <w:spacing w:line="360" w:lineRule="exact"/>
                    <w:rPr>
                      <w:color w:val="000000" w:themeColor="text1"/>
                      <w:szCs w:val="21"/>
                    </w:rPr>
                  </w:pPr>
                  <w:r>
                    <w:rPr>
                      <w:color w:val="000000" w:themeColor="text1"/>
                      <w:szCs w:val="21"/>
                    </w:rPr>
                    <w:t>0.</w:t>
                  </w:r>
                  <w:r>
                    <w:rPr>
                      <w:rFonts w:hint="eastAsia"/>
                      <w:color w:val="000000" w:themeColor="text1"/>
                      <w:szCs w:val="21"/>
                    </w:rPr>
                    <w:t>28</w:t>
                  </w:r>
                </w:p>
              </w:tc>
              <w:tc>
                <w:tcPr>
                  <w:tcW w:w="706" w:type="dxa"/>
                  <w:vMerge w:val="restart"/>
                  <w:vAlign w:val="center"/>
                </w:tcPr>
                <w:p>
                  <w:pPr>
                    <w:pStyle w:val="32"/>
                    <w:spacing w:line="360" w:lineRule="exact"/>
                    <w:rPr>
                      <w:color w:val="000000" w:themeColor="text1"/>
                      <w:szCs w:val="21"/>
                    </w:rPr>
                  </w:pPr>
                  <w:r>
                    <w:rPr>
                      <w:color w:val="000000" w:themeColor="text1"/>
                      <w:szCs w:val="21"/>
                    </w:rPr>
                    <w:t>≤0.5</w:t>
                  </w:r>
                </w:p>
              </w:tc>
              <w:tc>
                <w:tcPr>
                  <w:tcW w:w="645"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0" w:type="dxa"/>
                  <w:vMerge w:val="continue"/>
                  <w:tcBorders>
                    <w:right w:val="single" w:color="auto" w:sz="4" w:space="0"/>
                  </w:tcBorders>
                  <w:vAlign w:val="center"/>
                </w:tcPr>
                <w:p>
                  <w:pPr>
                    <w:pStyle w:val="32"/>
                    <w:spacing w:line="360" w:lineRule="exact"/>
                    <w:rPr>
                      <w:color w:val="000000" w:themeColor="text1"/>
                      <w:szCs w:val="21"/>
                    </w:rPr>
                  </w:pPr>
                </w:p>
              </w:tc>
              <w:tc>
                <w:tcPr>
                  <w:tcW w:w="1330" w:type="dxa"/>
                  <w:gridSpan w:val="2"/>
                  <w:tcBorders>
                    <w:left w:val="single" w:color="auto" w:sz="4" w:space="0"/>
                  </w:tcBorders>
                  <w:vAlign w:val="center"/>
                </w:tcPr>
                <w:p>
                  <w:pPr>
                    <w:pStyle w:val="32"/>
                    <w:spacing w:line="360" w:lineRule="exact"/>
                    <w:rPr>
                      <w:color w:val="000000" w:themeColor="text1"/>
                      <w:szCs w:val="21"/>
                    </w:rPr>
                  </w:pPr>
                  <w:r>
                    <w:rPr>
                      <w:color w:val="000000" w:themeColor="text1"/>
                      <w:szCs w:val="21"/>
                    </w:rPr>
                    <w:t>装卸</w:t>
                  </w:r>
                </w:p>
              </w:tc>
              <w:tc>
                <w:tcPr>
                  <w:tcW w:w="1274" w:type="dxa"/>
                  <w:vMerge w:val="continue"/>
                  <w:vAlign w:val="center"/>
                </w:tcPr>
                <w:p>
                  <w:pPr>
                    <w:pStyle w:val="32"/>
                    <w:spacing w:line="360" w:lineRule="exact"/>
                    <w:rPr>
                      <w:color w:val="000000" w:themeColor="text1"/>
                      <w:szCs w:val="21"/>
                    </w:rPr>
                  </w:pPr>
                </w:p>
              </w:tc>
              <w:tc>
                <w:tcPr>
                  <w:tcW w:w="850" w:type="dxa"/>
                  <w:vAlign w:val="center"/>
                </w:tcPr>
                <w:p>
                  <w:pPr>
                    <w:pStyle w:val="32"/>
                    <w:spacing w:line="360" w:lineRule="exact"/>
                    <w:rPr>
                      <w:color w:val="000000" w:themeColor="text1"/>
                      <w:szCs w:val="21"/>
                    </w:rPr>
                  </w:pPr>
                  <w:r>
                    <w:rPr>
                      <w:color w:val="000000" w:themeColor="text1"/>
                      <w:szCs w:val="21"/>
                    </w:rPr>
                    <w:t>--</w:t>
                  </w:r>
                </w:p>
              </w:tc>
              <w:tc>
                <w:tcPr>
                  <w:tcW w:w="851" w:type="dxa"/>
                  <w:vAlign w:val="center"/>
                </w:tcPr>
                <w:p>
                  <w:pPr>
                    <w:pStyle w:val="32"/>
                    <w:spacing w:line="360" w:lineRule="exact"/>
                    <w:rPr>
                      <w:color w:val="000000" w:themeColor="text1"/>
                      <w:szCs w:val="21"/>
                    </w:rPr>
                  </w:pPr>
                  <w:r>
                    <w:rPr>
                      <w:color w:val="000000" w:themeColor="text1"/>
                      <w:szCs w:val="21"/>
                    </w:rPr>
                    <w:t>40.5</w:t>
                  </w:r>
                </w:p>
              </w:tc>
              <w:tc>
                <w:tcPr>
                  <w:tcW w:w="850" w:type="dxa"/>
                  <w:vMerge w:val="continue"/>
                  <w:vAlign w:val="center"/>
                </w:tcPr>
                <w:p>
                  <w:pPr>
                    <w:pStyle w:val="32"/>
                    <w:spacing w:line="360" w:lineRule="exact"/>
                    <w:rPr>
                      <w:color w:val="000000" w:themeColor="text1"/>
                      <w:szCs w:val="21"/>
                    </w:rPr>
                  </w:pPr>
                </w:p>
              </w:tc>
              <w:tc>
                <w:tcPr>
                  <w:tcW w:w="851" w:type="dxa"/>
                  <w:tcBorders>
                    <w:top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8</w:t>
                  </w:r>
                </w:p>
              </w:tc>
              <w:tc>
                <w:tcPr>
                  <w:tcW w:w="708" w:type="dxa"/>
                  <w:tcBorders>
                    <w:top w:val="single" w:color="auto" w:sz="4" w:space="0"/>
                    <w:left w:val="single" w:color="auto" w:sz="4" w:space="0"/>
                  </w:tcBorders>
                  <w:vAlign w:val="center"/>
                </w:tcPr>
                <w:p>
                  <w:pPr>
                    <w:pStyle w:val="32"/>
                    <w:spacing w:line="360" w:lineRule="exact"/>
                    <w:rPr>
                      <w:color w:val="000000" w:themeColor="text1"/>
                      <w:szCs w:val="21"/>
                    </w:rPr>
                  </w:pPr>
                  <w:r>
                    <w:rPr>
                      <w:color w:val="000000" w:themeColor="text1"/>
                      <w:szCs w:val="21"/>
                    </w:rPr>
                    <w:t>1.67</w:t>
                  </w:r>
                </w:p>
              </w:tc>
              <w:tc>
                <w:tcPr>
                  <w:tcW w:w="706" w:type="dxa"/>
                  <w:vMerge w:val="continue"/>
                  <w:vAlign w:val="center"/>
                </w:tcPr>
                <w:p>
                  <w:pPr>
                    <w:pStyle w:val="32"/>
                    <w:spacing w:line="360" w:lineRule="exact"/>
                    <w:rPr>
                      <w:color w:val="000000" w:themeColor="text1"/>
                      <w:szCs w:val="21"/>
                    </w:rPr>
                  </w:pPr>
                </w:p>
              </w:tc>
              <w:tc>
                <w:tcPr>
                  <w:tcW w:w="645"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0" w:type="dxa"/>
                  <w:vMerge w:val="continue"/>
                  <w:tcBorders>
                    <w:right w:val="single" w:color="auto" w:sz="4" w:space="0"/>
                  </w:tcBorders>
                  <w:vAlign w:val="center"/>
                </w:tcPr>
                <w:p>
                  <w:pPr>
                    <w:pStyle w:val="32"/>
                    <w:spacing w:line="360" w:lineRule="exact"/>
                    <w:rPr>
                      <w:color w:val="000000" w:themeColor="text1"/>
                      <w:szCs w:val="21"/>
                    </w:rPr>
                  </w:pPr>
                </w:p>
              </w:tc>
              <w:tc>
                <w:tcPr>
                  <w:tcW w:w="1330" w:type="dxa"/>
                  <w:gridSpan w:val="2"/>
                  <w:tcBorders>
                    <w:left w:val="single" w:color="auto" w:sz="4" w:space="0"/>
                  </w:tcBorders>
                  <w:vAlign w:val="center"/>
                </w:tcPr>
                <w:p>
                  <w:pPr>
                    <w:pStyle w:val="32"/>
                    <w:spacing w:line="360" w:lineRule="exact"/>
                    <w:rPr>
                      <w:color w:val="000000" w:themeColor="text1"/>
                      <w:szCs w:val="21"/>
                    </w:rPr>
                  </w:pPr>
                  <w:r>
                    <w:rPr>
                      <w:color w:val="000000" w:themeColor="text1"/>
                      <w:szCs w:val="21"/>
                    </w:rPr>
                    <w:t>皮带输送</w:t>
                  </w:r>
                </w:p>
              </w:tc>
              <w:tc>
                <w:tcPr>
                  <w:tcW w:w="1274" w:type="dxa"/>
                  <w:vMerge w:val="continue"/>
                  <w:vAlign w:val="center"/>
                </w:tcPr>
                <w:p>
                  <w:pPr>
                    <w:pStyle w:val="32"/>
                    <w:spacing w:line="360" w:lineRule="exact"/>
                    <w:rPr>
                      <w:color w:val="000000" w:themeColor="text1"/>
                      <w:szCs w:val="21"/>
                    </w:rPr>
                  </w:pPr>
                </w:p>
              </w:tc>
              <w:tc>
                <w:tcPr>
                  <w:tcW w:w="850" w:type="dxa"/>
                  <w:vAlign w:val="center"/>
                </w:tcPr>
                <w:p>
                  <w:pPr>
                    <w:pStyle w:val="32"/>
                    <w:spacing w:line="360" w:lineRule="exact"/>
                    <w:rPr>
                      <w:color w:val="000000" w:themeColor="text1"/>
                      <w:szCs w:val="21"/>
                    </w:rPr>
                  </w:pPr>
                  <w:r>
                    <w:rPr>
                      <w:color w:val="000000" w:themeColor="text1"/>
                      <w:szCs w:val="21"/>
                    </w:rPr>
                    <w:t>--</w:t>
                  </w:r>
                </w:p>
              </w:tc>
              <w:tc>
                <w:tcPr>
                  <w:tcW w:w="851" w:type="dxa"/>
                  <w:vAlign w:val="center"/>
                </w:tcPr>
                <w:p>
                  <w:pPr>
                    <w:pStyle w:val="32"/>
                    <w:spacing w:line="360" w:lineRule="exact"/>
                    <w:rPr>
                      <w:color w:val="000000" w:themeColor="text1"/>
                      <w:szCs w:val="21"/>
                    </w:rPr>
                  </w:pPr>
                  <w:r>
                    <w:rPr>
                      <w:color w:val="000000" w:themeColor="text1"/>
                      <w:szCs w:val="21"/>
                    </w:rPr>
                    <w:t>--</w:t>
                  </w:r>
                </w:p>
              </w:tc>
              <w:tc>
                <w:tcPr>
                  <w:tcW w:w="850" w:type="dxa"/>
                  <w:vMerge w:val="continue"/>
                  <w:vAlign w:val="center"/>
                </w:tcPr>
                <w:p>
                  <w:pPr>
                    <w:pStyle w:val="32"/>
                    <w:spacing w:line="360" w:lineRule="exact"/>
                    <w:rPr>
                      <w:color w:val="000000" w:themeColor="text1"/>
                      <w:szCs w:val="21"/>
                    </w:rPr>
                  </w:pPr>
                </w:p>
              </w:tc>
              <w:tc>
                <w:tcPr>
                  <w:tcW w:w="851" w:type="dxa"/>
                  <w:tcBorders>
                    <w:top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w:t>
                  </w:r>
                </w:p>
              </w:tc>
              <w:tc>
                <w:tcPr>
                  <w:tcW w:w="708" w:type="dxa"/>
                  <w:tcBorders>
                    <w:top w:val="single" w:color="auto" w:sz="4" w:space="0"/>
                    <w:left w:val="single" w:color="auto" w:sz="4" w:space="0"/>
                  </w:tcBorders>
                  <w:vAlign w:val="center"/>
                </w:tcPr>
                <w:p>
                  <w:pPr>
                    <w:pStyle w:val="32"/>
                    <w:spacing w:line="360" w:lineRule="exact"/>
                    <w:rPr>
                      <w:color w:val="000000" w:themeColor="text1"/>
                      <w:szCs w:val="21"/>
                    </w:rPr>
                  </w:pPr>
                  <w:r>
                    <w:rPr>
                      <w:color w:val="000000" w:themeColor="text1"/>
                      <w:szCs w:val="21"/>
                    </w:rPr>
                    <w:t>--</w:t>
                  </w:r>
                </w:p>
              </w:tc>
              <w:tc>
                <w:tcPr>
                  <w:tcW w:w="706" w:type="dxa"/>
                  <w:vMerge w:val="continue"/>
                  <w:vAlign w:val="center"/>
                </w:tcPr>
                <w:p>
                  <w:pPr>
                    <w:pStyle w:val="32"/>
                    <w:spacing w:line="360" w:lineRule="exact"/>
                    <w:rPr>
                      <w:color w:val="000000" w:themeColor="text1"/>
                      <w:szCs w:val="21"/>
                    </w:rPr>
                  </w:pPr>
                </w:p>
              </w:tc>
              <w:tc>
                <w:tcPr>
                  <w:tcW w:w="645"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0" w:type="dxa"/>
                  <w:vMerge w:val="continue"/>
                  <w:tcBorders>
                    <w:right w:val="single" w:color="auto" w:sz="4" w:space="0"/>
                  </w:tcBorders>
                  <w:vAlign w:val="center"/>
                </w:tcPr>
                <w:p>
                  <w:pPr>
                    <w:pStyle w:val="32"/>
                    <w:spacing w:line="360" w:lineRule="exact"/>
                    <w:rPr>
                      <w:color w:val="000000" w:themeColor="text1"/>
                      <w:szCs w:val="21"/>
                    </w:rPr>
                  </w:pPr>
                </w:p>
              </w:tc>
              <w:tc>
                <w:tcPr>
                  <w:tcW w:w="1330" w:type="dxa"/>
                  <w:gridSpan w:val="2"/>
                  <w:tcBorders>
                    <w:left w:val="single" w:color="auto" w:sz="4" w:space="0"/>
                  </w:tcBorders>
                  <w:vAlign w:val="center"/>
                </w:tcPr>
                <w:p>
                  <w:pPr>
                    <w:pStyle w:val="32"/>
                    <w:spacing w:line="360" w:lineRule="exact"/>
                    <w:rPr>
                      <w:color w:val="000000" w:themeColor="text1"/>
                      <w:szCs w:val="21"/>
                    </w:rPr>
                  </w:pPr>
                  <w:r>
                    <w:rPr>
                      <w:color w:val="000000" w:themeColor="text1"/>
                      <w:szCs w:val="21"/>
                    </w:rPr>
                    <w:t>破碎筛分</w:t>
                  </w:r>
                </w:p>
              </w:tc>
              <w:tc>
                <w:tcPr>
                  <w:tcW w:w="1274" w:type="dxa"/>
                  <w:vMerge w:val="continue"/>
                  <w:vAlign w:val="center"/>
                </w:tcPr>
                <w:p>
                  <w:pPr>
                    <w:pStyle w:val="32"/>
                    <w:spacing w:line="360" w:lineRule="exact"/>
                    <w:rPr>
                      <w:color w:val="000000" w:themeColor="text1"/>
                      <w:szCs w:val="21"/>
                    </w:rPr>
                  </w:pPr>
                </w:p>
              </w:tc>
              <w:tc>
                <w:tcPr>
                  <w:tcW w:w="850" w:type="dxa"/>
                  <w:vAlign w:val="center"/>
                </w:tcPr>
                <w:p>
                  <w:pPr>
                    <w:pStyle w:val="32"/>
                    <w:spacing w:line="360" w:lineRule="exact"/>
                    <w:rPr>
                      <w:color w:val="000000" w:themeColor="text1"/>
                      <w:szCs w:val="21"/>
                    </w:rPr>
                  </w:pPr>
                  <w:r>
                    <w:rPr>
                      <w:color w:val="000000" w:themeColor="text1"/>
                      <w:szCs w:val="21"/>
                    </w:rPr>
                    <w:t>--</w:t>
                  </w:r>
                </w:p>
              </w:tc>
              <w:tc>
                <w:tcPr>
                  <w:tcW w:w="851" w:type="dxa"/>
                  <w:vAlign w:val="center"/>
                </w:tcPr>
                <w:p>
                  <w:pPr>
                    <w:pStyle w:val="32"/>
                    <w:spacing w:line="360" w:lineRule="exact"/>
                    <w:rPr>
                      <w:color w:val="000000" w:themeColor="text1"/>
                      <w:szCs w:val="21"/>
                    </w:rPr>
                  </w:pPr>
                  <w:r>
                    <w:rPr>
                      <w:color w:val="000000" w:themeColor="text1"/>
                      <w:szCs w:val="21"/>
                    </w:rPr>
                    <w:t>1701</w:t>
                  </w:r>
                </w:p>
              </w:tc>
              <w:tc>
                <w:tcPr>
                  <w:tcW w:w="850" w:type="dxa"/>
                  <w:vMerge w:val="continue"/>
                  <w:vAlign w:val="center"/>
                </w:tcPr>
                <w:p>
                  <w:pPr>
                    <w:pStyle w:val="32"/>
                    <w:spacing w:line="360" w:lineRule="exact"/>
                    <w:rPr>
                      <w:color w:val="000000" w:themeColor="text1"/>
                      <w:szCs w:val="21"/>
                    </w:rPr>
                  </w:pPr>
                </w:p>
              </w:tc>
              <w:tc>
                <w:tcPr>
                  <w:tcW w:w="851" w:type="dxa"/>
                  <w:tcBorders>
                    <w:top w:val="single" w:color="auto" w:sz="4" w:space="0"/>
                    <w:right w:val="single" w:color="auto" w:sz="4" w:space="0"/>
                  </w:tcBorders>
                  <w:vAlign w:val="center"/>
                </w:tcPr>
                <w:p>
                  <w:pPr>
                    <w:pStyle w:val="32"/>
                    <w:spacing w:line="360" w:lineRule="exact"/>
                    <w:rPr>
                      <w:color w:val="000000" w:themeColor="text1"/>
                      <w:szCs w:val="21"/>
                    </w:rPr>
                  </w:pPr>
                  <w:r>
                    <w:rPr>
                      <w:color w:val="000000" w:themeColor="text1"/>
                      <w:szCs w:val="21"/>
                    </w:rPr>
                    <w:t>34.02</w:t>
                  </w:r>
                </w:p>
              </w:tc>
              <w:tc>
                <w:tcPr>
                  <w:tcW w:w="708" w:type="dxa"/>
                  <w:tcBorders>
                    <w:top w:val="single" w:color="auto" w:sz="4" w:space="0"/>
                    <w:left w:val="single" w:color="auto" w:sz="4" w:space="0"/>
                  </w:tcBorders>
                  <w:vAlign w:val="center"/>
                </w:tcPr>
                <w:p>
                  <w:pPr>
                    <w:pStyle w:val="32"/>
                    <w:spacing w:line="360" w:lineRule="exact"/>
                    <w:rPr>
                      <w:color w:val="000000" w:themeColor="text1"/>
                      <w:szCs w:val="21"/>
                    </w:rPr>
                  </w:pPr>
                  <w:r>
                    <w:rPr>
                      <w:color w:val="000000" w:themeColor="text1"/>
                      <w:szCs w:val="21"/>
                    </w:rPr>
                    <w:t>7.09</w:t>
                  </w:r>
                </w:p>
              </w:tc>
              <w:tc>
                <w:tcPr>
                  <w:tcW w:w="706" w:type="dxa"/>
                  <w:vMerge w:val="continue"/>
                  <w:vAlign w:val="center"/>
                </w:tcPr>
                <w:p>
                  <w:pPr>
                    <w:pStyle w:val="32"/>
                    <w:spacing w:line="360" w:lineRule="exact"/>
                    <w:rPr>
                      <w:color w:val="000000" w:themeColor="text1"/>
                      <w:szCs w:val="21"/>
                    </w:rPr>
                  </w:pPr>
                </w:p>
              </w:tc>
              <w:tc>
                <w:tcPr>
                  <w:tcW w:w="645"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00" w:hRule="atLeast"/>
              </w:trPr>
              <w:tc>
                <w:tcPr>
                  <w:tcW w:w="540" w:type="dxa"/>
                  <w:vMerge w:val="restart"/>
                  <w:tcBorders>
                    <w:top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二期工程</w:t>
                  </w:r>
                </w:p>
              </w:tc>
              <w:tc>
                <w:tcPr>
                  <w:tcW w:w="621" w:type="dxa"/>
                  <w:vMerge w:val="restart"/>
                  <w:tcBorders>
                    <w:top w:val="single" w:color="auto" w:sz="4" w:space="0"/>
                    <w:left w:val="single" w:color="auto" w:sz="4" w:space="0"/>
                  </w:tcBorders>
                  <w:vAlign w:val="center"/>
                </w:tcPr>
                <w:p>
                  <w:pPr>
                    <w:pStyle w:val="32"/>
                    <w:spacing w:line="360" w:lineRule="exact"/>
                    <w:rPr>
                      <w:color w:val="000000" w:themeColor="text1"/>
                      <w:szCs w:val="21"/>
                    </w:rPr>
                  </w:pPr>
                  <w:r>
                    <w:rPr>
                      <w:color w:val="000000" w:themeColor="text1"/>
                      <w:szCs w:val="21"/>
                    </w:rPr>
                    <w:t>水泥仓</w:t>
                  </w:r>
                </w:p>
              </w:tc>
              <w:tc>
                <w:tcPr>
                  <w:tcW w:w="709" w:type="dxa"/>
                  <w:vMerge w:val="restart"/>
                  <w:tcBorders>
                    <w:top w:val="single" w:color="auto" w:sz="4" w:space="0"/>
                  </w:tcBorders>
                  <w:vAlign w:val="center"/>
                </w:tcPr>
                <w:p>
                  <w:pPr>
                    <w:pStyle w:val="32"/>
                    <w:spacing w:line="360" w:lineRule="exact"/>
                    <w:rPr>
                      <w:color w:val="000000" w:themeColor="text1"/>
                      <w:szCs w:val="21"/>
                    </w:rPr>
                  </w:pPr>
                  <w:r>
                    <w:rPr>
                      <w:color w:val="000000" w:themeColor="text1"/>
                      <w:szCs w:val="21"/>
                    </w:rPr>
                    <w:t>水泥装卸、储存、输送过程</w:t>
                  </w:r>
                </w:p>
              </w:tc>
              <w:tc>
                <w:tcPr>
                  <w:tcW w:w="1274" w:type="dxa"/>
                  <w:vAlign w:val="center"/>
                </w:tcPr>
                <w:p>
                  <w:pPr>
                    <w:pStyle w:val="32"/>
                    <w:spacing w:line="360" w:lineRule="exact"/>
                    <w:rPr>
                      <w:color w:val="000000" w:themeColor="text1"/>
                      <w:szCs w:val="21"/>
                    </w:rPr>
                  </w:pPr>
                  <w:r>
                    <w:rPr>
                      <w:color w:val="000000" w:themeColor="text1"/>
                      <w:szCs w:val="21"/>
                    </w:rPr>
                    <w:t>废气量</w:t>
                  </w:r>
                </w:p>
              </w:tc>
              <w:tc>
                <w:tcPr>
                  <w:tcW w:w="1701" w:type="dxa"/>
                  <w:gridSpan w:val="2"/>
                  <w:vAlign w:val="center"/>
                </w:tcPr>
                <w:p>
                  <w:pPr>
                    <w:pStyle w:val="32"/>
                    <w:spacing w:line="360" w:lineRule="exact"/>
                    <w:rPr>
                      <w:color w:val="000000" w:themeColor="text1"/>
                      <w:szCs w:val="21"/>
                    </w:rPr>
                  </w:pPr>
                  <w:r>
                    <w:rPr>
                      <w:color w:val="000000" w:themeColor="text1"/>
                      <w:szCs w:val="21"/>
                    </w:rPr>
                    <w:t>110546m³/a</w:t>
                  </w:r>
                </w:p>
              </w:tc>
              <w:tc>
                <w:tcPr>
                  <w:tcW w:w="2409" w:type="dxa"/>
                  <w:gridSpan w:val="3"/>
                  <w:vAlign w:val="center"/>
                </w:tcPr>
                <w:p>
                  <w:pPr>
                    <w:pStyle w:val="32"/>
                    <w:spacing w:line="360" w:lineRule="exact"/>
                    <w:rPr>
                      <w:color w:val="000000" w:themeColor="text1"/>
                      <w:szCs w:val="21"/>
                    </w:rPr>
                  </w:pPr>
                  <w:r>
                    <w:rPr>
                      <w:color w:val="000000" w:themeColor="text1"/>
                      <w:szCs w:val="21"/>
                    </w:rPr>
                    <w:t>110546m³/a</w:t>
                  </w:r>
                </w:p>
              </w:tc>
              <w:tc>
                <w:tcPr>
                  <w:tcW w:w="706" w:type="dxa"/>
                  <w:vAlign w:val="center"/>
                </w:tcPr>
                <w:p>
                  <w:pPr>
                    <w:pStyle w:val="32"/>
                    <w:spacing w:line="360" w:lineRule="exact"/>
                    <w:rPr>
                      <w:color w:val="000000" w:themeColor="text1"/>
                      <w:szCs w:val="21"/>
                    </w:rPr>
                  </w:pPr>
                  <w:r>
                    <w:rPr>
                      <w:color w:val="000000" w:themeColor="text1"/>
                      <w:szCs w:val="21"/>
                    </w:rPr>
                    <w:t>--</w:t>
                  </w:r>
                </w:p>
              </w:tc>
              <w:tc>
                <w:tcPr>
                  <w:tcW w:w="645" w:type="dxa"/>
                  <w:vAlign w:val="center"/>
                </w:tcPr>
                <w:p>
                  <w:pPr>
                    <w:pStyle w:val="32"/>
                    <w:spacing w:line="360" w:lineRule="exact"/>
                    <w:rPr>
                      <w:color w:val="000000" w:themeColor="text1"/>
                      <w:szCs w:val="21"/>
                    </w:rPr>
                  </w:pP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2" w:hRule="atLeast"/>
              </w:trPr>
              <w:tc>
                <w:tcPr>
                  <w:tcW w:w="540" w:type="dxa"/>
                  <w:vMerge w:val="continue"/>
                  <w:tcBorders>
                    <w:right w:val="single" w:color="auto" w:sz="4" w:space="0"/>
                  </w:tcBorders>
                  <w:vAlign w:val="center"/>
                </w:tcPr>
                <w:p>
                  <w:pPr>
                    <w:pStyle w:val="32"/>
                    <w:spacing w:line="360" w:lineRule="exact"/>
                    <w:rPr>
                      <w:color w:val="000000" w:themeColor="text1"/>
                      <w:szCs w:val="21"/>
                    </w:rPr>
                  </w:pPr>
                </w:p>
              </w:tc>
              <w:tc>
                <w:tcPr>
                  <w:tcW w:w="621" w:type="dxa"/>
                  <w:vMerge w:val="continue"/>
                  <w:tcBorders>
                    <w:left w:val="single" w:color="auto" w:sz="4" w:space="0"/>
                  </w:tcBorders>
                  <w:vAlign w:val="center"/>
                </w:tcPr>
                <w:p>
                  <w:pPr>
                    <w:pStyle w:val="32"/>
                    <w:spacing w:line="360" w:lineRule="exac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1274" w:type="dxa"/>
                  <w:vAlign w:val="center"/>
                </w:tcPr>
                <w:p>
                  <w:pPr>
                    <w:pStyle w:val="32"/>
                    <w:spacing w:line="360" w:lineRule="exact"/>
                    <w:rPr>
                      <w:color w:val="000000" w:themeColor="text1"/>
                      <w:szCs w:val="21"/>
                    </w:rPr>
                  </w:pPr>
                  <w:r>
                    <w:rPr>
                      <w:color w:val="000000" w:themeColor="text1"/>
                      <w:szCs w:val="21"/>
                    </w:rPr>
                    <w:t>颗粒物（有组织）</w:t>
                  </w:r>
                </w:p>
              </w:tc>
              <w:tc>
                <w:tcPr>
                  <w:tcW w:w="850" w:type="dxa"/>
                  <w:vAlign w:val="center"/>
                </w:tcPr>
                <w:p>
                  <w:pPr>
                    <w:pStyle w:val="32"/>
                    <w:spacing w:line="360" w:lineRule="exact"/>
                    <w:rPr>
                      <w:color w:val="000000" w:themeColor="text1"/>
                      <w:szCs w:val="21"/>
                    </w:rPr>
                  </w:pPr>
                  <w:r>
                    <w:rPr>
                      <w:color w:val="000000" w:themeColor="text1"/>
                      <w:szCs w:val="21"/>
                    </w:rPr>
                    <w:t>4523</w:t>
                  </w:r>
                </w:p>
              </w:tc>
              <w:tc>
                <w:tcPr>
                  <w:tcW w:w="851" w:type="dxa"/>
                  <w:vAlign w:val="center"/>
                </w:tcPr>
                <w:p>
                  <w:pPr>
                    <w:pStyle w:val="32"/>
                    <w:spacing w:line="360" w:lineRule="exact"/>
                    <w:rPr>
                      <w:color w:val="000000" w:themeColor="text1"/>
                      <w:szCs w:val="21"/>
                    </w:rPr>
                  </w:pPr>
                  <w:r>
                    <w:rPr>
                      <w:color w:val="000000" w:themeColor="text1"/>
                      <w:szCs w:val="21"/>
                    </w:rPr>
                    <w:t>0.50</w:t>
                  </w:r>
                </w:p>
              </w:tc>
              <w:tc>
                <w:tcPr>
                  <w:tcW w:w="850" w:type="dxa"/>
                  <w:vAlign w:val="center"/>
                </w:tcPr>
                <w:p>
                  <w:pPr>
                    <w:pStyle w:val="32"/>
                    <w:spacing w:line="360" w:lineRule="exact"/>
                    <w:rPr>
                      <w:color w:val="000000" w:themeColor="text1"/>
                      <w:szCs w:val="21"/>
                    </w:rPr>
                  </w:pPr>
                  <w:r>
                    <w:rPr>
                      <w:color w:val="000000" w:themeColor="text1"/>
                      <w:szCs w:val="21"/>
                    </w:rPr>
                    <w:t>13.57</w:t>
                  </w:r>
                </w:p>
              </w:tc>
              <w:tc>
                <w:tcPr>
                  <w:tcW w:w="851"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0.0015</w:t>
                  </w:r>
                </w:p>
              </w:tc>
              <w:tc>
                <w:tcPr>
                  <w:tcW w:w="708"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0.0003</w:t>
                  </w:r>
                </w:p>
              </w:tc>
              <w:tc>
                <w:tcPr>
                  <w:tcW w:w="706" w:type="dxa"/>
                  <w:vAlign w:val="center"/>
                </w:tcPr>
                <w:p>
                  <w:pPr>
                    <w:pStyle w:val="32"/>
                    <w:spacing w:line="360" w:lineRule="exact"/>
                    <w:rPr>
                      <w:color w:val="000000" w:themeColor="text1"/>
                      <w:szCs w:val="21"/>
                    </w:rPr>
                  </w:pPr>
                  <w:r>
                    <w:rPr>
                      <w:color w:val="000000" w:themeColor="text1"/>
                      <w:szCs w:val="21"/>
                    </w:rPr>
                    <w:t>≤20</w:t>
                  </w:r>
                </w:p>
              </w:tc>
              <w:tc>
                <w:tcPr>
                  <w:tcW w:w="645" w:type="dxa"/>
                  <w:vAlign w:val="center"/>
                </w:tcPr>
                <w:p>
                  <w:pPr>
                    <w:pStyle w:val="32"/>
                    <w:spacing w:line="360" w:lineRule="exact"/>
                    <w:rPr>
                      <w:color w:val="000000" w:themeColor="text1"/>
                      <w:szCs w:val="21"/>
                    </w:rPr>
                  </w:pPr>
                  <w:r>
                    <w:rPr>
                      <w:color w:val="000000" w:themeColor="text1"/>
                      <w:szCs w:val="21"/>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0" w:type="dxa"/>
                  <w:vMerge w:val="continue"/>
                  <w:tcBorders>
                    <w:right w:val="single" w:color="auto" w:sz="4" w:space="0"/>
                  </w:tcBorders>
                  <w:vAlign w:val="center"/>
                </w:tcPr>
                <w:p>
                  <w:pPr>
                    <w:pStyle w:val="32"/>
                    <w:spacing w:line="360" w:lineRule="exact"/>
                    <w:rPr>
                      <w:color w:val="000000" w:themeColor="text1"/>
                      <w:szCs w:val="21"/>
                    </w:rPr>
                  </w:pPr>
                </w:p>
              </w:tc>
              <w:tc>
                <w:tcPr>
                  <w:tcW w:w="621" w:type="dxa"/>
                  <w:vMerge w:val="restart"/>
                  <w:tcBorders>
                    <w:left w:val="single" w:color="auto" w:sz="4" w:space="0"/>
                  </w:tcBorders>
                  <w:vAlign w:val="center"/>
                </w:tcPr>
                <w:p>
                  <w:pPr>
                    <w:pStyle w:val="32"/>
                    <w:spacing w:line="360" w:lineRule="exact"/>
                    <w:rPr>
                      <w:color w:val="000000" w:themeColor="text1"/>
                      <w:szCs w:val="21"/>
                    </w:rPr>
                  </w:pPr>
                  <w:r>
                    <w:rPr>
                      <w:color w:val="000000" w:themeColor="text1"/>
                      <w:szCs w:val="21"/>
                    </w:rPr>
                    <w:t>搅拌混合车</w:t>
                  </w:r>
                  <w:r>
                    <w:rPr>
                      <w:rFonts w:hint="eastAsia"/>
                      <w:color w:val="000000" w:themeColor="text1"/>
                      <w:szCs w:val="21"/>
                    </w:rPr>
                    <w:t>间</w:t>
                  </w:r>
                </w:p>
              </w:tc>
              <w:tc>
                <w:tcPr>
                  <w:tcW w:w="709" w:type="dxa"/>
                  <w:vMerge w:val="restart"/>
                  <w:vAlign w:val="center"/>
                </w:tcPr>
                <w:p>
                  <w:pPr>
                    <w:pStyle w:val="32"/>
                    <w:spacing w:line="360" w:lineRule="exact"/>
                    <w:rPr>
                      <w:color w:val="000000" w:themeColor="text1"/>
                      <w:szCs w:val="21"/>
                    </w:rPr>
                  </w:pPr>
                  <w:r>
                    <w:rPr>
                      <w:color w:val="000000" w:themeColor="text1"/>
                      <w:szCs w:val="21"/>
                    </w:rPr>
                    <w:t>搅拌混合</w:t>
                  </w:r>
                </w:p>
              </w:tc>
              <w:tc>
                <w:tcPr>
                  <w:tcW w:w="1274" w:type="dxa"/>
                  <w:vAlign w:val="center"/>
                </w:tcPr>
                <w:p>
                  <w:pPr>
                    <w:pStyle w:val="32"/>
                    <w:spacing w:line="360" w:lineRule="exact"/>
                    <w:rPr>
                      <w:color w:val="000000" w:themeColor="text1"/>
                      <w:szCs w:val="21"/>
                    </w:rPr>
                  </w:pPr>
                  <w:r>
                    <w:rPr>
                      <w:color w:val="000000" w:themeColor="text1"/>
                      <w:szCs w:val="21"/>
                    </w:rPr>
                    <w:t>废气量</w:t>
                  </w:r>
                </w:p>
              </w:tc>
              <w:tc>
                <w:tcPr>
                  <w:tcW w:w="1701" w:type="dxa"/>
                  <w:gridSpan w:val="2"/>
                  <w:tcBorders>
                    <w:top w:val="single" w:color="auto" w:sz="4" w:space="0"/>
                    <w:bottom w:val="single" w:color="auto" w:sz="4" w:space="0"/>
                  </w:tcBorders>
                  <w:vAlign w:val="center"/>
                </w:tcPr>
                <w:p>
                  <w:pPr>
                    <w:pStyle w:val="32"/>
                    <w:spacing w:line="360" w:lineRule="exact"/>
                    <w:rPr>
                      <w:color w:val="000000" w:themeColor="text1"/>
                      <w:szCs w:val="21"/>
                    </w:rPr>
                  </w:pPr>
                  <w:r>
                    <w:rPr>
                      <w:color w:val="000000" w:themeColor="text1"/>
                      <w:szCs w:val="21"/>
                    </w:rPr>
                    <w:t>2400万m³/a</w:t>
                  </w:r>
                </w:p>
              </w:tc>
              <w:tc>
                <w:tcPr>
                  <w:tcW w:w="2409" w:type="dxa"/>
                  <w:gridSpan w:val="3"/>
                  <w:vAlign w:val="center"/>
                </w:tcPr>
                <w:p>
                  <w:pPr>
                    <w:pStyle w:val="32"/>
                    <w:spacing w:line="360" w:lineRule="exact"/>
                    <w:rPr>
                      <w:color w:val="000000" w:themeColor="text1"/>
                      <w:szCs w:val="21"/>
                    </w:rPr>
                  </w:pPr>
                  <w:r>
                    <w:rPr>
                      <w:color w:val="000000" w:themeColor="text1"/>
                      <w:szCs w:val="21"/>
                    </w:rPr>
                    <w:t>2400万m³/a</w:t>
                  </w:r>
                </w:p>
              </w:tc>
              <w:tc>
                <w:tcPr>
                  <w:tcW w:w="706" w:type="dxa"/>
                  <w:vAlign w:val="center"/>
                </w:tcPr>
                <w:p>
                  <w:pPr>
                    <w:pStyle w:val="32"/>
                    <w:spacing w:line="360" w:lineRule="exact"/>
                    <w:rPr>
                      <w:color w:val="000000" w:themeColor="text1"/>
                      <w:szCs w:val="21"/>
                    </w:rPr>
                  </w:pPr>
                  <w:r>
                    <w:rPr>
                      <w:color w:val="000000" w:themeColor="text1"/>
                      <w:szCs w:val="21"/>
                    </w:rPr>
                    <w:t>--</w:t>
                  </w:r>
                </w:p>
              </w:tc>
              <w:tc>
                <w:tcPr>
                  <w:tcW w:w="645" w:type="dxa"/>
                  <w:vAlign w:val="center"/>
                </w:tcPr>
                <w:p>
                  <w:pPr>
                    <w:pStyle w:val="32"/>
                    <w:spacing w:line="360" w:lineRule="exact"/>
                    <w:rPr>
                      <w:color w:val="000000" w:themeColor="text1"/>
                      <w:szCs w:val="21"/>
                    </w:rPr>
                  </w:pP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0" w:type="dxa"/>
                  <w:vMerge w:val="continue"/>
                  <w:tcBorders>
                    <w:right w:val="single" w:color="auto" w:sz="4" w:space="0"/>
                  </w:tcBorders>
                  <w:vAlign w:val="center"/>
                </w:tcPr>
                <w:p>
                  <w:pPr>
                    <w:pStyle w:val="32"/>
                    <w:spacing w:line="360" w:lineRule="exact"/>
                    <w:rPr>
                      <w:color w:val="000000" w:themeColor="text1"/>
                      <w:szCs w:val="21"/>
                    </w:rPr>
                  </w:pPr>
                </w:p>
              </w:tc>
              <w:tc>
                <w:tcPr>
                  <w:tcW w:w="621" w:type="dxa"/>
                  <w:vMerge w:val="continue"/>
                  <w:tcBorders>
                    <w:left w:val="single" w:color="auto" w:sz="4" w:space="0"/>
                  </w:tcBorders>
                  <w:vAlign w:val="center"/>
                </w:tcPr>
                <w:p>
                  <w:pPr>
                    <w:pStyle w:val="32"/>
                    <w:spacing w:line="360" w:lineRule="exac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1274" w:type="dxa"/>
                  <w:vAlign w:val="center"/>
                </w:tcPr>
                <w:p>
                  <w:pPr>
                    <w:pStyle w:val="32"/>
                    <w:spacing w:line="360" w:lineRule="exact"/>
                    <w:rPr>
                      <w:color w:val="000000" w:themeColor="text1"/>
                      <w:szCs w:val="21"/>
                    </w:rPr>
                  </w:pPr>
                  <w:r>
                    <w:rPr>
                      <w:color w:val="000000" w:themeColor="text1"/>
                      <w:szCs w:val="21"/>
                    </w:rPr>
                    <w:t>颗粒物（有组织）</w:t>
                  </w:r>
                </w:p>
              </w:tc>
              <w:tc>
                <w:tcPr>
                  <w:tcW w:w="850" w:type="dxa"/>
                  <w:tcBorders>
                    <w:top w:val="single" w:color="auto" w:sz="4" w:space="0"/>
                    <w:bottom w:val="single" w:color="auto" w:sz="4" w:space="0"/>
                  </w:tcBorders>
                  <w:vAlign w:val="center"/>
                </w:tcPr>
                <w:p>
                  <w:pPr>
                    <w:pStyle w:val="32"/>
                    <w:spacing w:line="360" w:lineRule="exact"/>
                    <w:rPr>
                      <w:color w:val="000000" w:themeColor="text1"/>
                      <w:szCs w:val="21"/>
                    </w:rPr>
                  </w:pPr>
                  <w:r>
                    <w:rPr>
                      <w:color w:val="000000" w:themeColor="text1"/>
                      <w:szCs w:val="21"/>
                    </w:rPr>
                    <w:t>376.25</w:t>
                  </w:r>
                </w:p>
              </w:tc>
              <w:tc>
                <w:tcPr>
                  <w:tcW w:w="851" w:type="dxa"/>
                  <w:tcBorders>
                    <w:top w:val="single" w:color="auto" w:sz="4" w:space="0"/>
                    <w:bottom w:val="single" w:color="auto" w:sz="4" w:space="0"/>
                  </w:tcBorders>
                  <w:vAlign w:val="center"/>
                </w:tcPr>
                <w:p>
                  <w:pPr>
                    <w:pStyle w:val="32"/>
                    <w:spacing w:line="360" w:lineRule="exact"/>
                    <w:rPr>
                      <w:color w:val="000000" w:themeColor="text1"/>
                      <w:szCs w:val="21"/>
                    </w:rPr>
                  </w:pPr>
                  <w:r>
                    <w:rPr>
                      <w:color w:val="000000" w:themeColor="text1"/>
                      <w:szCs w:val="21"/>
                    </w:rPr>
                    <w:t>9.03</w:t>
                  </w:r>
                </w:p>
              </w:tc>
              <w:tc>
                <w:tcPr>
                  <w:tcW w:w="850" w:type="dxa"/>
                  <w:vAlign w:val="center"/>
                </w:tcPr>
                <w:p>
                  <w:pPr>
                    <w:pStyle w:val="32"/>
                    <w:spacing w:line="360" w:lineRule="exact"/>
                    <w:rPr>
                      <w:color w:val="000000" w:themeColor="text1"/>
                      <w:szCs w:val="21"/>
                    </w:rPr>
                  </w:pPr>
                  <w:r>
                    <w:rPr>
                      <w:color w:val="000000" w:themeColor="text1"/>
                      <w:szCs w:val="21"/>
                    </w:rPr>
                    <w:t>1.25</w:t>
                  </w:r>
                </w:p>
              </w:tc>
              <w:tc>
                <w:tcPr>
                  <w:tcW w:w="851"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0.03</w:t>
                  </w:r>
                </w:p>
              </w:tc>
              <w:tc>
                <w:tcPr>
                  <w:tcW w:w="708"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0.01</w:t>
                  </w:r>
                </w:p>
              </w:tc>
              <w:tc>
                <w:tcPr>
                  <w:tcW w:w="706" w:type="dxa"/>
                  <w:vAlign w:val="center"/>
                </w:tcPr>
                <w:p>
                  <w:pPr>
                    <w:pStyle w:val="32"/>
                    <w:spacing w:line="360" w:lineRule="exact"/>
                    <w:rPr>
                      <w:color w:val="000000" w:themeColor="text1"/>
                      <w:szCs w:val="21"/>
                    </w:rPr>
                  </w:pPr>
                  <w:r>
                    <w:rPr>
                      <w:color w:val="000000" w:themeColor="text1"/>
                      <w:szCs w:val="21"/>
                    </w:rPr>
                    <w:t>≤20</w:t>
                  </w:r>
                </w:p>
              </w:tc>
              <w:tc>
                <w:tcPr>
                  <w:tcW w:w="645" w:type="dxa"/>
                  <w:vAlign w:val="center"/>
                </w:tcPr>
                <w:p>
                  <w:pPr>
                    <w:pStyle w:val="32"/>
                    <w:spacing w:line="360" w:lineRule="exact"/>
                    <w:rPr>
                      <w:color w:val="000000" w:themeColor="text1"/>
                      <w:szCs w:val="21"/>
                    </w:rPr>
                  </w:pPr>
                  <w:r>
                    <w:rPr>
                      <w:color w:val="000000" w:themeColor="text1"/>
                      <w:szCs w:val="21"/>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0" w:type="dxa"/>
                  <w:vMerge w:val="continue"/>
                  <w:tcBorders>
                    <w:right w:val="single" w:color="auto" w:sz="4" w:space="0"/>
                  </w:tcBorders>
                  <w:vAlign w:val="center"/>
                </w:tcPr>
                <w:p>
                  <w:pPr>
                    <w:pStyle w:val="32"/>
                    <w:spacing w:line="360" w:lineRule="exact"/>
                    <w:rPr>
                      <w:color w:val="000000" w:themeColor="text1"/>
                      <w:szCs w:val="21"/>
                    </w:rPr>
                  </w:pPr>
                </w:p>
              </w:tc>
              <w:tc>
                <w:tcPr>
                  <w:tcW w:w="621" w:type="dxa"/>
                  <w:vMerge w:val="continue"/>
                  <w:tcBorders>
                    <w:left w:val="single" w:color="auto" w:sz="4" w:space="0"/>
                  </w:tcBorders>
                  <w:vAlign w:val="center"/>
                </w:tcPr>
                <w:p>
                  <w:pPr>
                    <w:pStyle w:val="32"/>
                    <w:spacing w:line="360" w:lineRule="exact"/>
                    <w:rPr>
                      <w:color w:val="000000" w:themeColor="text1"/>
                      <w:szCs w:val="21"/>
                    </w:rPr>
                  </w:pPr>
                </w:p>
              </w:tc>
              <w:tc>
                <w:tcPr>
                  <w:tcW w:w="709" w:type="dxa"/>
                  <w:vMerge w:val="continue"/>
                  <w:vAlign w:val="center"/>
                </w:tcPr>
                <w:p>
                  <w:pPr>
                    <w:pStyle w:val="32"/>
                    <w:spacing w:line="360" w:lineRule="exact"/>
                    <w:rPr>
                      <w:color w:val="000000" w:themeColor="text1"/>
                      <w:szCs w:val="21"/>
                    </w:rPr>
                  </w:pPr>
                </w:p>
              </w:tc>
              <w:tc>
                <w:tcPr>
                  <w:tcW w:w="1274" w:type="dxa"/>
                  <w:vAlign w:val="center"/>
                </w:tcPr>
                <w:p>
                  <w:pPr>
                    <w:pStyle w:val="32"/>
                    <w:spacing w:line="360" w:lineRule="exact"/>
                    <w:rPr>
                      <w:color w:val="000000" w:themeColor="text1"/>
                      <w:szCs w:val="21"/>
                    </w:rPr>
                  </w:pPr>
                  <w:r>
                    <w:rPr>
                      <w:color w:val="000000" w:themeColor="text1"/>
                      <w:szCs w:val="21"/>
                    </w:rPr>
                    <w:t>颗粒物（无组织）</w:t>
                  </w:r>
                </w:p>
              </w:tc>
              <w:tc>
                <w:tcPr>
                  <w:tcW w:w="850" w:type="dxa"/>
                  <w:tcBorders>
                    <w:top w:val="single" w:color="auto" w:sz="4" w:space="0"/>
                    <w:bottom w:val="single" w:color="auto" w:sz="4" w:space="0"/>
                  </w:tcBorders>
                  <w:vAlign w:val="center"/>
                </w:tcPr>
                <w:p>
                  <w:pPr>
                    <w:pStyle w:val="32"/>
                    <w:spacing w:line="360" w:lineRule="exact"/>
                    <w:rPr>
                      <w:color w:val="000000" w:themeColor="text1"/>
                      <w:szCs w:val="21"/>
                    </w:rPr>
                  </w:pPr>
                  <w:r>
                    <w:rPr>
                      <w:color w:val="000000" w:themeColor="text1"/>
                      <w:szCs w:val="21"/>
                    </w:rPr>
                    <w:t>--</w:t>
                  </w:r>
                </w:p>
              </w:tc>
              <w:tc>
                <w:tcPr>
                  <w:tcW w:w="851" w:type="dxa"/>
                  <w:tcBorders>
                    <w:top w:val="single" w:color="auto" w:sz="4" w:space="0"/>
                    <w:bottom w:val="single" w:color="auto" w:sz="4" w:space="0"/>
                  </w:tcBorders>
                  <w:vAlign w:val="center"/>
                </w:tcPr>
                <w:p>
                  <w:pPr>
                    <w:pStyle w:val="32"/>
                    <w:spacing w:line="360" w:lineRule="exact"/>
                    <w:rPr>
                      <w:color w:val="000000" w:themeColor="text1"/>
                      <w:szCs w:val="21"/>
                    </w:rPr>
                  </w:pPr>
                  <w:r>
                    <w:rPr>
                      <w:color w:val="000000" w:themeColor="text1"/>
                      <w:szCs w:val="21"/>
                    </w:rPr>
                    <w:t>1.0</w:t>
                  </w:r>
                </w:p>
              </w:tc>
              <w:tc>
                <w:tcPr>
                  <w:tcW w:w="850" w:type="dxa"/>
                  <w:vAlign w:val="center"/>
                </w:tcPr>
                <w:p>
                  <w:pPr>
                    <w:pStyle w:val="32"/>
                    <w:spacing w:line="360" w:lineRule="exact"/>
                    <w:rPr>
                      <w:color w:val="000000" w:themeColor="text1"/>
                      <w:szCs w:val="21"/>
                    </w:rPr>
                  </w:pPr>
                  <w:r>
                    <w:rPr>
                      <w:color w:val="000000" w:themeColor="text1"/>
                      <w:szCs w:val="21"/>
                    </w:rPr>
                    <w:t>0.42</w:t>
                  </w:r>
                </w:p>
              </w:tc>
              <w:tc>
                <w:tcPr>
                  <w:tcW w:w="851"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1.0</w:t>
                  </w:r>
                </w:p>
              </w:tc>
              <w:tc>
                <w:tcPr>
                  <w:tcW w:w="708"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0.21</w:t>
                  </w:r>
                </w:p>
              </w:tc>
              <w:tc>
                <w:tcPr>
                  <w:tcW w:w="706" w:type="dxa"/>
                  <w:vAlign w:val="center"/>
                </w:tcPr>
                <w:p>
                  <w:pPr>
                    <w:pStyle w:val="32"/>
                    <w:spacing w:line="360" w:lineRule="exact"/>
                    <w:rPr>
                      <w:color w:val="000000" w:themeColor="text1"/>
                      <w:szCs w:val="21"/>
                    </w:rPr>
                  </w:pPr>
                  <w:r>
                    <w:rPr>
                      <w:color w:val="000000" w:themeColor="text1"/>
                      <w:szCs w:val="21"/>
                    </w:rPr>
                    <w:t>≤0.5</w:t>
                  </w:r>
                </w:p>
              </w:tc>
              <w:tc>
                <w:tcPr>
                  <w:tcW w:w="645" w:type="dxa"/>
                  <w:vAlign w:val="center"/>
                </w:tcPr>
                <w:p>
                  <w:pPr>
                    <w:pStyle w:val="32"/>
                    <w:spacing w:line="360" w:lineRule="exact"/>
                    <w:rPr>
                      <w:color w:val="000000" w:themeColor="text1"/>
                      <w:szCs w:val="21"/>
                    </w:rPr>
                  </w:pPr>
                  <w:r>
                    <w:rPr>
                      <w:color w:val="000000" w:themeColor="text1"/>
                      <w:szCs w:val="21"/>
                    </w:rPr>
                    <w:t>达标</w:t>
                  </w:r>
                </w:p>
              </w:tc>
            </w:tr>
          </w:tbl>
          <w:p>
            <w:pPr>
              <w:pStyle w:val="40"/>
              <w:spacing w:beforeLines="50"/>
              <w:ind w:firstLine="480"/>
              <w:rPr>
                <w:color w:val="000000" w:themeColor="text1"/>
                <w:szCs w:val="24"/>
              </w:rPr>
            </w:pPr>
            <w:r>
              <w:rPr>
                <w:color w:val="000000" w:themeColor="text1"/>
                <w:szCs w:val="24"/>
              </w:rPr>
              <w:t>由上表可知，项目废气达标性结论如下：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1 \* GB2 </w:instrText>
            </w:r>
            <w:r>
              <w:rPr>
                <w:rFonts w:ascii="Times New Roman" w:hAnsi="Times New Roman" w:cs="Times New Roman"/>
                <w:color w:val="000000" w:themeColor="text1"/>
                <w:sz w:val="24"/>
                <w:szCs w:val="24"/>
              </w:rPr>
              <w:fldChar w:fldCharType="separate"/>
            </w:r>
            <w:r>
              <w:rPr>
                <w:rFonts w:ascii="宋体" w:hAnsi="Times New Roman" w:eastAsia="宋体" w:cs="Times New Roman"/>
                <w:color w:val="000000" w:themeColor="text1"/>
                <w:sz w:val="24"/>
                <w:szCs w:val="24"/>
              </w:rPr>
              <w:t>⑴</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项目无组织排放颗粒物，参照《环境影响评价技术导则-大气环境》（HJ2.2-2018）附录A推荐模型中的AERSCREEN模式进行预测，最大落地浓度为0.48mg/m³，可达到《水泥工业大气污染物排放标准》（GB4915-2013）中无组织排放限值要求。</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2 \* GB2 </w:instrText>
            </w:r>
            <w:r>
              <w:rPr>
                <w:rFonts w:ascii="Times New Roman" w:hAnsi="Times New Roman" w:cs="Times New Roman"/>
                <w:color w:val="000000" w:themeColor="text1"/>
                <w:sz w:val="24"/>
                <w:szCs w:val="24"/>
              </w:rPr>
              <w:fldChar w:fldCharType="separate"/>
            </w:r>
            <w:r>
              <w:rPr>
                <w:rFonts w:ascii="宋体" w:hAnsi="Times New Roman" w:eastAsia="宋体" w:cs="Times New Roman"/>
                <w:color w:val="000000" w:themeColor="text1"/>
                <w:sz w:val="24"/>
                <w:szCs w:val="24"/>
              </w:rPr>
              <w:t>⑵</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项目有组织排放颗粒物，可达到《水泥工业大气污染物排放标准》（GB4915-2013）中有组织排放限值要求。</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（3）废气污染治理设施可行性分析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项目设计提出的袋式除尘器、雾炮机、堆场的围挡和顶棚皮带密闭运输等环保措施均为常见可行的废气污染防治措施，属于可行技术，措施可行。</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（4）自行监测要求</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项目砂石骨料属于C3039 其他建筑材料制造项目（简化管理）、水泥砖属于C3021 水泥制品制造（登记管理），根据《排污单位自行监测技术指南 总则》（HJ819-2017）和《排污许可证申请与核发技术规范 总则》（HJ942-2018）的要求，项目废气自行监测要求如下表所示。</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①一期工程运行期间</w:t>
            </w:r>
            <w:r>
              <w:rPr>
                <w:rFonts w:ascii="Times New Roman" w:hAnsi="Times New Roman" w:cs="Times New Roman"/>
                <w:b/>
                <w:color w:val="000000" w:themeColor="text1"/>
                <w:sz w:val="24"/>
                <w:szCs w:val="24"/>
              </w:rPr>
              <w:t>自行监测要求</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根据项目特点，项目一期工程</w:t>
            </w:r>
            <w:r>
              <w:rPr>
                <w:rFonts w:ascii="Times New Roman" w:hAnsi="Times New Roman" w:cs="Times New Roman"/>
                <w:color w:val="000000" w:themeColor="text1"/>
                <w:sz w:val="24"/>
                <w:szCs w:val="24"/>
              </w:rPr>
              <w:t>运营期废气自行监测计划</w:t>
            </w:r>
            <w:r>
              <w:rPr>
                <w:rFonts w:hint="eastAsia" w:ascii="Times New Roman" w:hAnsi="Times New Roman" w:cs="Times New Roman"/>
                <w:color w:val="000000" w:themeColor="text1"/>
                <w:sz w:val="24"/>
                <w:szCs w:val="24"/>
              </w:rPr>
              <w:t>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表4.2.1-</w:t>
            </w:r>
            <w:r>
              <w:rPr>
                <w:rFonts w:hint="eastAsia" w:ascii="Times New Roman" w:hAnsi="Times New Roman" w:cs="Times New Roman"/>
                <w:b/>
                <w:color w:val="000000" w:themeColor="text1"/>
                <w:szCs w:val="24"/>
              </w:rPr>
              <w:t>8</w:t>
            </w:r>
            <w:r>
              <w:rPr>
                <w:rFonts w:ascii="Times New Roman" w:hAnsi="Times New Roman" w:cs="Times New Roman"/>
                <w:b/>
                <w:color w:val="000000" w:themeColor="text1"/>
                <w:szCs w:val="24"/>
              </w:rPr>
              <w:t xml:space="preserve">  项目</w:t>
            </w:r>
            <w:r>
              <w:rPr>
                <w:rFonts w:hint="eastAsia" w:ascii="Times New Roman" w:hAnsi="Times New Roman" w:cs="Times New Roman"/>
                <w:b/>
                <w:color w:val="000000" w:themeColor="text1"/>
                <w:szCs w:val="24"/>
              </w:rPr>
              <w:t>一期工程单独运行期间</w:t>
            </w:r>
            <w:r>
              <w:rPr>
                <w:rFonts w:ascii="Times New Roman" w:hAnsi="Times New Roman" w:cs="Times New Roman"/>
                <w:b/>
                <w:color w:val="000000" w:themeColor="text1"/>
                <w:szCs w:val="24"/>
              </w:rPr>
              <w:t>废气自行监测计划一览表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619"/>
              <w:gridCol w:w="2155"/>
              <w:gridCol w:w="1485"/>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对象</w:t>
                  </w:r>
                </w:p>
              </w:tc>
              <w:tc>
                <w:tcPr>
                  <w:tcW w:w="161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监测点位</w:t>
                  </w:r>
                </w:p>
              </w:tc>
              <w:tc>
                <w:tcPr>
                  <w:tcW w:w="215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监测因子</w:t>
                  </w:r>
                </w:p>
              </w:tc>
              <w:tc>
                <w:tcPr>
                  <w:tcW w:w="148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最低监测频率</w:t>
                  </w:r>
                </w:p>
              </w:tc>
              <w:tc>
                <w:tcPr>
                  <w:tcW w:w="258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6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废气</w:t>
                  </w:r>
                </w:p>
              </w:tc>
              <w:tc>
                <w:tcPr>
                  <w:tcW w:w="161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企业边界</w:t>
                  </w:r>
                </w:p>
              </w:tc>
              <w:tc>
                <w:tcPr>
                  <w:tcW w:w="2155" w:type="dxa"/>
                  <w:vAlign w:val="center"/>
                </w:tcPr>
                <w:p>
                  <w:pPr>
                    <w:pStyle w:val="32"/>
                    <w:spacing w:line="360" w:lineRule="exact"/>
                    <w:rPr>
                      <w:rFonts w:eastAsiaTheme="minorEastAsia"/>
                      <w:color w:val="000000" w:themeColor="text1"/>
                      <w:szCs w:val="21"/>
                    </w:rPr>
                  </w:pPr>
                  <w:r>
                    <w:rPr>
                      <w:color w:val="000000" w:themeColor="text1"/>
                      <w:szCs w:val="21"/>
                    </w:rPr>
                    <w:t>颗粒物</w:t>
                  </w:r>
                </w:p>
              </w:tc>
              <w:tc>
                <w:tcPr>
                  <w:tcW w:w="148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1次/年</w:t>
                  </w:r>
                </w:p>
              </w:tc>
              <w:tc>
                <w:tcPr>
                  <w:tcW w:w="2585" w:type="dxa"/>
                  <w:vAlign w:val="center"/>
                </w:tcPr>
                <w:p>
                  <w:pPr>
                    <w:pStyle w:val="32"/>
                    <w:spacing w:line="360" w:lineRule="exact"/>
                    <w:ind w:firstLine="210" w:firstLineChars="100"/>
                    <w:rPr>
                      <w:rFonts w:eastAsiaTheme="minorEastAsia"/>
                      <w:color w:val="000000" w:themeColor="text1"/>
                      <w:szCs w:val="21"/>
                    </w:rPr>
                  </w:pPr>
                  <w:r>
                    <w:rPr>
                      <w:rFonts w:eastAsiaTheme="minorEastAsia"/>
                      <w:color w:val="000000" w:themeColor="text1"/>
                      <w:szCs w:val="21"/>
                    </w:rPr>
                    <w:t>《水泥工业大气污染物排放标准》（GB4915-2013）</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②二期工程建成后项目</w:t>
            </w:r>
            <w:r>
              <w:rPr>
                <w:rFonts w:ascii="Times New Roman" w:hAnsi="Times New Roman" w:cs="Times New Roman"/>
                <w:b/>
                <w:color w:val="000000" w:themeColor="text1"/>
                <w:sz w:val="24"/>
                <w:szCs w:val="24"/>
              </w:rPr>
              <w:t>自行监测要求</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根据项目特点，二期工程建成后项目</w:t>
            </w:r>
            <w:r>
              <w:rPr>
                <w:rFonts w:ascii="Times New Roman" w:hAnsi="Times New Roman" w:cs="Times New Roman"/>
                <w:color w:val="000000" w:themeColor="text1"/>
                <w:sz w:val="24"/>
                <w:szCs w:val="24"/>
              </w:rPr>
              <w:t>运营期废气自行监测计划</w:t>
            </w:r>
            <w:r>
              <w:rPr>
                <w:rFonts w:hint="eastAsia" w:ascii="Times New Roman" w:hAnsi="Times New Roman" w:cs="Times New Roman"/>
                <w:color w:val="000000" w:themeColor="text1"/>
                <w:sz w:val="24"/>
                <w:szCs w:val="24"/>
              </w:rPr>
              <w:t>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表4.2.1-</w:t>
            </w:r>
            <w:r>
              <w:rPr>
                <w:rFonts w:hint="eastAsia" w:ascii="Times New Roman" w:hAnsi="Times New Roman" w:cs="Times New Roman"/>
                <w:b/>
                <w:color w:val="000000" w:themeColor="text1"/>
                <w:szCs w:val="24"/>
              </w:rPr>
              <w:t>9</w:t>
            </w:r>
            <w:r>
              <w:rPr>
                <w:rFonts w:ascii="Times New Roman" w:hAnsi="Times New Roman" w:cs="Times New Roman"/>
                <w:b/>
                <w:color w:val="000000" w:themeColor="text1"/>
                <w:szCs w:val="24"/>
              </w:rPr>
              <w:t xml:space="preserve">  项目运营期废气自行监测计划一览表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619"/>
              <w:gridCol w:w="2155"/>
              <w:gridCol w:w="1485"/>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对象</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监测点位</w:t>
                  </w:r>
                </w:p>
              </w:tc>
              <w:tc>
                <w:tcPr>
                  <w:tcW w:w="226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监测因子</w:t>
                  </w:r>
                </w:p>
              </w:tc>
              <w:tc>
                <w:tcPr>
                  <w:tcW w:w="155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最低监测频率</w:t>
                  </w:r>
                </w:p>
              </w:tc>
              <w:tc>
                <w:tcPr>
                  <w:tcW w:w="272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92"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废气</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DA001</w:t>
                  </w:r>
                </w:p>
              </w:tc>
              <w:tc>
                <w:tcPr>
                  <w:tcW w:w="2268" w:type="dxa"/>
                  <w:vAlign w:val="center"/>
                </w:tcPr>
                <w:p>
                  <w:pPr>
                    <w:pStyle w:val="32"/>
                    <w:spacing w:line="360" w:lineRule="exact"/>
                    <w:rPr>
                      <w:rFonts w:eastAsiaTheme="minorEastAsia"/>
                      <w:color w:val="000000" w:themeColor="text1"/>
                      <w:szCs w:val="21"/>
                    </w:rPr>
                  </w:pPr>
                  <w:r>
                    <w:rPr>
                      <w:color w:val="000000" w:themeColor="text1"/>
                      <w:szCs w:val="21"/>
                    </w:rPr>
                    <w:t>颗粒物</w:t>
                  </w:r>
                </w:p>
              </w:tc>
              <w:tc>
                <w:tcPr>
                  <w:tcW w:w="155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1次/年</w:t>
                  </w:r>
                </w:p>
              </w:tc>
              <w:tc>
                <w:tcPr>
                  <w:tcW w:w="2724" w:type="dxa"/>
                  <w:vMerge w:val="restart"/>
                  <w:vAlign w:val="center"/>
                </w:tcPr>
                <w:p>
                  <w:pPr>
                    <w:pStyle w:val="32"/>
                    <w:spacing w:line="360" w:lineRule="exact"/>
                    <w:ind w:firstLine="210" w:firstLineChars="100"/>
                    <w:rPr>
                      <w:rFonts w:eastAsiaTheme="minorEastAsia"/>
                      <w:color w:val="000000" w:themeColor="text1"/>
                      <w:szCs w:val="21"/>
                    </w:rPr>
                  </w:pPr>
                  <w:r>
                    <w:rPr>
                      <w:rFonts w:eastAsiaTheme="minorEastAsia"/>
                      <w:color w:val="000000" w:themeColor="text1"/>
                      <w:szCs w:val="21"/>
                    </w:rPr>
                    <w:t>《水泥工业大气污染物排放标准》（GB4915-2013）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92" w:type="dxa"/>
                  <w:vMerge w:val="continue"/>
                  <w:vAlign w:val="center"/>
                </w:tcPr>
                <w:p>
                  <w:pPr>
                    <w:pStyle w:val="32"/>
                    <w:spacing w:line="360" w:lineRule="exact"/>
                    <w:rPr>
                      <w:rFonts w:eastAsiaTheme="minorEastAsia"/>
                      <w:color w:val="000000" w:themeColor="text1"/>
                      <w:szCs w:val="21"/>
                    </w:rPr>
                  </w:pP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DA002</w:t>
                  </w:r>
                </w:p>
              </w:tc>
              <w:tc>
                <w:tcPr>
                  <w:tcW w:w="2268" w:type="dxa"/>
                  <w:vAlign w:val="center"/>
                </w:tcPr>
                <w:p>
                  <w:pPr>
                    <w:pStyle w:val="32"/>
                    <w:spacing w:line="360" w:lineRule="exact"/>
                    <w:rPr>
                      <w:rFonts w:eastAsiaTheme="minorEastAsia"/>
                      <w:color w:val="000000" w:themeColor="text1"/>
                      <w:szCs w:val="21"/>
                    </w:rPr>
                  </w:pPr>
                  <w:r>
                    <w:rPr>
                      <w:color w:val="000000" w:themeColor="text1"/>
                      <w:szCs w:val="21"/>
                    </w:rPr>
                    <w:t>颗粒物</w:t>
                  </w:r>
                </w:p>
              </w:tc>
              <w:tc>
                <w:tcPr>
                  <w:tcW w:w="155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1次/年</w:t>
                  </w:r>
                </w:p>
              </w:tc>
              <w:tc>
                <w:tcPr>
                  <w:tcW w:w="2724"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92" w:type="dxa"/>
                  <w:vMerge w:val="continue"/>
                  <w:vAlign w:val="center"/>
                </w:tcPr>
                <w:p>
                  <w:pPr>
                    <w:pStyle w:val="32"/>
                    <w:spacing w:line="360" w:lineRule="exact"/>
                    <w:rPr>
                      <w:rFonts w:eastAsiaTheme="minorEastAsia"/>
                      <w:color w:val="000000" w:themeColor="text1"/>
                      <w:szCs w:val="21"/>
                    </w:rPr>
                  </w:pP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企业边界</w:t>
                  </w:r>
                </w:p>
              </w:tc>
              <w:tc>
                <w:tcPr>
                  <w:tcW w:w="2268" w:type="dxa"/>
                  <w:vAlign w:val="center"/>
                </w:tcPr>
                <w:p>
                  <w:pPr>
                    <w:pStyle w:val="32"/>
                    <w:spacing w:line="360" w:lineRule="exact"/>
                    <w:rPr>
                      <w:rFonts w:eastAsiaTheme="minorEastAsia"/>
                      <w:color w:val="000000" w:themeColor="text1"/>
                      <w:szCs w:val="21"/>
                    </w:rPr>
                  </w:pPr>
                  <w:r>
                    <w:rPr>
                      <w:color w:val="000000" w:themeColor="text1"/>
                      <w:szCs w:val="21"/>
                    </w:rPr>
                    <w:t>颗粒物</w:t>
                  </w:r>
                </w:p>
              </w:tc>
              <w:tc>
                <w:tcPr>
                  <w:tcW w:w="155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1次/年</w:t>
                  </w:r>
                </w:p>
              </w:tc>
              <w:tc>
                <w:tcPr>
                  <w:tcW w:w="2724" w:type="dxa"/>
                  <w:vMerge w:val="continue"/>
                  <w:vAlign w:val="center"/>
                </w:tcPr>
                <w:p>
                  <w:pPr>
                    <w:pStyle w:val="32"/>
                    <w:spacing w:line="360" w:lineRule="exact"/>
                    <w:ind w:firstLine="210" w:firstLineChars="100"/>
                    <w:jc w:val="both"/>
                    <w:rPr>
                      <w:rFonts w:eastAsiaTheme="minorEastAsia"/>
                      <w:color w:val="000000" w:themeColor="text1"/>
                      <w:szCs w:val="21"/>
                    </w:rPr>
                  </w:pP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（5）非正常情况污染物排放情况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该项目非正常排放情形主要为布袋失效情形，若袋式除尘器全部失效，水泥仓、搅拌混合车间产生的经收集后的粉尘未经处理通过排气筒有组织排放。袋式除尘器失效非正常情形下废气污染物排放源产排情况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表4.2.1-</w:t>
            </w:r>
            <w:r>
              <w:rPr>
                <w:rFonts w:hint="eastAsia" w:ascii="Times New Roman" w:hAnsi="Times New Roman" w:cs="Times New Roman"/>
                <w:b/>
                <w:color w:val="000000" w:themeColor="text1"/>
                <w:szCs w:val="24"/>
              </w:rPr>
              <w:t xml:space="preserve">10 </w:t>
            </w:r>
            <w:r>
              <w:rPr>
                <w:rFonts w:ascii="Times New Roman" w:hAnsi="Times New Roman" w:cs="Times New Roman"/>
                <w:b/>
                <w:color w:val="000000" w:themeColor="text1"/>
                <w:szCs w:val="24"/>
              </w:rPr>
              <w:t>非正常情形下废气污染物排放源产排量及达标情况一览表</w:t>
            </w:r>
          </w:p>
          <w:tbl>
            <w:tblPr>
              <w:tblStyle w:val="20"/>
              <w:tblW w:w="5000" w:type="pct"/>
              <w:tblInd w:w="0" w:type="dxa"/>
              <w:tblLayout w:type="fixed"/>
              <w:tblCellMar>
                <w:top w:w="0" w:type="dxa"/>
                <w:left w:w="108" w:type="dxa"/>
                <w:bottom w:w="0" w:type="dxa"/>
                <w:right w:w="108" w:type="dxa"/>
              </w:tblCellMar>
            </w:tblPr>
            <w:tblGrid>
              <w:gridCol w:w="683"/>
              <w:gridCol w:w="1004"/>
              <w:gridCol w:w="1176"/>
              <w:gridCol w:w="1137"/>
              <w:gridCol w:w="1137"/>
              <w:gridCol w:w="994"/>
              <w:gridCol w:w="995"/>
              <w:gridCol w:w="1489"/>
            </w:tblGrid>
            <w:tr>
              <w:tblPrEx>
                <w:tblCellMar>
                  <w:top w:w="0" w:type="dxa"/>
                  <w:left w:w="108" w:type="dxa"/>
                  <w:bottom w:w="0" w:type="dxa"/>
                  <w:right w:w="108" w:type="dxa"/>
                </w:tblCellMar>
              </w:tblPrEx>
              <w:trPr>
                <w:trHeight w:val="576" w:hRule="atLeast"/>
              </w:trPr>
              <w:tc>
                <w:tcPr>
                  <w:tcW w:w="1683"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产排污环节</w:t>
                  </w:r>
                </w:p>
              </w:tc>
              <w:tc>
                <w:tcPr>
                  <w:tcW w:w="117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污染物种类</w:t>
                  </w:r>
                </w:p>
              </w:tc>
              <w:tc>
                <w:tcPr>
                  <w:tcW w:w="2268" w:type="dxa"/>
                  <w:gridSpan w:val="2"/>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污染物排放量和浓度</w:t>
                  </w:r>
                </w:p>
              </w:tc>
              <w:tc>
                <w:tcPr>
                  <w:tcW w:w="992" w:type="dxa"/>
                  <w:vMerge w:val="restart"/>
                  <w:tcBorders>
                    <w:top w:val="single" w:color="000000" w:sz="8" w:space="0"/>
                    <w:left w:val="single" w:color="000000" w:sz="8" w:space="0"/>
                    <w:bottom w:val="single" w:color="000000" w:sz="8"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频次</w:t>
                  </w:r>
                </w:p>
              </w:tc>
              <w:tc>
                <w:tcPr>
                  <w:tcW w:w="993" w:type="dxa"/>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持续时间</w:t>
                  </w:r>
                </w:p>
              </w:tc>
              <w:tc>
                <w:tcPr>
                  <w:tcW w:w="148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措施</w:t>
                  </w:r>
                </w:p>
              </w:tc>
            </w:tr>
            <w:tr>
              <w:tblPrEx>
                <w:tblCellMar>
                  <w:top w:w="0" w:type="dxa"/>
                  <w:left w:w="108" w:type="dxa"/>
                  <w:bottom w:w="0" w:type="dxa"/>
                  <w:right w:w="108" w:type="dxa"/>
                </w:tblCellMar>
              </w:tblPrEx>
              <w:trPr>
                <w:trHeight w:val="588" w:hRule="atLeast"/>
              </w:trPr>
              <w:tc>
                <w:tcPr>
                  <w:tcW w:w="1683" w:type="dxa"/>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宋体" w:cs="Times New Roman"/>
                      <w:color w:val="000000" w:themeColor="text1"/>
                      <w:kern w:val="0"/>
                    </w:rPr>
                  </w:pPr>
                </w:p>
              </w:tc>
              <w:tc>
                <w:tcPr>
                  <w:tcW w:w="1173"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宋体" w:cs="Times New Roman"/>
                      <w:color w:val="000000" w:themeColor="text1"/>
                      <w:kern w:val="0"/>
                    </w:rPr>
                  </w:pPr>
                </w:p>
              </w:tc>
              <w:tc>
                <w:tcPr>
                  <w:tcW w:w="11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排放浓度mg/m³</w:t>
                  </w:r>
                </w:p>
              </w:tc>
              <w:tc>
                <w:tcPr>
                  <w:tcW w:w="1134"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排放量kg/次</w:t>
                  </w:r>
                </w:p>
              </w:tc>
              <w:tc>
                <w:tcPr>
                  <w:tcW w:w="992" w:type="dxa"/>
                  <w:vMerge w:val="continue"/>
                  <w:tcBorders>
                    <w:top w:val="single" w:color="000000" w:sz="8" w:space="0"/>
                    <w:left w:val="single" w:color="000000" w:sz="8" w:space="0"/>
                    <w:bottom w:val="single" w:color="000000" w:sz="8" w:space="0"/>
                    <w:right w:val="single" w:color="auto" w:sz="4" w:space="0"/>
                  </w:tcBorders>
                  <w:vAlign w:val="center"/>
                </w:tcPr>
                <w:p>
                  <w:pPr>
                    <w:widowControl/>
                    <w:jc w:val="center"/>
                    <w:rPr>
                      <w:rFonts w:ascii="Times New Roman" w:hAnsi="Times New Roman" w:eastAsia="宋体" w:cs="Times New Roman"/>
                      <w:color w:val="000000" w:themeColor="text1"/>
                      <w:kern w:val="0"/>
                    </w:rPr>
                  </w:pPr>
                </w:p>
              </w:tc>
              <w:tc>
                <w:tcPr>
                  <w:tcW w:w="993" w:type="dxa"/>
                  <w:vMerge w:val="continue"/>
                  <w:tcBorders>
                    <w:top w:val="single" w:color="000000" w:sz="8" w:space="0"/>
                    <w:left w:val="single" w:color="auto" w:sz="4" w:space="0"/>
                    <w:bottom w:val="single" w:color="000000" w:sz="8" w:space="0"/>
                    <w:right w:val="single" w:color="000000" w:sz="8" w:space="0"/>
                  </w:tcBorders>
                  <w:vAlign w:val="center"/>
                </w:tcPr>
                <w:p>
                  <w:pPr>
                    <w:widowControl/>
                    <w:jc w:val="center"/>
                    <w:rPr>
                      <w:rFonts w:ascii="Times New Roman" w:hAnsi="Times New Roman" w:eastAsia="宋体" w:cs="Times New Roman"/>
                      <w:color w:val="000000" w:themeColor="text1"/>
                      <w:kern w:val="0"/>
                    </w:rPr>
                  </w:pPr>
                </w:p>
              </w:tc>
              <w:tc>
                <w:tcPr>
                  <w:tcW w:w="148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Times New Roman" w:hAnsi="Times New Roman" w:eastAsia="宋体" w:cs="Times New Roman"/>
                      <w:color w:val="000000" w:themeColor="text1"/>
                      <w:kern w:val="0"/>
                    </w:rPr>
                  </w:pPr>
                </w:p>
              </w:tc>
            </w:tr>
            <w:tr>
              <w:tblPrEx>
                <w:tblCellMar>
                  <w:top w:w="0" w:type="dxa"/>
                  <w:left w:w="108" w:type="dxa"/>
                  <w:bottom w:w="0" w:type="dxa"/>
                  <w:right w:w="108" w:type="dxa"/>
                </w:tblCellMar>
              </w:tblPrEx>
              <w:trPr>
                <w:trHeight w:val="300" w:hRule="atLeast"/>
              </w:trPr>
              <w:tc>
                <w:tcPr>
                  <w:tcW w:w="681" w:type="dxa"/>
                  <w:tcBorders>
                    <w:top w:val="nil"/>
                    <w:left w:val="single" w:color="000000" w:sz="8" w:space="0"/>
                    <w:right w:val="single" w:color="000000" w:sz="8" w:space="0"/>
                  </w:tcBorders>
                  <w:shd w:val="clear" w:color="auto" w:fill="auto"/>
                  <w:vAlign w:val="center"/>
                </w:tcPr>
                <w:p>
                  <w:pPr>
                    <w:pStyle w:val="32"/>
                    <w:spacing w:line="360" w:lineRule="exact"/>
                    <w:rPr>
                      <w:color w:val="000000" w:themeColor="text1"/>
                      <w:szCs w:val="21"/>
                    </w:rPr>
                  </w:pPr>
                  <w:r>
                    <w:rPr>
                      <w:color w:val="000000" w:themeColor="text1"/>
                      <w:szCs w:val="21"/>
                    </w:rPr>
                    <w:t>水泥仓</w:t>
                  </w:r>
                </w:p>
              </w:tc>
              <w:tc>
                <w:tcPr>
                  <w:tcW w:w="1002" w:type="dxa"/>
                  <w:tcBorders>
                    <w:top w:val="nil"/>
                    <w:left w:val="single" w:color="000000" w:sz="8" w:space="0"/>
                    <w:right w:val="single" w:color="000000" w:sz="8" w:space="0"/>
                  </w:tcBorders>
                  <w:shd w:val="clear" w:color="auto" w:fill="auto"/>
                  <w:vAlign w:val="center"/>
                </w:tcPr>
                <w:p>
                  <w:pPr>
                    <w:pStyle w:val="32"/>
                    <w:spacing w:line="360" w:lineRule="exact"/>
                    <w:rPr>
                      <w:color w:val="000000" w:themeColor="text1"/>
                      <w:szCs w:val="21"/>
                    </w:rPr>
                  </w:pPr>
                  <w:r>
                    <w:rPr>
                      <w:color w:val="000000" w:themeColor="text1"/>
                      <w:szCs w:val="21"/>
                    </w:rPr>
                    <w:t>水泥装卸、储存、输送过程</w:t>
                  </w:r>
                </w:p>
              </w:tc>
              <w:tc>
                <w:tcPr>
                  <w:tcW w:w="1173" w:type="dxa"/>
                  <w:tcBorders>
                    <w:top w:val="nil"/>
                    <w:left w:val="nil"/>
                    <w:bottom w:val="single" w:color="auto" w:sz="4" w:space="0"/>
                    <w:right w:val="single" w:color="000000" w:sz="8" w:space="0"/>
                  </w:tcBorders>
                  <w:shd w:val="clear" w:color="auto" w:fill="auto"/>
                  <w:vAlign w:val="center"/>
                </w:tcPr>
                <w:p>
                  <w:pPr>
                    <w:widowControl/>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颗粒物（有组织）</w:t>
                  </w:r>
                </w:p>
              </w:tc>
              <w:tc>
                <w:tcPr>
                  <w:tcW w:w="1134" w:type="dxa"/>
                  <w:tcBorders>
                    <w:top w:val="single" w:color="000000" w:sz="8" w:space="0"/>
                    <w:left w:val="nil"/>
                    <w:bottom w:val="single" w:color="000000" w:sz="8" w:space="0"/>
                    <w:right w:val="single" w:color="auto" w:sz="4" w:space="0"/>
                  </w:tcBorders>
                  <w:shd w:val="clear" w:color="auto" w:fill="auto"/>
                  <w:vAlign w:val="center"/>
                </w:tcPr>
                <w:p>
                  <w:pPr>
                    <w:pStyle w:val="32"/>
                    <w:spacing w:line="360" w:lineRule="exact"/>
                    <w:rPr>
                      <w:color w:val="000000" w:themeColor="text1"/>
                      <w:szCs w:val="21"/>
                    </w:rPr>
                  </w:pPr>
                  <w:r>
                    <w:rPr>
                      <w:color w:val="000000" w:themeColor="text1"/>
                      <w:szCs w:val="21"/>
                    </w:rPr>
                    <w:t>4523</w:t>
                  </w:r>
                </w:p>
              </w:tc>
              <w:tc>
                <w:tcPr>
                  <w:tcW w:w="1134" w:type="dxa"/>
                  <w:tcBorders>
                    <w:top w:val="single" w:color="000000" w:sz="8" w:space="0"/>
                    <w:left w:val="single" w:color="auto" w:sz="4" w:space="0"/>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0.02</w:t>
                  </w:r>
                </w:p>
              </w:tc>
              <w:tc>
                <w:tcPr>
                  <w:tcW w:w="992" w:type="dxa"/>
                  <w:tcBorders>
                    <w:top w:val="nil"/>
                    <w:left w:val="nil"/>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1次/a</w:t>
                  </w:r>
                </w:p>
              </w:tc>
              <w:tc>
                <w:tcPr>
                  <w:tcW w:w="993" w:type="dxa"/>
                  <w:tcBorders>
                    <w:top w:val="nil"/>
                    <w:left w:val="single" w:color="auto" w:sz="4"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10min/次</w:t>
                  </w:r>
                </w:p>
              </w:tc>
              <w:tc>
                <w:tcPr>
                  <w:tcW w:w="1486" w:type="dxa"/>
                  <w:tcBorders>
                    <w:top w:val="nil"/>
                    <w:left w:val="nil"/>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立即停机检修</w:t>
                  </w:r>
                </w:p>
              </w:tc>
            </w:tr>
            <w:tr>
              <w:tblPrEx>
                <w:tblCellMar>
                  <w:top w:w="0" w:type="dxa"/>
                  <w:left w:w="108" w:type="dxa"/>
                  <w:bottom w:w="0" w:type="dxa"/>
                  <w:right w:w="108" w:type="dxa"/>
                </w:tblCellMar>
              </w:tblPrEx>
              <w:trPr>
                <w:trHeight w:val="300" w:hRule="atLeast"/>
              </w:trPr>
              <w:tc>
                <w:tcPr>
                  <w:tcW w:w="681" w:type="dxa"/>
                  <w:vMerge w:val="restart"/>
                  <w:tcBorders>
                    <w:top w:val="single" w:color="auto" w:sz="4" w:space="0"/>
                    <w:left w:val="single" w:color="000000" w:sz="8" w:space="0"/>
                    <w:right w:val="single" w:color="000000" w:sz="8" w:space="0"/>
                  </w:tcBorders>
                  <w:shd w:val="clear" w:color="auto" w:fill="auto"/>
                  <w:vAlign w:val="center"/>
                </w:tcPr>
                <w:p>
                  <w:pPr>
                    <w:pStyle w:val="32"/>
                    <w:spacing w:line="360" w:lineRule="exact"/>
                    <w:rPr>
                      <w:color w:val="000000" w:themeColor="text1"/>
                      <w:szCs w:val="21"/>
                    </w:rPr>
                  </w:pPr>
                  <w:r>
                    <w:rPr>
                      <w:color w:val="000000" w:themeColor="text1"/>
                      <w:szCs w:val="21"/>
                    </w:rPr>
                    <w:t>搅拌混合车间</w:t>
                  </w:r>
                </w:p>
              </w:tc>
              <w:tc>
                <w:tcPr>
                  <w:tcW w:w="1002" w:type="dxa"/>
                  <w:vMerge w:val="restart"/>
                  <w:tcBorders>
                    <w:top w:val="single" w:color="auto" w:sz="4" w:space="0"/>
                    <w:left w:val="single" w:color="000000" w:sz="8" w:space="0"/>
                    <w:right w:val="single" w:color="000000" w:sz="8" w:space="0"/>
                  </w:tcBorders>
                  <w:shd w:val="clear" w:color="auto" w:fill="auto"/>
                  <w:vAlign w:val="center"/>
                </w:tcPr>
                <w:p>
                  <w:pPr>
                    <w:pStyle w:val="32"/>
                    <w:spacing w:line="360" w:lineRule="exact"/>
                    <w:rPr>
                      <w:color w:val="000000" w:themeColor="text1"/>
                      <w:szCs w:val="21"/>
                    </w:rPr>
                  </w:pPr>
                  <w:r>
                    <w:rPr>
                      <w:color w:val="000000" w:themeColor="text1"/>
                      <w:szCs w:val="21"/>
                    </w:rPr>
                    <w:t>搅拌混合</w:t>
                  </w:r>
                </w:p>
              </w:tc>
              <w:tc>
                <w:tcPr>
                  <w:tcW w:w="1173"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颗粒物（有组织）</w:t>
                  </w:r>
                </w:p>
              </w:tc>
              <w:tc>
                <w:tcPr>
                  <w:tcW w:w="1134" w:type="dxa"/>
                  <w:tcBorders>
                    <w:top w:val="single" w:color="000000" w:sz="8" w:space="0"/>
                    <w:left w:val="nil"/>
                    <w:bottom w:val="single" w:color="000000" w:sz="8" w:space="0"/>
                    <w:right w:val="single" w:color="auto" w:sz="4" w:space="0"/>
                  </w:tcBorders>
                  <w:shd w:val="clear" w:color="auto" w:fill="auto"/>
                  <w:vAlign w:val="center"/>
                </w:tcPr>
                <w:p>
                  <w:pPr>
                    <w:pStyle w:val="32"/>
                    <w:spacing w:line="360" w:lineRule="exact"/>
                    <w:rPr>
                      <w:color w:val="000000" w:themeColor="text1"/>
                      <w:szCs w:val="21"/>
                    </w:rPr>
                  </w:pPr>
                  <w:r>
                    <w:rPr>
                      <w:color w:val="000000" w:themeColor="text1"/>
                      <w:szCs w:val="21"/>
                    </w:rPr>
                    <w:t>376.25</w:t>
                  </w:r>
                </w:p>
              </w:tc>
              <w:tc>
                <w:tcPr>
                  <w:tcW w:w="1134" w:type="dxa"/>
                  <w:tcBorders>
                    <w:top w:val="single" w:color="000000" w:sz="8" w:space="0"/>
                    <w:left w:val="single" w:color="auto" w:sz="4" w:space="0"/>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0.31</w:t>
                  </w:r>
                </w:p>
              </w:tc>
              <w:tc>
                <w:tcPr>
                  <w:tcW w:w="992" w:type="dxa"/>
                  <w:vMerge w:val="restart"/>
                  <w:tcBorders>
                    <w:top w:val="single" w:color="auto" w:sz="4" w:space="0"/>
                    <w:left w:val="nil"/>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1次/a</w:t>
                  </w:r>
                </w:p>
              </w:tc>
              <w:tc>
                <w:tcPr>
                  <w:tcW w:w="993" w:type="dxa"/>
                  <w:vMerge w:val="restart"/>
                  <w:tcBorders>
                    <w:top w:val="single" w:color="auto" w:sz="4" w:space="0"/>
                    <w:left w:val="single" w:color="auto" w:sz="4"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10min/次</w:t>
                  </w:r>
                </w:p>
              </w:tc>
              <w:tc>
                <w:tcPr>
                  <w:tcW w:w="1486" w:type="dxa"/>
                  <w:vMerge w:val="restart"/>
                  <w:tcBorders>
                    <w:top w:val="single" w:color="auto" w:sz="4" w:space="0"/>
                    <w:left w:val="nil"/>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立即停机检修</w:t>
                  </w:r>
                </w:p>
              </w:tc>
            </w:tr>
            <w:tr>
              <w:tblPrEx>
                <w:tblCellMar>
                  <w:top w:w="0" w:type="dxa"/>
                  <w:left w:w="108" w:type="dxa"/>
                  <w:bottom w:w="0" w:type="dxa"/>
                  <w:right w:w="108" w:type="dxa"/>
                </w:tblCellMar>
              </w:tblPrEx>
              <w:trPr>
                <w:trHeight w:val="300" w:hRule="atLeast"/>
              </w:trPr>
              <w:tc>
                <w:tcPr>
                  <w:tcW w:w="681" w:type="dxa"/>
                  <w:vMerge w:val="continue"/>
                  <w:tcBorders>
                    <w:left w:val="single" w:color="000000" w:sz="8" w:space="0"/>
                    <w:bottom w:val="single" w:color="000000" w:sz="8" w:space="0"/>
                    <w:right w:val="single" w:color="000000" w:sz="8" w:space="0"/>
                  </w:tcBorders>
                  <w:shd w:val="clear" w:color="auto" w:fill="auto"/>
                  <w:vAlign w:val="center"/>
                </w:tcPr>
                <w:p>
                  <w:pPr>
                    <w:pStyle w:val="32"/>
                    <w:spacing w:line="360" w:lineRule="exact"/>
                    <w:rPr>
                      <w:color w:val="000000" w:themeColor="text1"/>
                      <w:szCs w:val="21"/>
                    </w:rPr>
                  </w:pPr>
                </w:p>
              </w:tc>
              <w:tc>
                <w:tcPr>
                  <w:tcW w:w="1002" w:type="dxa"/>
                  <w:vMerge w:val="continue"/>
                  <w:tcBorders>
                    <w:left w:val="single" w:color="000000" w:sz="8" w:space="0"/>
                    <w:bottom w:val="single" w:color="000000" w:sz="8" w:space="0"/>
                    <w:right w:val="single" w:color="000000" w:sz="8" w:space="0"/>
                  </w:tcBorders>
                  <w:shd w:val="clear" w:color="auto" w:fill="auto"/>
                  <w:vAlign w:val="center"/>
                </w:tcPr>
                <w:p>
                  <w:pPr>
                    <w:pStyle w:val="32"/>
                    <w:spacing w:line="360" w:lineRule="exact"/>
                    <w:rPr>
                      <w:color w:val="000000" w:themeColor="text1"/>
                      <w:szCs w:val="21"/>
                    </w:rPr>
                  </w:pPr>
                </w:p>
              </w:tc>
              <w:tc>
                <w:tcPr>
                  <w:tcW w:w="1173" w:type="dxa"/>
                  <w:tcBorders>
                    <w:top w:val="single" w:color="auto" w:sz="4" w:space="0"/>
                    <w:left w:val="nil"/>
                    <w:bottom w:val="single" w:color="000000" w:sz="8" w:space="0"/>
                    <w:right w:val="single" w:color="000000" w:sz="8" w:space="0"/>
                  </w:tcBorders>
                  <w:shd w:val="clear" w:color="auto" w:fill="auto"/>
                  <w:vAlign w:val="center"/>
                </w:tcPr>
                <w:p>
                  <w:pPr>
                    <w:pStyle w:val="32"/>
                    <w:spacing w:line="360" w:lineRule="exact"/>
                    <w:rPr>
                      <w:color w:val="000000" w:themeColor="text1"/>
                      <w:szCs w:val="21"/>
                    </w:rPr>
                  </w:pPr>
                  <w:r>
                    <w:rPr>
                      <w:color w:val="000000" w:themeColor="text1"/>
                      <w:szCs w:val="21"/>
                    </w:rPr>
                    <w:t>颗粒物（无组织）</w:t>
                  </w:r>
                </w:p>
              </w:tc>
              <w:tc>
                <w:tcPr>
                  <w:tcW w:w="1134" w:type="dxa"/>
                  <w:tcBorders>
                    <w:top w:val="single" w:color="000000" w:sz="8" w:space="0"/>
                    <w:left w:val="nil"/>
                    <w:bottom w:val="single" w:color="000000" w:sz="8" w:space="0"/>
                    <w:right w:val="single" w:color="auto" w:sz="4" w:space="0"/>
                  </w:tcBorders>
                  <w:shd w:val="clear" w:color="auto" w:fill="auto"/>
                  <w:vAlign w:val="center"/>
                </w:tcPr>
                <w:p>
                  <w:pPr>
                    <w:pStyle w:val="32"/>
                    <w:spacing w:line="360" w:lineRule="exact"/>
                    <w:rPr>
                      <w:color w:val="000000" w:themeColor="text1"/>
                      <w:szCs w:val="21"/>
                    </w:rPr>
                  </w:pPr>
                  <w:r>
                    <w:rPr>
                      <w:color w:val="000000" w:themeColor="text1"/>
                      <w:szCs w:val="21"/>
                    </w:rPr>
                    <w:t>--</w:t>
                  </w:r>
                </w:p>
              </w:tc>
              <w:tc>
                <w:tcPr>
                  <w:tcW w:w="1134" w:type="dxa"/>
                  <w:tcBorders>
                    <w:top w:val="single" w:color="000000" w:sz="8" w:space="0"/>
                    <w:left w:val="single" w:color="auto" w:sz="4" w:space="0"/>
                    <w:bottom w:val="single" w:color="000000" w:sz="8" w:space="0"/>
                    <w:right w:val="single" w:color="000000" w:sz="8" w:space="0"/>
                  </w:tcBorders>
                  <w:shd w:val="clear" w:color="auto" w:fill="auto"/>
                  <w:vAlign w:val="center"/>
                </w:tcPr>
                <w:p>
                  <w:pPr>
                    <w:pStyle w:val="32"/>
                    <w:spacing w:line="360" w:lineRule="exact"/>
                    <w:rPr>
                      <w:color w:val="000000" w:themeColor="text1"/>
                      <w:szCs w:val="21"/>
                    </w:rPr>
                  </w:pPr>
                  <w:r>
                    <w:rPr>
                      <w:color w:val="000000" w:themeColor="text1"/>
                      <w:szCs w:val="21"/>
                    </w:rPr>
                    <w:t>0.03</w:t>
                  </w:r>
                </w:p>
              </w:tc>
              <w:tc>
                <w:tcPr>
                  <w:tcW w:w="992" w:type="dxa"/>
                  <w:vMerge w:val="continue"/>
                  <w:tcBorders>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rPr>
                  </w:pPr>
                </w:p>
              </w:tc>
              <w:tc>
                <w:tcPr>
                  <w:tcW w:w="993" w:type="dxa"/>
                  <w:vMerge w:val="continue"/>
                  <w:tcBorders>
                    <w:left w:val="single" w:color="auto" w:sz="4" w:space="0"/>
                    <w:bottom w:val="single" w:color="auto" w:sz="4"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p>
              </w:tc>
              <w:tc>
                <w:tcPr>
                  <w:tcW w:w="1486" w:type="dxa"/>
                  <w:vMerge w:val="continue"/>
                  <w:tcBorders>
                    <w:left w:val="nil"/>
                    <w:bottom w:val="single" w:color="auto" w:sz="4"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kern w:val="0"/>
                    </w:rPr>
                  </w:pP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（6）大气环境影响分析结论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上述分析可知，项目废气主要包括砂石骨料生产线堆场扬尘、装卸扬尘、皮带输送过程扬尘、破碎筛分粉尘，以及水泥砖生产线水泥仓粉尘和搅拌混合粉尘。经各自配套的废气污染防治措施处理后，有组织和无组织颗粒物分别可达到《水泥工业大气污染物排放标准》（GB4915-2013）中有组织和无组织排放限值要求。且项目位于环境空气质量达标区，项目所在区域基本污染因子和特征污染因子环境质量现状均可达到《环境空气质量标准》（GB3095-2012）二级标准；而项目环境保护目标西北侧361m的窝子田，距离该项目较远，因此项目废气对环境保护目标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w:t>
            </w:r>
            <w:r>
              <w:rPr>
                <w:rFonts w:ascii="Times New Roman" w:hAnsi="Times New Roman" w:cs="Times New Roman"/>
                <w:b/>
                <w:color w:val="000000" w:themeColor="text1"/>
                <w:sz w:val="24"/>
              </w:rPr>
              <w:t>2</w:t>
            </w:r>
            <w:r>
              <w:rPr>
                <w:rFonts w:ascii="Times New Roman" w:hAnsi="Times New Roman" w:cs="Times New Roman"/>
                <w:b/>
                <w:color w:val="000000" w:themeColor="text1"/>
                <w:sz w:val="24"/>
                <w:szCs w:val="24"/>
              </w:rPr>
              <w:t xml:space="preserve"> 运营期</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环境影响和保护措施</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（1）废水污染源分析</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根据项目水平衡计算可知，项目供排水统计情况详见下表。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表4.2.2-1 项目废水总产排情况一览表（单位：m³/d）</w:t>
            </w:r>
          </w:p>
          <w:tbl>
            <w:tblPr>
              <w:tblStyle w:val="20"/>
              <w:tblW w:w="8619" w:type="dxa"/>
              <w:tblInd w:w="0" w:type="dxa"/>
              <w:tblLayout w:type="fixed"/>
              <w:tblCellMar>
                <w:top w:w="0" w:type="dxa"/>
                <w:left w:w="108" w:type="dxa"/>
                <w:bottom w:w="0" w:type="dxa"/>
                <w:right w:w="108" w:type="dxa"/>
              </w:tblCellMar>
            </w:tblPr>
            <w:tblGrid>
              <w:gridCol w:w="730"/>
              <w:gridCol w:w="1134"/>
              <w:gridCol w:w="1232"/>
              <w:gridCol w:w="1509"/>
              <w:gridCol w:w="961"/>
              <w:gridCol w:w="1000"/>
              <w:gridCol w:w="1141"/>
              <w:gridCol w:w="912"/>
            </w:tblGrid>
            <w:tr>
              <w:tblPrEx>
                <w:tblCellMar>
                  <w:top w:w="0" w:type="dxa"/>
                  <w:left w:w="108" w:type="dxa"/>
                  <w:bottom w:w="0" w:type="dxa"/>
                  <w:right w:w="108" w:type="dxa"/>
                </w:tblCellMar>
              </w:tblPrEx>
              <w:trPr>
                <w:trHeight w:val="125" w:hRule="atLeast"/>
              </w:trPr>
              <w:tc>
                <w:tcPr>
                  <w:tcW w:w="730" w:type="dxa"/>
                  <w:vMerge w:val="restart"/>
                  <w:tcBorders>
                    <w:top w:val="single" w:color="auto" w:sz="8" w:space="0"/>
                    <w:left w:val="single" w:color="auto" w:sz="8" w:space="0"/>
                    <w:bottom w:val="single" w:color="000000" w:sz="8" w:space="0"/>
                    <w:right w:val="single" w:color="auto" w:sz="4" w:space="0"/>
                  </w:tcBorders>
                  <w:shd w:val="clear" w:color="auto" w:fill="auto"/>
                  <w:vAlign w:val="center"/>
                </w:tcPr>
                <w:p>
                  <w:pPr>
                    <w:pStyle w:val="32"/>
                    <w:spacing w:line="360" w:lineRule="exact"/>
                    <w:rPr>
                      <w:rFonts w:eastAsiaTheme="minorEastAsia"/>
                      <w:color w:val="000000" w:themeColor="text1"/>
                      <w:szCs w:val="21"/>
                      <w:lang w:val="en-US"/>
                    </w:rPr>
                  </w:pPr>
                  <w:r>
                    <w:rPr>
                      <w:rFonts w:hint="eastAsia" w:eastAsiaTheme="minorEastAsia"/>
                      <w:color w:val="000000" w:themeColor="text1"/>
                      <w:szCs w:val="21"/>
                      <w:lang w:val="en-US"/>
                    </w:rPr>
                    <w:t>工程</w:t>
                  </w:r>
                </w:p>
              </w:tc>
              <w:tc>
                <w:tcPr>
                  <w:tcW w:w="1134" w:type="dxa"/>
                  <w:vMerge w:val="restart"/>
                  <w:tcBorders>
                    <w:top w:val="single" w:color="auto" w:sz="8" w:space="0"/>
                    <w:left w:val="single" w:color="auto" w:sz="4" w:space="0"/>
                    <w:bottom w:val="single" w:color="000000"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用水单元</w:t>
                  </w:r>
                </w:p>
              </w:tc>
              <w:tc>
                <w:tcPr>
                  <w:tcW w:w="1232"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规模</w:t>
                  </w:r>
                </w:p>
              </w:tc>
              <w:tc>
                <w:tcPr>
                  <w:tcW w:w="1509"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用水定额</w:t>
                  </w:r>
                </w:p>
              </w:tc>
              <w:tc>
                <w:tcPr>
                  <w:tcW w:w="1961" w:type="dxa"/>
                  <w:gridSpan w:val="2"/>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总用水量</w:t>
                  </w:r>
                </w:p>
              </w:tc>
              <w:tc>
                <w:tcPr>
                  <w:tcW w:w="2053" w:type="dxa"/>
                  <w:gridSpan w:val="2"/>
                  <w:tcBorders>
                    <w:top w:val="single" w:color="auto" w:sz="8" w:space="0"/>
                    <w:left w:val="nil"/>
                    <w:bottom w:val="single" w:color="auto" w:sz="8" w:space="0"/>
                    <w:right w:val="single" w:color="000000"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废水量</w:t>
                  </w:r>
                </w:p>
              </w:tc>
            </w:tr>
            <w:tr>
              <w:tblPrEx>
                <w:tblCellMar>
                  <w:top w:w="0" w:type="dxa"/>
                  <w:left w:w="108" w:type="dxa"/>
                  <w:bottom w:w="0" w:type="dxa"/>
                  <w:right w:w="108" w:type="dxa"/>
                </w:tblCellMar>
              </w:tblPrEx>
              <w:trPr>
                <w:trHeight w:val="201" w:hRule="atLeast"/>
              </w:trPr>
              <w:tc>
                <w:tcPr>
                  <w:tcW w:w="730" w:type="dxa"/>
                  <w:vMerge w:val="continue"/>
                  <w:tcBorders>
                    <w:top w:val="single" w:color="auto" w:sz="8" w:space="0"/>
                    <w:left w:val="single" w:color="auto" w:sz="8" w:space="0"/>
                    <w:bottom w:val="single" w:color="000000" w:sz="8" w:space="0"/>
                    <w:right w:val="single" w:color="auto" w:sz="4" w:space="0"/>
                  </w:tcBorders>
                  <w:vAlign w:val="center"/>
                </w:tcPr>
                <w:p>
                  <w:pPr>
                    <w:pStyle w:val="32"/>
                    <w:spacing w:line="360" w:lineRule="exact"/>
                    <w:rPr>
                      <w:rFonts w:eastAsiaTheme="minorEastAsia"/>
                      <w:color w:val="000000" w:themeColor="text1"/>
                      <w:szCs w:val="21"/>
                      <w:lang w:val="en-US"/>
                    </w:rPr>
                  </w:pPr>
                </w:p>
              </w:tc>
              <w:tc>
                <w:tcPr>
                  <w:tcW w:w="1134" w:type="dxa"/>
                  <w:vMerge w:val="continue"/>
                  <w:tcBorders>
                    <w:top w:val="single" w:color="auto" w:sz="8" w:space="0"/>
                    <w:left w:val="single" w:color="auto" w:sz="4"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p>
              </w:tc>
              <w:tc>
                <w:tcPr>
                  <w:tcW w:w="1232"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p>
              </w:tc>
              <w:tc>
                <w:tcPr>
                  <w:tcW w:w="1509" w:type="dxa"/>
                  <w:vMerge w:val="continue"/>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p>
              </w:tc>
              <w:tc>
                <w:tcPr>
                  <w:tcW w:w="96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m³/d</w:t>
                  </w:r>
                </w:p>
              </w:tc>
              <w:tc>
                <w:tcPr>
                  <w:tcW w:w="1000"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m³/a</w:t>
                  </w:r>
                </w:p>
              </w:tc>
              <w:tc>
                <w:tcPr>
                  <w:tcW w:w="114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m³/d</w:t>
                  </w:r>
                </w:p>
              </w:tc>
              <w:tc>
                <w:tcPr>
                  <w:tcW w:w="91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m³/a</w:t>
                  </w:r>
                </w:p>
              </w:tc>
            </w:tr>
            <w:tr>
              <w:tblPrEx>
                <w:tblCellMar>
                  <w:top w:w="0" w:type="dxa"/>
                  <w:left w:w="108" w:type="dxa"/>
                  <w:bottom w:w="0" w:type="dxa"/>
                  <w:right w:w="108" w:type="dxa"/>
                </w:tblCellMar>
              </w:tblPrEx>
              <w:trPr>
                <w:trHeight w:val="201" w:hRule="atLeast"/>
              </w:trPr>
              <w:tc>
                <w:tcPr>
                  <w:tcW w:w="730" w:type="dxa"/>
                  <w:vMerge w:val="restart"/>
                  <w:tcBorders>
                    <w:top w:val="single" w:color="auto" w:sz="8" w:space="0"/>
                    <w:left w:val="single" w:color="auto" w:sz="8" w:space="0"/>
                    <w:right w:val="single" w:color="auto" w:sz="4" w:space="0"/>
                  </w:tcBorders>
                  <w:vAlign w:val="center"/>
                </w:tcPr>
                <w:p>
                  <w:pPr>
                    <w:pStyle w:val="32"/>
                    <w:spacing w:line="360" w:lineRule="exact"/>
                    <w:rPr>
                      <w:rFonts w:eastAsiaTheme="minorEastAsia"/>
                      <w:color w:val="000000" w:themeColor="text1"/>
                      <w:szCs w:val="21"/>
                      <w:lang w:val="en-US"/>
                    </w:rPr>
                  </w:pPr>
                  <w:r>
                    <w:rPr>
                      <w:rFonts w:hint="eastAsia" w:eastAsiaTheme="minorEastAsia"/>
                      <w:color w:val="000000" w:themeColor="text1"/>
                      <w:szCs w:val="21"/>
                      <w:lang w:val="en-US"/>
                    </w:rPr>
                    <w:t>一期工程</w:t>
                  </w:r>
                </w:p>
              </w:tc>
              <w:tc>
                <w:tcPr>
                  <w:tcW w:w="1134" w:type="dxa"/>
                  <w:tcBorders>
                    <w:top w:val="single" w:color="auto" w:sz="8" w:space="0"/>
                    <w:left w:val="single" w:color="auto" w:sz="4"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洒水抑尘</w:t>
                  </w:r>
                </w:p>
              </w:tc>
              <w:tc>
                <w:tcPr>
                  <w:tcW w:w="1232"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w:t>
                  </w:r>
                </w:p>
              </w:tc>
              <w:tc>
                <w:tcPr>
                  <w:tcW w:w="1509"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w:t>
                  </w:r>
                </w:p>
              </w:tc>
              <w:tc>
                <w:tcPr>
                  <w:tcW w:w="96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3</w:t>
                  </w:r>
                </w:p>
              </w:tc>
              <w:tc>
                <w:tcPr>
                  <w:tcW w:w="1000"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900</w:t>
                  </w:r>
                </w:p>
              </w:tc>
              <w:tc>
                <w:tcPr>
                  <w:tcW w:w="114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0</w:t>
                  </w:r>
                </w:p>
              </w:tc>
              <w:tc>
                <w:tcPr>
                  <w:tcW w:w="91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0</w:t>
                  </w:r>
                </w:p>
              </w:tc>
            </w:tr>
            <w:tr>
              <w:tblPrEx>
                <w:tblCellMar>
                  <w:top w:w="0" w:type="dxa"/>
                  <w:left w:w="108" w:type="dxa"/>
                  <w:bottom w:w="0" w:type="dxa"/>
                  <w:right w:w="108" w:type="dxa"/>
                </w:tblCellMar>
              </w:tblPrEx>
              <w:trPr>
                <w:trHeight w:val="127" w:hRule="atLeast"/>
              </w:trPr>
              <w:tc>
                <w:tcPr>
                  <w:tcW w:w="730" w:type="dxa"/>
                  <w:vMerge w:val="continue"/>
                  <w:tcBorders>
                    <w:left w:val="single" w:color="auto" w:sz="8" w:space="0"/>
                    <w:right w:val="single" w:color="auto" w:sz="4" w:space="0"/>
                  </w:tcBorders>
                  <w:vAlign w:val="center"/>
                </w:tcPr>
                <w:p>
                  <w:pPr>
                    <w:pStyle w:val="32"/>
                    <w:spacing w:line="360" w:lineRule="exact"/>
                    <w:rPr>
                      <w:rFonts w:eastAsiaTheme="minorEastAsia"/>
                      <w:color w:val="000000" w:themeColor="text1"/>
                      <w:szCs w:val="21"/>
                      <w:lang w:val="en-US"/>
                    </w:rPr>
                  </w:pPr>
                </w:p>
              </w:tc>
              <w:tc>
                <w:tcPr>
                  <w:tcW w:w="1134" w:type="dxa"/>
                  <w:tcBorders>
                    <w:top w:val="single" w:color="auto" w:sz="8" w:space="0"/>
                    <w:left w:val="single" w:color="auto" w:sz="4" w:space="0"/>
                    <w:bottom w:val="single" w:color="auto" w:sz="4"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砂石骨料生产</w:t>
                  </w:r>
                </w:p>
              </w:tc>
              <w:tc>
                <w:tcPr>
                  <w:tcW w:w="1232"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90万t/a</w:t>
                  </w:r>
                </w:p>
              </w:tc>
              <w:tc>
                <w:tcPr>
                  <w:tcW w:w="1509"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0.225m³/（t·产品）</w:t>
                  </w:r>
                </w:p>
              </w:tc>
              <w:tc>
                <w:tcPr>
                  <w:tcW w:w="96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675</w:t>
                  </w:r>
                </w:p>
              </w:tc>
              <w:tc>
                <w:tcPr>
                  <w:tcW w:w="1000"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202500</w:t>
                  </w:r>
                </w:p>
              </w:tc>
              <w:tc>
                <w:tcPr>
                  <w:tcW w:w="114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420</w:t>
                  </w:r>
                </w:p>
              </w:tc>
              <w:tc>
                <w:tcPr>
                  <w:tcW w:w="91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126000</w:t>
                  </w:r>
                </w:p>
              </w:tc>
            </w:tr>
            <w:tr>
              <w:tblPrEx>
                <w:tblCellMar>
                  <w:top w:w="0" w:type="dxa"/>
                  <w:left w:w="108" w:type="dxa"/>
                  <w:bottom w:w="0" w:type="dxa"/>
                  <w:right w:w="108" w:type="dxa"/>
                </w:tblCellMar>
              </w:tblPrEx>
              <w:trPr>
                <w:trHeight w:val="127" w:hRule="atLeast"/>
              </w:trPr>
              <w:tc>
                <w:tcPr>
                  <w:tcW w:w="730" w:type="dxa"/>
                  <w:vMerge w:val="continue"/>
                  <w:tcBorders>
                    <w:left w:val="single" w:color="auto" w:sz="8" w:space="0"/>
                    <w:bottom w:val="single" w:color="auto" w:sz="4" w:space="0"/>
                    <w:right w:val="single" w:color="auto" w:sz="4" w:space="0"/>
                  </w:tcBorders>
                  <w:vAlign w:val="center"/>
                </w:tcPr>
                <w:p>
                  <w:pPr>
                    <w:pStyle w:val="32"/>
                    <w:spacing w:line="360" w:lineRule="exact"/>
                    <w:rPr>
                      <w:rFonts w:eastAsiaTheme="minorEastAsia"/>
                      <w:color w:val="000000" w:themeColor="text1"/>
                      <w:szCs w:val="21"/>
                      <w:lang w:val="en-US"/>
                    </w:rPr>
                  </w:pPr>
                </w:p>
              </w:tc>
              <w:tc>
                <w:tcPr>
                  <w:tcW w:w="1134" w:type="dxa"/>
                  <w:tcBorders>
                    <w:top w:val="single" w:color="auto" w:sz="8" w:space="0"/>
                    <w:left w:val="single" w:color="auto" w:sz="4" w:space="0"/>
                    <w:bottom w:val="single" w:color="auto" w:sz="4"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初期雨水</w:t>
                  </w:r>
                </w:p>
              </w:tc>
              <w:tc>
                <w:tcPr>
                  <w:tcW w:w="1232"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w:t>
                  </w:r>
                </w:p>
              </w:tc>
              <w:tc>
                <w:tcPr>
                  <w:tcW w:w="1509"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w:t>
                  </w:r>
                </w:p>
              </w:tc>
              <w:tc>
                <w:tcPr>
                  <w:tcW w:w="96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0</w:t>
                  </w:r>
                </w:p>
              </w:tc>
              <w:tc>
                <w:tcPr>
                  <w:tcW w:w="1000"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0</w:t>
                  </w:r>
                </w:p>
              </w:tc>
              <w:tc>
                <w:tcPr>
                  <w:tcW w:w="114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hint="eastAsia" w:eastAsiaTheme="minorEastAsia"/>
                      <w:color w:val="000000" w:themeColor="text1"/>
                      <w:szCs w:val="21"/>
                      <w:lang w:val="en-US"/>
                    </w:rPr>
                    <w:t>6.71</w:t>
                  </w:r>
                  <w:r>
                    <w:rPr>
                      <w:rFonts w:eastAsiaTheme="minorEastAsia"/>
                      <w:color w:val="000000" w:themeColor="text1"/>
                      <w:szCs w:val="21"/>
                      <w:lang w:val="en-US"/>
                    </w:rPr>
                    <w:t>m³/次</w:t>
                  </w:r>
                </w:p>
              </w:tc>
              <w:tc>
                <w:tcPr>
                  <w:tcW w:w="91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w:t>
                  </w:r>
                </w:p>
              </w:tc>
            </w:tr>
            <w:tr>
              <w:tblPrEx>
                <w:tblCellMar>
                  <w:top w:w="0" w:type="dxa"/>
                  <w:left w:w="108" w:type="dxa"/>
                  <w:bottom w:w="0" w:type="dxa"/>
                  <w:right w:w="108" w:type="dxa"/>
                </w:tblCellMar>
              </w:tblPrEx>
              <w:trPr>
                <w:trHeight w:val="127" w:hRule="atLeast"/>
              </w:trPr>
              <w:tc>
                <w:tcPr>
                  <w:tcW w:w="730" w:type="dxa"/>
                  <w:vMerge w:val="restart"/>
                  <w:tcBorders>
                    <w:top w:val="single" w:color="auto" w:sz="8" w:space="0"/>
                    <w:left w:val="single" w:color="auto" w:sz="8" w:space="0"/>
                    <w:right w:val="single" w:color="auto" w:sz="4" w:space="0"/>
                  </w:tcBorders>
                  <w:vAlign w:val="center"/>
                </w:tcPr>
                <w:p>
                  <w:pPr>
                    <w:pStyle w:val="32"/>
                    <w:spacing w:line="360" w:lineRule="exact"/>
                    <w:rPr>
                      <w:rFonts w:eastAsiaTheme="minorEastAsia"/>
                      <w:color w:val="000000" w:themeColor="text1"/>
                      <w:szCs w:val="21"/>
                      <w:lang w:val="en-US"/>
                    </w:rPr>
                  </w:pPr>
                  <w:r>
                    <w:rPr>
                      <w:rFonts w:hint="eastAsia" w:eastAsiaTheme="minorEastAsia"/>
                      <w:color w:val="000000" w:themeColor="text1"/>
                      <w:szCs w:val="21"/>
                      <w:lang w:val="en-US"/>
                    </w:rPr>
                    <w:t>二期工程</w:t>
                  </w:r>
                </w:p>
              </w:tc>
              <w:tc>
                <w:tcPr>
                  <w:tcW w:w="1134" w:type="dxa"/>
                  <w:tcBorders>
                    <w:top w:val="single" w:color="auto" w:sz="8" w:space="0"/>
                    <w:left w:val="single" w:color="auto" w:sz="4" w:space="0"/>
                    <w:bottom w:val="single" w:color="auto" w:sz="4"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水泥砖搅拌混合</w:t>
                  </w:r>
                </w:p>
              </w:tc>
              <w:tc>
                <w:tcPr>
                  <w:tcW w:w="1232"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水泥砖的总干重19173.7t/a</w:t>
                  </w:r>
                </w:p>
              </w:tc>
              <w:tc>
                <w:tcPr>
                  <w:tcW w:w="1509"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含水率20%</w:t>
                  </w:r>
                </w:p>
              </w:tc>
              <w:tc>
                <w:tcPr>
                  <w:tcW w:w="96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6.26</w:t>
                  </w:r>
                </w:p>
              </w:tc>
              <w:tc>
                <w:tcPr>
                  <w:tcW w:w="1000"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1876.5</w:t>
                  </w:r>
                </w:p>
              </w:tc>
              <w:tc>
                <w:tcPr>
                  <w:tcW w:w="114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0</w:t>
                  </w:r>
                </w:p>
              </w:tc>
              <w:tc>
                <w:tcPr>
                  <w:tcW w:w="91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0</w:t>
                  </w:r>
                </w:p>
              </w:tc>
            </w:tr>
            <w:tr>
              <w:tblPrEx>
                <w:tblCellMar>
                  <w:top w:w="0" w:type="dxa"/>
                  <w:left w:w="108" w:type="dxa"/>
                  <w:bottom w:w="0" w:type="dxa"/>
                  <w:right w:w="108" w:type="dxa"/>
                </w:tblCellMar>
              </w:tblPrEx>
              <w:trPr>
                <w:trHeight w:val="127" w:hRule="atLeast"/>
              </w:trPr>
              <w:tc>
                <w:tcPr>
                  <w:tcW w:w="730" w:type="dxa"/>
                  <w:vMerge w:val="continue"/>
                  <w:tcBorders>
                    <w:left w:val="single" w:color="auto" w:sz="8" w:space="0"/>
                    <w:right w:val="single" w:color="auto" w:sz="4" w:space="0"/>
                  </w:tcBorders>
                  <w:vAlign w:val="center"/>
                </w:tcPr>
                <w:p>
                  <w:pPr>
                    <w:pStyle w:val="32"/>
                    <w:spacing w:line="360" w:lineRule="exact"/>
                    <w:rPr>
                      <w:rFonts w:eastAsiaTheme="minorEastAsia"/>
                      <w:color w:val="000000" w:themeColor="text1"/>
                      <w:szCs w:val="21"/>
                      <w:lang w:val="en-US"/>
                    </w:rPr>
                  </w:pPr>
                </w:p>
              </w:tc>
              <w:tc>
                <w:tcPr>
                  <w:tcW w:w="1134" w:type="dxa"/>
                  <w:tcBorders>
                    <w:top w:val="single" w:color="auto" w:sz="8" w:space="0"/>
                    <w:left w:val="single" w:color="auto" w:sz="4" w:space="0"/>
                    <w:bottom w:val="single" w:color="auto" w:sz="4"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水泥砖养护</w:t>
                  </w:r>
                </w:p>
              </w:tc>
              <w:tc>
                <w:tcPr>
                  <w:tcW w:w="1232"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w:t>
                  </w:r>
                </w:p>
              </w:tc>
              <w:tc>
                <w:tcPr>
                  <w:tcW w:w="1509"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w:t>
                  </w:r>
                </w:p>
              </w:tc>
              <w:tc>
                <w:tcPr>
                  <w:tcW w:w="96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8</w:t>
                  </w:r>
                </w:p>
              </w:tc>
              <w:tc>
                <w:tcPr>
                  <w:tcW w:w="1000"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2400</w:t>
                  </w:r>
                </w:p>
              </w:tc>
              <w:tc>
                <w:tcPr>
                  <w:tcW w:w="114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2.3</w:t>
                  </w:r>
                </w:p>
              </w:tc>
              <w:tc>
                <w:tcPr>
                  <w:tcW w:w="91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p>
              </w:tc>
            </w:tr>
            <w:tr>
              <w:tblPrEx>
                <w:tblCellMar>
                  <w:top w:w="0" w:type="dxa"/>
                  <w:left w:w="108" w:type="dxa"/>
                  <w:bottom w:w="0" w:type="dxa"/>
                  <w:right w:w="108" w:type="dxa"/>
                </w:tblCellMar>
              </w:tblPrEx>
              <w:trPr>
                <w:trHeight w:val="127" w:hRule="atLeast"/>
              </w:trPr>
              <w:tc>
                <w:tcPr>
                  <w:tcW w:w="730" w:type="dxa"/>
                  <w:vMerge w:val="continue"/>
                  <w:tcBorders>
                    <w:left w:val="single" w:color="auto" w:sz="8" w:space="0"/>
                    <w:bottom w:val="single" w:color="auto" w:sz="4" w:space="0"/>
                    <w:right w:val="single" w:color="auto" w:sz="4" w:space="0"/>
                  </w:tcBorders>
                  <w:vAlign w:val="center"/>
                </w:tcPr>
                <w:p>
                  <w:pPr>
                    <w:pStyle w:val="32"/>
                    <w:spacing w:line="360" w:lineRule="exact"/>
                    <w:rPr>
                      <w:rFonts w:eastAsiaTheme="minorEastAsia"/>
                      <w:color w:val="000000" w:themeColor="text1"/>
                      <w:szCs w:val="21"/>
                      <w:lang w:val="en-US"/>
                    </w:rPr>
                  </w:pPr>
                </w:p>
              </w:tc>
              <w:tc>
                <w:tcPr>
                  <w:tcW w:w="1134" w:type="dxa"/>
                  <w:tcBorders>
                    <w:top w:val="single" w:color="auto" w:sz="8" w:space="0"/>
                    <w:left w:val="single" w:color="auto" w:sz="4" w:space="0"/>
                    <w:bottom w:val="single" w:color="auto" w:sz="4"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初期雨水</w:t>
                  </w:r>
                </w:p>
              </w:tc>
              <w:tc>
                <w:tcPr>
                  <w:tcW w:w="1232"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w:t>
                  </w:r>
                </w:p>
              </w:tc>
              <w:tc>
                <w:tcPr>
                  <w:tcW w:w="1509"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w:t>
                  </w:r>
                </w:p>
              </w:tc>
              <w:tc>
                <w:tcPr>
                  <w:tcW w:w="96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0</w:t>
                  </w:r>
                </w:p>
              </w:tc>
              <w:tc>
                <w:tcPr>
                  <w:tcW w:w="1000"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0</w:t>
                  </w:r>
                </w:p>
              </w:tc>
              <w:tc>
                <w:tcPr>
                  <w:tcW w:w="114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hint="eastAsia" w:eastAsiaTheme="minorEastAsia"/>
                      <w:color w:val="000000" w:themeColor="text1"/>
                      <w:szCs w:val="21"/>
                      <w:lang w:val="en-US"/>
                    </w:rPr>
                    <w:t>2.87</w:t>
                  </w:r>
                  <w:r>
                    <w:rPr>
                      <w:rFonts w:eastAsiaTheme="minorEastAsia"/>
                      <w:color w:val="000000" w:themeColor="text1"/>
                      <w:szCs w:val="21"/>
                      <w:lang w:val="en-US"/>
                    </w:rPr>
                    <w:t>m³/次</w:t>
                  </w:r>
                </w:p>
              </w:tc>
              <w:tc>
                <w:tcPr>
                  <w:tcW w:w="91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w:t>
                  </w:r>
                </w:p>
              </w:tc>
            </w:tr>
            <w:tr>
              <w:tblPrEx>
                <w:tblCellMar>
                  <w:top w:w="0" w:type="dxa"/>
                  <w:left w:w="108" w:type="dxa"/>
                  <w:bottom w:w="0" w:type="dxa"/>
                  <w:right w:w="108" w:type="dxa"/>
                </w:tblCellMar>
              </w:tblPrEx>
              <w:trPr>
                <w:trHeight w:val="137" w:hRule="atLeast"/>
              </w:trPr>
              <w:tc>
                <w:tcPr>
                  <w:tcW w:w="730" w:type="dxa"/>
                  <w:vMerge w:val="restart"/>
                  <w:tcBorders>
                    <w:top w:val="single" w:color="auto" w:sz="4" w:space="0"/>
                    <w:left w:val="single" w:color="auto" w:sz="8" w:space="0"/>
                    <w:right w:val="single" w:color="auto" w:sz="4" w:space="0"/>
                  </w:tcBorders>
                  <w:vAlign w:val="center"/>
                </w:tcPr>
                <w:p>
                  <w:pPr>
                    <w:pStyle w:val="32"/>
                    <w:spacing w:line="360" w:lineRule="exact"/>
                    <w:rPr>
                      <w:rFonts w:eastAsiaTheme="minorEastAsia"/>
                      <w:color w:val="000000" w:themeColor="text1"/>
                      <w:szCs w:val="21"/>
                      <w:lang w:val="en-US"/>
                    </w:rPr>
                  </w:pPr>
                  <w:r>
                    <w:rPr>
                      <w:rFonts w:hint="eastAsia" w:eastAsiaTheme="minorEastAsia"/>
                      <w:color w:val="000000" w:themeColor="text1"/>
                      <w:szCs w:val="21"/>
                      <w:lang w:val="en-US"/>
                    </w:rPr>
                    <w:t>厂区</w:t>
                  </w:r>
                </w:p>
              </w:tc>
              <w:tc>
                <w:tcPr>
                  <w:tcW w:w="1134" w:type="dxa"/>
                  <w:tcBorders>
                    <w:top w:val="single" w:color="auto" w:sz="4" w:space="0"/>
                    <w:left w:val="single" w:color="auto" w:sz="4" w:space="0"/>
                    <w:bottom w:val="single" w:color="auto" w:sz="4"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绿化用水</w:t>
                  </w:r>
                </w:p>
              </w:tc>
              <w:tc>
                <w:tcPr>
                  <w:tcW w:w="1232"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1500m²</w:t>
                  </w:r>
                </w:p>
              </w:tc>
              <w:tc>
                <w:tcPr>
                  <w:tcW w:w="1509" w:type="dxa"/>
                  <w:tcBorders>
                    <w:top w:val="single" w:color="auto" w:sz="8"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3L/（m²·次）</w:t>
                  </w:r>
                </w:p>
              </w:tc>
              <w:tc>
                <w:tcPr>
                  <w:tcW w:w="96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4.5</w:t>
                  </w:r>
                </w:p>
              </w:tc>
              <w:tc>
                <w:tcPr>
                  <w:tcW w:w="1000"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1147.5</w:t>
                  </w:r>
                </w:p>
              </w:tc>
              <w:tc>
                <w:tcPr>
                  <w:tcW w:w="1141"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0</w:t>
                  </w:r>
                </w:p>
              </w:tc>
              <w:tc>
                <w:tcPr>
                  <w:tcW w:w="91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0</w:t>
                  </w:r>
                </w:p>
              </w:tc>
            </w:tr>
            <w:tr>
              <w:tblPrEx>
                <w:tblCellMar>
                  <w:top w:w="0" w:type="dxa"/>
                  <w:left w:w="108" w:type="dxa"/>
                  <w:bottom w:w="0" w:type="dxa"/>
                  <w:right w:w="108" w:type="dxa"/>
                </w:tblCellMar>
              </w:tblPrEx>
              <w:trPr>
                <w:trHeight w:val="67" w:hRule="atLeast"/>
              </w:trPr>
              <w:tc>
                <w:tcPr>
                  <w:tcW w:w="730" w:type="dxa"/>
                  <w:vMerge w:val="continue"/>
                  <w:tcBorders>
                    <w:left w:val="single" w:color="auto" w:sz="8" w:space="0"/>
                    <w:bottom w:val="single" w:color="auto" w:sz="4" w:space="0"/>
                    <w:right w:val="single" w:color="auto" w:sz="4" w:space="0"/>
                  </w:tcBorders>
                  <w:shd w:val="clear" w:color="auto" w:fill="auto"/>
                  <w:vAlign w:val="center"/>
                </w:tcPr>
                <w:p>
                  <w:pPr>
                    <w:pStyle w:val="32"/>
                    <w:spacing w:line="360" w:lineRule="exact"/>
                    <w:rPr>
                      <w:rFonts w:eastAsiaTheme="minorEastAsia"/>
                      <w:color w:val="000000" w:themeColor="text1"/>
                      <w:szCs w:val="21"/>
                      <w:lang w:val="en-US"/>
                    </w:rPr>
                  </w:pPr>
                </w:p>
              </w:tc>
              <w:tc>
                <w:tcPr>
                  <w:tcW w:w="1134" w:type="dxa"/>
                  <w:tcBorders>
                    <w:top w:val="single" w:color="auto" w:sz="4" w:space="0"/>
                    <w:left w:val="single" w:color="auto" w:sz="4" w:space="0"/>
                    <w:bottom w:val="single" w:color="auto" w:sz="4"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生活用水</w:t>
                  </w:r>
                </w:p>
              </w:tc>
              <w:tc>
                <w:tcPr>
                  <w:tcW w:w="123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20人</w:t>
                  </w:r>
                </w:p>
              </w:tc>
              <w:tc>
                <w:tcPr>
                  <w:tcW w:w="1509"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FF0000"/>
                      <w:szCs w:val="21"/>
                      <w:lang w:val="en-US"/>
                    </w:rPr>
                  </w:pPr>
                  <w:r>
                    <w:rPr>
                      <w:rFonts w:hint="eastAsia" w:eastAsiaTheme="minorEastAsia"/>
                      <w:color w:val="FF0000"/>
                      <w:szCs w:val="21"/>
                      <w:lang w:val="en-US"/>
                    </w:rPr>
                    <w:t>6</w:t>
                  </w:r>
                  <w:r>
                    <w:rPr>
                      <w:rFonts w:eastAsiaTheme="minorEastAsia"/>
                      <w:color w:val="FF0000"/>
                      <w:szCs w:val="21"/>
                      <w:lang w:val="en-US"/>
                    </w:rPr>
                    <w:t>0L/d·人</w:t>
                  </w:r>
                </w:p>
              </w:tc>
              <w:tc>
                <w:tcPr>
                  <w:tcW w:w="961" w:type="dxa"/>
                  <w:tcBorders>
                    <w:top w:val="nil"/>
                    <w:left w:val="nil"/>
                    <w:bottom w:val="single" w:color="auto" w:sz="4" w:space="0"/>
                    <w:right w:val="single" w:color="auto" w:sz="8" w:space="0"/>
                  </w:tcBorders>
                  <w:shd w:val="clear" w:color="auto" w:fill="auto"/>
                  <w:vAlign w:val="center"/>
                </w:tcPr>
                <w:p>
                  <w:pPr>
                    <w:pStyle w:val="32"/>
                    <w:spacing w:line="360" w:lineRule="exact"/>
                    <w:rPr>
                      <w:rFonts w:eastAsiaTheme="minorEastAsia"/>
                      <w:color w:val="FF0000"/>
                      <w:szCs w:val="21"/>
                      <w:lang w:val="en-US"/>
                    </w:rPr>
                  </w:pPr>
                  <w:r>
                    <w:rPr>
                      <w:rFonts w:hint="eastAsia" w:eastAsiaTheme="minorEastAsia"/>
                      <w:color w:val="FF0000"/>
                      <w:szCs w:val="21"/>
                      <w:lang w:val="en-US"/>
                    </w:rPr>
                    <w:t>1.2</w:t>
                  </w:r>
                </w:p>
              </w:tc>
              <w:tc>
                <w:tcPr>
                  <w:tcW w:w="1000" w:type="dxa"/>
                  <w:tcBorders>
                    <w:top w:val="nil"/>
                    <w:left w:val="nil"/>
                    <w:bottom w:val="single" w:color="auto" w:sz="4" w:space="0"/>
                    <w:right w:val="single" w:color="auto" w:sz="8" w:space="0"/>
                  </w:tcBorders>
                  <w:shd w:val="clear" w:color="auto" w:fill="auto"/>
                  <w:vAlign w:val="center"/>
                </w:tcPr>
                <w:p>
                  <w:pPr>
                    <w:pStyle w:val="32"/>
                    <w:spacing w:line="360" w:lineRule="exact"/>
                    <w:rPr>
                      <w:rFonts w:eastAsiaTheme="minorEastAsia"/>
                      <w:color w:val="FF0000"/>
                      <w:szCs w:val="21"/>
                      <w:lang w:val="en-US"/>
                    </w:rPr>
                  </w:pPr>
                  <w:r>
                    <w:rPr>
                      <w:rFonts w:hint="eastAsia" w:eastAsiaTheme="minorEastAsia"/>
                      <w:color w:val="FF0000"/>
                      <w:szCs w:val="21"/>
                      <w:lang w:val="en-US"/>
                    </w:rPr>
                    <w:t>360</w:t>
                  </w:r>
                </w:p>
              </w:tc>
              <w:tc>
                <w:tcPr>
                  <w:tcW w:w="1141" w:type="dxa"/>
                  <w:tcBorders>
                    <w:top w:val="nil"/>
                    <w:left w:val="nil"/>
                    <w:bottom w:val="single" w:color="auto" w:sz="4" w:space="0"/>
                    <w:right w:val="single" w:color="auto" w:sz="8" w:space="0"/>
                  </w:tcBorders>
                  <w:shd w:val="clear" w:color="auto" w:fill="auto"/>
                  <w:vAlign w:val="center"/>
                </w:tcPr>
                <w:p>
                  <w:pPr>
                    <w:pStyle w:val="32"/>
                    <w:spacing w:line="360" w:lineRule="exact"/>
                    <w:rPr>
                      <w:rFonts w:eastAsiaTheme="minorEastAsia"/>
                      <w:color w:val="FF0000"/>
                      <w:szCs w:val="21"/>
                      <w:lang w:val="en-US"/>
                    </w:rPr>
                  </w:pPr>
                  <w:r>
                    <w:rPr>
                      <w:rFonts w:hint="eastAsia" w:eastAsiaTheme="minorEastAsia"/>
                      <w:color w:val="FF0000"/>
                      <w:szCs w:val="21"/>
                      <w:lang w:val="en-US"/>
                    </w:rPr>
                    <w:t>0.96</w:t>
                  </w:r>
                </w:p>
              </w:tc>
              <w:tc>
                <w:tcPr>
                  <w:tcW w:w="912" w:type="dxa"/>
                  <w:tcBorders>
                    <w:top w:val="nil"/>
                    <w:left w:val="nil"/>
                    <w:bottom w:val="single" w:color="auto" w:sz="4" w:space="0"/>
                    <w:right w:val="single" w:color="auto" w:sz="8" w:space="0"/>
                  </w:tcBorders>
                  <w:shd w:val="clear" w:color="auto" w:fill="auto"/>
                  <w:vAlign w:val="center"/>
                </w:tcPr>
                <w:p>
                  <w:pPr>
                    <w:pStyle w:val="32"/>
                    <w:spacing w:line="360" w:lineRule="exact"/>
                    <w:rPr>
                      <w:rFonts w:eastAsiaTheme="minorEastAsia"/>
                      <w:color w:val="FF0000"/>
                      <w:szCs w:val="21"/>
                      <w:lang w:val="en-US"/>
                    </w:rPr>
                  </w:pPr>
                  <w:r>
                    <w:rPr>
                      <w:rFonts w:hint="eastAsia" w:eastAsiaTheme="minorEastAsia"/>
                      <w:color w:val="FF0000"/>
                      <w:szCs w:val="21"/>
                      <w:lang w:val="en-US"/>
                    </w:rPr>
                    <w:t>288</w:t>
                  </w:r>
                </w:p>
              </w:tc>
            </w:tr>
            <w:tr>
              <w:tblPrEx>
                <w:tblCellMar>
                  <w:top w:w="0" w:type="dxa"/>
                  <w:left w:w="108" w:type="dxa"/>
                  <w:bottom w:w="0" w:type="dxa"/>
                  <w:right w:w="108" w:type="dxa"/>
                </w:tblCellMar>
              </w:tblPrEx>
              <w:trPr>
                <w:trHeight w:val="67" w:hRule="atLeast"/>
              </w:trPr>
              <w:tc>
                <w:tcPr>
                  <w:tcW w:w="4605" w:type="dxa"/>
                  <w:gridSpan w:val="4"/>
                  <w:tcBorders>
                    <w:left w:val="single" w:color="auto" w:sz="8" w:space="0"/>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lang w:val="en-US"/>
                    </w:rPr>
                  </w:pPr>
                  <w:r>
                    <w:rPr>
                      <w:rFonts w:eastAsiaTheme="minorEastAsia"/>
                      <w:color w:val="000000" w:themeColor="text1"/>
                      <w:szCs w:val="21"/>
                      <w:lang w:val="en-US"/>
                    </w:rPr>
                    <w:t>合计</w:t>
                  </w:r>
                </w:p>
              </w:tc>
              <w:tc>
                <w:tcPr>
                  <w:tcW w:w="961" w:type="dxa"/>
                  <w:tcBorders>
                    <w:top w:val="single" w:color="auto" w:sz="4" w:space="0"/>
                    <w:left w:val="nil"/>
                    <w:bottom w:val="single" w:color="auto" w:sz="8" w:space="0"/>
                    <w:right w:val="single" w:color="auto" w:sz="8" w:space="0"/>
                  </w:tcBorders>
                  <w:shd w:val="clear" w:color="auto" w:fill="auto"/>
                  <w:vAlign w:val="bottom"/>
                </w:tcPr>
                <w:p>
                  <w:pPr>
                    <w:pStyle w:val="32"/>
                    <w:spacing w:line="360" w:lineRule="exact"/>
                    <w:rPr>
                      <w:rFonts w:eastAsiaTheme="minorEastAsia"/>
                      <w:color w:val="FF0000"/>
                      <w:szCs w:val="21"/>
                      <w:lang w:val="en-US"/>
                    </w:rPr>
                  </w:pPr>
                  <w:r>
                    <w:rPr>
                      <w:rFonts w:eastAsiaTheme="minorEastAsia"/>
                      <w:color w:val="FF0000"/>
                      <w:szCs w:val="21"/>
                      <w:lang w:val="en-US"/>
                    </w:rPr>
                    <w:t>697.96</w:t>
                  </w:r>
                </w:p>
              </w:tc>
              <w:tc>
                <w:tcPr>
                  <w:tcW w:w="1000" w:type="dxa"/>
                  <w:tcBorders>
                    <w:top w:val="single" w:color="auto" w:sz="4" w:space="0"/>
                    <w:left w:val="nil"/>
                    <w:bottom w:val="single" w:color="auto" w:sz="8" w:space="0"/>
                    <w:right w:val="single" w:color="auto" w:sz="8" w:space="0"/>
                  </w:tcBorders>
                  <w:shd w:val="clear" w:color="auto" w:fill="auto"/>
                  <w:vAlign w:val="bottom"/>
                </w:tcPr>
                <w:p>
                  <w:pPr>
                    <w:pStyle w:val="32"/>
                    <w:spacing w:line="360" w:lineRule="exact"/>
                    <w:rPr>
                      <w:rFonts w:eastAsiaTheme="minorEastAsia"/>
                      <w:color w:val="FF0000"/>
                      <w:szCs w:val="21"/>
                      <w:lang w:val="en-US"/>
                    </w:rPr>
                  </w:pPr>
                  <w:r>
                    <w:rPr>
                      <w:rFonts w:eastAsiaTheme="minorEastAsia"/>
                      <w:color w:val="FF0000"/>
                      <w:szCs w:val="21"/>
                      <w:lang w:val="en-US"/>
                    </w:rPr>
                    <w:t>209184</w:t>
                  </w:r>
                </w:p>
              </w:tc>
              <w:tc>
                <w:tcPr>
                  <w:tcW w:w="1141" w:type="dxa"/>
                  <w:tcBorders>
                    <w:top w:val="single" w:color="auto" w:sz="4" w:space="0"/>
                    <w:left w:val="nil"/>
                    <w:bottom w:val="single" w:color="auto" w:sz="8" w:space="0"/>
                    <w:right w:val="single" w:color="auto" w:sz="8" w:space="0"/>
                  </w:tcBorders>
                  <w:shd w:val="clear" w:color="auto" w:fill="auto"/>
                  <w:vAlign w:val="bottom"/>
                </w:tcPr>
                <w:p>
                  <w:pPr>
                    <w:pStyle w:val="32"/>
                    <w:spacing w:line="360" w:lineRule="exact"/>
                    <w:rPr>
                      <w:rFonts w:eastAsiaTheme="minorEastAsia"/>
                      <w:color w:val="FF0000"/>
                      <w:szCs w:val="21"/>
                      <w:lang w:val="en-US"/>
                    </w:rPr>
                  </w:pPr>
                  <w:r>
                    <w:rPr>
                      <w:rFonts w:eastAsiaTheme="minorEastAsia"/>
                      <w:color w:val="FF0000"/>
                      <w:szCs w:val="21"/>
                      <w:lang w:val="en-US"/>
                    </w:rPr>
                    <w:t>423.26</w:t>
                  </w:r>
                </w:p>
              </w:tc>
              <w:tc>
                <w:tcPr>
                  <w:tcW w:w="912" w:type="dxa"/>
                  <w:tcBorders>
                    <w:top w:val="single" w:color="auto" w:sz="4" w:space="0"/>
                    <w:left w:val="nil"/>
                    <w:bottom w:val="single" w:color="auto" w:sz="8" w:space="0"/>
                    <w:right w:val="single" w:color="auto" w:sz="8" w:space="0"/>
                  </w:tcBorders>
                  <w:shd w:val="clear" w:color="auto" w:fill="auto"/>
                  <w:vAlign w:val="bottom"/>
                </w:tcPr>
                <w:p>
                  <w:pPr>
                    <w:pStyle w:val="32"/>
                    <w:spacing w:line="360" w:lineRule="exact"/>
                    <w:rPr>
                      <w:rFonts w:eastAsiaTheme="minorEastAsia"/>
                      <w:color w:val="FF0000"/>
                      <w:szCs w:val="21"/>
                      <w:lang w:val="en-US"/>
                    </w:rPr>
                  </w:pPr>
                  <w:r>
                    <w:rPr>
                      <w:rFonts w:eastAsiaTheme="minorEastAsia"/>
                      <w:color w:val="FF0000"/>
                      <w:szCs w:val="21"/>
                      <w:lang w:val="en-US"/>
                    </w:rPr>
                    <w:t>126288</w:t>
                  </w:r>
                </w:p>
              </w:tc>
            </w:tr>
            <w:tr>
              <w:tblPrEx>
                <w:tblCellMar>
                  <w:top w:w="0" w:type="dxa"/>
                  <w:left w:w="108" w:type="dxa"/>
                  <w:bottom w:w="0" w:type="dxa"/>
                  <w:right w:w="108" w:type="dxa"/>
                </w:tblCellMar>
              </w:tblPrEx>
              <w:trPr>
                <w:trHeight w:val="67" w:hRule="atLeast"/>
              </w:trPr>
              <w:tc>
                <w:tcPr>
                  <w:tcW w:w="8619" w:type="dxa"/>
                  <w:gridSpan w:val="8"/>
                  <w:tcBorders>
                    <w:left w:val="single" w:color="auto" w:sz="8" w:space="0"/>
                    <w:bottom w:val="single" w:color="auto" w:sz="8" w:space="0"/>
                    <w:right w:val="single" w:color="auto" w:sz="8" w:space="0"/>
                  </w:tcBorders>
                  <w:shd w:val="clear" w:color="auto" w:fill="auto"/>
                  <w:vAlign w:val="center"/>
                </w:tcPr>
                <w:p>
                  <w:pPr>
                    <w:pStyle w:val="32"/>
                    <w:spacing w:line="360" w:lineRule="exact"/>
                    <w:ind w:firstLine="210" w:firstLineChars="100"/>
                    <w:jc w:val="left"/>
                    <w:rPr>
                      <w:rFonts w:eastAsiaTheme="minorEastAsia"/>
                      <w:color w:val="000000" w:themeColor="text1"/>
                      <w:szCs w:val="21"/>
                      <w:lang w:val="en-US"/>
                    </w:rPr>
                  </w:pPr>
                  <w:r>
                    <w:rPr>
                      <w:color w:val="000000" w:themeColor="text1"/>
                      <w:kern w:val="0"/>
                    </w:rPr>
                    <w:t>备注：初期雨水具有偶然性，不纳入总量统计。</w:t>
                  </w:r>
                </w:p>
              </w:tc>
            </w:tr>
          </w:tbl>
          <w:p>
            <w:pPr>
              <w:spacing w:beforeLines="50"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由上表可知，该项目分期建设，但生活污水配套的废水处理设施在一期全部建成，为分析废水处理设施相关的可行性，则单独统一对生活污水进行分析。</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污染物排放源及达标性分析</w:t>
            </w:r>
          </w:p>
          <w:p>
            <w:pPr>
              <w:spacing w:line="360" w:lineRule="auto"/>
              <w:ind w:firstLine="482" w:firstLineChars="200"/>
              <w:rPr>
                <w:rFonts w:ascii="Times New Roman" w:hAnsi="Times New Roman" w:cs="Times New Roman"/>
                <w:b/>
                <w:color w:val="000000" w:themeColor="text1"/>
                <w:sz w:val="24"/>
              </w:rPr>
            </w:pPr>
            <w:r>
              <w:rPr>
                <w:rFonts w:ascii="宋体" w:hAnsi="Times New Roman" w:eastAsia="宋体" w:cs="Times New Roman"/>
                <w:b/>
                <w:color w:val="000000" w:themeColor="text1"/>
                <w:sz w:val="24"/>
              </w:rPr>
              <w:t>①</w:t>
            </w:r>
            <w:r>
              <w:rPr>
                <w:rFonts w:ascii="Times New Roman" w:hAnsi="Times New Roman" w:cs="Times New Roman"/>
                <w:b/>
                <w:color w:val="000000" w:themeColor="text1"/>
                <w:sz w:val="24"/>
              </w:rPr>
              <w:t>废水污染物治理措施及排放方式</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项目废水污染物排放源的治理措施及排放方式如下表所示。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 xml:space="preserve">4.2.2-2 </w:t>
            </w:r>
            <w:r>
              <w:rPr>
                <w:rFonts w:ascii="Times New Roman" w:hAnsi="Times New Roman" w:cs="Times New Roman"/>
                <w:b/>
                <w:color w:val="000000" w:themeColor="text1"/>
              </w:rPr>
              <w:t>废水</w:t>
            </w:r>
            <w:r>
              <w:rPr>
                <w:rFonts w:ascii="Times New Roman" w:hAnsi="Times New Roman" w:cs="Times New Roman"/>
                <w:b/>
                <w:color w:val="000000" w:themeColor="text1"/>
                <w:szCs w:val="24"/>
              </w:rPr>
              <w:t>污染物治理措施及排放方式一览表</w:t>
            </w:r>
          </w:p>
          <w:tbl>
            <w:tblPr>
              <w:tblStyle w:val="2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65"/>
              <w:gridCol w:w="737"/>
              <w:gridCol w:w="709"/>
              <w:gridCol w:w="1275"/>
              <w:gridCol w:w="3686"/>
              <w:gridCol w:w="850"/>
              <w:gridCol w:w="78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5" w:type="dxa"/>
                  <w:tcBorders>
                    <w:right w:val="single" w:color="auto" w:sz="4"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工程</w:t>
                  </w:r>
                </w:p>
              </w:tc>
              <w:tc>
                <w:tcPr>
                  <w:tcW w:w="737" w:type="dxa"/>
                  <w:tcBorders>
                    <w:lef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产排污环节</w:t>
                  </w:r>
                </w:p>
              </w:tc>
              <w:tc>
                <w:tcPr>
                  <w:tcW w:w="70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类别</w:t>
                  </w:r>
                </w:p>
              </w:tc>
              <w:tc>
                <w:tcPr>
                  <w:tcW w:w="12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污染物种类</w:t>
                  </w:r>
                </w:p>
              </w:tc>
              <w:tc>
                <w:tcPr>
                  <w:tcW w:w="368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治理设施、效率及去向</w:t>
                  </w:r>
                </w:p>
              </w:tc>
              <w:tc>
                <w:tcPr>
                  <w:tcW w:w="850"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排放形式及规律</w:t>
                  </w:r>
                </w:p>
              </w:tc>
              <w:tc>
                <w:tcPr>
                  <w:tcW w:w="783"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排放口基本情况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91" w:hRule="atLeast"/>
              </w:trPr>
              <w:tc>
                <w:tcPr>
                  <w:tcW w:w="565" w:type="dxa"/>
                  <w:vMerge w:val="restart"/>
                  <w:tcBorders>
                    <w:right w:val="single" w:color="auto" w:sz="4"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一期工程</w:t>
                  </w:r>
                </w:p>
              </w:tc>
              <w:tc>
                <w:tcPr>
                  <w:tcW w:w="737" w:type="dxa"/>
                  <w:vMerge w:val="restart"/>
                  <w:tcBorders>
                    <w:left w:val="single" w:color="auto" w:sz="4"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砂石骨料</w:t>
                  </w:r>
                  <w:r>
                    <w:rPr>
                      <w:rFonts w:eastAsiaTheme="minorEastAsia"/>
                      <w:color w:val="000000" w:themeColor="text1"/>
                      <w:szCs w:val="21"/>
                    </w:rPr>
                    <w:t>生产</w:t>
                  </w:r>
                </w:p>
              </w:tc>
              <w:tc>
                <w:tcPr>
                  <w:tcW w:w="709" w:type="dxa"/>
                  <w:vMerge w:val="restart"/>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砂石骨料</w:t>
                  </w:r>
                  <w:r>
                    <w:rPr>
                      <w:rFonts w:eastAsiaTheme="minorEastAsia"/>
                      <w:color w:val="000000" w:themeColor="text1"/>
                      <w:szCs w:val="21"/>
                    </w:rPr>
                    <w:t>生产</w:t>
                  </w:r>
                  <w:r>
                    <w:rPr>
                      <w:rFonts w:hint="eastAsia" w:eastAsiaTheme="minorEastAsia"/>
                      <w:color w:val="000000" w:themeColor="text1"/>
                      <w:szCs w:val="21"/>
                    </w:rPr>
                    <w:t>废水</w:t>
                  </w:r>
                </w:p>
              </w:tc>
              <w:tc>
                <w:tcPr>
                  <w:tcW w:w="1275"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CODcr</w:t>
                  </w:r>
                </w:p>
              </w:tc>
              <w:tc>
                <w:tcPr>
                  <w:tcW w:w="3686" w:type="dxa"/>
                  <w:vMerge w:val="restart"/>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针对项目砂石骨料生产废水，</w:t>
                  </w:r>
                  <w:r>
                    <w:rPr>
                      <w:color w:val="000000" w:themeColor="text1"/>
                      <w:szCs w:val="21"/>
                    </w:rPr>
                    <w:t>项目拟设置</w:t>
                  </w:r>
                  <w:r>
                    <w:rPr>
                      <w:rFonts w:hint="eastAsia"/>
                      <w:color w:val="000000" w:themeColor="text1"/>
                      <w:szCs w:val="21"/>
                    </w:rPr>
                    <w:t>1</w:t>
                  </w:r>
                  <w:r>
                    <w:rPr>
                      <w:color w:val="000000" w:themeColor="text1"/>
                      <w:szCs w:val="21"/>
                    </w:rPr>
                    <w:t>套砂石骨料生产废水处理系统对生产废水进行处理，</w:t>
                  </w:r>
                  <w:r>
                    <w:rPr>
                      <w:color w:val="FF0000"/>
                      <w:szCs w:val="21"/>
                    </w:rPr>
                    <w:t>该系统由1组有效容积为60m³的三级沉淀池、1个10m³回水池和回水管道组成。</w:t>
                  </w:r>
                  <w:r>
                    <w:rPr>
                      <w:color w:val="000000" w:themeColor="text1"/>
                      <w:szCs w:val="21"/>
                    </w:rPr>
                    <w:t>砂石骨料生产废水主要污染物为CODcr、SS和石油类，首先进入三级沉淀池进行沉淀，沉淀后，约90%的上层清水进入回水池回用于骨料生产系统，而三级沉淀池产生的的含水污泥则进入</w:t>
                  </w:r>
                  <w:r>
                    <w:rPr>
                      <w:rFonts w:hint="eastAsia"/>
                      <w:color w:val="000000" w:themeColor="text1"/>
                      <w:szCs w:val="21"/>
                    </w:rPr>
                    <w:t>建设单位建设的</w:t>
                  </w:r>
                  <w:r>
                    <w:rPr>
                      <w:color w:val="000000" w:themeColor="text1"/>
                      <w:szCs w:val="21"/>
                    </w:rPr>
                    <w:t>昆明市东川金水矿业有限责任公司牛厂坪尾矿充填环境综合治理项目</w:t>
                  </w:r>
                  <w:r>
                    <w:rPr>
                      <w:rFonts w:hint="eastAsia"/>
                      <w:color w:val="000000" w:themeColor="text1"/>
                      <w:szCs w:val="21"/>
                    </w:rPr>
                    <w:t>进行井下充填处理。</w:t>
                  </w:r>
                </w:p>
              </w:tc>
              <w:tc>
                <w:tcPr>
                  <w:tcW w:w="850" w:type="dxa"/>
                  <w:vMerge w:val="restart"/>
                  <w:vAlign w:val="center"/>
                </w:tcPr>
                <w:p>
                  <w:pPr>
                    <w:spacing w:line="360" w:lineRule="exact"/>
                    <w:ind w:firstLine="105" w:firstLineChars="50"/>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废水不外排、含水污泥委托处置</w:t>
                  </w:r>
                </w:p>
              </w:tc>
              <w:tc>
                <w:tcPr>
                  <w:tcW w:w="783" w:type="dxa"/>
                  <w:vMerge w:val="restar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97" w:hRule="atLeast"/>
              </w:trPr>
              <w:tc>
                <w:tcPr>
                  <w:tcW w:w="565" w:type="dxa"/>
                  <w:vMerge w:val="continue"/>
                  <w:tcBorders>
                    <w:right w:val="single" w:color="auto" w:sz="4" w:space="0"/>
                  </w:tcBorders>
                  <w:vAlign w:val="center"/>
                </w:tcPr>
                <w:p>
                  <w:pPr>
                    <w:pStyle w:val="32"/>
                    <w:spacing w:line="360" w:lineRule="exact"/>
                    <w:rPr>
                      <w:rFonts w:eastAsiaTheme="minorEastAsia"/>
                      <w:color w:val="000000" w:themeColor="text1"/>
                      <w:szCs w:val="21"/>
                    </w:rPr>
                  </w:pPr>
                </w:p>
              </w:tc>
              <w:tc>
                <w:tcPr>
                  <w:tcW w:w="737" w:type="dxa"/>
                  <w:vMerge w:val="continue"/>
                  <w:tcBorders>
                    <w:left w:val="single" w:color="auto" w:sz="4" w:space="0"/>
                  </w:tcBorders>
                  <w:vAlign w:val="center"/>
                </w:tcPr>
                <w:p>
                  <w:pPr>
                    <w:pStyle w:val="32"/>
                    <w:spacing w:line="360" w:lineRule="exact"/>
                    <w:rPr>
                      <w:rFonts w:eastAsiaTheme="minorEastAsia"/>
                      <w:color w:val="000000" w:themeColor="text1"/>
                      <w:szCs w:val="21"/>
                    </w:rPr>
                  </w:pPr>
                </w:p>
              </w:tc>
              <w:tc>
                <w:tcPr>
                  <w:tcW w:w="709" w:type="dxa"/>
                  <w:vMerge w:val="continue"/>
                  <w:vAlign w:val="center"/>
                </w:tcPr>
                <w:p>
                  <w:pPr>
                    <w:pStyle w:val="32"/>
                    <w:spacing w:line="360" w:lineRule="exact"/>
                    <w:rPr>
                      <w:rFonts w:eastAsiaTheme="minorEastAsia"/>
                      <w:color w:val="000000" w:themeColor="text1"/>
                      <w:szCs w:val="21"/>
                    </w:rPr>
                  </w:pPr>
                </w:p>
              </w:tc>
              <w:tc>
                <w:tcPr>
                  <w:tcW w:w="1275"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SS</w:t>
                  </w:r>
                </w:p>
              </w:tc>
              <w:tc>
                <w:tcPr>
                  <w:tcW w:w="3686" w:type="dxa"/>
                  <w:vMerge w:val="continue"/>
                  <w:vAlign w:val="center"/>
                </w:tcPr>
                <w:p>
                  <w:pPr>
                    <w:pStyle w:val="32"/>
                    <w:spacing w:line="360" w:lineRule="exact"/>
                    <w:ind w:firstLine="210" w:firstLineChars="100"/>
                    <w:jc w:val="both"/>
                    <w:rPr>
                      <w:color w:val="000000" w:themeColor="text1"/>
                      <w:szCs w:val="21"/>
                    </w:rPr>
                  </w:pPr>
                </w:p>
              </w:tc>
              <w:tc>
                <w:tcPr>
                  <w:tcW w:w="850"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8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5" w:type="dxa"/>
                  <w:vMerge w:val="continue"/>
                  <w:tcBorders>
                    <w:right w:val="single" w:color="auto" w:sz="4" w:space="0"/>
                  </w:tcBorders>
                  <w:vAlign w:val="center"/>
                </w:tcPr>
                <w:p>
                  <w:pPr>
                    <w:pStyle w:val="32"/>
                    <w:spacing w:line="360" w:lineRule="exact"/>
                    <w:rPr>
                      <w:rFonts w:eastAsiaTheme="minorEastAsia"/>
                      <w:color w:val="000000" w:themeColor="text1"/>
                      <w:szCs w:val="21"/>
                    </w:rPr>
                  </w:pPr>
                </w:p>
              </w:tc>
              <w:tc>
                <w:tcPr>
                  <w:tcW w:w="737" w:type="dxa"/>
                  <w:vMerge w:val="continue"/>
                  <w:tcBorders>
                    <w:left w:val="single" w:color="auto" w:sz="4" w:space="0"/>
                  </w:tcBorders>
                  <w:vAlign w:val="center"/>
                </w:tcPr>
                <w:p>
                  <w:pPr>
                    <w:pStyle w:val="32"/>
                    <w:spacing w:line="360" w:lineRule="exact"/>
                    <w:rPr>
                      <w:rFonts w:eastAsiaTheme="minorEastAsia"/>
                      <w:color w:val="000000" w:themeColor="text1"/>
                      <w:szCs w:val="21"/>
                    </w:rPr>
                  </w:pPr>
                </w:p>
              </w:tc>
              <w:tc>
                <w:tcPr>
                  <w:tcW w:w="709" w:type="dxa"/>
                  <w:vMerge w:val="continue"/>
                  <w:vAlign w:val="center"/>
                </w:tcPr>
                <w:p>
                  <w:pPr>
                    <w:pStyle w:val="32"/>
                    <w:spacing w:line="360" w:lineRule="exact"/>
                    <w:rPr>
                      <w:rFonts w:eastAsiaTheme="minorEastAsia"/>
                      <w:color w:val="000000" w:themeColor="text1"/>
                      <w:szCs w:val="21"/>
                    </w:rPr>
                  </w:pPr>
                </w:p>
              </w:tc>
              <w:tc>
                <w:tcPr>
                  <w:tcW w:w="1275"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石油类</w:t>
                  </w:r>
                </w:p>
              </w:tc>
              <w:tc>
                <w:tcPr>
                  <w:tcW w:w="3686" w:type="dxa"/>
                  <w:vMerge w:val="continue"/>
                  <w:vAlign w:val="center"/>
                </w:tcPr>
                <w:p>
                  <w:pPr>
                    <w:pStyle w:val="32"/>
                    <w:spacing w:line="360" w:lineRule="exact"/>
                    <w:ind w:firstLine="210" w:firstLineChars="100"/>
                    <w:jc w:val="both"/>
                    <w:rPr>
                      <w:color w:val="000000" w:themeColor="text1"/>
                      <w:szCs w:val="21"/>
                    </w:rPr>
                  </w:pPr>
                </w:p>
              </w:tc>
              <w:tc>
                <w:tcPr>
                  <w:tcW w:w="850"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8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5" w:type="dxa"/>
                  <w:vMerge w:val="continue"/>
                  <w:tcBorders>
                    <w:right w:val="single" w:color="auto" w:sz="4" w:space="0"/>
                  </w:tcBorders>
                  <w:vAlign w:val="center"/>
                </w:tcPr>
                <w:p>
                  <w:pPr>
                    <w:pStyle w:val="32"/>
                    <w:spacing w:line="360" w:lineRule="exact"/>
                    <w:rPr>
                      <w:rFonts w:eastAsiaTheme="minorEastAsia"/>
                      <w:color w:val="000000" w:themeColor="text1"/>
                      <w:szCs w:val="21"/>
                    </w:rPr>
                  </w:pPr>
                </w:p>
              </w:tc>
              <w:tc>
                <w:tcPr>
                  <w:tcW w:w="737" w:type="dxa"/>
                  <w:tcBorders>
                    <w:left w:val="single" w:color="auto" w:sz="4"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厂区一期</w:t>
                  </w:r>
                  <w:r>
                    <w:rPr>
                      <w:rFonts w:eastAsiaTheme="minorEastAsia"/>
                      <w:color w:val="000000" w:themeColor="text1"/>
                      <w:szCs w:val="21"/>
                    </w:rPr>
                    <w:t>范围</w:t>
                  </w:r>
                </w:p>
              </w:tc>
              <w:tc>
                <w:tcPr>
                  <w:tcW w:w="70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初期雨水</w:t>
                  </w:r>
                </w:p>
              </w:tc>
              <w:tc>
                <w:tcPr>
                  <w:tcW w:w="12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SS</w:t>
                  </w:r>
                </w:p>
              </w:tc>
              <w:tc>
                <w:tcPr>
                  <w:tcW w:w="3686"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一期工程拟配套设置1个有效容积为9m³的初期雨水收集池对厂区一期工程范围初期雨水进行收集；收集后用于该项目生产，不外排。</w:t>
                  </w:r>
                </w:p>
              </w:tc>
              <w:tc>
                <w:tcPr>
                  <w:tcW w:w="850"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不外排</w:t>
                  </w:r>
                </w:p>
              </w:tc>
              <w:tc>
                <w:tcPr>
                  <w:tcW w:w="783"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5" w:type="dxa"/>
                  <w:vMerge w:val="restart"/>
                  <w:tcBorders>
                    <w:right w:val="single" w:color="auto" w:sz="4"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二期工程</w:t>
                  </w:r>
                </w:p>
              </w:tc>
              <w:tc>
                <w:tcPr>
                  <w:tcW w:w="737" w:type="dxa"/>
                  <w:tcBorders>
                    <w:left w:val="single" w:color="auto" w:sz="4"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水泥砖养护</w:t>
                  </w:r>
                </w:p>
              </w:tc>
              <w:tc>
                <w:tcPr>
                  <w:tcW w:w="709"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水泥砖养护废水</w:t>
                  </w:r>
                </w:p>
              </w:tc>
              <w:tc>
                <w:tcPr>
                  <w:tcW w:w="1275"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SS</w:t>
                  </w:r>
                </w:p>
              </w:tc>
              <w:tc>
                <w:tcPr>
                  <w:tcW w:w="3686"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项目拟设置1个有效容积为6</w:t>
                  </w:r>
                  <w:r>
                    <w:rPr>
                      <w:color w:val="000000" w:themeColor="text1"/>
                      <w:szCs w:val="21"/>
                    </w:rPr>
                    <w:t>m³</w:t>
                  </w:r>
                  <w:r>
                    <w:rPr>
                      <w:rFonts w:hint="eastAsia"/>
                      <w:color w:val="000000" w:themeColor="text1"/>
                      <w:szCs w:val="21"/>
                    </w:rPr>
                    <w:t>的养护废水收集池对其进行收集后，返回养护工序使用，不外排。</w:t>
                  </w:r>
                </w:p>
              </w:tc>
              <w:tc>
                <w:tcPr>
                  <w:tcW w:w="850" w:type="dxa"/>
                  <w:vAlign w:val="center"/>
                </w:tcPr>
                <w:p>
                  <w:pPr>
                    <w:pStyle w:val="32"/>
                    <w:spacing w:line="360" w:lineRule="exact"/>
                    <w:rPr>
                      <w:bCs w:val="0"/>
                      <w:color w:val="000000" w:themeColor="text1"/>
                    </w:rPr>
                  </w:pPr>
                  <w:r>
                    <w:rPr>
                      <w:rFonts w:eastAsiaTheme="minorEastAsia"/>
                      <w:color w:val="000000" w:themeColor="text1"/>
                      <w:szCs w:val="21"/>
                    </w:rPr>
                    <w:t>不外排</w:t>
                  </w:r>
                </w:p>
              </w:tc>
              <w:tc>
                <w:tcPr>
                  <w:tcW w:w="783"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5" w:type="dxa"/>
                  <w:vMerge w:val="continue"/>
                  <w:tcBorders>
                    <w:right w:val="single" w:color="auto" w:sz="4" w:space="0"/>
                  </w:tcBorders>
                  <w:vAlign w:val="center"/>
                </w:tcPr>
                <w:p>
                  <w:pPr>
                    <w:pStyle w:val="32"/>
                    <w:spacing w:line="360" w:lineRule="exact"/>
                    <w:rPr>
                      <w:rFonts w:eastAsiaTheme="minorEastAsia"/>
                      <w:color w:val="000000" w:themeColor="text1"/>
                      <w:szCs w:val="21"/>
                    </w:rPr>
                  </w:pPr>
                </w:p>
              </w:tc>
              <w:tc>
                <w:tcPr>
                  <w:tcW w:w="737" w:type="dxa"/>
                  <w:tcBorders>
                    <w:left w:val="single" w:color="auto" w:sz="4"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厂区二期</w:t>
                  </w:r>
                  <w:r>
                    <w:rPr>
                      <w:rFonts w:eastAsiaTheme="minorEastAsia"/>
                      <w:color w:val="000000" w:themeColor="text1"/>
                      <w:szCs w:val="21"/>
                    </w:rPr>
                    <w:t>范围</w:t>
                  </w:r>
                </w:p>
              </w:tc>
              <w:tc>
                <w:tcPr>
                  <w:tcW w:w="70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初期雨水</w:t>
                  </w:r>
                </w:p>
              </w:tc>
              <w:tc>
                <w:tcPr>
                  <w:tcW w:w="12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SS</w:t>
                  </w:r>
                </w:p>
              </w:tc>
              <w:tc>
                <w:tcPr>
                  <w:tcW w:w="3686"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二期工程拟配套设置1个有效容积为5m³的初期雨水收集池对厂区二期范围初期雨水进行收集；收集后用于该项目生产，不外排。</w:t>
                  </w:r>
                </w:p>
              </w:tc>
              <w:tc>
                <w:tcPr>
                  <w:tcW w:w="850"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不外排</w:t>
                  </w:r>
                </w:p>
              </w:tc>
              <w:tc>
                <w:tcPr>
                  <w:tcW w:w="783"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5" w:type="dxa"/>
                  <w:vMerge w:val="restart"/>
                  <w:tcBorders>
                    <w:right w:val="single" w:color="auto" w:sz="4"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厂区</w:t>
                  </w:r>
                </w:p>
              </w:tc>
              <w:tc>
                <w:tcPr>
                  <w:tcW w:w="737" w:type="dxa"/>
                  <w:vMerge w:val="restart"/>
                  <w:tcBorders>
                    <w:lef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员工生活</w:t>
                  </w:r>
                </w:p>
              </w:tc>
              <w:tc>
                <w:tcPr>
                  <w:tcW w:w="709"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生活污水</w:t>
                  </w:r>
                </w:p>
              </w:tc>
              <w:tc>
                <w:tcPr>
                  <w:tcW w:w="12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pH</w:t>
                  </w:r>
                </w:p>
              </w:tc>
              <w:tc>
                <w:tcPr>
                  <w:tcW w:w="3686" w:type="dxa"/>
                  <w:vMerge w:val="restart"/>
                  <w:vAlign w:val="center"/>
                </w:tcPr>
                <w:p>
                  <w:pPr>
                    <w:pStyle w:val="32"/>
                    <w:spacing w:line="360" w:lineRule="exact"/>
                    <w:ind w:firstLine="210" w:firstLineChars="100"/>
                    <w:jc w:val="both"/>
                    <w:rPr>
                      <w:color w:val="FF0000"/>
                      <w:szCs w:val="21"/>
                    </w:rPr>
                  </w:pPr>
                  <w:r>
                    <w:rPr>
                      <w:color w:val="FF0000"/>
                      <w:szCs w:val="21"/>
                    </w:rPr>
                    <w:t>生活污水</w:t>
                  </w:r>
                  <w:r>
                    <w:rPr>
                      <w:rFonts w:hint="eastAsia"/>
                      <w:color w:val="FF0000"/>
                      <w:szCs w:val="21"/>
                    </w:rPr>
                    <w:t>先</w:t>
                  </w:r>
                  <w:r>
                    <w:rPr>
                      <w:color w:val="FF0000"/>
                      <w:szCs w:val="21"/>
                    </w:rPr>
                    <w:t>进入1个有效容积为3m³的化粪池</w:t>
                  </w:r>
                  <w:r>
                    <w:rPr>
                      <w:rFonts w:hint="eastAsia"/>
                      <w:color w:val="FF0000"/>
                      <w:szCs w:val="21"/>
                    </w:rPr>
                    <w:t>预</w:t>
                  </w:r>
                  <w:r>
                    <w:rPr>
                      <w:color w:val="FF0000"/>
                      <w:szCs w:val="21"/>
                    </w:rPr>
                    <w:t>处理，处理后统一进入1套处理能力为3m³/d的一体化污水处理设施处理，处理达到《城市污水再生利用 城市杂用水水质》（GB/T18920-2020）城市绿化标准后，回用于项目区绿化，不外排。</w:t>
                  </w:r>
                </w:p>
              </w:tc>
              <w:tc>
                <w:tcPr>
                  <w:tcW w:w="850" w:type="dxa"/>
                  <w:vMerge w:val="restart"/>
                  <w:vAlign w:val="center"/>
                </w:tcPr>
                <w:p>
                  <w:pPr>
                    <w:pStyle w:val="32"/>
                    <w:spacing w:line="360" w:lineRule="exact"/>
                    <w:rPr>
                      <w:rFonts w:eastAsiaTheme="minorEastAsia"/>
                      <w:color w:val="000000" w:themeColor="text1"/>
                      <w:szCs w:val="21"/>
                    </w:rPr>
                  </w:pPr>
                  <w:r>
                    <w:rPr>
                      <w:bCs w:val="0"/>
                      <w:color w:val="000000" w:themeColor="text1"/>
                    </w:rPr>
                    <w:t>不外排</w:t>
                  </w:r>
                </w:p>
              </w:tc>
              <w:tc>
                <w:tcPr>
                  <w:tcW w:w="783" w:type="dxa"/>
                  <w:vMerge w:val="restart"/>
                  <w:vAlign w:val="center"/>
                </w:tcPr>
                <w:p>
                  <w:pPr>
                    <w:pStyle w:val="32"/>
                    <w:spacing w:line="360" w:lineRule="exact"/>
                    <w:ind w:firstLine="210" w:firstLineChars="100"/>
                    <w:jc w:val="left"/>
                    <w:rPr>
                      <w:rFonts w:eastAsiaTheme="minorEastAsia"/>
                      <w:color w:val="000000" w:themeColor="text1"/>
                      <w:szCs w:val="21"/>
                    </w:rPr>
                  </w:pPr>
                  <w:r>
                    <w:rPr>
                      <w:rFonts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5" w:type="dxa"/>
                  <w:vMerge w:val="continue"/>
                  <w:tcBorders>
                    <w:right w:val="single" w:color="auto" w:sz="4" w:space="0"/>
                  </w:tcBorders>
                  <w:vAlign w:val="center"/>
                </w:tcPr>
                <w:p>
                  <w:pPr>
                    <w:pStyle w:val="32"/>
                    <w:spacing w:line="360" w:lineRule="exact"/>
                    <w:rPr>
                      <w:rFonts w:eastAsiaTheme="minorEastAsia"/>
                      <w:color w:val="000000" w:themeColor="text1"/>
                      <w:szCs w:val="21"/>
                    </w:rPr>
                  </w:pPr>
                </w:p>
              </w:tc>
              <w:tc>
                <w:tcPr>
                  <w:tcW w:w="737" w:type="dxa"/>
                  <w:vMerge w:val="continue"/>
                  <w:tcBorders>
                    <w:left w:val="single" w:color="auto" w:sz="4" w:space="0"/>
                  </w:tcBorders>
                  <w:vAlign w:val="center"/>
                </w:tcPr>
                <w:p>
                  <w:pPr>
                    <w:pStyle w:val="32"/>
                    <w:spacing w:line="360" w:lineRule="exact"/>
                    <w:rPr>
                      <w:rFonts w:eastAsiaTheme="minorEastAsia"/>
                      <w:color w:val="000000" w:themeColor="text1"/>
                      <w:szCs w:val="21"/>
                    </w:rPr>
                  </w:pPr>
                </w:p>
              </w:tc>
              <w:tc>
                <w:tcPr>
                  <w:tcW w:w="709" w:type="dxa"/>
                  <w:vMerge w:val="continue"/>
                  <w:vAlign w:val="center"/>
                </w:tcPr>
                <w:p>
                  <w:pPr>
                    <w:pStyle w:val="32"/>
                    <w:spacing w:line="360" w:lineRule="exact"/>
                    <w:rPr>
                      <w:rFonts w:eastAsiaTheme="minorEastAsia"/>
                      <w:color w:val="000000" w:themeColor="text1"/>
                      <w:szCs w:val="21"/>
                    </w:rPr>
                  </w:pPr>
                </w:p>
              </w:tc>
              <w:tc>
                <w:tcPr>
                  <w:tcW w:w="12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CODcr</w:t>
                  </w:r>
                </w:p>
              </w:tc>
              <w:tc>
                <w:tcPr>
                  <w:tcW w:w="3686" w:type="dxa"/>
                  <w:vMerge w:val="continue"/>
                  <w:vAlign w:val="center"/>
                </w:tcPr>
                <w:p>
                  <w:pPr>
                    <w:pStyle w:val="32"/>
                    <w:spacing w:line="360" w:lineRule="exact"/>
                    <w:ind w:firstLine="210" w:firstLineChars="100"/>
                    <w:jc w:val="both"/>
                    <w:rPr>
                      <w:color w:val="000000" w:themeColor="text1"/>
                      <w:szCs w:val="21"/>
                    </w:rPr>
                  </w:pPr>
                </w:p>
              </w:tc>
              <w:tc>
                <w:tcPr>
                  <w:tcW w:w="850" w:type="dxa"/>
                  <w:vMerge w:val="continue"/>
                  <w:vAlign w:val="center"/>
                </w:tcPr>
                <w:p>
                  <w:pPr>
                    <w:pStyle w:val="32"/>
                    <w:spacing w:line="360" w:lineRule="exact"/>
                    <w:rPr>
                      <w:rFonts w:eastAsiaTheme="minorEastAsia"/>
                      <w:color w:val="000000" w:themeColor="text1"/>
                      <w:szCs w:val="21"/>
                    </w:rPr>
                  </w:pPr>
                </w:p>
              </w:tc>
              <w:tc>
                <w:tcPr>
                  <w:tcW w:w="783" w:type="dxa"/>
                  <w:vMerge w:val="continue"/>
                  <w:vAlign w:val="center"/>
                </w:tcPr>
                <w:p>
                  <w:pPr>
                    <w:pStyle w:val="32"/>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5" w:type="dxa"/>
                  <w:vMerge w:val="continue"/>
                  <w:tcBorders>
                    <w:right w:val="single" w:color="auto" w:sz="4" w:space="0"/>
                  </w:tcBorders>
                  <w:vAlign w:val="center"/>
                </w:tcPr>
                <w:p>
                  <w:pPr>
                    <w:pStyle w:val="32"/>
                    <w:spacing w:line="360" w:lineRule="exact"/>
                    <w:rPr>
                      <w:rFonts w:eastAsiaTheme="minorEastAsia"/>
                      <w:color w:val="000000" w:themeColor="text1"/>
                      <w:szCs w:val="21"/>
                    </w:rPr>
                  </w:pPr>
                </w:p>
              </w:tc>
              <w:tc>
                <w:tcPr>
                  <w:tcW w:w="737" w:type="dxa"/>
                  <w:vMerge w:val="continue"/>
                  <w:tcBorders>
                    <w:left w:val="single" w:color="auto" w:sz="4" w:space="0"/>
                  </w:tcBorders>
                  <w:vAlign w:val="center"/>
                </w:tcPr>
                <w:p>
                  <w:pPr>
                    <w:pStyle w:val="32"/>
                    <w:spacing w:line="360" w:lineRule="exact"/>
                    <w:rPr>
                      <w:rFonts w:eastAsiaTheme="minorEastAsia"/>
                      <w:color w:val="000000" w:themeColor="text1"/>
                      <w:szCs w:val="21"/>
                    </w:rPr>
                  </w:pPr>
                </w:p>
              </w:tc>
              <w:tc>
                <w:tcPr>
                  <w:tcW w:w="709" w:type="dxa"/>
                  <w:vMerge w:val="continue"/>
                  <w:vAlign w:val="center"/>
                </w:tcPr>
                <w:p>
                  <w:pPr>
                    <w:pStyle w:val="32"/>
                    <w:spacing w:line="360" w:lineRule="exact"/>
                    <w:rPr>
                      <w:rFonts w:eastAsiaTheme="minorEastAsia"/>
                      <w:color w:val="000000" w:themeColor="text1"/>
                      <w:szCs w:val="21"/>
                    </w:rPr>
                  </w:pPr>
                </w:p>
              </w:tc>
              <w:tc>
                <w:tcPr>
                  <w:tcW w:w="12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3686" w:type="dxa"/>
                  <w:vMerge w:val="continue"/>
                  <w:vAlign w:val="center"/>
                </w:tcPr>
                <w:p>
                  <w:pPr>
                    <w:pStyle w:val="32"/>
                    <w:spacing w:line="360" w:lineRule="exact"/>
                    <w:ind w:firstLine="210" w:firstLineChars="100"/>
                    <w:jc w:val="both"/>
                    <w:rPr>
                      <w:color w:val="000000" w:themeColor="text1"/>
                      <w:szCs w:val="21"/>
                    </w:rPr>
                  </w:pPr>
                </w:p>
              </w:tc>
              <w:tc>
                <w:tcPr>
                  <w:tcW w:w="850" w:type="dxa"/>
                  <w:vMerge w:val="continue"/>
                  <w:vAlign w:val="center"/>
                </w:tcPr>
                <w:p>
                  <w:pPr>
                    <w:pStyle w:val="32"/>
                    <w:spacing w:line="360" w:lineRule="exact"/>
                    <w:rPr>
                      <w:rFonts w:eastAsiaTheme="minorEastAsia"/>
                      <w:color w:val="000000" w:themeColor="text1"/>
                      <w:szCs w:val="21"/>
                    </w:rPr>
                  </w:pPr>
                </w:p>
              </w:tc>
              <w:tc>
                <w:tcPr>
                  <w:tcW w:w="783" w:type="dxa"/>
                  <w:vMerge w:val="continue"/>
                  <w:vAlign w:val="center"/>
                </w:tcPr>
                <w:p>
                  <w:pPr>
                    <w:pStyle w:val="32"/>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5" w:type="dxa"/>
                  <w:vMerge w:val="continue"/>
                  <w:tcBorders>
                    <w:right w:val="single" w:color="auto" w:sz="4" w:space="0"/>
                  </w:tcBorders>
                  <w:vAlign w:val="center"/>
                </w:tcPr>
                <w:p>
                  <w:pPr>
                    <w:pStyle w:val="32"/>
                    <w:spacing w:line="360" w:lineRule="exact"/>
                    <w:rPr>
                      <w:rFonts w:eastAsiaTheme="minorEastAsia"/>
                      <w:color w:val="000000" w:themeColor="text1"/>
                      <w:szCs w:val="21"/>
                    </w:rPr>
                  </w:pPr>
                </w:p>
              </w:tc>
              <w:tc>
                <w:tcPr>
                  <w:tcW w:w="737" w:type="dxa"/>
                  <w:vMerge w:val="continue"/>
                  <w:tcBorders>
                    <w:left w:val="single" w:color="auto" w:sz="4" w:space="0"/>
                  </w:tcBorders>
                  <w:vAlign w:val="center"/>
                </w:tcPr>
                <w:p>
                  <w:pPr>
                    <w:pStyle w:val="32"/>
                    <w:spacing w:line="360" w:lineRule="exact"/>
                    <w:rPr>
                      <w:rFonts w:eastAsiaTheme="minorEastAsia"/>
                      <w:color w:val="000000" w:themeColor="text1"/>
                      <w:szCs w:val="21"/>
                    </w:rPr>
                  </w:pPr>
                </w:p>
              </w:tc>
              <w:tc>
                <w:tcPr>
                  <w:tcW w:w="709" w:type="dxa"/>
                  <w:vMerge w:val="continue"/>
                  <w:vAlign w:val="center"/>
                </w:tcPr>
                <w:p>
                  <w:pPr>
                    <w:pStyle w:val="32"/>
                    <w:spacing w:line="360" w:lineRule="exact"/>
                    <w:rPr>
                      <w:rFonts w:eastAsiaTheme="minorEastAsia"/>
                      <w:color w:val="000000" w:themeColor="text1"/>
                      <w:szCs w:val="21"/>
                    </w:rPr>
                  </w:pPr>
                </w:p>
              </w:tc>
              <w:tc>
                <w:tcPr>
                  <w:tcW w:w="12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3686" w:type="dxa"/>
                  <w:vMerge w:val="continue"/>
                  <w:vAlign w:val="center"/>
                </w:tcPr>
                <w:p>
                  <w:pPr>
                    <w:pStyle w:val="32"/>
                    <w:spacing w:line="360" w:lineRule="exact"/>
                    <w:ind w:firstLine="210" w:firstLineChars="100"/>
                    <w:jc w:val="both"/>
                    <w:rPr>
                      <w:color w:val="000000" w:themeColor="text1"/>
                      <w:szCs w:val="21"/>
                    </w:rPr>
                  </w:pPr>
                </w:p>
              </w:tc>
              <w:tc>
                <w:tcPr>
                  <w:tcW w:w="850" w:type="dxa"/>
                  <w:vMerge w:val="continue"/>
                  <w:vAlign w:val="center"/>
                </w:tcPr>
                <w:p>
                  <w:pPr>
                    <w:pStyle w:val="32"/>
                    <w:spacing w:line="360" w:lineRule="exact"/>
                    <w:rPr>
                      <w:rFonts w:eastAsiaTheme="minorEastAsia"/>
                      <w:color w:val="000000" w:themeColor="text1"/>
                      <w:szCs w:val="21"/>
                    </w:rPr>
                  </w:pPr>
                </w:p>
              </w:tc>
              <w:tc>
                <w:tcPr>
                  <w:tcW w:w="783" w:type="dxa"/>
                  <w:vMerge w:val="continue"/>
                  <w:vAlign w:val="center"/>
                </w:tcPr>
                <w:p>
                  <w:pPr>
                    <w:pStyle w:val="32"/>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5" w:type="dxa"/>
                  <w:vMerge w:val="continue"/>
                  <w:tcBorders>
                    <w:right w:val="single" w:color="auto" w:sz="4" w:space="0"/>
                  </w:tcBorders>
                  <w:vAlign w:val="center"/>
                </w:tcPr>
                <w:p>
                  <w:pPr>
                    <w:pStyle w:val="32"/>
                    <w:spacing w:line="360" w:lineRule="exact"/>
                    <w:rPr>
                      <w:rFonts w:eastAsiaTheme="minorEastAsia"/>
                      <w:color w:val="000000" w:themeColor="text1"/>
                      <w:szCs w:val="21"/>
                    </w:rPr>
                  </w:pPr>
                </w:p>
              </w:tc>
              <w:tc>
                <w:tcPr>
                  <w:tcW w:w="737" w:type="dxa"/>
                  <w:vMerge w:val="continue"/>
                  <w:tcBorders>
                    <w:left w:val="single" w:color="auto" w:sz="4" w:space="0"/>
                  </w:tcBorders>
                  <w:vAlign w:val="center"/>
                </w:tcPr>
                <w:p>
                  <w:pPr>
                    <w:pStyle w:val="32"/>
                    <w:spacing w:line="360" w:lineRule="exact"/>
                    <w:rPr>
                      <w:rFonts w:eastAsiaTheme="minorEastAsia"/>
                      <w:color w:val="000000" w:themeColor="text1"/>
                      <w:szCs w:val="21"/>
                    </w:rPr>
                  </w:pPr>
                </w:p>
              </w:tc>
              <w:tc>
                <w:tcPr>
                  <w:tcW w:w="709" w:type="dxa"/>
                  <w:vMerge w:val="continue"/>
                  <w:vAlign w:val="center"/>
                </w:tcPr>
                <w:p>
                  <w:pPr>
                    <w:pStyle w:val="32"/>
                    <w:spacing w:line="360" w:lineRule="exact"/>
                    <w:rPr>
                      <w:rFonts w:eastAsiaTheme="minorEastAsia"/>
                      <w:color w:val="000000" w:themeColor="text1"/>
                      <w:szCs w:val="21"/>
                    </w:rPr>
                  </w:pPr>
                </w:p>
              </w:tc>
              <w:tc>
                <w:tcPr>
                  <w:tcW w:w="12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SS</w:t>
                  </w:r>
                </w:p>
              </w:tc>
              <w:tc>
                <w:tcPr>
                  <w:tcW w:w="3686" w:type="dxa"/>
                  <w:vMerge w:val="continue"/>
                  <w:vAlign w:val="center"/>
                </w:tcPr>
                <w:p>
                  <w:pPr>
                    <w:pStyle w:val="32"/>
                    <w:spacing w:line="360" w:lineRule="exact"/>
                    <w:ind w:firstLine="210" w:firstLineChars="100"/>
                    <w:jc w:val="both"/>
                    <w:rPr>
                      <w:color w:val="000000" w:themeColor="text1"/>
                      <w:szCs w:val="21"/>
                    </w:rPr>
                  </w:pPr>
                </w:p>
              </w:tc>
              <w:tc>
                <w:tcPr>
                  <w:tcW w:w="850" w:type="dxa"/>
                  <w:vMerge w:val="continue"/>
                  <w:vAlign w:val="center"/>
                </w:tcPr>
                <w:p>
                  <w:pPr>
                    <w:pStyle w:val="32"/>
                    <w:spacing w:line="360" w:lineRule="exact"/>
                    <w:rPr>
                      <w:rFonts w:eastAsiaTheme="minorEastAsia"/>
                      <w:color w:val="000000" w:themeColor="text1"/>
                      <w:szCs w:val="21"/>
                    </w:rPr>
                  </w:pPr>
                </w:p>
              </w:tc>
              <w:tc>
                <w:tcPr>
                  <w:tcW w:w="783" w:type="dxa"/>
                  <w:vMerge w:val="continue"/>
                  <w:vAlign w:val="center"/>
                </w:tcPr>
                <w:p>
                  <w:pPr>
                    <w:pStyle w:val="32"/>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5" w:type="dxa"/>
                  <w:vMerge w:val="continue"/>
                  <w:tcBorders>
                    <w:right w:val="single" w:color="auto" w:sz="4" w:space="0"/>
                  </w:tcBorders>
                  <w:vAlign w:val="center"/>
                </w:tcPr>
                <w:p>
                  <w:pPr>
                    <w:pStyle w:val="32"/>
                    <w:spacing w:line="360" w:lineRule="exact"/>
                    <w:rPr>
                      <w:rFonts w:eastAsiaTheme="minorEastAsia"/>
                      <w:color w:val="000000" w:themeColor="text1"/>
                      <w:szCs w:val="21"/>
                    </w:rPr>
                  </w:pPr>
                </w:p>
              </w:tc>
              <w:tc>
                <w:tcPr>
                  <w:tcW w:w="737" w:type="dxa"/>
                  <w:vMerge w:val="continue"/>
                  <w:tcBorders>
                    <w:left w:val="single" w:color="auto" w:sz="4" w:space="0"/>
                  </w:tcBorders>
                  <w:vAlign w:val="center"/>
                </w:tcPr>
                <w:p>
                  <w:pPr>
                    <w:pStyle w:val="32"/>
                    <w:spacing w:line="360" w:lineRule="exact"/>
                    <w:rPr>
                      <w:rFonts w:eastAsiaTheme="minorEastAsia"/>
                      <w:color w:val="000000" w:themeColor="text1"/>
                      <w:szCs w:val="21"/>
                    </w:rPr>
                  </w:pPr>
                </w:p>
              </w:tc>
              <w:tc>
                <w:tcPr>
                  <w:tcW w:w="709" w:type="dxa"/>
                  <w:vMerge w:val="continue"/>
                  <w:vAlign w:val="center"/>
                </w:tcPr>
                <w:p>
                  <w:pPr>
                    <w:pStyle w:val="32"/>
                    <w:spacing w:line="360" w:lineRule="exact"/>
                    <w:rPr>
                      <w:rFonts w:eastAsiaTheme="minorEastAsia"/>
                      <w:color w:val="000000" w:themeColor="text1"/>
                      <w:szCs w:val="21"/>
                    </w:rPr>
                  </w:pPr>
                </w:p>
              </w:tc>
              <w:tc>
                <w:tcPr>
                  <w:tcW w:w="12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总磷</w:t>
                  </w:r>
                </w:p>
              </w:tc>
              <w:tc>
                <w:tcPr>
                  <w:tcW w:w="3686" w:type="dxa"/>
                  <w:vMerge w:val="continue"/>
                  <w:vAlign w:val="center"/>
                </w:tcPr>
                <w:p>
                  <w:pPr>
                    <w:pStyle w:val="32"/>
                    <w:spacing w:line="360" w:lineRule="exact"/>
                    <w:ind w:firstLine="210" w:firstLineChars="100"/>
                    <w:jc w:val="both"/>
                    <w:rPr>
                      <w:color w:val="000000" w:themeColor="text1"/>
                      <w:szCs w:val="21"/>
                    </w:rPr>
                  </w:pPr>
                </w:p>
              </w:tc>
              <w:tc>
                <w:tcPr>
                  <w:tcW w:w="850" w:type="dxa"/>
                  <w:vMerge w:val="continue"/>
                  <w:vAlign w:val="center"/>
                </w:tcPr>
                <w:p>
                  <w:pPr>
                    <w:pStyle w:val="32"/>
                    <w:spacing w:line="360" w:lineRule="exact"/>
                    <w:rPr>
                      <w:rFonts w:eastAsiaTheme="minorEastAsia"/>
                      <w:color w:val="000000" w:themeColor="text1"/>
                      <w:szCs w:val="21"/>
                    </w:rPr>
                  </w:pPr>
                </w:p>
              </w:tc>
              <w:tc>
                <w:tcPr>
                  <w:tcW w:w="783" w:type="dxa"/>
                  <w:vMerge w:val="continue"/>
                  <w:vAlign w:val="center"/>
                </w:tcPr>
                <w:p>
                  <w:pPr>
                    <w:pStyle w:val="32"/>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5" w:type="dxa"/>
                  <w:vMerge w:val="continue"/>
                  <w:tcBorders>
                    <w:right w:val="single" w:color="auto" w:sz="4" w:space="0"/>
                  </w:tcBorders>
                  <w:vAlign w:val="center"/>
                </w:tcPr>
                <w:p>
                  <w:pPr>
                    <w:pStyle w:val="32"/>
                    <w:spacing w:line="360" w:lineRule="exact"/>
                    <w:rPr>
                      <w:rFonts w:eastAsiaTheme="minorEastAsia"/>
                      <w:color w:val="000000" w:themeColor="text1"/>
                      <w:szCs w:val="21"/>
                    </w:rPr>
                  </w:pPr>
                </w:p>
              </w:tc>
              <w:tc>
                <w:tcPr>
                  <w:tcW w:w="737" w:type="dxa"/>
                  <w:vMerge w:val="continue"/>
                  <w:tcBorders>
                    <w:left w:val="single" w:color="auto" w:sz="4" w:space="0"/>
                  </w:tcBorders>
                  <w:vAlign w:val="center"/>
                </w:tcPr>
                <w:p>
                  <w:pPr>
                    <w:pStyle w:val="32"/>
                    <w:spacing w:line="360" w:lineRule="exact"/>
                    <w:rPr>
                      <w:rFonts w:eastAsiaTheme="minorEastAsia"/>
                      <w:color w:val="000000" w:themeColor="text1"/>
                      <w:szCs w:val="21"/>
                    </w:rPr>
                  </w:pPr>
                </w:p>
              </w:tc>
              <w:tc>
                <w:tcPr>
                  <w:tcW w:w="709" w:type="dxa"/>
                  <w:vMerge w:val="continue"/>
                  <w:vAlign w:val="center"/>
                </w:tcPr>
                <w:p>
                  <w:pPr>
                    <w:pStyle w:val="32"/>
                    <w:spacing w:line="360" w:lineRule="exact"/>
                    <w:rPr>
                      <w:rFonts w:eastAsiaTheme="minorEastAsia"/>
                      <w:color w:val="000000" w:themeColor="text1"/>
                      <w:szCs w:val="21"/>
                    </w:rPr>
                  </w:pPr>
                </w:p>
              </w:tc>
              <w:tc>
                <w:tcPr>
                  <w:tcW w:w="12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总氮</w:t>
                  </w:r>
                </w:p>
              </w:tc>
              <w:tc>
                <w:tcPr>
                  <w:tcW w:w="3686" w:type="dxa"/>
                  <w:vMerge w:val="continue"/>
                  <w:vAlign w:val="center"/>
                </w:tcPr>
                <w:p>
                  <w:pPr>
                    <w:pStyle w:val="32"/>
                    <w:spacing w:line="360" w:lineRule="exact"/>
                    <w:ind w:firstLine="210" w:firstLineChars="100"/>
                    <w:jc w:val="both"/>
                    <w:rPr>
                      <w:color w:val="000000" w:themeColor="text1"/>
                      <w:szCs w:val="21"/>
                    </w:rPr>
                  </w:pPr>
                </w:p>
              </w:tc>
              <w:tc>
                <w:tcPr>
                  <w:tcW w:w="850" w:type="dxa"/>
                  <w:vMerge w:val="continue"/>
                  <w:vAlign w:val="center"/>
                </w:tcPr>
                <w:p>
                  <w:pPr>
                    <w:pStyle w:val="32"/>
                    <w:spacing w:line="360" w:lineRule="exact"/>
                    <w:rPr>
                      <w:rFonts w:eastAsiaTheme="minorEastAsia"/>
                      <w:color w:val="000000" w:themeColor="text1"/>
                      <w:szCs w:val="21"/>
                    </w:rPr>
                  </w:pPr>
                </w:p>
              </w:tc>
              <w:tc>
                <w:tcPr>
                  <w:tcW w:w="783" w:type="dxa"/>
                  <w:vMerge w:val="continue"/>
                  <w:vAlign w:val="center"/>
                </w:tcPr>
                <w:p>
                  <w:pPr>
                    <w:pStyle w:val="32"/>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5" w:type="dxa"/>
                  <w:vMerge w:val="continue"/>
                  <w:tcBorders>
                    <w:right w:val="single" w:color="auto" w:sz="4" w:space="0"/>
                  </w:tcBorders>
                  <w:vAlign w:val="center"/>
                </w:tcPr>
                <w:p>
                  <w:pPr>
                    <w:pStyle w:val="32"/>
                    <w:spacing w:line="360" w:lineRule="exact"/>
                    <w:rPr>
                      <w:rFonts w:eastAsiaTheme="minorEastAsia"/>
                      <w:color w:val="000000" w:themeColor="text1"/>
                      <w:szCs w:val="21"/>
                    </w:rPr>
                  </w:pPr>
                </w:p>
              </w:tc>
              <w:tc>
                <w:tcPr>
                  <w:tcW w:w="737" w:type="dxa"/>
                  <w:vMerge w:val="continue"/>
                  <w:tcBorders>
                    <w:left w:val="single" w:color="auto" w:sz="4" w:space="0"/>
                  </w:tcBorders>
                  <w:vAlign w:val="center"/>
                </w:tcPr>
                <w:p>
                  <w:pPr>
                    <w:pStyle w:val="32"/>
                    <w:spacing w:line="360" w:lineRule="exact"/>
                    <w:rPr>
                      <w:rFonts w:eastAsiaTheme="minorEastAsia"/>
                      <w:color w:val="000000" w:themeColor="text1"/>
                      <w:szCs w:val="21"/>
                    </w:rPr>
                  </w:pPr>
                </w:p>
              </w:tc>
              <w:tc>
                <w:tcPr>
                  <w:tcW w:w="709" w:type="dxa"/>
                  <w:vMerge w:val="continue"/>
                  <w:vAlign w:val="center"/>
                </w:tcPr>
                <w:p>
                  <w:pPr>
                    <w:pStyle w:val="32"/>
                    <w:spacing w:line="360" w:lineRule="exact"/>
                    <w:rPr>
                      <w:rFonts w:eastAsiaTheme="minorEastAsia"/>
                      <w:color w:val="000000" w:themeColor="text1"/>
                      <w:szCs w:val="21"/>
                    </w:rPr>
                  </w:pPr>
                </w:p>
              </w:tc>
              <w:tc>
                <w:tcPr>
                  <w:tcW w:w="1275" w:type="dxa"/>
                  <w:vAlign w:val="center"/>
                </w:tcPr>
                <w:p>
                  <w:pPr>
                    <w:pStyle w:val="32"/>
                    <w:spacing w:line="360" w:lineRule="exact"/>
                    <w:rPr>
                      <w:rFonts w:eastAsiaTheme="minorEastAsia"/>
                      <w:color w:val="000000" w:themeColor="text1"/>
                      <w:szCs w:val="21"/>
                    </w:rPr>
                  </w:pPr>
                  <w:r>
                    <w:rPr>
                      <w:rFonts w:eastAsiaTheme="minorEastAsia"/>
                      <w:bCs w:val="0"/>
                      <w:snapToGrid/>
                      <w:color w:val="000000" w:themeColor="text1"/>
                      <w:kern w:val="0"/>
                      <w:szCs w:val="21"/>
                      <w:lang w:val="en-US"/>
                    </w:rPr>
                    <w:t>阴离子表面活性剂</w:t>
                  </w:r>
                </w:p>
              </w:tc>
              <w:tc>
                <w:tcPr>
                  <w:tcW w:w="3686" w:type="dxa"/>
                  <w:vMerge w:val="continue"/>
                  <w:vAlign w:val="center"/>
                </w:tcPr>
                <w:p>
                  <w:pPr>
                    <w:pStyle w:val="32"/>
                    <w:spacing w:line="360" w:lineRule="exact"/>
                    <w:ind w:firstLine="210" w:firstLineChars="100"/>
                    <w:jc w:val="both"/>
                    <w:rPr>
                      <w:color w:val="000000" w:themeColor="text1"/>
                      <w:szCs w:val="21"/>
                    </w:rPr>
                  </w:pPr>
                </w:p>
              </w:tc>
              <w:tc>
                <w:tcPr>
                  <w:tcW w:w="850" w:type="dxa"/>
                  <w:vMerge w:val="continue"/>
                  <w:vAlign w:val="center"/>
                </w:tcPr>
                <w:p>
                  <w:pPr>
                    <w:pStyle w:val="32"/>
                    <w:spacing w:line="360" w:lineRule="exact"/>
                    <w:rPr>
                      <w:rFonts w:eastAsiaTheme="minorEastAsia"/>
                      <w:color w:val="000000" w:themeColor="text1"/>
                      <w:szCs w:val="21"/>
                    </w:rPr>
                  </w:pPr>
                </w:p>
              </w:tc>
              <w:tc>
                <w:tcPr>
                  <w:tcW w:w="783" w:type="dxa"/>
                  <w:vMerge w:val="continue"/>
                  <w:vAlign w:val="center"/>
                </w:tcPr>
                <w:p>
                  <w:pPr>
                    <w:pStyle w:val="32"/>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5" w:type="dxa"/>
                  <w:vMerge w:val="continue"/>
                  <w:tcBorders>
                    <w:right w:val="single" w:color="auto" w:sz="4" w:space="0"/>
                  </w:tcBorders>
                  <w:vAlign w:val="center"/>
                </w:tcPr>
                <w:p>
                  <w:pPr>
                    <w:pStyle w:val="32"/>
                    <w:spacing w:line="360" w:lineRule="exact"/>
                    <w:rPr>
                      <w:rFonts w:eastAsiaTheme="minorEastAsia"/>
                      <w:color w:val="000000" w:themeColor="text1"/>
                      <w:szCs w:val="21"/>
                    </w:rPr>
                  </w:pPr>
                </w:p>
              </w:tc>
              <w:tc>
                <w:tcPr>
                  <w:tcW w:w="737" w:type="dxa"/>
                  <w:vMerge w:val="continue"/>
                  <w:tcBorders>
                    <w:left w:val="single" w:color="auto" w:sz="4" w:space="0"/>
                  </w:tcBorders>
                  <w:vAlign w:val="center"/>
                </w:tcPr>
                <w:p>
                  <w:pPr>
                    <w:pStyle w:val="32"/>
                    <w:spacing w:line="360" w:lineRule="exact"/>
                    <w:rPr>
                      <w:rFonts w:eastAsiaTheme="minorEastAsia"/>
                      <w:color w:val="000000" w:themeColor="text1"/>
                      <w:szCs w:val="21"/>
                    </w:rPr>
                  </w:pPr>
                </w:p>
              </w:tc>
              <w:tc>
                <w:tcPr>
                  <w:tcW w:w="709" w:type="dxa"/>
                  <w:vMerge w:val="continue"/>
                  <w:vAlign w:val="center"/>
                </w:tcPr>
                <w:p>
                  <w:pPr>
                    <w:pStyle w:val="32"/>
                    <w:spacing w:line="360" w:lineRule="exact"/>
                    <w:rPr>
                      <w:rFonts w:eastAsiaTheme="minorEastAsia"/>
                      <w:color w:val="000000" w:themeColor="text1"/>
                      <w:szCs w:val="21"/>
                    </w:rPr>
                  </w:pPr>
                </w:p>
              </w:tc>
              <w:tc>
                <w:tcPr>
                  <w:tcW w:w="12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粪大肠菌群数（MPN/L）</w:t>
                  </w:r>
                </w:p>
              </w:tc>
              <w:tc>
                <w:tcPr>
                  <w:tcW w:w="3686" w:type="dxa"/>
                  <w:vMerge w:val="continue"/>
                  <w:vAlign w:val="center"/>
                </w:tcPr>
                <w:p>
                  <w:pPr>
                    <w:pStyle w:val="32"/>
                    <w:spacing w:line="360" w:lineRule="exact"/>
                    <w:ind w:firstLine="210" w:firstLineChars="100"/>
                    <w:jc w:val="both"/>
                    <w:rPr>
                      <w:color w:val="000000" w:themeColor="text1"/>
                      <w:szCs w:val="21"/>
                    </w:rPr>
                  </w:pPr>
                </w:p>
              </w:tc>
              <w:tc>
                <w:tcPr>
                  <w:tcW w:w="850" w:type="dxa"/>
                  <w:vMerge w:val="continue"/>
                  <w:vAlign w:val="center"/>
                </w:tcPr>
                <w:p>
                  <w:pPr>
                    <w:pStyle w:val="32"/>
                    <w:spacing w:line="360" w:lineRule="exact"/>
                    <w:rPr>
                      <w:rFonts w:eastAsiaTheme="minorEastAsia"/>
                      <w:color w:val="000000" w:themeColor="text1"/>
                      <w:szCs w:val="21"/>
                    </w:rPr>
                  </w:pPr>
                </w:p>
              </w:tc>
              <w:tc>
                <w:tcPr>
                  <w:tcW w:w="783" w:type="dxa"/>
                  <w:vMerge w:val="continue"/>
                  <w:vAlign w:val="center"/>
                </w:tcPr>
                <w:p>
                  <w:pPr>
                    <w:pStyle w:val="32"/>
                    <w:spacing w:line="360" w:lineRule="exact"/>
                    <w:rPr>
                      <w:rFonts w:eastAsiaTheme="minorEastAsia"/>
                      <w:color w:val="000000" w:themeColor="text1"/>
                      <w:szCs w:val="21"/>
                    </w:rPr>
                  </w:pPr>
                </w:p>
              </w:tc>
            </w:tr>
          </w:tbl>
          <w:p>
            <w:pPr>
              <w:spacing w:beforeLines="50" w:line="360" w:lineRule="auto"/>
              <w:ind w:firstLine="482" w:firstLineChars="200"/>
              <w:rPr>
                <w:rFonts w:ascii="Times New Roman" w:hAnsi="Times New Roman" w:cs="Times New Roman"/>
                <w:b/>
                <w:color w:val="000000" w:themeColor="text1"/>
                <w:sz w:val="24"/>
              </w:rPr>
            </w:pPr>
            <w:r>
              <w:rPr>
                <w:rFonts w:ascii="宋体" w:hAnsi="Times New Roman" w:eastAsia="宋体" w:cs="Times New Roman"/>
                <w:b/>
                <w:color w:val="000000" w:themeColor="text1"/>
                <w:sz w:val="24"/>
              </w:rPr>
              <w:t>②</w:t>
            </w:r>
            <w:r>
              <w:rPr>
                <w:rFonts w:ascii="Times New Roman" w:hAnsi="Times New Roman" w:cs="Times New Roman"/>
                <w:b/>
                <w:color w:val="000000" w:themeColor="text1"/>
                <w:sz w:val="24"/>
              </w:rPr>
              <w:t>废水污染物排放源产排量及达标情况</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w:instrText>
            </w:r>
            <w:r>
              <w:rPr>
                <w:rFonts w:hint="eastAsia" w:ascii="Times New Roman" w:hAnsi="Times New Roman" w:cs="Times New Roman"/>
                <w:b/>
                <w:color w:val="000000" w:themeColor="text1"/>
                <w:sz w:val="24"/>
                <w:szCs w:val="24"/>
              </w:rPr>
              <w:instrText xml:space="preserve">= 1 \* GB4</w:instrText>
            </w:r>
            <w:r>
              <w:rPr>
                <w:rFonts w:ascii="Times New Roman" w:hAnsi="Times New Roman" w:cs="Times New Roman"/>
                <w:b/>
                <w:color w:val="000000" w:themeColor="text1"/>
                <w:sz w:val="24"/>
                <w:szCs w:val="24"/>
              </w:rPr>
              <w:instrText xml:space="preserve">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㈠</w:t>
            </w:r>
            <w:r>
              <w:rPr>
                <w:rFonts w:ascii="Times New Roman" w:hAnsi="Times New Roman" w:cs="Times New Roman"/>
                <w:b/>
                <w:color w:val="000000" w:themeColor="text1"/>
                <w:sz w:val="24"/>
                <w:szCs w:val="24"/>
              </w:rPr>
              <w:fldChar w:fldCharType="end"/>
            </w:r>
            <w:r>
              <w:rPr>
                <w:rFonts w:hint="eastAsia" w:ascii="Times New Roman" w:hAnsi="Times New Roman" w:cs="Times New Roman"/>
                <w:b/>
                <w:color w:val="000000" w:themeColor="text1"/>
                <w:sz w:val="24"/>
                <w:szCs w:val="24"/>
              </w:rPr>
              <w:t>一期工程废水</w:t>
            </w:r>
            <w:r>
              <w:rPr>
                <w:rFonts w:ascii="Times New Roman" w:hAnsi="Times New Roman" w:cs="Times New Roman"/>
                <w:b/>
                <w:color w:val="000000" w:themeColor="text1"/>
                <w:sz w:val="24"/>
                <w:szCs w:val="24"/>
              </w:rPr>
              <w:t>污染源产排情况</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1 \* GB2 </w:instrText>
            </w:r>
            <w:r>
              <w:rPr>
                <w:rFonts w:ascii="Times New Roman" w:hAnsi="Times New Roman" w:cs="Times New Roman"/>
                <w:b/>
                <w:color w:val="000000" w:themeColor="text1"/>
                <w:sz w:val="24"/>
                <w:szCs w:val="24"/>
              </w:rPr>
              <w:fldChar w:fldCharType="separate"/>
            </w:r>
            <w:r>
              <w:rPr>
                <w:rFonts w:hint="eastAsia" w:ascii="宋体" w:hAnsi="宋体" w:eastAsia="宋体" w:cs="宋体"/>
                <w:b/>
                <w:color w:val="000000" w:themeColor="text1"/>
                <w:sz w:val="24"/>
                <w:szCs w:val="24"/>
              </w:rPr>
              <w:t>⑴</w:t>
            </w:r>
            <w:r>
              <w:rPr>
                <w:rFonts w:ascii="Times New Roman" w:hAnsi="Times New Roman" w:cs="Times New Roman"/>
                <w:b/>
                <w:color w:val="000000" w:themeColor="text1"/>
                <w:sz w:val="24"/>
                <w:szCs w:val="24"/>
              </w:rPr>
              <w:fldChar w:fldCharType="end"/>
            </w:r>
            <w:r>
              <w:rPr>
                <w:rFonts w:hint="eastAsia" w:ascii="Times New Roman" w:hAnsi="Times New Roman" w:cs="Times New Roman"/>
                <w:b/>
                <w:color w:val="000000" w:themeColor="text1"/>
                <w:sz w:val="24"/>
                <w:szCs w:val="24"/>
              </w:rPr>
              <w:t>砂石骨料</w:t>
            </w:r>
            <w:r>
              <w:rPr>
                <w:rFonts w:ascii="Times New Roman" w:hAnsi="Times New Roman" w:cs="Times New Roman"/>
                <w:b/>
                <w:color w:val="000000" w:themeColor="text1"/>
                <w:sz w:val="24"/>
                <w:szCs w:val="24"/>
              </w:rPr>
              <w:t>生产</w:t>
            </w:r>
            <w:r>
              <w:rPr>
                <w:rFonts w:hint="eastAsia" w:ascii="Times New Roman" w:hAnsi="Times New Roman" w:cs="Times New Roman"/>
                <w:b/>
                <w:color w:val="000000" w:themeColor="text1"/>
                <w:sz w:val="24"/>
                <w:szCs w:val="24"/>
              </w:rPr>
              <w:t>废水</w:t>
            </w:r>
            <w:r>
              <w:rPr>
                <w:rFonts w:ascii="Times New Roman" w:hAnsi="Times New Roman" w:cs="Times New Roman"/>
                <w:b/>
                <w:color w:val="000000" w:themeColor="text1"/>
                <w:sz w:val="24"/>
                <w:szCs w:val="24"/>
              </w:rPr>
              <w:t>污染源产排情况</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bCs/>
                <w:color w:val="000000" w:themeColor="text1"/>
                <w:sz w:val="24"/>
                <w:szCs w:val="24"/>
              </w:rPr>
              <w:t>根据水平衡可知，项目</w:t>
            </w:r>
            <w:r>
              <w:rPr>
                <w:rFonts w:ascii="Times New Roman" w:hAnsi="Times New Roman" w:cs="Times New Roman"/>
                <w:bCs/>
                <w:color w:val="000000" w:themeColor="text1"/>
                <w:sz w:val="24"/>
                <w:szCs w:val="24"/>
              </w:rPr>
              <w:t>砂石骨料生产废水量为420m³/d（合计126000m³/a）</w:t>
            </w:r>
            <w:r>
              <w:rPr>
                <w:rFonts w:hint="eastAsia" w:ascii="Times New Roman" w:hAnsi="Times New Roman" w:cs="Times New Roman"/>
                <w:bCs/>
                <w:color w:val="000000" w:themeColor="text1"/>
                <w:sz w:val="24"/>
                <w:szCs w:val="24"/>
              </w:rPr>
              <w:t>，</w:t>
            </w:r>
            <w:r>
              <w:rPr>
                <w:rFonts w:hint="eastAsia" w:ascii="Times New Roman" w:hAnsi="Times New Roman" w:cs="Times New Roman"/>
                <w:color w:val="000000" w:themeColor="text1"/>
                <w:sz w:val="24"/>
                <w:szCs w:val="24"/>
              </w:rPr>
              <w:t>按照</w:t>
            </w:r>
            <w:r>
              <w:rPr>
                <w:rFonts w:ascii="Times New Roman" w:hAnsi="Times New Roman" w:cs="Times New Roman"/>
                <w:color w:val="000000" w:themeColor="text1"/>
                <w:sz w:val="24"/>
                <w:szCs w:val="24"/>
              </w:rPr>
              <w:t>《排放源统计调查产排污核算方法和系数手册》中“303砖瓦、石材等建筑材料制造行业系数手册”中“3039其他建筑材料制造”废水的产污系数如下表所示。</w:t>
            </w:r>
          </w:p>
          <w:p>
            <w:pPr>
              <w:jc w:val="center"/>
              <w:rPr>
                <w:rFonts w:ascii="Times New Roman" w:hAnsi="Times New Roman" w:eastAsia="宋体" w:cs="Times New Roman"/>
                <w:b/>
                <w:color w:val="000000" w:themeColor="text1"/>
                <w:szCs w:val="24"/>
              </w:rPr>
            </w:pPr>
            <w:r>
              <w:rPr>
                <w:rFonts w:ascii="Times New Roman" w:hAnsi="Times New Roman" w:eastAsia="宋体" w:cs="Times New Roman"/>
                <w:b/>
                <w:color w:val="000000" w:themeColor="text1"/>
                <w:szCs w:val="24"/>
              </w:rPr>
              <w:t>表</w:t>
            </w:r>
            <w:r>
              <w:rPr>
                <w:rFonts w:hint="eastAsia" w:ascii="Times New Roman" w:hAnsi="Times New Roman" w:eastAsia="宋体" w:cs="Times New Roman"/>
                <w:b/>
                <w:color w:val="000000" w:themeColor="text1"/>
                <w:szCs w:val="24"/>
              </w:rPr>
              <w:t>4.2.2-3</w:t>
            </w:r>
            <w:r>
              <w:rPr>
                <w:rFonts w:ascii="Times New Roman" w:hAnsi="Times New Roman" w:eastAsia="宋体" w:cs="Times New Roman"/>
                <w:b/>
                <w:color w:val="000000" w:themeColor="text1"/>
                <w:szCs w:val="24"/>
              </w:rPr>
              <w:t xml:space="preserve">   3039其他建筑材料制造行业系数表</w:t>
            </w:r>
          </w:p>
          <w:tbl>
            <w:tblPr>
              <w:tblStyle w:val="2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82"/>
              <w:gridCol w:w="716"/>
              <w:gridCol w:w="859"/>
              <w:gridCol w:w="715"/>
              <w:gridCol w:w="573"/>
              <w:gridCol w:w="859"/>
              <w:gridCol w:w="858"/>
              <w:gridCol w:w="716"/>
              <w:gridCol w:w="1574"/>
              <w:gridCol w:w="105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6" w:hRule="atLeast"/>
              </w:trPr>
              <w:tc>
                <w:tcPr>
                  <w:tcW w:w="675" w:type="dxa"/>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工段名称</w:t>
                  </w:r>
                </w:p>
              </w:tc>
              <w:tc>
                <w:tcPr>
                  <w:tcW w:w="709" w:type="dxa"/>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产品名称</w:t>
                  </w:r>
                </w:p>
              </w:tc>
              <w:tc>
                <w:tcPr>
                  <w:tcW w:w="851" w:type="dxa"/>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工艺名称</w:t>
                  </w:r>
                </w:p>
              </w:tc>
              <w:tc>
                <w:tcPr>
                  <w:tcW w:w="708" w:type="dxa"/>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规模等级</w:t>
                  </w:r>
                </w:p>
              </w:tc>
              <w:tc>
                <w:tcPr>
                  <w:tcW w:w="1418" w:type="dxa"/>
                  <w:gridSpan w:val="2"/>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污染物指标</w:t>
                  </w:r>
                </w:p>
              </w:tc>
              <w:tc>
                <w:tcPr>
                  <w:tcW w:w="850" w:type="dxa"/>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系数单位</w:t>
                  </w:r>
                </w:p>
              </w:tc>
              <w:tc>
                <w:tcPr>
                  <w:tcW w:w="709" w:type="dxa"/>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产污系数</w:t>
                  </w:r>
                </w:p>
              </w:tc>
              <w:tc>
                <w:tcPr>
                  <w:tcW w:w="1559" w:type="dxa"/>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末端治理技术</w:t>
                  </w:r>
                </w:p>
              </w:tc>
              <w:tc>
                <w:tcPr>
                  <w:tcW w:w="1043" w:type="dxa"/>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末端治理技术效率（%）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6" w:hRule="atLeast"/>
              </w:trPr>
              <w:tc>
                <w:tcPr>
                  <w:tcW w:w="675" w:type="dxa"/>
                  <w:vMerge w:val="restart"/>
                  <w:tcBorders>
                    <w:top w:val="single" w:color="auto" w:sz="4" w:space="0"/>
                  </w:tcBorders>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w:t>
                  </w:r>
                </w:p>
              </w:tc>
              <w:tc>
                <w:tcPr>
                  <w:tcW w:w="709" w:type="dxa"/>
                  <w:vMerge w:val="restart"/>
                  <w:tcBorders>
                    <w:top w:val="single" w:color="auto" w:sz="4" w:space="0"/>
                  </w:tcBorders>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砂石骨料</w:t>
                  </w:r>
                </w:p>
              </w:tc>
              <w:tc>
                <w:tcPr>
                  <w:tcW w:w="851" w:type="dxa"/>
                  <w:vMerge w:val="restart"/>
                  <w:tcBorders>
                    <w:top w:val="single" w:color="auto" w:sz="4" w:space="0"/>
                  </w:tcBorders>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岩石、矿石、建筑固体废弃物、尾矿等</w:t>
                  </w:r>
                </w:p>
              </w:tc>
              <w:tc>
                <w:tcPr>
                  <w:tcW w:w="708" w:type="dxa"/>
                  <w:vMerge w:val="restart"/>
                  <w:tcBorders>
                    <w:top w:val="single" w:color="auto" w:sz="4" w:space="0"/>
                  </w:tcBorders>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所有规模</w:t>
                  </w:r>
                </w:p>
              </w:tc>
              <w:tc>
                <w:tcPr>
                  <w:tcW w:w="567" w:type="dxa"/>
                  <w:vMerge w:val="restart"/>
                  <w:tcBorders>
                    <w:top w:val="single" w:color="auto" w:sz="4" w:space="0"/>
                  </w:tcBorders>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废水</w:t>
                  </w:r>
                </w:p>
              </w:tc>
              <w:tc>
                <w:tcPr>
                  <w:tcW w:w="851" w:type="dxa"/>
                  <w:vMerge w:val="restart"/>
                  <w:tcBorders>
                    <w:top w:val="single" w:color="auto" w:sz="4" w:space="0"/>
                  </w:tcBorders>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化学需氧量</w:t>
                  </w:r>
                </w:p>
              </w:tc>
              <w:tc>
                <w:tcPr>
                  <w:tcW w:w="850" w:type="dxa"/>
                  <w:vMerge w:val="restart"/>
                  <w:tcBorders>
                    <w:top w:val="single" w:color="auto" w:sz="4" w:space="0"/>
                  </w:tcBorders>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克/吨-产品</w:t>
                  </w:r>
                </w:p>
              </w:tc>
              <w:tc>
                <w:tcPr>
                  <w:tcW w:w="709" w:type="dxa"/>
                  <w:vMerge w:val="restart"/>
                  <w:tcBorders>
                    <w:top w:val="single" w:color="auto" w:sz="4" w:space="0"/>
                  </w:tcBorders>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11.4</w:t>
                  </w:r>
                </w:p>
              </w:tc>
              <w:tc>
                <w:tcPr>
                  <w:tcW w:w="1559" w:type="dxa"/>
                  <w:tcBorders>
                    <w:top w:val="single" w:color="auto" w:sz="4" w:space="0"/>
                    <w:bottom w:val="single" w:color="auto" w:sz="4" w:space="0"/>
                  </w:tcBorders>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沉淀分离+循环利用</w:t>
                  </w:r>
                </w:p>
              </w:tc>
              <w:tc>
                <w:tcPr>
                  <w:tcW w:w="1043" w:type="dxa"/>
                  <w:tcBorders>
                    <w:top w:val="single" w:color="auto" w:sz="4" w:space="0"/>
                    <w:bottom w:val="single" w:color="auto" w:sz="4" w:space="0"/>
                  </w:tcBorders>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5" w:hRule="atLeast"/>
              </w:trPr>
              <w:tc>
                <w:tcPr>
                  <w:tcW w:w="675"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709"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851"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708"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567"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851"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850"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709"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1559" w:type="dxa"/>
                  <w:tcBorders>
                    <w:top w:val="single" w:color="auto" w:sz="4" w:space="0"/>
                    <w:bottom w:val="single" w:color="auto" w:sz="4" w:space="0"/>
                  </w:tcBorders>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压滤（过来）+循环利用</w:t>
                  </w:r>
                </w:p>
              </w:tc>
              <w:tc>
                <w:tcPr>
                  <w:tcW w:w="1043" w:type="dxa"/>
                  <w:tcBorders>
                    <w:top w:val="single" w:color="auto" w:sz="4" w:space="0"/>
                    <w:bottom w:val="single" w:color="auto" w:sz="4" w:space="0"/>
                  </w:tcBorders>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 w:hRule="atLeast"/>
              </w:trPr>
              <w:tc>
                <w:tcPr>
                  <w:tcW w:w="675"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709"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851"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708"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567"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851"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850"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709"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1559" w:type="dxa"/>
                  <w:tcBorders>
                    <w:top w:val="single" w:color="auto" w:sz="4" w:space="0"/>
                    <w:bottom w:val="single" w:color="auto" w:sz="4" w:space="0"/>
                  </w:tcBorders>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w:t>
                  </w:r>
                </w:p>
              </w:tc>
              <w:tc>
                <w:tcPr>
                  <w:tcW w:w="1043" w:type="dxa"/>
                  <w:tcBorders>
                    <w:top w:val="single" w:color="auto" w:sz="4" w:space="0"/>
                    <w:bottom w:val="single" w:color="auto" w:sz="4" w:space="0"/>
                  </w:tcBorders>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7" w:hRule="atLeast"/>
              </w:trPr>
              <w:tc>
                <w:tcPr>
                  <w:tcW w:w="675"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709"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851"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708"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567"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851" w:type="dxa"/>
                  <w:vMerge w:val="restart"/>
                  <w:tcBorders>
                    <w:top w:val="single" w:color="auto" w:sz="4" w:space="0"/>
                  </w:tcBorders>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石油类</w:t>
                  </w:r>
                </w:p>
              </w:tc>
              <w:tc>
                <w:tcPr>
                  <w:tcW w:w="850" w:type="dxa"/>
                  <w:vMerge w:val="restart"/>
                  <w:tcBorders>
                    <w:top w:val="single" w:color="auto" w:sz="4" w:space="0"/>
                  </w:tcBorders>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克/吨-产品</w:t>
                  </w:r>
                </w:p>
              </w:tc>
              <w:tc>
                <w:tcPr>
                  <w:tcW w:w="709" w:type="dxa"/>
                  <w:vMerge w:val="restart"/>
                  <w:tcBorders>
                    <w:top w:val="single" w:color="auto" w:sz="4" w:space="0"/>
                  </w:tcBorders>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1.42</w:t>
                  </w:r>
                </w:p>
              </w:tc>
              <w:tc>
                <w:tcPr>
                  <w:tcW w:w="1559" w:type="dxa"/>
                  <w:tcBorders>
                    <w:top w:val="single" w:color="auto" w:sz="4" w:space="0"/>
                    <w:bottom w:val="single" w:color="auto" w:sz="4" w:space="0"/>
                  </w:tcBorders>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沉淀分离+循环利用</w:t>
                  </w:r>
                </w:p>
              </w:tc>
              <w:tc>
                <w:tcPr>
                  <w:tcW w:w="1043" w:type="dxa"/>
                  <w:tcBorders>
                    <w:top w:val="single" w:color="auto" w:sz="4" w:space="0"/>
                    <w:bottom w:val="single" w:color="auto" w:sz="4" w:space="0"/>
                  </w:tcBorders>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8" w:hRule="atLeast"/>
              </w:trPr>
              <w:tc>
                <w:tcPr>
                  <w:tcW w:w="675"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709"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851"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708"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567"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851"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850"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709"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1559" w:type="dxa"/>
                  <w:tcBorders>
                    <w:top w:val="single" w:color="auto" w:sz="4" w:space="0"/>
                    <w:bottom w:val="single" w:color="auto" w:sz="4" w:space="0"/>
                  </w:tcBorders>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压滤（过来）+循环利用</w:t>
                  </w:r>
                </w:p>
              </w:tc>
              <w:tc>
                <w:tcPr>
                  <w:tcW w:w="1043" w:type="dxa"/>
                  <w:tcBorders>
                    <w:top w:val="single" w:color="auto" w:sz="4" w:space="0"/>
                    <w:bottom w:val="single" w:color="auto" w:sz="4" w:space="0"/>
                  </w:tcBorders>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 w:hRule="atLeast"/>
              </w:trPr>
              <w:tc>
                <w:tcPr>
                  <w:tcW w:w="675"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709"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851"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708"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567"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851"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850"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709" w:type="dxa"/>
                  <w:vMerge w:val="continue"/>
                  <w:vAlign w:val="center"/>
                </w:tcPr>
                <w:p>
                  <w:pPr>
                    <w:pStyle w:val="32"/>
                    <w:spacing w:before="100" w:beforeAutospacing="1" w:after="100" w:afterAutospacing="1" w:line="360" w:lineRule="exact"/>
                    <w:rPr>
                      <w:rFonts w:eastAsiaTheme="minorEastAsia"/>
                      <w:color w:val="000000" w:themeColor="text1"/>
                      <w:szCs w:val="21"/>
                    </w:rPr>
                  </w:pPr>
                </w:p>
              </w:tc>
              <w:tc>
                <w:tcPr>
                  <w:tcW w:w="1559" w:type="dxa"/>
                  <w:tcBorders>
                    <w:top w:val="single" w:color="auto" w:sz="4" w:space="0"/>
                    <w:bottom w:val="single" w:color="auto" w:sz="4" w:space="0"/>
                  </w:tcBorders>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w:t>
                  </w:r>
                </w:p>
              </w:tc>
              <w:tc>
                <w:tcPr>
                  <w:tcW w:w="1043" w:type="dxa"/>
                  <w:tcBorders>
                    <w:top w:val="single" w:color="auto" w:sz="4" w:space="0"/>
                    <w:bottom w:val="single" w:color="auto" w:sz="4" w:space="0"/>
                  </w:tcBorders>
                  <w:vAlign w:val="center"/>
                </w:tcPr>
                <w:p>
                  <w:pPr>
                    <w:pStyle w:val="32"/>
                    <w:spacing w:before="100" w:beforeAutospacing="1" w:after="100" w:afterAutospacing="1" w:line="360" w:lineRule="exact"/>
                    <w:rPr>
                      <w:rFonts w:eastAsiaTheme="minorEastAsia"/>
                      <w:color w:val="000000" w:themeColor="text1"/>
                      <w:szCs w:val="21"/>
                    </w:rPr>
                  </w:pPr>
                  <w:r>
                    <w:rPr>
                      <w:rFonts w:eastAsiaTheme="minorEastAsia"/>
                      <w:color w:val="000000" w:themeColor="text1"/>
                      <w:szCs w:val="21"/>
                    </w:rPr>
                    <w:t>0</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由上表可知，项目砂石骨料年产量为90万t/a，则</w:t>
            </w:r>
            <w:r>
              <w:rPr>
                <w:rFonts w:hint="eastAsia" w:ascii="Times New Roman" w:hAnsi="Times New Roman" w:cs="Times New Roman"/>
                <w:color w:val="000000" w:themeColor="text1"/>
                <w:sz w:val="24"/>
                <w:szCs w:val="24"/>
              </w:rPr>
              <w:t>CODcr产生量为10.26t/a，石油类产生量为1.28t/a；针对项目砂石骨料生产废水，</w:t>
            </w:r>
            <w:r>
              <w:rPr>
                <w:rFonts w:ascii="Times New Roman" w:hAnsi="Times New Roman" w:cs="Times New Roman"/>
                <w:color w:val="000000" w:themeColor="text1"/>
                <w:sz w:val="24"/>
                <w:szCs w:val="24"/>
              </w:rPr>
              <w:t>项目拟设置</w:t>
            </w:r>
            <w:r>
              <w:rPr>
                <w:rFonts w:hint="eastAsia"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套砂石骨料生产废水处理系统对生产废水进行处理，</w:t>
            </w:r>
            <w:r>
              <w:rPr>
                <w:rFonts w:ascii="Times New Roman" w:hAnsi="Times New Roman" w:cs="Times New Roman"/>
                <w:color w:val="FF0000"/>
                <w:sz w:val="24"/>
                <w:szCs w:val="24"/>
              </w:rPr>
              <w:t>该系统由</w:t>
            </w:r>
            <w:r>
              <w:rPr>
                <w:rFonts w:hint="eastAsia" w:ascii="Times New Roman" w:hAnsi="Times New Roman" w:cs="Times New Roman"/>
                <w:color w:val="FF0000"/>
                <w:sz w:val="24"/>
                <w:szCs w:val="24"/>
              </w:rPr>
              <w:t>1组有效容积为60m³的三级沉淀池、1个10m³回水池和回水管道</w:t>
            </w:r>
            <w:r>
              <w:rPr>
                <w:rFonts w:ascii="Times New Roman" w:hAnsi="Times New Roman" w:cs="Times New Roman"/>
                <w:color w:val="FF0000"/>
                <w:sz w:val="24"/>
                <w:szCs w:val="24"/>
              </w:rPr>
              <w:t>组成。</w:t>
            </w:r>
            <w:r>
              <w:rPr>
                <w:rFonts w:ascii="Times New Roman" w:hAnsi="Times New Roman" w:cs="Times New Roman"/>
                <w:color w:val="000000" w:themeColor="text1"/>
                <w:sz w:val="24"/>
                <w:szCs w:val="24"/>
              </w:rPr>
              <w:t>首先进入三级沉淀池进行沉淀，沉淀后，约90%的上层清水进入回水池回用于骨料生产系统，而三级沉淀池产生的的含水污泥则进入</w:t>
            </w:r>
            <w:r>
              <w:rPr>
                <w:rFonts w:hint="eastAsia" w:ascii="Times New Roman" w:hAnsi="Times New Roman" w:cs="Times New Roman"/>
                <w:color w:val="000000" w:themeColor="text1"/>
                <w:sz w:val="24"/>
                <w:szCs w:val="24"/>
              </w:rPr>
              <w:t>建设单位建设的</w:t>
            </w:r>
            <w:r>
              <w:rPr>
                <w:rFonts w:ascii="Times New Roman" w:hAnsi="Times New Roman" w:cs="Times New Roman"/>
                <w:color w:val="000000" w:themeColor="text1"/>
                <w:sz w:val="24"/>
                <w:szCs w:val="24"/>
              </w:rPr>
              <w:t>昆明市东川金水矿业有限责任公司牛厂坪尾矿充填环境综合治理项目</w:t>
            </w:r>
            <w:r>
              <w:rPr>
                <w:rFonts w:hint="eastAsia" w:ascii="Times New Roman" w:hAnsi="Times New Roman" w:cs="Times New Roman"/>
                <w:color w:val="000000" w:themeColor="text1"/>
                <w:sz w:val="24"/>
                <w:szCs w:val="24"/>
              </w:rPr>
              <w:t>进行井下充填处理。则CODcr和石油类的去除效率为30%，去除后约CODcr回用量为2.77t/a，石油类回用量为0.31t/a；CODcr依托处置量为0.31t/a，石油类依托处置量为0.04t/a。</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2 \* GB2 </w:instrText>
            </w:r>
            <w:r>
              <w:rPr>
                <w:rFonts w:ascii="Times New Roman" w:hAnsi="Times New Roman" w:cs="Times New Roman"/>
                <w:b/>
                <w:color w:val="000000" w:themeColor="text1"/>
                <w:sz w:val="24"/>
                <w:szCs w:val="24"/>
              </w:rPr>
              <w:fldChar w:fldCharType="separate"/>
            </w:r>
            <w:r>
              <w:rPr>
                <w:rFonts w:hint="eastAsia" w:ascii="宋体" w:hAnsi="宋体" w:eastAsia="宋体" w:cs="宋体"/>
                <w:b/>
                <w:color w:val="000000" w:themeColor="text1"/>
                <w:sz w:val="24"/>
                <w:szCs w:val="24"/>
              </w:rPr>
              <w:t>⑵</w:t>
            </w:r>
            <w:r>
              <w:rPr>
                <w:rFonts w:ascii="Times New Roman" w:hAnsi="Times New Roman" w:cs="Times New Roman"/>
                <w:b/>
                <w:color w:val="000000" w:themeColor="text1"/>
                <w:sz w:val="24"/>
                <w:szCs w:val="24"/>
              </w:rPr>
              <w:fldChar w:fldCharType="end"/>
            </w:r>
            <w:r>
              <w:rPr>
                <w:rFonts w:hint="eastAsia" w:ascii="Times New Roman" w:hAnsi="Times New Roman" w:cs="Times New Roman"/>
                <w:b/>
                <w:color w:val="000000" w:themeColor="text1"/>
                <w:sz w:val="24"/>
                <w:szCs w:val="24"/>
              </w:rPr>
              <w:t>一期工程</w:t>
            </w:r>
            <w:r>
              <w:rPr>
                <w:rFonts w:ascii="Times New Roman" w:hAnsi="Times New Roman" w:cs="Times New Roman"/>
                <w:b/>
                <w:color w:val="000000" w:themeColor="text1"/>
                <w:sz w:val="24"/>
                <w:szCs w:val="24"/>
              </w:rPr>
              <w:t>初期雨水产排量情况</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w:t>
            </w:r>
            <w:r>
              <w:rPr>
                <w:rFonts w:hint="eastAsia" w:ascii="Times New Roman" w:hAnsi="Times New Roman" w:cs="Times New Roman"/>
                <w:color w:val="000000" w:themeColor="text1"/>
                <w:sz w:val="24"/>
              </w:rPr>
              <w:t>一期工程</w:t>
            </w:r>
            <w:r>
              <w:rPr>
                <w:rFonts w:ascii="Times New Roman" w:hAnsi="Times New Roman" w:cs="Times New Roman"/>
                <w:color w:val="000000" w:themeColor="text1"/>
                <w:sz w:val="24"/>
              </w:rPr>
              <w:t>水平衡和废水污染物治理措施可知，项目</w:t>
            </w:r>
            <w:r>
              <w:rPr>
                <w:rFonts w:hint="eastAsia" w:ascii="Times New Roman" w:hAnsi="Times New Roman" w:cs="Times New Roman"/>
                <w:color w:val="000000" w:themeColor="text1"/>
                <w:sz w:val="24"/>
              </w:rPr>
              <w:t>一期工程</w:t>
            </w:r>
            <w:r>
              <w:rPr>
                <w:rFonts w:ascii="Times New Roman" w:hAnsi="Times New Roman" w:cs="Times New Roman"/>
                <w:color w:val="000000" w:themeColor="text1"/>
                <w:sz w:val="24"/>
              </w:rPr>
              <w:t>初期雨水产生量约为</w:t>
            </w:r>
            <w:r>
              <w:rPr>
                <w:rFonts w:hint="eastAsia" w:ascii="Times New Roman" w:hAnsi="Times New Roman" w:cs="Times New Roman"/>
                <w:color w:val="000000" w:themeColor="text1"/>
                <w:sz w:val="24"/>
              </w:rPr>
              <w:t>6.71</w:t>
            </w:r>
            <w:r>
              <w:rPr>
                <w:rFonts w:ascii="Times New Roman" w:hAnsi="Times New Roman" w:cs="Times New Roman"/>
                <w:color w:val="000000" w:themeColor="text1"/>
                <w:sz w:val="24"/>
              </w:rPr>
              <w:t>m³/次，</w:t>
            </w:r>
            <w:r>
              <w:rPr>
                <w:rFonts w:hint="eastAsia" w:ascii="Times New Roman" w:hAnsi="Times New Roman" w:cs="Times New Roman"/>
                <w:color w:val="000000" w:themeColor="text1"/>
                <w:sz w:val="24"/>
              </w:rPr>
              <w:t>一期工程拟配套设置1个有效容积为9m³的初期雨水收集池对厂区一期工程范围初期雨水进行收集；收集后用于该项目生产，不外排。</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w:instrText>
            </w:r>
            <w:r>
              <w:rPr>
                <w:rFonts w:hint="eastAsia" w:ascii="Times New Roman" w:hAnsi="Times New Roman" w:cs="Times New Roman"/>
                <w:b/>
                <w:color w:val="000000" w:themeColor="text1"/>
                <w:sz w:val="24"/>
                <w:szCs w:val="24"/>
              </w:rPr>
              <w:instrText xml:space="preserve">= 1 \* GB4</w:instrText>
            </w:r>
            <w:r>
              <w:rPr>
                <w:rFonts w:ascii="Times New Roman" w:hAnsi="Times New Roman" w:cs="Times New Roman"/>
                <w:b/>
                <w:color w:val="000000" w:themeColor="text1"/>
                <w:sz w:val="24"/>
                <w:szCs w:val="24"/>
              </w:rPr>
              <w:instrText xml:space="preserve">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㈠</w:t>
            </w:r>
            <w:r>
              <w:rPr>
                <w:rFonts w:ascii="Times New Roman" w:hAnsi="Times New Roman" w:cs="Times New Roman"/>
                <w:b/>
                <w:color w:val="000000" w:themeColor="text1"/>
                <w:sz w:val="24"/>
                <w:szCs w:val="24"/>
              </w:rPr>
              <w:fldChar w:fldCharType="end"/>
            </w:r>
            <w:r>
              <w:rPr>
                <w:rFonts w:hint="eastAsia" w:ascii="Times New Roman" w:hAnsi="Times New Roman" w:cs="Times New Roman"/>
                <w:b/>
                <w:color w:val="000000" w:themeColor="text1"/>
                <w:sz w:val="24"/>
                <w:szCs w:val="24"/>
              </w:rPr>
              <w:t>二期工程废水</w:t>
            </w:r>
            <w:r>
              <w:rPr>
                <w:rFonts w:ascii="Times New Roman" w:hAnsi="Times New Roman" w:cs="Times New Roman"/>
                <w:b/>
                <w:color w:val="000000" w:themeColor="text1"/>
                <w:sz w:val="24"/>
                <w:szCs w:val="24"/>
              </w:rPr>
              <w:t>污染源产排情况</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1 \* GB2 </w:instrText>
            </w:r>
            <w:r>
              <w:rPr>
                <w:rFonts w:ascii="Times New Roman" w:hAnsi="Times New Roman" w:cs="Times New Roman"/>
                <w:b/>
                <w:color w:val="000000" w:themeColor="text1"/>
                <w:sz w:val="24"/>
                <w:szCs w:val="24"/>
              </w:rPr>
              <w:fldChar w:fldCharType="separate"/>
            </w:r>
            <w:r>
              <w:rPr>
                <w:rFonts w:hint="eastAsia" w:ascii="宋体" w:hAnsi="宋体" w:eastAsia="宋体" w:cs="宋体"/>
                <w:b/>
                <w:color w:val="000000" w:themeColor="text1"/>
                <w:sz w:val="24"/>
                <w:szCs w:val="24"/>
              </w:rPr>
              <w:t>⑴</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水泥砖养护废水污染源产排情况</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根据水平衡和废水污染物治理措施可知，项目水泥砖养护废水</w:t>
            </w:r>
            <w:r>
              <w:rPr>
                <w:rFonts w:hint="eastAsia" w:ascii="Times New Roman" w:hAnsi="Times New Roman" w:cs="Times New Roman"/>
                <w:color w:val="000000" w:themeColor="text1"/>
                <w:sz w:val="24"/>
              </w:rPr>
              <w:t>产生量为2.3</w:t>
            </w:r>
            <w:r>
              <w:rPr>
                <w:rFonts w:ascii="Times New Roman" w:hAnsi="Times New Roman" w:cs="Times New Roman"/>
                <w:color w:val="000000" w:themeColor="text1"/>
                <w:sz w:val="24"/>
              </w:rPr>
              <w:t>m³/d，</w:t>
            </w:r>
            <w:r>
              <w:rPr>
                <w:rFonts w:hint="eastAsia" w:ascii="Times New Roman" w:hAnsi="Times New Roman" w:cs="Times New Roman"/>
                <w:color w:val="000000" w:themeColor="text1"/>
                <w:sz w:val="24"/>
              </w:rPr>
              <w:t>项目拟设置1个有效容积为6</w:t>
            </w:r>
            <w:r>
              <w:rPr>
                <w:rFonts w:ascii="Times New Roman" w:hAnsi="Times New Roman" w:cs="Times New Roman"/>
                <w:color w:val="000000" w:themeColor="text1"/>
                <w:sz w:val="24"/>
              </w:rPr>
              <w:t>m³</w:t>
            </w:r>
            <w:r>
              <w:rPr>
                <w:rFonts w:hint="eastAsia" w:ascii="Times New Roman" w:hAnsi="Times New Roman" w:cs="Times New Roman"/>
                <w:color w:val="000000" w:themeColor="text1"/>
                <w:sz w:val="24"/>
              </w:rPr>
              <w:t>的养护废水收集池对其进行收集后，返回养护工序使用，不外排。</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2 \* GB2 </w:instrText>
            </w:r>
            <w:r>
              <w:rPr>
                <w:rFonts w:ascii="Times New Roman" w:hAnsi="Times New Roman" w:cs="Times New Roman"/>
                <w:b/>
                <w:color w:val="000000" w:themeColor="text1"/>
                <w:sz w:val="24"/>
                <w:szCs w:val="24"/>
              </w:rPr>
              <w:fldChar w:fldCharType="separate"/>
            </w:r>
            <w:r>
              <w:rPr>
                <w:rFonts w:hint="eastAsia" w:ascii="宋体" w:hAnsi="宋体" w:eastAsia="宋体" w:cs="宋体"/>
                <w:b/>
                <w:color w:val="000000" w:themeColor="text1"/>
                <w:sz w:val="24"/>
                <w:szCs w:val="24"/>
              </w:rPr>
              <w:t>⑵</w:t>
            </w:r>
            <w:r>
              <w:rPr>
                <w:rFonts w:ascii="Times New Roman" w:hAnsi="Times New Roman" w:cs="Times New Roman"/>
                <w:b/>
                <w:color w:val="000000" w:themeColor="text1"/>
                <w:sz w:val="24"/>
                <w:szCs w:val="24"/>
              </w:rPr>
              <w:fldChar w:fldCharType="end"/>
            </w:r>
            <w:r>
              <w:rPr>
                <w:rFonts w:hint="eastAsia" w:ascii="Times New Roman" w:hAnsi="Times New Roman" w:cs="Times New Roman"/>
                <w:b/>
                <w:color w:val="000000" w:themeColor="text1"/>
                <w:sz w:val="24"/>
                <w:szCs w:val="24"/>
              </w:rPr>
              <w:t>二期工程</w:t>
            </w:r>
            <w:r>
              <w:rPr>
                <w:rFonts w:ascii="Times New Roman" w:hAnsi="Times New Roman" w:cs="Times New Roman"/>
                <w:b/>
                <w:color w:val="000000" w:themeColor="text1"/>
                <w:sz w:val="24"/>
                <w:szCs w:val="24"/>
              </w:rPr>
              <w:t>初期雨水产排量情况</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w:t>
            </w:r>
            <w:r>
              <w:rPr>
                <w:rFonts w:hint="eastAsia" w:ascii="Times New Roman" w:hAnsi="Times New Roman" w:cs="Times New Roman"/>
                <w:color w:val="000000" w:themeColor="text1"/>
                <w:sz w:val="24"/>
              </w:rPr>
              <w:t>二期工程</w:t>
            </w:r>
            <w:r>
              <w:rPr>
                <w:rFonts w:ascii="Times New Roman" w:hAnsi="Times New Roman" w:cs="Times New Roman"/>
                <w:color w:val="000000" w:themeColor="text1"/>
                <w:sz w:val="24"/>
              </w:rPr>
              <w:t>水平衡和废水污染物治理措施可知，项目</w:t>
            </w:r>
            <w:r>
              <w:rPr>
                <w:rFonts w:hint="eastAsia" w:ascii="Times New Roman" w:hAnsi="Times New Roman" w:cs="Times New Roman"/>
                <w:color w:val="000000" w:themeColor="text1"/>
                <w:sz w:val="24"/>
              </w:rPr>
              <w:t>二期工程</w:t>
            </w:r>
            <w:r>
              <w:rPr>
                <w:rFonts w:ascii="Times New Roman" w:hAnsi="Times New Roman" w:cs="Times New Roman"/>
                <w:color w:val="000000" w:themeColor="text1"/>
                <w:sz w:val="24"/>
              </w:rPr>
              <w:t>初期雨水产生量约为</w:t>
            </w:r>
            <w:r>
              <w:rPr>
                <w:rFonts w:hint="eastAsia" w:ascii="Times New Roman" w:hAnsi="Times New Roman" w:cs="Times New Roman"/>
                <w:color w:val="000000" w:themeColor="text1"/>
                <w:sz w:val="24"/>
              </w:rPr>
              <w:t>2.87</w:t>
            </w:r>
            <w:r>
              <w:rPr>
                <w:rFonts w:ascii="Times New Roman" w:hAnsi="Times New Roman" w:cs="Times New Roman"/>
                <w:color w:val="000000" w:themeColor="text1"/>
                <w:sz w:val="24"/>
              </w:rPr>
              <w:t>m³/次，</w:t>
            </w:r>
            <w:r>
              <w:rPr>
                <w:rFonts w:hint="eastAsia" w:ascii="Times New Roman" w:hAnsi="Times New Roman" w:cs="Times New Roman"/>
                <w:color w:val="000000" w:themeColor="text1"/>
                <w:sz w:val="24"/>
              </w:rPr>
              <w:t>二期工程拟配套设置1个有效容积为5m³的初期雨水收集池对厂区二期工程范围初期雨水进行收集；收集后用于该项目生产，不外排。</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w:instrText>
            </w:r>
            <w:r>
              <w:rPr>
                <w:rFonts w:hint="eastAsia" w:ascii="Times New Roman" w:hAnsi="Times New Roman" w:cs="Times New Roman"/>
                <w:b/>
                <w:color w:val="000000" w:themeColor="text1"/>
                <w:sz w:val="24"/>
                <w:szCs w:val="24"/>
              </w:rPr>
              <w:instrText xml:space="preserve">= 3 \* GB4</w:instrText>
            </w:r>
            <w:r>
              <w:rPr>
                <w:rFonts w:ascii="Times New Roman" w:hAnsi="Times New Roman" w:cs="Times New Roman"/>
                <w:b/>
                <w:color w:val="000000" w:themeColor="text1"/>
                <w:sz w:val="24"/>
                <w:szCs w:val="24"/>
              </w:rPr>
              <w:instrText xml:space="preserve">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㈢</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生活污水产排量及达标情况</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FF0000"/>
                <w:sz w:val="24"/>
              </w:rPr>
              <w:t>根据水平衡可知，项目</w:t>
            </w:r>
            <w:r>
              <w:rPr>
                <w:rFonts w:hint="eastAsia" w:ascii="Times New Roman" w:hAnsi="Times New Roman" w:cs="Times New Roman"/>
                <w:color w:val="FF0000"/>
                <w:sz w:val="24"/>
              </w:rPr>
              <w:t>生活污水</w:t>
            </w:r>
            <w:r>
              <w:rPr>
                <w:rFonts w:ascii="Times New Roman" w:hAnsi="Times New Roman" w:cs="Times New Roman"/>
                <w:color w:val="FF0000"/>
                <w:sz w:val="24"/>
              </w:rPr>
              <w:t>量为</w:t>
            </w:r>
            <w:r>
              <w:rPr>
                <w:rFonts w:hint="eastAsia" w:ascii="Times New Roman" w:hAnsi="Times New Roman" w:cs="Times New Roman"/>
                <w:color w:val="FF0000"/>
                <w:sz w:val="24"/>
              </w:rPr>
              <w:t>0.96</w:t>
            </w:r>
            <w:r>
              <w:rPr>
                <w:rFonts w:ascii="Times New Roman" w:hAnsi="Times New Roman" w:cs="Times New Roman"/>
                <w:color w:val="FF0000"/>
                <w:sz w:val="24"/>
              </w:rPr>
              <w:t>m³/d，合计为</w:t>
            </w:r>
            <w:r>
              <w:rPr>
                <w:rFonts w:hint="eastAsia" w:ascii="Times New Roman" w:hAnsi="Times New Roman" w:cs="Times New Roman"/>
                <w:color w:val="FF0000"/>
                <w:sz w:val="24"/>
              </w:rPr>
              <w:t>288</w:t>
            </w:r>
            <w:r>
              <w:rPr>
                <w:rFonts w:ascii="Times New Roman" w:hAnsi="Times New Roman" w:cs="Times New Roman"/>
                <w:color w:val="FF0000"/>
                <w:sz w:val="24"/>
              </w:rPr>
              <w:t>m³/a；其中食堂废水约为则废水量为0.</w:t>
            </w:r>
            <w:r>
              <w:rPr>
                <w:rFonts w:hint="eastAsia" w:ascii="Times New Roman" w:hAnsi="Times New Roman" w:cs="Times New Roman"/>
                <w:color w:val="FF0000"/>
                <w:sz w:val="24"/>
              </w:rPr>
              <w:t>4</w:t>
            </w:r>
            <w:r>
              <w:rPr>
                <w:rFonts w:ascii="Times New Roman" w:hAnsi="Times New Roman" w:cs="Times New Roman"/>
                <w:color w:val="FF0000"/>
                <w:sz w:val="24"/>
              </w:rPr>
              <w:t>8m³/d，合计为</w:t>
            </w:r>
            <w:r>
              <w:rPr>
                <w:rFonts w:hint="eastAsia" w:ascii="Times New Roman" w:hAnsi="Times New Roman" w:cs="Times New Roman"/>
                <w:color w:val="FF0000"/>
                <w:sz w:val="24"/>
              </w:rPr>
              <w:t>144</w:t>
            </w:r>
            <w:r>
              <w:rPr>
                <w:rFonts w:ascii="Times New Roman" w:hAnsi="Times New Roman" w:cs="Times New Roman"/>
                <w:color w:val="FF0000"/>
                <w:sz w:val="24"/>
              </w:rPr>
              <w:t>m³/a；</w:t>
            </w:r>
            <w:r>
              <w:rPr>
                <w:rFonts w:ascii="Times New Roman" w:hAnsi="Times New Roman" w:cs="Times New Roman"/>
                <w:color w:val="000000" w:themeColor="text1"/>
                <w:sz w:val="24"/>
              </w:rPr>
              <w:t>根据类比调查，生活污水水质如下表所示。</w: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表</w:t>
            </w:r>
            <w:r>
              <w:rPr>
                <w:rFonts w:hint="eastAsia" w:ascii="Times New Roman" w:hAnsi="Times New Roman" w:cs="Times New Roman"/>
                <w:b/>
                <w:bCs/>
                <w:color w:val="000000" w:themeColor="text1"/>
                <w:kern w:val="0"/>
              </w:rPr>
              <w:t>4.2.2-4</w:t>
            </w:r>
            <w:r>
              <w:rPr>
                <w:rFonts w:ascii="Times New Roman" w:hAnsi="Times New Roman" w:cs="Times New Roman"/>
                <w:b/>
                <w:bCs/>
                <w:color w:val="000000" w:themeColor="text1"/>
                <w:kern w:val="0"/>
              </w:rPr>
              <w:t xml:space="preserve"> 生活污水水质指标一览表 mg/L</w:t>
            </w:r>
          </w:p>
          <w:tbl>
            <w:tblPr>
              <w:tblStyle w:val="20"/>
              <w:tblW w:w="5000" w:type="pct"/>
              <w:jc w:val="center"/>
              <w:tblLayout w:type="fixed"/>
              <w:tblCellMar>
                <w:top w:w="0" w:type="dxa"/>
                <w:left w:w="108" w:type="dxa"/>
                <w:bottom w:w="0" w:type="dxa"/>
                <w:right w:w="108" w:type="dxa"/>
              </w:tblCellMar>
            </w:tblPr>
            <w:tblGrid>
              <w:gridCol w:w="809"/>
              <w:gridCol w:w="847"/>
              <w:gridCol w:w="928"/>
              <w:gridCol w:w="881"/>
              <w:gridCol w:w="694"/>
              <w:gridCol w:w="896"/>
              <w:gridCol w:w="643"/>
              <w:gridCol w:w="576"/>
              <w:gridCol w:w="1014"/>
              <w:gridCol w:w="1327"/>
            </w:tblGrid>
            <w:tr>
              <w:tblPrEx>
                <w:tblCellMar>
                  <w:top w:w="0" w:type="dxa"/>
                  <w:left w:w="108" w:type="dxa"/>
                  <w:bottom w:w="0" w:type="dxa"/>
                  <w:right w:w="108" w:type="dxa"/>
                </w:tblCellMar>
              </w:tblPrEx>
              <w:trPr>
                <w:trHeight w:val="285" w:hRule="atLeast"/>
                <w:jc w:val="center"/>
              </w:trPr>
              <w:tc>
                <w:tcPr>
                  <w:tcW w:w="733" w:type="dxa"/>
                  <w:tcBorders>
                    <w:top w:val="single" w:color="auto" w:sz="4" w:space="0"/>
                    <w:left w:val="single" w:color="auto" w:sz="8" w:space="0"/>
                    <w:bottom w:val="single" w:color="000000" w:sz="8" w:space="0"/>
                    <w:right w:val="single" w:color="auto" w:sz="8" w:space="0"/>
                  </w:tcBorders>
                  <w:vAlign w:val="center"/>
                </w:tcPr>
                <w:p>
                  <w:pPr>
                    <w:pStyle w:val="32"/>
                    <w:spacing w:line="360" w:lineRule="exact"/>
                    <w:rPr>
                      <w:rFonts w:eastAsiaTheme="minorEastAsia"/>
                      <w:color w:val="FF0000"/>
                      <w:szCs w:val="21"/>
                      <w:lang w:val="en-US"/>
                    </w:rPr>
                  </w:pPr>
                  <w:r>
                    <w:rPr>
                      <w:rFonts w:eastAsiaTheme="minorEastAsia"/>
                      <w:color w:val="FF0000"/>
                      <w:szCs w:val="21"/>
                    </w:rPr>
                    <w:t>污染物</w:t>
                  </w:r>
                </w:p>
              </w:tc>
              <w:tc>
                <w:tcPr>
                  <w:tcW w:w="768" w:type="dxa"/>
                  <w:tcBorders>
                    <w:top w:val="single" w:color="auto" w:sz="4" w:space="0"/>
                    <w:left w:val="nil"/>
                    <w:bottom w:val="single" w:color="auto" w:sz="8" w:space="0"/>
                    <w:right w:val="single" w:color="auto" w:sz="8" w:space="0"/>
                  </w:tcBorders>
                  <w:vAlign w:val="center"/>
                </w:tcPr>
                <w:p>
                  <w:pPr>
                    <w:pStyle w:val="32"/>
                    <w:spacing w:line="360" w:lineRule="exact"/>
                    <w:rPr>
                      <w:rFonts w:eastAsiaTheme="minorEastAsia"/>
                      <w:color w:val="FF0000"/>
                      <w:szCs w:val="21"/>
                      <w:lang w:val="en-US"/>
                    </w:rPr>
                  </w:pPr>
                  <w:r>
                    <w:rPr>
                      <w:rFonts w:eastAsiaTheme="minorEastAsia"/>
                      <w:color w:val="FF0000"/>
                      <w:szCs w:val="21"/>
                      <w:lang w:val="en-US"/>
                    </w:rPr>
                    <w:t>pH</w:t>
                  </w:r>
                </w:p>
              </w:tc>
              <w:tc>
                <w:tcPr>
                  <w:tcW w:w="840" w:type="dxa"/>
                  <w:tcBorders>
                    <w:top w:val="single" w:color="auto" w:sz="4" w:space="0"/>
                    <w:left w:val="nil"/>
                    <w:bottom w:val="single" w:color="auto" w:sz="8" w:space="0"/>
                    <w:right w:val="single" w:color="auto" w:sz="8" w:space="0"/>
                  </w:tcBorders>
                  <w:vAlign w:val="center"/>
                </w:tcPr>
                <w:p>
                  <w:pPr>
                    <w:pStyle w:val="32"/>
                    <w:spacing w:line="360" w:lineRule="exact"/>
                    <w:rPr>
                      <w:rFonts w:eastAsiaTheme="minorEastAsia"/>
                      <w:color w:val="FF0000"/>
                      <w:szCs w:val="21"/>
                      <w:lang w:val="en-US"/>
                    </w:rPr>
                  </w:pPr>
                  <w:r>
                    <w:rPr>
                      <w:rFonts w:eastAsiaTheme="minorEastAsia"/>
                      <w:color w:val="FF0000"/>
                      <w:szCs w:val="21"/>
                      <w:lang w:val="en-US"/>
                    </w:rPr>
                    <w:t>CODcr</w:t>
                  </w:r>
                </w:p>
              </w:tc>
              <w:tc>
                <w:tcPr>
                  <w:tcW w:w="798" w:type="dxa"/>
                  <w:tcBorders>
                    <w:top w:val="single" w:color="auto" w:sz="4" w:space="0"/>
                    <w:left w:val="nil"/>
                    <w:bottom w:val="single" w:color="auto" w:sz="8" w:space="0"/>
                    <w:right w:val="single" w:color="auto" w:sz="8" w:space="0"/>
                  </w:tcBorders>
                  <w:vAlign w:val="center"/>
                </w:tcPr>
                <w:p>
                  <w:pPr>
                    <w:pStyle w:val="32"/>
                    <w:spacing w:line="360" w:lineRule="exact"/>
                    <w:rPr>
                      <w:rFonts w:eastAsiaTheme="minorEastAsia"/>
                      <w:color w:val="FF0000"/>
                      <w:szCs w:val="21"/>
                      <w:lang w:val="en-US"/>
                    </w:rPr>
                  </w:pPr>
                  <w:r>
                    <w:rPr>
                      <w:rFonts w:eastAsiaTheme="minorEastAsia"/>
                      <w:color w:val="FF0000"/>
                      <w:szCs w:val="21"/>
                      <w:lang w:val="en-US"/>
                    </w:rPr>
                    <w:t>BOD</w:t>
                  </w:r>
                  <w:r>
                    <w:rPr>
                      <w:rFonts w:eastAsiaTheme="minorEastAsia"/>
                      <w:color w:val="FF0000"/>
                      <w:szCs w:val="21"/>
                      <w:vertAlign w:val="subscript"/>
                      <w:lang w:val="en-US"/>
                    </w:rPr>
                    <w:t>5</w:t>
                  </w:r>
                </w:p>
              </w:tc>
              <w:tc>
                <w:tcPr>
                  <w:tcW w:w="629" w:type="dxa"/>
                  <w:tcBorders>
                    <w:top w:val="single" w:color="auto" w:sz="4" w:space="0"/>
                    <w:left w:val="nil"/>
                    <w:bottom w:val="single" w:color="auto" w:sz="8" w:space="0"/>
                    <w:right w:val="single" w:color="auto" w:sz="8" w:space="0"/>
                  </w:tcBorders>
                  <w:vAlign w:val="center"/>
                </w:tcPr>
                <w:p>
                  <w:pPr>
                    <w:pStyle w:val="32"/>
                    <w:spacing w:line="360" w:lineRule="exact"/>
                    <w:rPr>
                      <w:rFonts w:eastAsiaTheme="minorEastAsia"/>
                      <w:color w:val="FF0000"/>
                      <w:szCs w:val="21"/>
                      <w:lang w:val="en-US"/>
                    </w:rPr>
                  </w:pPr>
                  <w:r>
                    <w:rPr>
                      <w:rFonts w:eastAsiaTheme="minorEastAsia"/>
                      <w:color w:val="FF0000"/>
                      <w:szCs w:val="21"/>
                      <w:lang w:val="en-US"/>
                    </w:rPr>
                    <w:t>SS</w:t>
                  </w:r>
                </w:p>
              </w:tc>
              <w:tc>
                <w:tcPr>
                  <w:tcW w:w="811" w:type="dxa"/>
                  <w:tcBorders>
                    <w:top w:val="single" w:color="auto" w:sz="4" w:space="0"/>
                    <w:left w:val="nil"/>
                    <w:bottom w:val="single" w:color="auto" w:sz="8" w:space="0"/>
                    <w:right w:val="single" w:color="auto" w:sz="8" w:space="0"/>
                  </w:tcBorders>
                  <w:vAlign w:val="center"/>
                </w:tcPr>
                <w:p>
                  <w:pPr>
                    <w:pStyle w:val="32"/>
                    <w:spacing w:line="360" w:lineRule="exact"/>
                    <w:rPr>
                      <w:rFonts w:eastAsiaTheme="minorEastAsia"/>
                      <w:color w:val="FF0000"/>
                      <w:szCs w:val="21"/>
                      <w:lang w:val="en-US"/>
                    </w:rPr>
                  </w:pPr>
                  <w:r>
                    <w:rPr>
                      <w:rFonts w:eastAsiaTheme="minorEastAsia"/>
                      <w:color w:val="FF0000"/>
                      <w:szCs w:val="21"/>
                      <w:lang w:val="en-US"/>
                    </w:rPr>
                    <w:t>NH</w:t>
                  </w:r>
                  <w:r>
                    <w:rPr>
                      <w:rFonts w:eastAsiaTheme="minorEastAsia"/>
                      <w:color w:val="FF0000"/>
                      <w:szCs w:val="21"/>
                      <w:vertAlign w:val="subscript"/>
                      <w:lang w:val="en-US"/>
                    </w:rPr>
                    <w:t>3</w:t>
                  </w:r>
                  <w:r>
                    <w:rPr>
                      <w:rFonts w:eastAsiaTheme="minorEastAsia"/>
                      <w:color w:val="FF0000"/>
                      <w:szCs w:val="21"/>
                      <w:lang w:val="en-US"/>
                    </w:rPr>
                    <w:t>-N</w:t>
                  </w:r>
                </w:p>
              </w:tc>
              <w:tc>
                <w:tcPr>
                  <w:tcW w:w="583" w:type="dxa"/>
                  <w:tcBorders>
                    <w:top w:val="single" w:color="auto" w:sz="4" w:space="0"/>
                    <w:left w:val="nil"/>
                    <w:bottom w:val="single" w:color="auto" w:sz="8" w:space="0"/>
                    <w:right w:val="single" w:color="auto" w:sz="8" w:space="0"/>
                  </w:tcBorders>
                  <w:vAlign w:val="center"/>
                </w:tcPr>
                <w:p>
                  <w:pPr>
                    <w:pStyle w:val="32"/>
                    <w:spacing w:line="360" w:lineRule="exact"/>
                    <w:rPr>
                      <w:rFonts w:eastAsiaTheme="minorEastAsia"/>
                      <w:color w:val="FF0000"/>
                      <w:szCs w:val="21"/>
                      <w:lang w:val="en-US"/>
                    </w:rPr>
                  </w:pPr>
                  <w:r>
                    <w:rPr>
                      <w:rFonts w:eastAsiaTheme="minorEastAsia"/>
                      <w:color w:val="FF0000"/>
                      <w:szCs w:val="21"/>
                      <w:lang w:val="en-US"/>
                    </w:rPr>
                    <w:t>TN</w:t>
                  </w:r>
                </w:p>
              </w:tc>
              <w:tc>
                <w:tcPr>
                  <w:tcW w:w="522" w:type="dxa"/>
                  <w:tcBorders>
                    <w:top w:val="single" w:color="auto" w:sz="4" w:space="0"/>
                    <w:left w:val="nil"/>
                    <w:bottom w:val="single" w:color="auto" w:sz="8" w:space="0"/>
                    <w:right w:val="single" w:color="auto" w:sz="8" w:space="0"/>
                  </w:tcBorders>
                  <w:vAlign w:val="center"/>
                </w:tcPr>
                <w:p>
                  <w:pPr>
                    <w:pStyle w:val="32"/>
                    <w:spacing w:line="360" w:lineRule="exact"/>
                    <w:rPr>
                      <w:rFonts w:eastAsiaTheme="minorEastAsia"/>
                      <w:color w:val="FF0000"/>
                      <w:szCs w:val="21"/>
                      <w:lang w:val="en-US"/>
                    </w:rPr>
                  </w:pPr>
                  <w:r>
                    <w:rPr>
                      <w:rFonts w:eastAsiaTheme="minorEastAsia"/>
                      <w:color w:val="FF0000"/>
                      <w:szCs w:val="21"/>
                      <w:lang w:val="en-US"/>
                    </w:rPr>
                    <w:t>TP</w:t>
                  </w:r>
                </w:p>
              </w:tc>
              <w:tc>
                <w:tcPr>
                  <w:tcW w:w="918" w:type="dxa"/>
                  <w:tcBorders>
                    <w:top w:val="single" w:color="auto" w:sz="4" w:space="0"/>
                    <w:left w:val="nil"/>
                    <w:bottom w:val="single" w:color="auto" w:sz="8" w:space="0"/>
                    <w:right w:val="single" w:color="auto" w:sz="4" w:space="0"/>
                  </w:tcBorders>
                  <w:vAlign w:val="center"/>
                </w:tcPr>
                <w:p>
                  <w:pPr>
                    <w:pStyle w:val="32"/>
                    <w:spacing w:line="360" w:lineRule="exact"/>
                    <w:rPr>
                      <w:rFonts w:eastAsiaTheme="minorEastAsia"/>
                      <w:color w:val="FF0000"/>
                      <w:szCs w:val="21"/>
                      <w:lang w:val="en-US"/>
                    </w:rPr>
                  </w:pPr>
                  <w:r>
                    <w:rPr>
                      <w:rFonts w:eastAsiaTheme="minorEastAsia"/>
                      <w:color w:val="FF0000"/>
                      <w:szCs w:val="21"/>
                    </w:rPr>
                    <w:t>阴离子表面活性剂</w:t>
                  </w:r>
                </w:p>
              </w:tc>
              <w:tc>
                <w:tcPr>
                  <w:tcW w:w="1202" w:type="dxa"/>
                  <w:tcBorders>
                    <w:top w:val="single" w:color="auto" w:sz="4" w:space="0"/>
                    <w:left w:val="nil"/>
                    <w:bottom w:val="single" w:color="auto" w:sz="8" w:space="0"/>
                    <w:right w:val="single" w:color="auto" w:sz="4" w:space="0"/>
                  </w:tcBorders>
                  <w:vAlign w:val="center"/>
                </w:tcPr>
                <w:p>
                  <w:pPr>
                    <w:pStyle w:val="32"/>
                    <w:spacing w:line="360" w:lineRule="exact"/>
                    <w:rPr>
                      <w:rFonts w:eastAsiaTheme="minorEastAsia"/>
                      <w:color w:val="FF0000"/>
                      <w:szCs w:val="21"/>
                    </w:rPr>
                  </w:pPr>
                  <w:r>
                    <w:rPr>
                      <w:rFonts w:eastAsiaTheme="minorEastAsia"/>
                      <w:color w:val="FF0000"/>
                      <w:szCs w:val="21"/>
                    </w:rPr>
                    <w:t>粪大肠菌群数（MPN/L）</w:t>
                  </w:r>
                </w:p>
              </w:tc>
            </w:tr>
            <w:tr>
              <w:tblPrEx>
                <w:tblCellMar>
                  <w:top w:w="0" w:type="dxa"/>
                  <w:left w:w="108" w:type="dxa"/>
                  <w:bottom w:w="0" w:type="dxa"/>
                  <w:right w:w="108" w:type="dxa"/>
                </w:tblCellMar>
              </w:tblPrEx>
              <w:trPr>
                <w:trHeight w:val="300" w:hRule="atLeast"/>
                <w:jc w:val="center"/>
              </w:trPr>
              <w:tc>
                <w:tcPr>
                  <w:tcW w:w="733" w:type="dxa"/>
                  <w:tcBorders>
                    <w:top w:val="nil"/>
                    <w:left w:val="single" w:color="auto" w:sz="8" w:space="0"/>
                    <w:bottom w:val="single" w:color="auto" w:sz="8" w:space="0"/>
                    <w:right w:val="single" w:color="auto" w:sz="8" w:space="0"/>
                  </w:tcBorders>
                  <w:vAlign w:val="center"/>
                </w:tcPr>
                <w:p>
                  <w:pPr>
                    <w:pStyle w:val="32"/>
                    <w:spacing w:line="360" w:lineRule="exact"/>
                    <w:rPr>
                      <w:rFonts w:eastAsiaTheme="minorEastAsia"/>
                      <w:color w:val="FF0000"/>
                      <w:szCs w:val="21"/>
                    </w:rPr>
                  </w:pPr>
                  <w:r>
                    <w:rPr>
                      <w:rFonts w:eastAsiaTheme="minorEastAsia"/>
                      <w:color w:val="FF0000"/>
                      <w:szCs w:val="21"/>
                    </w:rPr>
                    <w:t>生活污水</w:t>
                  </w:r>
                </w:p>
              </w:tc>
              <w:tc>
                <w:tcPr>
                  <w:tcW w:w="768" w:type="dxa"/>
                  <w:tcBorders>
                    <w:top w:val="nil"/>
                    <w:left w:val="nil"/>
                    <w:bottom w:val="single" w:color="auto" w:sz="8" w:space="0"/>
                    <w:right w:val="single" w:color="auto" w:sz="8" w:space="0"/>
                  </w:tcBorders>
                  <w:vAlign w:val="center"/>
                </w:tcPr>
                <w:p>
                  <w:pPr>
                    <w:pStyle w:val="32"/>
                    <w:spacing w:line="360" w:lineRule="exact"/>
                    <w:rPr>
                      <w:rFonts w:eastAsiaTheme="minorEastAsia"/>
                      <w:color w:val="FF0000"/>
                      <w:szCs w:val="21"/>
                    </w:rPr>
                  </w:pPr>
                  <w:r>
                    <w:rPr>
                      <w:rFonts w:eastAsiaTheme="minorEastAsia"/>
                      <w:color w:val="FF0000"/>
                      <w:szCs w:val="21"/>
                    </w:rPr>
                    <w:t>6-9</w:t>
                  </w:r>
                </w:p>
              </w:tc>
              <w:tc>
                <w:tcPr>
                  <w:tcW w:w="840" w:type="dxa"/>
                  <w:tcBorders>
                    <w:top w:val="nil"/>
                    <w:left w:val="nil"/>
                    <w:bottom w:val="single" w:color="auto" w:sz="8" w:space="0"/>
                    <w:right w:val="single" w:color="auto" w:sz="8" w:space="0"/>
                  </w:tcBorders>
                  <w:vAlign w:val="center"/>
                </w:tcPr>
                <w:p>
                  <w:pPr>
                    <w:pStyle w:val="32"/>
                    <w:spacing w:line="360" w:lineRule="exact"/>
                    <w:rPr>
                      <w:rFonts w:eastAsiaTheme="minorEastAsia"/>
                      <w:color w:val="FF0000"/>
                      <w:szCs w:val="21"/>
                    </w:rPr>
                  </w:pPr>
                  <w:r>
                    <w:rPr>
                      <w:rFonts w:eastAsiaTheme="minorEastAsia"/>
                      <w:color w:val="FF0000"/>
                      <w:szCs w:val="21"/>
                    </w:rPr>
                    <w:t>350</w:t>
                  </w:r>
                </w:p>
              </w:tc>
              <w:tc>
                <w:tcPr>
                  <w:tcW w:w="798" w:type="dxa"/>
                  <w:tcBorders>
                    <w:top w:val="nil"/>
                    <w:left w:val="nil"/>
                    <w:bottom w:val="single" w:color="auto" w:sz="8" w:space="0"/>
                    <w:right w:val="single" w:color="auto" w:sz="8" w:space="0"/>
                  </w:tcBorders>
                  <w:vAlign w:val="center"/>
                </w:tcPr>
                <w:p>
                  <w:pPr>
                    <w:pStyle w:val="32"/>
                    <w:spacing w:line="360" w:lineRule="exact"/>
                    <w:rPr>
                      <w:rFonts w:eastAsiaTheme="minorEastAsia"/>
                      <w:color w:val="FF0000"/>
                      <w:szCs w:val="21"/>
                    </w:rPr>
                  </w:pPr>
                  <w:r>
                    <w:rPr>
                      <w:rFonts w:eastAsiaTheme="minorEastAsia"/>
                      <w:color w:val="FF0000"/>
                      <w:szCs w:val="21"/>
                    </w:rPr>
                    <w:t>220</w:t>
                  </w:r>
                </w:p>
              </w:tc>
              <w:tc>
                <w:tcPr>
                  <w:tcW w:w="629" w:type="dxa"/>
                  <w:tcBorders>
                    <w:top w:val="nil"/>
                    <w:left w:val="nil"/>
                    <w:bottom w:val="single" w:color="auto" w:sz="8" w:space="0"/>
                    <w:right w:val="single" w:color="auto" w:sz="8" w:space="0"/>
                  </w:tcBorders>
                  <w:vAlign w:val="center"/>
                </w:tcPr>
                <w:p>
                  <w:pPr>
                    <w:pStyle w:val="32"/>
                    <w:spacing w:line="360" w:lineRule="exact"/>
                    <w:rPr>
                      <w:rFonts w:eastAsiaTheme="minorEastAsia"/>
                      <w:color w:val="FF0000"/>
                      <w:szCs w:val="21"/>
                    </w:rPr>
                  </w:pPr>
                  <w:r>
                    <w:rPr>
                      <w:rFonts w:eastAsiaTheme="minorEastAsia"/>
                      <w:color w:val="FF0000"/>
                      <w:szCs w:val="21"/>
                    </w:rPr>
                    <w:t>300</w:t>
                  </w:r>
                </w:p>
              </w:tc>
              <w:tc>
                <w:tcPr>
                  <w:tcW w:w="811" w:type="dxa"/>
                  <w:tcBorders>
                    <w:top w:val="nil"/>
                    <w:left w:val="nil"/>
                    <w:bottom w:val="single" w:color="auto" w:sz="8" w:space="0"/>
                    <w:right w:val="single" w:color="auto" w:sz="8" w:space="0"/>
                  </w:tcBorders>
                  <w:vAlign w:val="center"/>
                </w:tcPr>
                <w:p>
                  <w:pPr>
                    <w:pStyle w:val="32"/>
                    <w:spacing w:line="360" w:lineRule="exact"/>
                    <w:rPr>
                      <w:rFonts w:eastAsiaTheme="minorEastAsia"/>
                      <w:color w:val="FF0000"/>
                      <w:szCs w:val="21"/>
                    </w:rPr>
                  </w:pPr>
                  <w:r>
                    <w:rPr>
                      <w:rFonts w:eastAsiaTheme="minorEastAsia"/>
                      <w:color w:val="FF0000"/>
                      <w:szCs w:val="21"/>
                    </w:rPr>
                    <w:t>38</w:t>
                  </w:r>
                </w:p>
              </w:tc>
              <w:tc>
                <w:tcPr>
                  <w:tcW w:w="583" w:type="dxa"/>
                  <w:tcBorders>
                    <w:top w:val="nil"/>
                    <w:left w:val="nil"/>
                    <w:bottom w:val="single" w:color="auto" w:sz="8" w:space="0"/>
                    <w:right w:val="single" w:color="auto" w:sz="8" w:space="0"/>
                  </w:tcBorders>
                  <w:vAlign w:val="center"/>
                </w:tcPr>
                <w:p>
                  <w:pPr>
                    <w:pStyle w:val="32"/>
                    <w:spacing w:line="360" w:lineRule="exact"/>
                    <w:rPr>
                      <w:rFonts w:eastAsiaTheme="minorEastAsia"/>
                      <w:color w:val="FF0000"/>
                      <w:szCs w:val="21"/>
                    </w:rPr>
                  </w:pPr>
                  <w:r>
                    <w:rPr>
                      <w:rFonts w:eastAsiaTheme="minorEastAsia"/>
                      <w:color w:val="FF0000"/>
                      <w:szCs w:val="21"/>
                    </w:rPr>
                    <w:t>45</w:t>
                  </w:r>
                </w:p>
              </w:tc>
              <w:tc>
                <w:tcPr>
                  <w:tcW w:w="522" w:type="dxa"/>
                  <w:tcBorders>
                    <w:top w:val="nil"/>
                    <w:left w:val="nil"/>
                    <w:bottom w:val="single" w:color="auto" w:sz="8" w:space="0"/>
                    <w:right w:val="single" w:color="auto" w:sz="8" w:space="0"/>
                  </w:tcBorders>
                  <w:vAlign w:val="center"/>
                </w:tcPr>
                <w:p>
                  <w:pPr>
                    <w:pStyle w:val="32"/>
                    <w:spacing w:line="360" w:lineRule="exact"/>
                    <w:rPr>
                      <w:rFonts w:eastAsiaTheme="minorEastAsia"/>
                      <w:color w:val="FF0000"/>
                      <w:szCs w:val="21"/>
                    </w:rPr>
                  </w:pPr>
                  <w:r>
                    <w:rPr>
                      <w:rFonts w:eastAsiaTheme="minorEastAsia"/>
                      <w:color w:val="FF0000"/>
                      <w:szCs w:val="21"/>
                    </w:rPr>
                    <w:t>8</w:t>
                  </w:r>
                </w:p>
              </w:tc>
              <w:tc>
                <w:tcPr>
                  <w:tcW w:w="918"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color w:val="FF0000"/>
                      <w:kern w:val="32"/>
                      <w:lang w:val="zh-CN"/>
                    </w:rPr>
                  </w:pPr>
                  <w:r>
                    <w:rPr>
                      <w:rFonts w:ascii="Times New Roman" w:hAnsi="Times New Roman" w:cs="Times New Roman"/>
                      <w:bCs/>
                      <w:snapToGrid w:val="0"/>
                      <w:color w:val="FF0000"/>
                      <w:kern w:val="32"/>
                      <w:lang w:val="zh-CN"/>
                    </w:rPr>
                    <w:t>16</w:t>
                  </w:r>
                </w:p>
              </w:tc>
              <w:tc>
                <w:tcPr>
                  <w:tcW w:w="1202"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color w:val="FF0000"/>
                      <w:kern w:val="32"/>
                      <w:lang w:val="zh-CN"/>
                    </w:rPr>
                  </w:pPr>
                  <w:r>
                    <w:rPr>
                      <w:rFonts w:ascii="Times New Roman" w:hAnsi="Times New Roman" w:cs="Times New Roman"/>
                      <w:bCs/>
                      <w:snapToGrid w:val="0"/>
                      <w:color w:val="FF0000"/>
                      <w:kern w:val="32"/>
                      <w:lang w:val="zh-CN"/>
                    </w:rPr>
                    <w:t>16000</w:t>
                  </w:r>
                </w:p>
              </w:tc>
            </w:tr>
          </w:tbl>
          <w:p>
            <w:pPr>
              <w:spacing w:beforeLines="50" w:line="360" w:lineRule="auto"/>
              <w:ind w:firstLine="480" w:firstLineChars="200"/>
              <w:rPr>
                <w:rFonts w:hint="eastAsia" w:ascii="Times New Roman" w:hAnsi="Times New Roman" w:cs="Times New Roman"/>
                <w:color w:val="000000" w:themeColor="text1"/>
                <w:sz w:val="24"/>
                <w:szCs w:val="24"/>
              </w:rPr>
            </w:pPr>
            <w:r>
              <w:rPr>
                <w:rFonts w:ascii="Times New Roman" w:hAnsi="Times New Roman" w:cs="Times New Roman"/>
                <w:color w:val="000000" w:themeColor="text1"/>
                <w:sz w:val="24"/>
              </w:rPr>
              <w:t>根据废水污染物治理措施可知，</w:t>
            </w:r>
            <w:r>
              <w:rPr>
                <w:rFonts w:hint="eastAsia" w:ascii="Times New Roman" w:hAnsi="Times New Roman" w:cs="Times New Roman"/>
                <w:color w:val="000000" w:themeColor="text1"/>
                <w:sz w:val="24"/>
              </w:rPr>
              <w:t>项目</w:t>
            </w:r>
            <w:r>
              <w:rPr>
                <w:rFonts w:ascii="Times New Roman" w:hAnsi="Times New Roman" w:cs="Times New Roman"/>
                <w:color w:val="000000" w:themeColor="text1"/>
                <w:sz w:val="24"/>
              </w:rPr>
              <w:t>生活污水先进入1个有效容积为3m³的化粪池预处理，处理后统一进入1套处理能力为3m³/d的一体化污水处理设施处理</w:t>
            </w:r>
            <w:r>
              <w:rPr>
                <w:rFonts w:ascii="Times New Roman" w:hAnsi="Times New Roman" w:cs="Times New Roman"/>
                <w:color w:val="000000" w:themeColor="text1"/>
                <w:sz w:val="24"/>
                <w:szCs w:val="24"/>
              </w:rPr>
              <w:t>。根据一体化污水处理设施的设计参数，项目生活污水经处理后其污染产排及达标情况如下表所示。</w:t>
            </w:r>
          </w:p>
          <w:p>
            <w:pPr>
              <w:spacing w:beforeLines="50" w:line="360" w:lineRule="auto"/>
              <w:ind w:firstLine="480" w:firstLineChars="200"/>
              <w:rPr>
                <w:rFonts w:hint="eastAsia" w:ascii="Times New Roman" w:hAnsi="Times New Roman" w:cs="Times New Roman"/>
                <w:color w:val="000000" w:themeColor="text1"/>
                <w:sz w:val="24"/>
                <w:szCs w:val="24"/>
              </w:rPr>
            </w:pPr>
          </w:p>
          <w:p>
            <w:pPr>
              <w:spacing w:beforeLines="50" w:line="360" w:lineRule="auto"/>
              <w:ind w:firstLine="480" w:firstLineChars="200"/>
              <w:rPr>
                <w:rFonts w:hint="eastAsia" w:ascii="Times New Roman" w:hAnsi="Times New Roman" w:cs="Times New Roman"/>
                <w:color w:val="000000" w:themeColor="text1"/>
                <w:sz w:val="24"/>
                <w:szCs w:val="24"/>
              </w:rPr>
            </w:pPr>
          </w:p>
          <w:p>
            <w:pPr>
              <w:spacing w:beforeLines="50" w:line="360" w:lineRule="auto"/>
              <w:ind w:firstLine="480" w:firstLineChars="200"/>
              <w:rPr>
                <w:rFonts w:hint="eastAsia" w:ascii="Times New Roman" w:hAnsi="Times New Roman" w:cs="Times New Roman"/>
                <w:color w:val="000000" w:themeColor="text1"/>
                <w:sz w:val="24"/>
                <w:szCs w:val="24"/>
              </w:rPr>
            </w:pP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表4.2.2-</w:t>
            </w:r>
            <w:r>
              <w:rPr>
                <w:rFonts w:hint="eastAsia" w:ascii="Times New Roman" w:hAnsi="Times New Roman" w:cs="Times New Roman"/>
                <w:b/>
                <w:color w:val="000000" w:themeColor="text1"/>
                <w:szCs w:val="24"/>
              </w:rPr>
              <w:t>5</w:t>
            </w:r>
            <w:r>
              <w:rPr>
                <w:rFonts w:ascii="Times New Roman" w:hAnsi="Times New Roman" w:cs="Times New Roman"/>
                <w:b/>
                <w:color w:val="000000" w:themeColor="text1"/>
                <w:szCs w:val="24"/>
              </w:rPr>
              <w:t xml:space="preserve">  </w:t>
            </w:r>
            <w:r>
              <w:rPr>
                <w:rFonts w:ascii="Times New Roman" w:hAnsi="Times New Roman" w:cs="Times New Roman"/>
                <w:b/>
                <w:color w:val="000000" w:themeColor="text1"/>
              </w:rPr>
              <w:t>生活污水</w:t>
            </w:r>
            <w:r>
              <w:rPr>
                <w:rFonts w:ascii="Times New Roman" w:hAnsi="Times New Roman" w:cs="Times New Roman"/>
                <w:b/>
                <w:color w:val="000000" w:themeColor="text1"/>
                <w:szCs w:val="24"/>
              </w:rPr>
              <w:t>污染物排放源产排量及达标情况一览表</w:t>
            </w:r>
          </w:p>
          <w:tbl>
            <w:tblPr>
              <w:tblStyle w:val="20"/>
              <w:tblW w:w="5000" w:type="pct"/>
              <w:jc w:val="center"/>
              <w:tblLayout w:type="fixed"/>
              <w:tblCellMar>
                <w:top w:w="0" w:type="dxa"/>
                <w:left w:w="108" w:type="dxa"/>
                <w:bottom w:w="0" w:type="dxa"/>
                <w:right w:w="108" w:type="dxa"/>
              </w:tblCellMar>
            </w:tblPr>
            <w:tblGrid>
              <w:gridCol w:w="740"/>
              <w:gridCol w:w="741"/>
              <w:gridCol w:w="1243"/>
              <w:gridCol w:w="1134"/>
              <w:gridCol w:w="948"/>
              <w:gridCol w:w="1080"/>
              <w:gridCol w:w="1095"/>
              <w:gridCol w:w="799"/>
              <w:gridCol w:w="837"/>
            </w:tblGrid>
            <w:tr>
              <w:tblPrEx>
                <w:tblCellMar>
                  <w:top w:w="0" w:type="dxa"/>
                  <w:left w:w="108" w:type="dxa"/>
                  <w:bottom w:w="0" w:type="dxa"/>
                  <w:right w:w="108" w:type="dxa"/>
                </w:tblCellMar>
              </w:tblPrEx>
              <w:trPr>
                <w:jc w:val="center"/>
              </w:trPr>
              <w:tc>
                <w:tcPr>
                  <w:tcW w:w="73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产排污环节</w:t>
                  </w:r>
                </w:p>
              </w:tc>
              <w:tc>
                <w:tcPr>
                  <w:tcW w:w="73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类别</w:t>
                  </w:r>
                </w:p>
              </w:tc>
              <w:tc>
                <w:tcPr>
                  <w:tcW w:w="12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污染物种类</w:t>
                  </w:r>
                </w:p>
              </w:tc>
              <w:tc>
                <w:tcPr>
                  <w:tcW w:w="2077" w:type="dxa"/>
                  <w:gridSpan w:val="2"/>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污染物产生情况</w:t>
                  </w:r>
                </w:p>
              </w:tc>
              <w:tc>
                <w:tcPr>
                  <w:tcW w:w="2169" w:type="dxa"/>
                  <w:gridSpan w:val="2"/>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污染物排放量和浓度</w:t>
                  </w:r>
                </w:p>
              </w:tc>
              <w:tc>
                <w:tcPr>
                  <w:tcW w:w="797" w:type="dxa"/>
                  <w:vMerge w:val="restart"/>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回用标准</w:t>
                  </w:r>
                </w:p>
              </w:tc>
              <w:tc>
                <w:tcPr>
                  <w:tcW w:w="83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达标情况</w:t>
                  </w:r>
                </w:p>
              </w:tc>
            </w:tr>
            <w:tr>
              <w:tblPrEx>
                <w:tblCellMar>
                  <w:top w:w="0" w:type="dxa"/>
                  <w:left w:w="108" w:type="dxa"/>
                  <w:bottom w:w="0" w:type="dxa"/>
                  <w:right w:w="108" w:type="dxa"/>
                </w:tblCellMar>
              </w:tblPrEx>
              <w:trPr>
                <w:jc w:val="center"/>
              </w:trPr>
              <w:tc>
                <w:tcPr>
                  <w:tcW w:w="738" w:type="dxa"/>
                  <w:vMerge w:val="continue"/>
                  <w:tcBorders>
                    <w:top w:val="single" w:color="000000" w:sz="8" w:space="0"/>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739" w:type="dxa"/>
                  <w:vMerge w:val="continue"/>
                  <w:tcBorders>
                    <w:top w:val="single" w:color="000000" w:sz="8" w:space="0"/>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1240" w:type="dxa"/>
                  <w:vMerge w:val="continue"/>
                  <w:tcBorders>
                    <w:top w:val="single" w:color="000000" w:sz="8" w:space="0"/>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1131"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产生浓度mg/m³</w:t>
                  </w:r>
                </w:p>
              </w:tc>
              <w:tc>
                <w:tcPr>
                  <w:tcW w:w="946"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产生量t/a</w:t>
                  </w:r>
                </w:p>
              </w:tc>
              <w:tc>
                <w:tcPr>
                  <w:tcW w:w="1077"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回用浓度mg/m³</w:t>
                  </w:r>
                </w:p>
              </w:tc>
              <w:tc>
                <w:tcPr>
                  <w:tcW w:w="1092" w:type="dxa"/>
                  <w:tcBorders>
                    <w:top w:val="single" w:color="000000" w:sz="8" w:space="0"/>
                    <w:left w:val="nil"/>
                    <w:bottom w:val="single" w:color="auto"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回用量t/a</w:t>
                  </w:r>
                </w:p>
              </w:tc>
              <w:tc>
                <w:tcPr>
                  <w:tcW w:w="797" w:type="dxa"/>
                  <w:vMerge w:val="continue"/>
                  <w:tcBorders>
                    <w:top w:val="single" w:color="000000" w:sz="8" w:space="0"/>
                    <w:left w:val="nil"/>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835" w:type="dxa"/>
                  <w:vMerge w:val="continue"/>
                  <w:tcBorders>
                    <w:top w:val="single" w:color="000000" w:sz="8" w:space="0"/>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r>
            <w:tr>
              <w:tblPrEx>
                <w:tblCellMar>
                  <w:top w:w="0" w:type="dxa"/>
                  <w:left w:w="108" w:type="dxa"/>
                  <w:bottom w:w="0" w:type="dxa"/>
                  <w:right w:w="108" w:type="dxa"/>
                </w:tblCellMar>
              </w:tblPrEx>
              <w:trPr>
                <w:jc w:val="center"/>
              </w:trPr>
              <w:tc>
                <w:tcPr>
                  <w:tcW w:w="738" w:type="dxa"/>
                  <w:vMerge w:val="restart"/>
                  <w:tcBorders>
                    <w:top w:val="nil"/>
                    <w:left w:val="single" w:color="000000" w:sz="8" w:space="0"/>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员工生活</w:t>
                  </w:r>
                </w:p>
              </w:tc>
              <w:tc>
                <w:tcPr>
                  <w:tcW w:w="739" w:type="dxa"/>
                  <w:vMerge w:val="restart"/>
                  <w:tcBorders>
                    <w:top w:val="nil"/>
                    <w:left w:val="single" w:color="000000" w:sz="8" w:space="0"/>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生活污水</w:t>
                  </w:r>
                </w:p>
              </w:tc>
              <w:tc>
                <w:tcPr>
                  <w:tcW w:w="1240"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废水量</w:t>
                  </w:r>
                </w:p>
              </w:tc>
              <w:tc>
                <w:tcPr>
                  <w:tcW w:w="2077" w:type="dxa"/>
                  <w:gridSpan w:val="2"/>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FF0000"/>
                      <w:szCs w:val="21"/>
                    </w:rPr>
                  </w:pPr>
                  <w:r>
                    <w:rPr>
                      <w:rFonts w:hint="eastAsia" w:eastAsiaTheme="minorEastAsia"/>
                      <w:color w:val="FF0000"/>
                      <w:szCs w:val="21"/>
                    </w:rPr>
                    <w:t>288</w:t>
                  </w:r>
                  <w:r>
                    <w:rPr>
                      <w:rFonts w:eastAsiaTheme="minorEastAsia"/>
                      <w:color w:val="FF0000"/>
                      <w:szCs w:val="21"/>
                    </w:rPr>
                    <w:t>m³/a</w:t>
                  </w:r>
                </w:p>
              </w:tc>
              <w:tc>
                <w:tcPr>
                  <w:tcW w:w="2169" w:type="dxa"/>
                  <w:gridSpan w:val="2"/>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FF0000"/>
                      <w:szCs w:val="21"/>
                    </w:rPr>
                  </w:pPr>
                  <w:r>
                    <w:rPr>
                      <w:rFonts w:hint="eastAsia" w:eastAsiaTheme="minorEastAsia"/>
                      <w:color w:val="FF0000"/>
                      <w:szCs w:val="21"/>
                    </w:rPr>
                    <w:t>288</w:t>
                  </w:r>
                  <w:r>
                    <w:rPr>
                      <w:rFonts w:eastAsiaTheme="minorEastAsia"/>
                      <w:color w:val="FF0000"/>
                      <w:szCs w:val="21"/>
                    </w:rPr>
                    <w:t>m³/a</w:t>
                  </w:r>
                </w:p>
              </w:tc>
              <w:tc>
                <w:tcPr>
                  <w:tcW w:w="797"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835"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r>
            <w:tr>
              <w:tblPrEx>
                <w:tblCellMar>
                  <w:top w:w="0" w:type="dxa"/>
                  <w:left w:w="108" w:type="dxa"/>
                  <w:bottom w:w="0" w:type="dxa"/>
                  <w:right w:w="108" w:type="dxa"/>
                </w:tblCellMar>
              </w:tblPrEx>
              <w:trPr>
                <w:jc w:val="center"/>
              </w:trPr>
              <w:tc>
                <w:tcPr>
                  <w:tcW w:w="738"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739"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1240"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pH</w:t>
                  </w:r>
                </w:p>
              </w:tc>
              <w:tc>
                <w:tcPr>
                  <w:tcW w:w="1131"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6-9</w:t>
                  </w:r>
                </w:p>
              </w:tc>
              <w:tc>
                <w:tcPr>
                  <w:tcW w:w="946"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1077"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6-9</w:t>
                  </w:r>
                </w:p>
              </w:tc>
              <w:tc>
                <w:tcPr>
                  <w:tcW w:w="1092" w:type="dxa"/>
                  <w:tcBorders>
                    <w:top w:val="nil"/>
                    <w:left w:val="nil"/>
                    <w:bottom w:val="single" w:color="auto"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797"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color w:val="000000" w:themeColor="text1"/>
                      <w:szCs w:val="21"/>
                    </w:rPr>
                    <w:t>6.0-9.0</w:t>
                  </w:r>
                </w:p>
              </w:tc>
              <w:tc>
                <w:tcPr>
                  <w:tcW w:w="835"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达标</w:t>
                  </w:r>
                </w:p>
              </w:tc>
            </w:tr>
            <w:tr>
              <w:tblPrEx>
                <w:tblCellMar>
                  <w:top w:w="0" w:type="dxa"/>
                  <w:left w:w="108" w:type="dxa"/>
                  <w:bottom w:w="0" w:type="dxa"/>
                  <w:right w:w="108" w:type="dxa"/>
                </w:tblCellMar>
              </w:tblPrEx>
              <w:trPr>
                <w:jc w:val="center"/>
              </w:trPr>
              <w:tc>
                <w:tcPr>
                  <w:tcW w:w="738"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739"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1240"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CODcr</w:t>
                  </w:r>
                </w:p>
              </w:tc>
              <w:tc>
                <w:tcPr>
                  <w:tcW w:w="1131"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350</w:t>
                  </w:r>
                </w:p>
              </w:tc>
              <w:tc>
                <w:tcPr>
                  <w:tcW w:w="946"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FF0000"/>
                      <w:szCs w:val="21"/>
                    </w:rPr>
                  </w:pPr>
                  <w:r>
                    <w:rPr>
                      <w:rFonts w:eastAsiaTheme="minorEastAsia"/>
                      <w:color w:val="FF0000"/>
                      <w:szCs w:val="21"/>
                    </w:rPr>
                    <w:t>0.101</w:t>
                  </w:r>
                </w:p>
              </w:tc>
              <w:tc>
                <w:tcPr>
                  <w:tcW w:w="1077"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26</w:t>
                  </w:r>
                </w:p>
              </w:tc>
              <w:tc>
                <w:tcPr>
                  <w:tcW w:w="1092"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FF0000"/>
                      <w:szCs w:val="21"/>
                    </w:rPr>
                  </w:pPr>
                  <w:r>
                    <w:rPr>
                      <w:rFonts w:eastAsiaTheme="minorEastAsia"/>
                      <w:color w:val="FF0000"/>
                      <w:szCs w:val="21"/>
                    </w:rPr>
                    <w:t>0.007</w:t>
                  </w:r>
                </w:p>
              </w:tc>
              <w:tc>
                <w:tcPr>
                  <w:tcW w:w="797"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835"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r>
            <w:tr>
              <w:tblPrEx>
                <w:tblCellMar>
                  <w:top w:w="0" w:type="dxa"/>
                  <w:left w:w="108" w:type="dxa"/>
                  <w:bottom w:w="0" w:type="dxa"/>
                  <w:right w:w="108" w:type="dxa"/>
                </w:tblCellMar>
              </w:tblPrEx>
              <w:trPr>
                <w:jc w:val="center"/>
              </w:trPr>
              <w:tc>
                <w:tcPr>
                  <w:tcW w:w="738"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739"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1240"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1131"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220</w:t>
                  </w:r>
                </w:p>
              </w:tc>
              <w:tc>
                <w:tcPr>
                  <w:tcW w:w="946"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FF0000"/>
                      <w:szCs w:val="21"/>
                    </w:rPr>
                  </w:pPr>
                  <w:r>
                    <w:rPr>
                      <w:rFonts w:eastAsiaTheme="minorEastAsia"/>
                      <w:color w:val="FF0000"/>
                      <w:szCs w:val="21"/>
                    </w:rPr>
                    <w:t>0.063</w:t>
                  </w:r>
                </w:p>
              </w:tc>
              <w:tc>
                <w:tcPr>
                  <w:tcW w:w="1077"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w:t>
                  </w:r>
                </w:p>
              </w:tc>
              <w:tc>
                <w:tcPr>
                  <w:tcW w:w="1092"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FF0000"/>
                      <w:szCs w:val="21"/>
                    </w:rPr>
                  </w:pPr>
                  <w:r>
                    <w:rPr>
                      <w:rFonts w:eastAsiaTheme="minorEastAsia"/>
                      <w:color w:val="FF0000"/>
                      <w:szCs w:val="21"/>
                    </w:rPr>
                    <w:t>0.002</w:t>
                  </w:r>
                </w:p>
              </w:tc>
              <w:tc>
                <w:tcPr>
                  <w:tcW w:w="797"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color w:val="000000" w:themeColor="text1"/>
                      <w:szCs w:val="21"/>
                    </w:rPr>
                    <w:t>≤10</w:t>
                  </w:r>
                </w:p>
              </w:tc>
              <w:tc>
                <w:tcPr>
                  <w:tcW w:w="835"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达标</w:t>
                  </w:r>
                </w:p>
              </w:tc>
            </w:tr>
            <w:tr>
              <w:tblPrEx>
                <w:tblCellMar>
                  <w:top w:w="0" w:type="dxa"/>
                  <w:left w:w="108" w:type="dxa"/>
                  <w:bottom w:w="0" w:type="dxa"/>
                  <w:right w:w="108" w:type="dxa"/>
                </w:tblCellMar>
              </w:tblPrEx>
              <w:trPr>
                <w:jc w:val="center"/>
              </w:trPr>
              <w:tc>
                <w:tcPr>
                  <w:tcW w:w="738"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739"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1240"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1131"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38</w:t>
                  </w:r>
                </w:p>
              </w:tc>
              <w:tc>
                <w:tcPr>
                  <w:tcW w:w="946"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FF0000"/>
                      <w:szCs w:val="21"/>
                    </w:rPr>
                  </w:pPr>
                  <w:r>
                    <w:rPr>
                      <w:rFonts w:eastAsiaTheme="minorEastAsia"/>
                      <w:color w:val="FF0000"/>
                      <w:szCs w:val="21"/>
                    </w:rPr>
                    <w:t>0.011</w:t>
                  </w:r>
                </w:p>
              </w:tc>
              <w:tc>
                <w:tcPr>
                  <w:tcW w:w="1077"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7</w:t>
                  </w:r>
                </w:p>
              </w:tc>
              <w:tc>
                <w:tcPr>
                  <w:tcW w:w="1092"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FF0000"/>
                      <w:szCs w:val="21"/>
                    </w:rPr>
                  </w:pPr>
                  <w:r>
                    <w:rPr>
                      <w:rFonts w:eastAsiaTheme="minorEastAsia"/>
                      <w:color w:val="FF0000"/>
                      <w:szCs w:val="21"/>
                    </w:rPr>
                    <w:t>0.002</w:t>
                  </w:r>
                </w:p>
              </w:tc>
              <w:tc>
                <w:tcPr>
                  <w:tcW w:w="797"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color w:val="000000" w:themeColor="text1"/>
                      <w:szCs w:val="21"/>
                    </w:rPr>
                    <w:t>≤8</w:t>
                  </w:r>
                </w:p>
              </w:tc>
              <w:tc>
                <w:tcPr>
                  <w:tcW w:w="835"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达标</w:t>
                  </w:r>
                </w:p>
              </w:tc>
            </w:tr>
            <w:tr>
              <w:tblPrEx>
                <w:tblCellMar>
                  <w:top w:w="0" w:type="dxa"/>
                  <w:left w:w="108" w:type="dxa"/>
                  <w:bottom w:w="0" w:type="dxa"/>
                  <w:right w:w="108" w:type="dxa"/>
                </w:tblCellMar>
              </w:tblPrEx>
              <w:trPr>
                <w:jc w:val="center"/>
              </w:trPr>
              <w:tc>
                <w:tcPr>
                  <w:tcW w:w="738"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739"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1240"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SS</w:t>
                  </w:r>
                </w:p>
              </w:tc>
              <w:tc>
                <w:tcPr>
                  <w:tcW w:w="1131"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300</w:t>
                  </w:r>
                </w:p>
              </w:tc>
              <w:tc>
                <w:tcPr>
                  <w:tcW w:w="946"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FF0000"/>
                      <w:szCs w:val="21"/>
                    </w:rPr>
                  </w:pPr>
                  <w:r>
                    <w:rPr>
                      <w:rFonts w:eastAsiaTheme="minorEastAsia"/>
                      <w:color w:val="FF0000"/>
                      <w:szCs w:val="21"/>
                    </w:rPr>
                    <w:t>0.086</w:t>
                  </w:r>
                </w:p>
              </w:tc>
              <w:tc>
                <w:tcPr>
                  <w:tcW w:w="1077"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30</w:t>
                  </w:r>
                </w:p>
              </w:tc>
              <w:tc>
                <w:tcPr>
                  <w:tcW w:w="1092"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FF0000"/>
                      <w:szCs w:val="21"/>
                    </w:rPr>
                  </w:pPr>
                  <w:r>
                    <w:rPr>
                      <w:rFonts w:eastAsiaTheme="minorEastAsia"/>
                      <w:color w:val="FF0000"/>
                      <w:szCs w:val="21"/>
                    </w:rPr>
                    <w:t>0.009</w:t>
                  </w:r>
                </w:p>
              </w:tc>
              <w:tc>
                <w:tcPr>
                  <w:tcW w:w="797"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835"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r>
            <w:tr>
              <w:tblPrEx>
                <w:tblCellMar>
                  <w:top w:w="0" w:type="dxa"/>
                  <w:left w:w="108" w:type="dxa"/>
                  <w:bottom w:w="0" w:type="dxa"/>
                  <w:right w:w="108" w:type="dxa"/>
                </w:tblCellMar>
              </w:tblPrEx>
              <w:trPr>
                <w:jc w:val="center"/>
              </w:trPr>
              <w:tc>
                <w:tcPr>
                  <w:tcW w:w="738"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739"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1240"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总磷</w:t>
                  </w:r>
                </w:p>
              </w:tc>
              <w:tc>
                <w:tcPr>
                  <w:tcW w:w="1131"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w:t>
                  </w:r>
                </w:p>
              </w:tc>
              <w:tc>
                <w:tcPr>
                  <w:tcW w:w="946"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FF0000"/>
                      <w:szCs w:val="21"/>
                    </w:rPr>
                  </w:pPr>
                  <w:r>
                    <w:rPr>
                      <w:rFonts w:eastAsiaTheme="minorEastAsia"/>
                      <w:color w:val="FF0000"/>
                      <w:szCs w:val="21"/>
                    </w:rPr>
                    <w:t>0.002</w:t>
                  </w:r>
                </w:p>
              </w:tc>
              <w:tc>
                <w:tcPr>
                  <w:tcW w:w="1077"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2</w:t>
                  </w:r>
                </w:p>
              </w:tc>
              <w:tc>
                <w:tcPr>
                  <w:tcW w:w="1092"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FF0000"/>
                      <w:szCs w:val="21"/>
                    </w:rPr>
                  </w:pPr>
                  <w:r>
                    <w:rPr>
                      <w:rFonts w:eastAsiaTheme="minorEastAsia"/>
                      <w:color w:val="FF0000"/>
                      <w:szCs w:val="21"/>
                    </w:rPr>
                    <w:t>0.001</w:t>
                  </w:r>
                </w:p>
              </w:tc>
              <w:tc>
                <w:tcPr>
                  <w:tcW w:w="797"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835"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r>
            <w:tr>
              <w:tblPrEx>
                <w:tblCellMar>
                  <w:top w:w="0" w:type="dxa"/>
                  <w:left w:w="108" w:type="dxa"/>
                  <w:bottom w:w="0" w:type="dxa"/>
                  <w:right w:w="108" w:type="dxa"/>
                </w:tblCellMar>
              </w:tblPrEx>
              <w:trPr>
                <w:jc w:val="center"/>
              </w:trPr>
              <w:tc>
                <w:tcPr>
                  <w:tcW w:w="738"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739"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1240"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总氮</w:t>
                  </w:r>
                </w:p>
              </w:tc>
              <w:tc>
                <w:tcPr>
                  <w:tcW w:w="1131"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45</w:t>
                  </w:r>
                </w:p>
              </w:tc>
              <w:tc>
                <w:tcPr>
                  <w:tcW w:w="946"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FF0000"/>
                      <w:szCs w:val="21"/>
                    </w:rPr>
                  </w:pPr>
                  <w:r>
                    <w:rPr>
                      <w:rFonts w:eastAsiaTheme="minorEastAsia"/>
                      <w:color w:val="FF0000"/>
                      <w:szCs w:val="21"/>
                    </w:rPr>
                    <w:t>0.013</w:t>
                  </w:r>
                </w:p>
              </w:tc>
              <w:tc>
                <w:tcPr>
                  <w:tcW w:w="1077"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16</w:t>
                  </w:r>
                </w:p>
              </w:tc>
              <w:tc>
                <w:tcPr>
                  <w:tcW w:w="1092"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FF0000"/>
                      <w:szCs w:val="21"/>
                    </w:rPr>
                  </w:pPr>
                  <w:r>
                    <w:rPr>
                      <w:rFonts w:eastAsiaTheme="minorEastAsia"/>
                      <w:color w:val="FF0000"/>
                      <w:szCs w:val="21"/>
                    </w:rPr>
                    <w:t>0.005</w:t>
                  </w:r>
                </w:p>
              </w:tc>
              <w:tc>
                <w:tcPr>
                  <w:tcW w:w="797"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835"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r>
            <w:tr>
              <w:tblPrEx>
                <w:tblCellMar>
                  <w:top w:w="0" w:type="dxa"/>
                  <w:left w:w="108" w:type="dxa"/>
                  <w:bottom w:w="0" w:type="dxa"/>
                  <w:right w:w="108" w:type="dxa"/>
                </w:tblCellMar>
              </w:tblPrEx>
              <w:trPr>
                <w:jc w:val="center"/>
              </w:trPr>
              <w:tc>
                <w:tcPr>
                  <w:tcW w:w="738"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739"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1240"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阴离子表面活性剂</w:t>
                  </w:r>
                </w:p>
              </w:tc>
              <w:tc>
                <w:tcPr>
                  <w:tcW w:w="1131"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16</w:t>
                  </w:r>
                </w:p>
              </w:tc>
              <w:tc>
                <w:tcPr>
                  <w:tcW w:w="946"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FF0000"/>
                      <w:szCs w:val="21"/>
                    </w:rPr>
                  </w:pPr>
                  <w:r>
                    <w:rPr>
                      <w:rFonts w:eastAsiaTheme="minorEastAsia"/>
                      <w:color w:val="FF0000"/>
                      <w:szCs w:val="21"/>
                    </w:rPr>
                    <w:t>0.005</w:t>
                  </w:r>
                </w:p>
              </w:tc>
              <w:tc>
                <w:tcPr>
                  <w:tcW w:w="1077"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0.2</w:t>
                  </w:r>
                </w:p>
              </w:tc>
              <w:tc>
                <w:tcPr>
                  <w:tcW w:w="1092"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FF0000"/>
                      <w:szCs w:val="21"/>
                    </w:rPr>
                  </w:pPr>
                  <w:r>
                    <w:rPr>
                      <w:rFonts w:eastAsiaTheme="minorEastAsia"/>
                      <w:color w:val="FF0000"/>
                      <w:szCs w:val="21"/>
                    </w:rPr>
                    <w:t>0.0001</w:t>
                  </w:r>
                </w:p>
              </w:tc>
              <w:tc>
                <w:tcPr>
                  <w:tcW w:w="797"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color w:val="000000" w:themeColor="text1"/>
                      <w:szCs w:val="21"/>
                    </w:rPr>
                    <w:t>≤0.5</w:t>
                  </w:r>
                </w:p>
              </w:tc>
              <w:tc>
                <w:tcPr>
                  <w:tcW w:w="835"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达标</w:t>
                  </w:r>
                </w:p>
              </w:tc>
            </w:tr>
            <w:tr>
              <w:tblPrEx>
                <w:tblCellMar>
                  <w:top w:w="0" w:type="dxa"/>
                  <w:left w:w="108" w:type="dxa"/>
                  <w:bottom w:w="0" w:type="dxa"/>
                  <w:right w:w="108" w:type="dxa"/>
                </w:tblCellMar>
              </w:tblPrEx>
              <w:trPr>
                <w:jc w:val="center"/>
              </w:trPr>
              <w:tc>
                <w:tcPr>
                  <w:tcW w:w="738"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739" w:type="dxa"/>
                  <w:vMerge w:val="continue"/>
                  <w:tcBorders>
                    <w:top w:val="nil"/>
                    <w:left w:val="single" w:color="000000" w:sz="8" w:space="0"/>
                    <w:bottom w:val="single" w:color="000000" w:sz="8" w:space="0"/>
                    <w:right w:val="single" w:color="000000" w:sz="8" w:space="0"/>
                  </w:tcBorders>
                  <w:vAlign w:val="center"/>
                </w:tcPr>
                <w:p>
                  <w:pPr>
                    <w:pStyle w:val="32"/>
                    <w:spacing w:line="360" w:lineRule="exact"/>
                    <w:rPr>
                      <w:rFonts w:eastAsiaTheme="minorEastAsia"/>
                      <w:color w:val="000000" w:themeColor="text1"/>
                      <w:szCs w:val="21"/>
                    </w:rPr>
                  </w:pPr>
                </w:p>
              </w:tc>
              <w:tc>
                <w:tcPr>
                  <w:tcW w:w="1240"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粪大肠菌群数（MPN/L）</w:t>
                  </w:r>
                </w:p>
              </w:tc>
              <w:tc>
                <w:tcPr>
                  <w:tcW w:w="1131"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16000</w:t>
                  </w:r>
                </w:p>
              </w:tc>
              <w:tc>
                <w:tcPr>
                  <w:tcW w:w="946"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1077" w:type="dxa"/>
                  <w:tcBorders>
                    <w:top w:val="single" w:color="000000" w:sz="8" w:space="0"/>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8000</w:t>
                  </w:r>
                </w:p>
              </w:tc>
              <w:tc>
                <w:tcPr>
                  <w:tcW w:w="1092" w:type="dxa"/>
                  <w:tcBorders>
                    <w:top w:val="nil"/>
                    <w:left w:val="nil"/>
                    <w:bottom w:val="single" w:color="000000" w:sz="8" w:space="0"/>
                    <w:right w:val="single" w:color="auto"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797"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835" w:type="dxa"/>
                  <w:tcBorders>
                    <w:top w:val="nil"/>
                    <w:left w:val="nil"/>
                    <w:bottom w:val="single" w:color="000000" w:sz="8" w:space="0"/>
                    <w:right w:val="single" w:color="000000" w:sz="8" w:space="0"/>
                  </w:tcBorders>
                  <w:shd w:val="clear" w:color="auto" w:fill="auto"/>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r>
          </w:tbl>
          <w:p>
            <w:pPr>
              <w:pStyle w:val="40"/>
              <w:spacing w:beforeLines="50"/>
              <w:ind w:firstLine="480"/>
              <w:rPr>
                <w:rFonts w:eastAsiaTheme="minorEastAsia"/>
                <w:color w:val="000000" w:themeColor="text1"/>
              </w:rPr>
            </w:pPr>
            <w:r>
              <w:rPr>
                <w:rFonts w:eastAsiaTheme="minorEastAsia"/>
                <w:color w:val="000000" w:themeColor="text1"/>
              </w:rPr>
              <w:t>由上表可知，项目生活污水经化粪池和</w:t>
            </w:r>
            <w:r>
              <w:rPr>
                <w:color w:val="000000" w:themeColor="text1"/>
                <w:szCs w:val="24"/>
              </w:rPr>
              <w:t>一体化污水处理设施处理后可达到《城市污水再生利用 城市杂用水水质》（GB/T18920-2020）城市绿化标准后，回用于项目区绿化，不外排。</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污染治理设施可行性分析</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w:instrText>
            </w:r>
            <w:r>
              <w:rPr>
                <w:rFonts w:hint="eastAsia" w:ascii="Times New Roman" w:hAnsi="Times New Roman" w:cs="Times New Roman"/>
                <w:b/>
                <w:color w:val="000000" w:themeColor="text1"/>
                <w:sz w:val="24"/>
                <w:szCs w:val="24"/>
              </w:rPr>
              <w:instrText xml:space="preserve">= 1 \* GB4</w:instrText>
            </w:r>
            <w:r>
              <w:rPr>
                <w:rFonts w:ascii="Times New Roman" w:hAnsi="Times New Roman" w:cs="Times New Roman"/>
                <w:b/>
                <w:color w:val="000000" w:themeColor="text1"/>
                <w:sz w:val="24"/>
                <w:szCs w:val="24"/>
              </w:rPr>
              <w:instrText xml:space="preserve">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㈠</w:t>
            </w:r>
            <w:r>
              <w:rPr>
                <w:rFonts w:ascii="Times New Roman" w:hAnsi="Times New Roman" w:cs="Times New Roman"/>
                <w:b/>
                <w:color w:val="000000" w:themeColor="text1"/>
                <w:sz w:val="24"/>
                <w:szCs w:val="24"/>
              </w:rPr>
              <w:fldChar w:fldCharType="end"/>
            </w:r>
            <w:r>
              <w:rPr>
                <w:rFonts w:hint="eastAsia" w:ascii="Times New Roman" w:hAnsi="Times New Roman" w:cs="Times New Roman"/>
                <w:b/>
                <w:color w:val="000000" w:themeColor="text1"/>
                <w:sz w:val="24"/>
                <w:szCs w:val="24"/>
              </w:rPr>
              <w:t>一期工程</w:t>
            </w:r>
            <w:r>
              <w:rPr>
                <w:rFonts w:ascii="Times New Roman" w:hAnsi="Times New Roman" w:cs="Times New Roman"/>
                <w:b/>
                <w:color w:val="000000" w:themeColor="text1"/>
                <w:sz w:val="24"/>
                <w:szCs w:val="24"/>
              </w:rPr>
              <w:t>废水污染治理设施可行性分析</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①砂石骨料</w:t>
            </w:r>
            <w:r>
              <w:rPr>
                <w:rFonts w:ascii="Times New Roman" w:hAnsi="Times New Roman" w:cs="Times New Roman"/>
                <w:b/>
                <w:color w:val="000000" w:themeColor="text1"/>
                <w:sz w:val="24"/>
                <w:szCs w:val="24"/>
              </w:rPr>
              <w:t>生产</w:t>
            </w:r>
            <w:r>
              <w:rPr>
                <w:rFonts w:hint="eastAsia" w:ascii="Times New Roman" w:hAnsi="Times New Roman" w:cs="Times New Roman"/>
                <w:b/>
                <w:color w:val="000000" w:themeColor="text1"/>
                <w:sz w:val="24"/>
                <w:szCs w:val="24"/>
              </w:rPr>
              <w:t>废水</w:t>
            </w:r>
            <w:r>
              <w:rPr>
                <w:rFonts w:ascii="Times New Roman" w:hAnsi="Times New Roman" w:cs="Times New Roman"/>
                <w:b/>
                <w:color w:val="000000" w:themeColor="text1"/>
                <w:sz w:val="24"/>
                <w:szCs w:val="24"/>
              </w:rPr>
              <w:t>环境影响减缓措施有效性分析</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根据设计，</w:t>
            </w:r>
            <w:r>
              <w:rPr>
                <w:rFonts w:ascii="Times New Roman" w:hAnsi="Times New Roman" w:cs="Times New Roman"/>
                <w:color w:val="FF0000"/>
                <w:sz w:val="24"/>
              </w:rPr>
              <w:t>项目拟设置</w:t>
            </w:r>
            <w:r>
              <w:rPr>
                <w:rFonts w:hint="eastAsia" w:ascii="Times New Roman" w:hAnsi="Times New Roman" w:cs="Times New Roman"/>
                <w:color w:val="FF0000"/>
                <w:sz w:val="24"/>
              </w:rPr>
              <w:t>1</w:t>
            </w:r>
            <w:r>
              <w:rPr>
                <w:rFonts w:ascii="Times New Roman" w:hAnsi="Times New Roman" w:cs="Times New Roman"/>
                <w:color w:val="FF0000"/>
                <w:sz w:val="24"/>
              </w:rPr>
              <w:t>套砂石骨料生产废水处理系统对生产废水进行处理，该系统由</w:t>
            </w:r>
            <w:r>
              <w:rPr>
                <w:rFonts w:hint="eastAsia" w:ascii="Times New Roman" w:hAnsi="Times New Roman" w:cs="Times New Roman"/>
                <w:color w:val="FF0000"/>
                <w:sz w:val="24"/>
              </w:rPr>
              <w:t>1组有效容积为60m³的三级沉淀池、1个10m³回水池和回水管道</w:t>
            </w:r>
            <w:r>
              <w:rPr>
                <w:rFonts w:ascii="Times New Roman" w:hAnsi="Times New Roman" w:cs="Times New Roman"/>
                <w:color w:val="FF0000"/>
                <w:sz w:val="24"/>
              </w:rPr>
              <w:t>组成。</w:t>
            </w:r>
            <w:r>
              <w:rPr>
                <w:rFonts w:ascii="Times New Roman" w:hAnsi="Times New Roman" w:cs="Times New Roman"/>
                <w:color w:val="000000" w:themeColor="text1"/>
                <w:sz w:val="24"/>
              </w:rPr>
              <w:t>首先进入三级沉淀池进行沉淀，沉淀后，约90%的上层清水进入回水池回用于骨料生产系统，而三级沉淀池产生的的含水污泥则进入建设单位建设的昆明市东川金水矿业有限责任公司牛厂坪尾矿充填环境综合治理项目进行井下充填处理。三级沉淀池</w:t>
            </w:r>
            <w:r>
              <w:rPr>
                <w:rFonts w:hint="eastAsia" w:ascii="Times New Roman" w:hAnsi="Times New Roman" w:cs="Times New Roman"/>
                <w:color w:val="000000" w:themeColor="text1"/>
                <w:sz w:val="24"/>
              </w:rPr>
              <w:t>的废水停留时间约为</w:t>
            </w:r>
            <w:r>
              <w:rPr>
                <w:rFonts w:hint="eastAsia" w:ascii="Times New Roman" w:hAnsi="Times New Roman" w:cs="Times New Roman"/>
                <w:color w:val="FF0000"/>
                <w:sz w:val="24"/>
              </w:rPr>
              <w:t>30min</w:t>
            </w:r>
            <w:r>
              <w:rPr>
                <w:rFonts w:hint="eastAsia" w:ascii="Times New Roman" w:hAnsi="Times New Roman" w:cs="Times New Roman"/>
                <w:color w:val="000000" w:themeColor="text1"/>
                <w:sz w:val="24"/>
              </w:rPr>
              <w:t>，则项目</w:t>
            </w:r>
            <w:r>
              <w:rPr>
                <w:rFonts w:ascii="Times New Roman" w:hAnsi="Times New Roman" w:cs="Times New Roman"/>
                <w:color w:val="000000" w:themeColor="text1"/>
                <w:sz w:val="24"/>
              </w:rPr>
              <w:t>砂石骨料生产废水处理系统</w:t>
            </w:r>
            <w:r>
              <w:rPr>
                <w:rFonts w:hint="eastAsia" w:ascii="Times New Roman" w:hAnsi="Times New Roman" w:cs="Times New Roman"/>
                <w:color w:val="000000" w:themeColor="text1"/>
                <w:sz w:val="24"/>
              </w:rPr>
              <w:t>废水处理能力可</w:t>
            </w:r>
            <w:r>
              <w:rPr>
                <w:rFonts w:hint="eastAsia" w:ascii="Times New Roman" w:hAnsi="Times New Roman" w:cs="Times New Roman"/>
                <w:color w:val="FF0000"/>
                <w:sz w:val="24"/>
              </w:rPr>
              <w:t>达到640m³/d</w:t>
            </w:r>
            <w:r>
              <w:rPr>
                <w:rFonts w:ascii="Times New Roman" w:hAnsi="Times New Roman" w:cs="Times New Roman"/>
                <w:color w:val="000000" w:themeColor="text1"/>
                <w:sz w:val="24"/>
              </w:rPr>
              <w:t>而本项目产生的生产废水量为420m³/d，则处理规模可达到要求，</w:t>
            </w:r>
            <w:r>
              <w:rPr>
                <w:rFonts w:hint="eastAsia" w:ascii="Times New Roman" w:hAnsi="Times New Roman" w:cs="Times New Roman"/>
                <w:color w:val="000000" w:themeColor="text1"/>
                <w:sz w:val="24"/>
              </w:rPr>
              <w:t>该工艺属于可行技术，该系统主要对砂石骨料</w:t>
            </w:r>
            <w:r>
              <w:rPr>
                <w:rFonts w:ascii="Times New Roman" w:hAnsi="Times New Roman" w:cs="Times New Roman"/>
                <w:color w:val="000000" w:themeColor="text1"/>
                <w:sz w:val="24"/>
              </w:rPr>
              <w:t>生产</w:t>
            </w:r>
            <w:r>
              <w:rPr>
                <w:rFonts w:hint="eastAsia" w:ascii="Times New Roman" w:hAnsi="Times New Roman" w:cs="Times New Roman"/>
                <w:color w:val="000000" w:themeColor="text1"/>
                <w:sz w:val="24"/>
              </w:rPr>
              <w:t>废水中</w:t>
            </w:r>
            <w:r>
              <w:rPr>
                <w:rFonts w:ascii="Times New Roman" w:hAnsi="Times New Roman" w:cs="Times New Roman"/>
                <w:color w:val="000000" w:themeColor="text1"/>
                <w:sz w:val="24"/>
              </w:rPr>
              <w:t>SS沉淀方式进行处理</w:t>
            </w:r>
            <w:r>
              <w:rPr>
                <w:rFonts w:hint="eastAsia" w:ascii="Times New Roman" w:hAnsi="Times New Roman" w:cs="Times New Roman"/>
                <w:color w:val="000000" w:themeColor="text1"/>
                <w:sz w:val="24"/>
              </w:rPr>
              <w:t>后，清水回用于生产，因此项目废水经处理回用部分技术可行。本次环评重点分析项目含水污泥依托处置措施的有效性。环评拟从依托工程建设情况、处理规模、处理合理性等方面进行有效性分析，具体如下：</w:t>
            </w:r>
          </w:p>
          <w:p>
            <w:pPr>
              <w:pStyle w:val="40"/>
              <w:ind w:firstLine="482"/>
              <w:rPr>
                <w:b/>
                <w:color w:val="000000" w:themeColor="text1"/>
                <w:szCs w:val="24"/>
              </w:rPr>
            </w:pPr>
            <w:r>
              <w:rPr>
                <w:b/>
                <w:color w:val="000000" w:themeColor="text1"/>
                <w:szCs w:val="24"/>
              </w:rPr>
              <w:fldChar w:fldCharType="begin"/>
            </w:r>
            <w:r>
              <w:rPr>
                <w:b/>
                <w:color w:val="000000" w:themeColor="text1"/>
                <w:szCs w:val="24"/>
              </w:rPr>
              <w:instrText xml:space="preserve"> = 1 \* GB2 </w:instrText>
            </w:r>
            <w:r>
              <w:rPr>
                <w:b/>
                <w:color w:val="000000" w:themeColor="text1"/>
                <w:szCs w:val="24"/>
              </w:rPr>
              <w:fldChar w:fldCharType="separate"/>
            </w:r>
            <w:r>
              <w:rPr>
                <w:rFonts w:hint="eastAsia"/>
                <w:b/>
                <w:color w:val="000000" w:themeColor="text1"/>
                <w:szCs w:val="24"/>
              </w:rPr>
              <w:t>⑴</w:t>
            </w:r>
            <w:r>
              <w:rPr>
                <w:b/>
                <w:color w:val="000000" w:themeColor="text1"/>
                <w:szCs w:val="24"/>
              </w:rPr>
              <w:fldChar w:fldCharType="end"/>
            </w:r>
            <w:r>
              <w:rPr>
                <w:rFonts w:hint="eastAsia"/>
                <w:b/>
                <w:color w:val="000000" w:themeColor="text1"/>
                <w:szCs w:val="24"/>
              </w:rPr>
              <w:t>依托工程建设情况</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项目三级沉淀池产生的含水污泥依托</w:t>
            </w:r>
            <w:r>
              <w:rPr>
                <w:rFonts w:ascii="Times New Roman" w:hAnsi="Times New Roman" w:cs="Times New Roman"/>
                <w:color w:val="000000" w:themeColor="text1"/>
                <w:sz w:val="24"/>
              </w:rPr>
              <w:t>昆明市东川金水矿业有限责任公司牛厂坪尾矿充填环境综合治理项目</w:t>
            </w:r>
            <w:r>
              <w:rPr>
                <w:rFonts w:hint="eastAsia" w:ascii="Times New Roman" w:hAnsi="Times New Roman" w:cs="Times New Roman"/>
                <w:color w:val="000000" w:themeColor="text1"/>
                <w:sz w:val="24"/>
              </w:rPr>
              <w:t>进行处理，根据调查，该项目已于2019年7月编制完成《</w:t>
            </w:r>
            <w:r>
              <w:rPr>
                <w:rFonts w:ascii="Times New Roman" w:hAnsi="Times New Roman" w:cs="Times New Roman"/>
                <w:color w:val="000000" w:themeColor="text1"/>
                <w:sz w:val="24"/>
              </w:rPr>
              <w:t>昆明</w:t>
            </w:r>
            <w:r>
              <w:rPr>
                <w:rFonts w:hint="eastAsia" w:ascii="Times New Roman" w:hAnsi="Times New Roman" w:cs="Times New Roman"/>
                <w:color w:val="000000" w:themeColor="text1"/>
                <w:sz w:val="24"/>
              </w:rPr>
              <w:t>市</w:t>
            </w:r>
            <w:r>
              <w:rPr>
                <w:rFonts w:ascii="Times New Roman" w:hAnsi="Times New Roman" w:cs="Times New Roman"/>
                <w:color w:val="000000" w:themeColor="text1"/>
                <w:sz w:val="24"/>
              </w:rPr>
              <w:t>东川金水矿业有限责任公司</w:t>
            </w:r>
            <w:r>
              <w:rPr>
                <w:rFonts w:hint="eastAsia" w:ascii="Times New Roman" w:hAnsi="Times New Roman" w:cs="Times New Roman"/>
                <w:color w:val="000000" w:themeColor="text1"/>
                <w:sz w:val="24"/>
              </w:rPr>
              <w:t>牛厂坪</w:t>
            </w:r>
            <w:r>
              <w:rPr>
                <w:rFonts w:ascii="Times New Roman" w:hAnsi="Times New Roman" w:cs="Times New Roman"/>
                <w:color w:val="000000" w:themeColor="text1"/>
                <w:sz w:val="24"/>
              </w:rPr>
              <w:t>尾矿充填环境综合治理项目</w:t>
            </w:r>
            <w:r>
              <w:rPr>
                <w:rFonts w:hint="eastAsia" w:ascii="Times New Roman" w:hAnsi="Times New Roman" w:cs="Times New Roman"/>
                <w:color w:val="000000" w:themeColor="text1"/>
                <w:sz w:val="24"/>
              </w:rPr>
              <w:t>环境影响报告书》，并于201</w:t>
            </w:r>
            <w:r>
              <w:rPr>
                <w:rFonts w:ascii="Times New Roman" w:hAnsi="Times New Roman" w:cs="Times New Roman"/>
                <w:color w:val="000000" w:themeColor="text1"/>
                <w:sz w:val="24"/>
              </w:rPr>
              <w:t>9</w:t>
            </w:r>
            <w:r>
              <w:rPr>
                <w:rFonts w:hint="eastAsia" w:ascii="Times New Roman" w:hAnsi="Times New Roman" w:cs="Times New Roman"/>
                <w:color w:val="000000" w:themeColor="text1"/>
                <w:sz w:val="24"/>
              </w:rPr>
              <w:t>年</w:t>
            </w:r>
            <w:r>
              <w:rPr>
                <w:rFonts w:ascii="Times New Roman" w:hAnsi="Times New Roman" w:cs="Times New Roman"/>
                <w:color w:val="000000" w:themeColor="text1"/>
                <w:sz w:val="24"/>
              </w:rPr>
              <w:t>8</w:t>
            </w:r>
            <w:r>
              <w:rPr>
                <w:rFonts w:hint="eastAsia" w:ascii="Times New Roman" w:hAnsi="Times New Roman" w:cs="Times New Roman"/>
                <w:color w:val="000000" w:themeColor="text1"/>
                <w:sz w:val="24"/>
              </w:rPr>
              <w:t>月</w:t>
            </w:r>
            <w:r>
              <w:rPr>
                <w:rFonts w:ascii="Times New Roman" w:hAnsi="Times New Roman" w:cs="Times New Roman"/>
                <w:color w:val="000000" w:themeColor="text1"/>
                <w:sz w:val="24"/>
              </w:rPr>
              <w:t>3</w:t>
            </w:r>
            <w:r>
              <w:rPr>
                <w:rFonts w:hint="eastAsia" w:ascii="Times New Roman" w:hAnsi="Times New Roman" w:cs="Times New Roman"/>
                <w:color w:val="000000" w:themeColor="text1"/>
                <w:sz w:val="24"/>
              </w:rPr>
              <w:t>日取得昆明市生态环境局东川分局下发的《关于对牛厂坪尾矿充填环境综合治理项目环境影响报告书</w:t>
            </w:r>
            <w:r>
              <w:rPr>
                <w:rFonts w:ascii="Times New Roman" w:hAnsi="Times New Roman" w:cs="Times New Roman"/>
                <w:color w:val="000000" w:themeColor="text1"/>
                <w:sz w:val="24"/>
              </w:rPr>
              <w:t>的</w:t>
            </w:r>
            <w:r>
              <w:rPr>
                <w:rFonts w:hint="eastAsia" w:ascii="Times New Roman" w:hAnsi="Times New Roman" w:cs="Times New Roman"/>
                <w:color w:val="000000" w:themeColor="text1"/>
                <w:sz w:val="24"/>
              </w:rPr>
              <w:t>批复》（昆生环（东）复【201</w:t>
            </w:r>
            <w:r>
              <w:rPr>
                <w:rFonts w:ascii="Times New Roman" w:hAnsi="Times New Roman" w:cs="Times New Roman"/>
                <w:color w:val="000000" w:themeColor="text1"/>
                <w:sz w:val="24"/>
              </w:rPr>
              <w:t>9</w:t>
            </w:r>
            <w:r>
              <w:rPr>
                <w:rFonts w:hint="eastAsia" w:ascii="Times New Roman" w:hAnsi="Times New Roman" w:cs="Times New Roman"/>
                <w:color w:val="000000" w:themeColor="text1"/>
                <w:sz w:val="24"/>
              </w:rPr>
              <w:t>】</w:t>
            </w:r>
            <w:r>
              <w:rPr>
                <w:rFonts w:ascii="Times New Roman" w:hAnsi="Times New Roman" w:cs="Times New Roman"/>
                <w:color w:val="000000" w:themeColor="text1"/>
                <w:sz w:val="24"/>
              </w:rPr>
              <w:t>8</w:t>
            </w:r>
            <w:r>
              <w:rPr>
                <w:rFonts w:hint="eastAsia" w:ascii="Times New Roman" w:hAnsi="Times New Roman" w:cs="Times New Roman"/>
                <w:color w:val="000000" w:themeColor="text1"/>
                <w:sz w:val="24"/>
              </w:rPr>
              <w:t>号），该项目拟分两期建设其中一期工程于2019年8月开工建设，2020年11月17日建设完成，并于</w:t>
            </w:r>
            <w:r>
              <w:rPr>
                <w:rFonts w:ascii="Times New Roman" w:hAnsi="Times New Roman" w:cs="Times New Roman"/>
                <w:color w:val="000000" w:themeColor="text1"/>
                <w:sz w:val="24"/>
              </w:rPr>
              <w:t>2021年</w:t>
            </w:r>
            <w:r>
              <w:rPr>
                <w:rFonts w:hint="eastAsia" w:ascii="Times New Roman" w:hAnsi="Times New Roman" w:cs="Times New Roman"/>
                <w:color w:val="000000" w:themeColor="text1"/>
                <w:sz w:val="24"/>
              </w:rPr>
              <w:t>3</w:t>
            </w:r>
            <w:r>
              <w:rPr>
                <w:rFonts w:ascii="Times New Roman" w:hAnsi="Times New Roman" w:cs="Times New Roman"/>
                <w:color w:val="000000" w:themeColor="text1"/>
                <w:sz w:val="24"/>
              </w:rPr>
              <w:t>月</w:t>
            </w:r>
            <w:r>
              <w:rPr>
                <w:rFonts w:hint="eastAsia" w:ascii="Times New Roman" w:hAnsi="Times New Roman" w:cs="Times New Roman"/>
                <w:color w:val="000000" w:themeColor="text1"/>
                <w:sz w:val="24"/>
              </w:rPr>
              <w:t>14</w:t>
            </w:r>
            <w:r>
              <w:rPr>
                <w:rFonts w:ascii="Times New Roman" w:hAnsi="Times New Roman" w:cs="Times New Roman"/>
                <w:color w:val="000000" w:themeColor="text1"/>
                <w:sz w:val="24"/>
              </w:rPr>
              <w:t>日</w:t>
            </w:r>
            <w:r>
              <w:rPr>
                <w:rFonts w:hint="eastAsia" w:ascii="Times New Roman" w:hAnsi="Times New Roman" w:cs="Times New Roman"/>
                <w:color w:val="000000" w:themeColor="text1"/>
                <w:sz w:val="24"/>
              </w:rPr>
              <w:t>通过建设单位组织的竣工环境保护验收。该项目主要将建设单位三分厂产生的尾矿通过浓密后管道输送至人占石铜矿和鹦鸽嘴铁矿</w:t>
            </w:r>
            <w:r>
              <w:rPr>
                <w:rFonts w:ascii="Times New Roman" w:hAnsi="Times New Roman" w:cs="Times New Roman"/>
                <w:color w:val="000000" w:themeColor="text1"/>
                <w:sz w:val="24"/>
              </w:rPr>
              <w:t>采空区进行充填</w:t>
            </w:r>
            <w:r>
              <w:rPr>
                <w:rFonts w:hint="eastAsia" w:ascii="Times New Roman" w:hAnsi="Times New Roman" w:cs="Times New Roman"/>
                <w:color w:val="000000" w:themeColor="text1"/>
                <w:sz w:val="24"/>
              </w:rPr>
              <w:t>。其中浓密机及其配套设施位于三分厂厂区内，充填设施位于充填矿区内。</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综上，项目依托工程已建成，项目具备依托条件。</w:t>
            </w:r>
          </w:p>
          <w:p>
            <w:pPr>
              <w:pStyle w:val="40"/>
              <w:ind w:firstLine="482"/>
              <w:rPr>
                <w:b/>
                <w:color w:val="000000" w:themeColor="text1"/>
                <w:szCs w:val="24"/>
              </w:rPr>
            </w:pPr>
            <w:r>
              <w:rPr>
                <w:b/>
                <w:color w:val="000000" w:themeColor="text1"/>
                <w:szCs w:val="24"/>
              </w:rPr>
              <w:fldChar w:fldCharType="begin"/>
            </w:r>
            <w:r>
              <w:rPr>
                <w:b/>
                <w:color w:val="000000" w:themeColor="text1"/>
                <w:szCs w:val="24"/>
              </w:rPr>
              <w:instrText xml:space="preserve"> </w:instrText>
            </w:r>
            <w:r>
              <w:rPr>
                <w:rFonts w:hint="eastAsia"/>
                <w:b/>
                <w:color w:val="000000" w:themeColor="text1"/>
                <w:szCs w:val="24"/>
              </w:rPr>
              <w:instrText xml:space="preserve">= 2 \* GB2</w:instrText>
            </w:r>
            <w:r>
              <w:rPr>
                <w:b/>
                <w:color w:val="000000" w:themeColor="text1"/>
                <w:szCs w:val="24"/>
              </w:rPr>
              <w:instrText xml:space="preserve"> </w:instrText>
            </w:r>
            <w:r>
              <w:rPr>
                <w:b/>
                <w:color w:val="000000" w:themeColor="text1"/>
                <w:szCs w:val="24"/>
              </w:rPr>
              <w:fldChar w:fldCharType="separate"/>
            </w:r>
            <w:r>
              <w:rPr>
                <w:rFonts w:hint="eastAsia"/>
                <w:b/>
                <w:color w:val="000000" w:themeColor="text1"/>
                <w:szCs w:val="24"/>
              </w:rPr>
              <w:t>⑵</w:t>
            </w:r>
            <w:r>
              <w:rPr>
                <w:b/>
                <w:color w:val="000000" w:themeColor="text1"/>
                <w:szCs w:val="24"/>
              </w:rPr>
              <w:fldChar w:fldCharType="end"/>
            </w:r>
            <w:r>
              <w:rPr>
                <w:rFonts w:hint="eastAsia"/>
                <w:b/>
                <w:color w:val="000000" w:themeColor="text1"/>
                <w:szCs w:val="24"/>
              </w:rPr>
              <w:t>处理规模</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根据调查，建设单位三分厂的</w:t>
            </w:r>
            <w:r>
              <w:rPr>
                <w:rFonts w:hint="eastAsia" w:ascii="Times New Roman" w:hAnsi="Times New Roman" w:eastAsia="宋体" w:cs="Times New Roman"/>
                <w:color w:val="000000" w:themeColor="text1"/>
                <w:sz w:val="24"/>
              </w:rPr>
              <w:t>尾矿砂产生总量为1446t/d，</w:t>
            </w:r>
            <w:r>
              <w:rPr>
                <w:rFonts w:hint="eastAsia" w:ascii="Times New Roman" w:hAnsi="Times New Roman" w:cs="Times New Roman"/>
                <w:color w:val="000000" w:themeColor="text1"/>
                <w:sz w:val="24"/>
              </w:rPr>
              <w:t>充填项目为满足三分厂的</w:t>
            </w:r>
            <w:r>
              <w:rPr>
                <w:rFonts w:hint="eastAsia" w:ascii="Times New Roman" w:hAnsi="Times New Roman" w:eastAsia="宋体" w:cs="Times New Roman"/>
                <w:color w:val="000000" w:themeColor="text1"/>
                <w:sz w:val="24"/>
              </w:rPr>
              <w:t>尾矿砂</w:t>
            </w:r>
            <w:r>
              <w:rPr>
                <w:rFonts w:hint="eastAsia" w:ascii="Times New Roman" w:hAnsi="Times New Roman" w:cs="Times New Roman"/>
                <w:color w:val="000000" w:themeColor="text1"/>
                <w:sz w:val="24"/>
              </w:rPr>
              <w:t>可完全充填，其充填设施按尾矿渣量富余10%进行设计和建设，即充填设施尾矿渣充填量可达到1590.6</w:t>
            </w:r>
            <w:r>
              <w:rPr>
                <w:rFonts w:hint="eastAsia" w:ascii="Times New Roman" w:hAnsi="Times New Roman" w:eastAsia="宋体" w:cs="Times New Roman"/>
                <w:color w:val="000000" w:themeColor="text1"/>
                <w:sz w:val="24"/>
              </w:rPr>
              <w:t>t/d</w:t>
            </w:r>
            <w:r>
              <w:rPr>
                <w:rFonts w:hint="eastAsia" w:ascii="Times New Roman" w:hAnsi="Times New Roman" w:cs="Times New Roman"/>
                <w:color w:val="000000" w:themeColor="text1"/>
                <w:sz w:val="24"/>
              </w:rPr>
              <w:t>；其富余能力为144.6t/d，而本项目含水污泥的浓度约为60%，其含水量约为42m³/d，则含水污泥的量约为105</w:t>
            </w:r>
            <w:r>
              <w:rPr>
                <w:rFonts w:hint="eastAsia" w:ascii="Times New Roman" w:hAnsi="Times New Roman" w:eastAsia="宋体" w:cs="Times New Roman"/>
                <w:color w:val="000000" w:themeColor="text1"/>
                <w:sz w:val="24"/>
              </w:rPr>
              <w:t>t/d</w:t>
            </w:r>
            <w:r>
              <w:rPr>
                <w:rFonts w:hint="eastAsia" w:ascii="Times New Roman" w:hAnsi="Times New Roman" w:cs="Times New Roman"/>
                <w:color w:val="000000" w:themeColor="text1"/>
                <w:sz w:val="24"/>
              </w:rPr>
              <w:t>，则充填项目处理规模可满足本次建设项目的依托需要。</w:t>
            </w:r>
          </w:p>
          <w:p>
            <w:pPr>
              <w:pStyle w:val="40"/>
              <w:ind w:firstLine="482"/>
              <w:rPr>
                <w:b/>
                <w:color w:val="000000" w:themeColor="text1"/>
                <w:szCs w:val="24"/>
              </w:rPr>
            </w:pPr>
            <w:r>
              <w:rPr>
                <w:b/>
                <w:color w:val="000000" w:themeColor="text1"/>
                <w:szCs w:val="24"/>
              </w:rPr>
              <w:fldChar w:fldCharType="begin"/>
            </w:r>
            <w:r>
              <w:rPr>
                <w:b/>
                <w:color w:val="000000" w:themeColor="text1"/>
                <w:szCs w:val="24"/>
              </w:rPr>
              <w:instrText xml:space="preserve"> </w:instrText>
            </w:r>
            <w:r>
              <w:rPr>
                <w:rFonts w:hint="eastAsia"/>
                <w:b/>
                <w:color w:val="000000" w:themeColor="text1"/>
                <w:szCs w:val="24"/>
              </w:rPr>
              <w:instrText xml:space="preserve">= 3 \* GB2</w:instrText>
            </w:r>
            <w:r>
              <w:rPr>
                <w:b/>
                <w:color w:val="000000" w:themeColor="text1"/>
                <w:szCs w:val="24"/>
              </w:rPr>
              <w:instrText xml:space="preserve"> </w:instrText>
            </w:r>
            <w:r>
              <w:rPr>
                <w:b/>
                <w:color w:val="000000" w:themeColor="text1"/>
                <w:szCs w:val="24"/>
              </w:rPr>
              <w:fldChar w:fldCharType="separate"/>
            </w:r>
            <w:r>
              <w:rPr>
                <w:rFonts w:hint="eastAsia"/>
                <w:b/>
                <w:color w:val="000000" w:themeColor="text1"/>
                <w:szCs w:val="24"/>
              </w:rPr>
              <w:t>⑶</w:t>
            </w:r>
            <w:r>
              <w:rPr>
                <w:b/>
                <w:color w:val="000000" w:themeColor="text1"/>
                <w:szCs w:val="24"/>
              </w:rPr>
              <w:fldChar w:fldCharType="end"/>
            </w:r>
            <w:r>
              <w:rPr>
                <w:rFonts w:hint="eastAsia"/>
                <w:b/>
                <w:color w:val="000000" w:themeColor="text1"/>
                <w:szCs w:val="24"/>
              </w:rPr>
              <w:t>处理合理性</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根据调查，本项目、三分厂和尾矿充填项目均属于统一责任主体，三分厂紧邻本项目，且其标高低于本项目区，因此项目产生的含水污泥可自流进入三分厂内的浓密机进行处置。项目产生的含水污泥其主要成分为矿石开采过程产生的泥土，在砂石骨料生产线清洗过程富集而成，其属性属于第I类一般工业固体废物，因此其属性依托其充填可行；项目含水污泥产生量较尾矿充填量比例较小，因此，项目依托其处理，不会对其工艺规模造成影响。</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综上，项目含水污泥依托</w:t>
            </w:r>
            <w:r>
              <w:rPr>
                <w:rFonts w:ascii="Times New Roman" w:hAnsi="Times New Roman" w:cs="Times New Roman"/>
                <w:color w:val="000000" w:themeColor="text1"/>
                <w:sz w:val="24"/>
              </w:rPr>
              <w:t>昆明市东川金水矿业有限责任公司牛厂坪尾矿充填环境综合治理项目进行井下充填处理</w:t>
            </w:r>
            <w:r>
              <w:rPr>
                <w:rFonts w:hint="eastAsia" w:ascii="Times New Roman" w:hAnsi="Times New Roman" w:cs="Times New Roman"/>
                <w:color w:val="000000" w:themeColor="text1"/>
                <w:sz w:val="24"/>
              </w:rPr>
              <w:t>，技术措施可行。</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rPr>
              <w:t>②一期工程</w:t>
            </w:r>
            <w:r>
              <w:rPr>
                <w:rFonts w:ascii="Times New Roman" w:hAnsi="Times New Roman" w:cs="Times New Roman"/>
                <w:b/>
                <w:color w:val="000000" w:themeColor="text1"/>
                <w:sz w:val="24"/>
                <w:szCs w:val="24"/>
              </w:rPr>
              <w:t>初期雨水污染治理措施可行性分析</w:t>
            </w:r>
          </w:p>
          <w:p>
            <w:pPr>
              <w:pStyle w:val="40"/>
              <w:ind w:firstLine="480"/>
              <w:rPr>
                <w:rFonts w:eastAsiaTheme="minorEastAsia"/>
                <w:color w:val="000000" w:themeColor="text1"/>
                <w:szCs w:val="24"/>
              </w:rPr>
            </w:pPr>
            <w:r>
              <w:rPr>
                <w:rFonts w:eastAsiaTheme="minorEastAsia"/>
                <w:color w:val="000000" w:themeColor="text1"/>
                <w:szCs w:val="24"/>
              </w:rPr>
              <w:t>根据工程分析可知，该项目</w:t>
            </w:r>
            <w:r>
              <w:rPr>
                <w:rFonts w:hint="eastAsia" w:eastAsiaTheme="minorEastAsia"/>
                <w:color w:val="000000" w:themeColor="text1"/>
                <w:szCs w:val="24"/>
              </w:rPr>
              <w:t>一期工程区域</w:t>
            </w:r>
            <w:r>
              <w:rPr>
                <w:rFonts w:eastAsiaTheme="minorEastAsia"/>
                <w:color w:val="000000" w:themeColor="text1"/>
                <w:szCs w:val="24"/>
              </w:rPr>
              <w:t>的初期雨水产生量约为</w:t>
            </w:r>
            <w:r>
              <w:rPr>
                <w:rFonts w:hint="eastAsia" w:eastAsiaTheme="minorEastAsia"/>
                <w:color w:val="000000" w:themeColor="text1"/>
                <w:szCs w:val="24"/>
              </w:rPr>
              <w:t>6.71</w:t>
            </w:r>
            <w:r>
              <w:rPr>
                <w:rFonts w:eastAsiaTheme="minorEastAsia"/>
                <w:color w:val="000000" w:themeColor="text1"/>
                <w:szCs w:val="24"/>
              </w:rPr>
              <w:t>m³/次，该项目</w:t>
            </w:r>
            <w:r>
              <w:rPr>
                <w:rFonts w:hint="eastAsia" w:eastAsiaTheme="minorEastAsia"/>
                <w:color w:val="000000" w:themeColor="text1"/>
                <w:szCs w:val="24"/>
              </w:rPr>
              <w:t>一期工程</w:t>
            </w:r>
            <w:r>
              <w:rPr>
                <w:rFonts w:eastAsiaTheme="minorEastAsia"/>
                <w:color w:val="000000" w:themeColor="text1"/>
                <w:szCs w:val="24"/>
              </w:rPr>
              <w:t>拟配套设置1个有效容积为</w:t>
            </w:r>
            <w:r>
              <w:rPr>
                <w:rFonts w:hint="eastAsia" w:eastAsiaTheme="minorEastAsia"/>
                <w:color w:val="000000" w:themeColor="text1"/>
                <w:szCs w:val="24"/>
              </w:rPr>
              <w:t>9</w:t>
            </w:r>
            <w:r>
              <w:rPr>
                <w:rFonts w:eastAsiaTheme="minorEastAsia"/>
                <w:color w:val="000000" w:themeColor="text1"/>
                <w:szCs w:val="24"/>
              </w:rPr>
              <w:t>m³的初期雨水收集池，</w:t>
            </w:r>
            <w:r>
              <w:rPr>
                <w:rFonts w:hint="eastAsia" w:eastAsiaTheme="minorEastAsia"/>
                <w:color w:val="000000" w:themeColor="text1"/>
                <w:szCs w:val="24"/>
              </w:rPr>
              <w:t>一期工程</w:t>
            </w:r>
            <w:r>
              <w:rPr>
                <w:rFonts w:eastAsiaTheme="minorEastAsia"/>
                <w:color w:val="000000" w:themeColor="text1"/>
                <w:szCs w:val="24"/>
              </w:rPr>
              <w:t>初期雨水收集池的容积可满足收集要求，同时在</w:t>
            </w:r>
            <w:r>
              <w:rPr>
                <w:rFonts w:hint="eastAsia" w:eastAsiaTheme="minorEastAsia"/>
                <w:color w:val="000000" w:themeColor="text1"/>
                <w:szCs w:val="24"/>
              </w:rPr>
              <w:t>一期工程</w:t>
            </w:r>
            <w:r>
              <w:rPr>
                <w:rFonts w:eastAsiaTheme="minorEastAsia"/>
                <w:color w:val="000000" w:themeColor="text1"/>
                <w:szCs w:val="24"/>
              </w:rPr>
              <w:t>初期雨水收集池前端设置阀门，初期雨水收集后，关闭阀门，将中、后期雨水通过雨水管网外排；该措施合理可行。</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w:instrText>
            </w:r>
            <w:r>
              <w:rPr>
                <w:rFonts w:hint="eastAsia" w:ascii="Times New Roman" w:hAnsi="Times New Roman" w:cs="Times New Roman"/>
                <w:b/>
                <w:color w:val="000000" w:themeColor="text1"/>
                <w:sz w:val="24"/>
                <w:szCs w:val="24"/>
              </w:rPr>
              <w:instrText xml:space="preserve">= 2 \* GB4</w:instrText>
            </w:r>
            <w:r>
              <w:rPr>
                <w:rFonts w:ascii="Times New Roman" w:hAnsi="Times New Roman" w:cs="Times New Roman"/>
                <w:b/>
                <w:color w:val="000000" w:themeColor="text1"/>
                <w:sz w:val="24"/>
                <w:szCs w:val="24"/>
              </w:rPr>
              <w:instrText xml:space="preserve">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㈡</w:t>
            </w:r>
            <w:r>
              <w:rPr>
                <w:rFonts w:ascii="Times New Roman" w:hAnsi="Times New Roman" w:cs="Times New Roman"/>
                <w:b/>
                <w:color w:val="000000" w:themeColor="text1"/>
                <w:sz w:val="24"/>
                <w:szCs w:val="24"/>
              </w:rPr>
              <w:fldChar w:fldCharType="end"/>
            </w:r>
            <w:r>
              <w:rPr>
                <w:rFonts w:hint="eastAsia" w:ascii="Times New Roman" w:hAnsi="Times New Roman" w:cs="Times New Roman"/>
                <w:b/>
                <w:color w:val="000000" w:themeColor="text1"/>
                <w:sz w:val="24"/>
                <w:szCs w:val="24"/>
              </w:rPr>
              <w:t>二期工程</w:t>
            </w:r>
            <w:r>
              <w:rPr>
                <w:rFonts w:ascii="Times New Roman" w:hAnsi="Times New Roman" w:cs="Times New Roman"/>
                <w:b/>
                <w:color w:val="000000" w:themeColor="text1"/>
                <w:sz w:val="24"/>
                <w:szCs w:val="24"/>
              </w:rPr>
              <w:t>废水污染治理设施可行性分析</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①水泥砖养护废水</w:t>
            </w:r>
            <w:r>
              <w:rPr>
                <w:rFonts w:ascii="Times New Roman" w:hAnsi="Times New Roman" w:cs="Times New Roman"/>
                <w:b/>
                <w:color w:val="000000" w:themeColor="text1"/>
                <w:sz w:val="24"/>
                <w:szCs w:val="24"/>
              </w:rPr>
              <w:t>环境影响减缓措施有效性分析</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项目水泥砖养护废水</w:t>
            </w:r>
            <w:r>
              <w:rPr>
                <w:rFonts w:hint="eastAsia" w:ascii="Times New Roman" w:hAnsi="Times New Roman" w:cs="Times New Roman"/>
                <w:color w:val="000000" w:themeColor="text1"/>
                <w:sz w:val="24"/>
              </w:rPr>
              <w:t>产生量为2.3</w:t>
            </w:r>
            <w:r>
              <w:rPr>
                <w:rFonts w:ascii="Times New Roman" w:hAnsi="Times New Roman" w:cs="Times New Roman"/>
                <w:color w:val="000000" w:themeColor="text1"/>
                <w:sz w:val="24"/>
              </w:rPr>
              <w:t>m³/d，</w:t>
            </w:r>
            <w:r>
              <w:rPr>
                <w:rFonts w:hint="eastAsia" w:ascii="Times New Roman" w:hAnsi="Times New Roman" w:cs="Times New Roman"/>
                <w:color w:val="000000" w:themeColor="text1"/>
                <w:sz w:val="24"/>
              </w:rPr>
              <w:t>项目拟设置1个有效容积为6</w:t>
            </w:r>
            <w:r>
              <w:rPr>
                <w:rFonts w:ascii="Times New Roman" w:hAnsi="Times New Roman" w:cs="Times New Roman"/>
                <w:color w:val="000000" w:themeColor="text1"/>
                <w:sz w:val="24"/>
              </w:rPr>
              <w:t>m³</w:t>
            </w:r>
            <w:r>
              <w:rPr>
                <w:rFonts w:hint="eastAsia" w:ascii="Times New Roman" w:hAnsi="Times New Roman" w:cs="Times New Roman"/>
                <w:color w:val="000000" w:themeColor="text1"/>
                <w:sz w:val="24"/>
              </w:rPr>
              <w:t>的养护废水收集池对其进行收集后，返回养护工序使用，由于养护废水的污染因子简单，主要为SS，污染源强较小，项目设置的养护废水收集池容积可达到收集处置要求，可做的废水不外排，因此，</w:t>
            </w:r>
            <w:r>
              <w:rPr>
                <w:rFonts w:ascii="Times New Roman" w:hAnsi="Times New Roman" w:cs="Times New Roman"/>
                <w:color w:val="000000" w:themeColor="text1"/>
                <w:sz w:val="24"/>
              </w:rPr>
              <w:t>因此</w:t>
            </w:r>
            <w:r>
              <w:rPr>
                <w:rFonts w:hint="eastAsia" w:ascii="Times New Roman" w:hAnsi="Times New Roman" w:cs="Times New Roman"/>
                <w:color w:val="000000" w:themeColor="text1"/>
                <w:sz w:val="24"/>
              </w:rPr>
              <w:t>养护废水收集池</w:t>
            </w:r>
            <w:r>
              <w:rPr>
                <w:rFonts w:ascii="Times New Roman" w:hAnsi="Times New Roman" w:cs="Times New Roman"/>
                <w:color w:val="000000" w:themeColor="text1"/>
                <w:sz w:val="24"/>
              </w:rPr>
              <w:t>设置合理。</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rPr>
              <w:t>②二期工程</w:t>
            </w:r>
            <w:r>
              <w:rPr>
                <w:rFonts w:ascii="Times New Roman" w:hAnsi="Times New Roman" w:cs="Times New Roman"/>
                <w:b/>
                <w:color w:val="000000" w:themeColor="text1"/>
                <w:sz w:val="24"/>
                <w:szCs w:val="24"/>
              </w:rPr>
              <w:t>初期雨水污染治理措施可行性分析</w:t>
            </w:r>
          </w:p>
          <w:p>
            <w:pPr>
              <w:pStyle w:val="40"/>
              <w:ind w:firstLine="480"/>
              <w:rPr>
                <w:rFonts w:eastAsiaTheme="minorEastAsia"/>
                <w:color w:val="000000" w:themeColor="text1"/>
                <w:szCs w:val="24"/>
              </w:rPr>
            </w:pPr>
            <w:r>
              <w:rPr>
                <w:rFonts w:eastAsiaTheme="minorEastAsia"/>
                <w:color w:val="000000" w:themeColor="text1"/>
                <w:szCs w:val="24"/>
              </w:rPr>
              <w:t>根据工程分析可知，该项目</w:t>
            </w:r>
            <w:r>
              <w:rPr>
                <w:rFonts w:hint="eastAsia" w:eastAsiaTheme="minorEastAsia"/>
                <w:color w:val="000000" w:themeColor="text1"/>
                <w:szCs w:val="24"/>
              </w:rPr>
              <w:t>二期工程区域</w:t>
            </w:r>
            <w:r>
              <w:rPr>
                <w:rFonts w:eastAsiaTheme="minorEastAsia"/>
                <w:color w:val="000000" w:themeColor="text1"/>
                <w:szCs w:val="24"/>
              </w:rPr>
              <w:t>的初期雨水产生量约为</w:t>
            </w:r>
            <w:r>
              <w:rPr>
                <w:rFonts w:hint="eastAsia" w:eastAsiaTheme="minorEastAsia"/>
                <w:color w:val="000000" w:themeColor="text1"/>
                <w:szCs w:val="24"/>
              </w:rPr>
              <w:t>2.87</w:t>
            </w:r>
            <w:r>
              <w:rPr>
                <w:rFonts w:eastAsiaTheme="minorEastAsia"/>
                <w:color w:val="000000" w:themeColor="text1"/>
                <w:szCs w:val="24"/>
              </w:rPr>
              <w:t>m³/次，该项目</w:t>
            </w:r>
            <w:r>
              <w:rPr>
                <w:rFonts w:hint="eastAsia" w:eastAsiaTheme="minorEastAsia"/>
                <w:color w:val="000000" w:themeColor="text1"/>
                <w:szCs w:val="24"/>
              </w:rPr>
              <w:t>二期工程</w:t>
            </w:r>
            <w:r>
              <w:rPr>
                <w:rFonts w:eastAsiaTheme="minorEastAsia"/>
                <w:color w:val="000000" w:themeColor="text1"/>
                <w:szCs w:val="24"/>
              </w:rPr>
              <w:t>拟配套设置1个有效容积为</w:t>
            </w:r>
            <w:r>
              <w:rPr>
                <w:rFonts w:hint="eastAsia" w:eastAsiaTheme="minorEastAsia"/>
                <w:color w:val="000000" w:themeColor="text1"/>
                <w:szCs w:val="24"/>
              </w:rPr>
              <w:t>5</w:t>
            </w:r>
            <w:r>
              <w:rPr>
                <w:rFonts w:eastAsiaTheme="minorEastAsia"/>
                <w:color w:val="000000" w:themeColor="text1"/>
                <w:szCs w:val="24"/>
              </w:rPr>
              <w:t>m³的初期雨水收集池，</w:t>
            </w:r>
            <w:r>
              <w:rPr>
                <w:rFonts w:hint="eastAsia" w:eastAsiaTheme="minorEastAsia"/>
                <w:color w:val="000000" w:themeColor="text1"/>
                <w:szCs w:val="24"/>
              </w:rPr>
              <w:t>二期工程</w:t>
            </w:r>
            <w:r>
              <w:rPr>
                <w:rFonts w:eastAsiaTheme="minorEastAsia"/>
                <w:color w:val="000000" w:themeColor="text1"/>
                <w:szCs w:val="24"/>
              </w:rPr>
              <w:t>初期雨水收集池的容积可满足收集要求，同时在</w:t>
            </w:r>
            <w:r>
              <w:rPr>
                <w:rFonts w:hint="eastAsia" w:eastAsiaTheme="minorEastAsia"/>
                <w:color w:val="000000" w:themeColor="text1"/>
                <w:szCs w:val="24"/>
              </w:rPr>
              <w:t>二期工程</w:t>
            </w:r>
            <w:r>
              <w:rPr>
                <w:rFonts w:eastAsiaTheme="minorEastAsia"/>
                <w:color w:val="000000" w:themeColor="text1"/>
                <w:szCs w:val="24"/>
              </w:rPr>
              <w:t>初期雨水收集池前端设置阀门，初期雨水收集后，关闭阀门，将中、后期雨水通过雨水管网外排；该措施合理可行。</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w:instrText>
            </w:r>
            <w:r>
              <w:rPr>
                <w:rFonts w:hint="eastAsia" w:ascii="Times New Roman" w:hAnsi="Times New Roman" w:cs="Times New Roman"/>
                <w:b/>
                <w:color w:val="000000" w:themeColor="text1"/>
                <w:sz w:val="24"/>
                <w:szCs w:val="24"/>
              </w:rPr>
              <w:instrText xml:space="preserve">= 3 \* GB4</w:instrText>
            </w:r>
            <w:r>
              <w:rPr>
                <w:rFonts w:ascii="Times New Roman" w:hAnsi="Times New Roman" w:cs="Times New Roman"/>
                <w:b/>
                <w:color w:val="000000" w:themeColor="text1"/>
                <w:sz w:val="24"/>
                <w:szCs w:val="24"/>
              </w:rPr>
              <w:instrText xml:space="preserve">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㈢</w:t>
            </w:r>
            <w:r>
              <w:rPr>
                <w:rFonts w:ascii="Times New Roman" w:hAnsi="Times New Roman" w:cs="Times New Roman"/>
                <w:b/>
                <w:color w:val="000000" w:themeColor="text1"/>
                <w:sz w:val="24"/>
                <w:szCs w:val="24"/>
              </w:rPr>
              <w:fldChar w:fldCharType="end"/>
            </w:r>
            <w:r>
              <w:rPr>
                <w:rFonts w:hint="eastAsia" w:ascii="Times New Roman" w:hAnsi="Times New Roman" w:cs="Times New Roman"/>
                <w:b/>
                <w:color w:val="000000" w:themeColor="text1"/>
                <w:sz w:val="24"/>
                <w:szCs w:val="24"/>
              </w:rPr>
              <w:t>生活污水</w:t>
            </w:r>
            <w:r>
              <w:rPr>
                <w:rFonts w:ascii="Times New Roman" w:hAnsi="Times New Roman" w:cs="Times New Roman"/>
                <w:b/>
                <w:color w:val="000000" w:themeColor="text1"/>
                <w:sz w:val="24"/>
                <w:szCs w:val="24"/>
              </w:rPr>
              <w:t>环境影响减缓措施有效性分析</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项目生活污水处置措施包括化粪池、一体化污水处理设施和清水池。具体如下。</w:t>
            </w:r>
          </w:p>
          <w:p>
            <w:pPr>
              <w:spacing w:line="360" w:lineRule="auto"/>
              <w:ind w:firstLine="482" w:firstLineChars="200"/>
              <w:rPr>
                <w:rFonts w:ascii="Times New Roman" w:hAnsi="Times New Roman" w:cs="Times New Roman"/>
                <w:color w:val="000000" w:themeColor="text1"/>
                <w:szCs w:val="24"/>
              </w:rPr>
            </w:pPr>
            <w:r>
              <w:rPr>
                <w:rFonts w:hint="eastAsia" w:ascii="宋体" w:hAnsi="宋体" w:eastAsia="宋体" w:cs="宋体"/>
                <w:b/>
                <w:color w:val="000000" w:themeColor="text1"/>
                <w:sz w:val="24"/>
                <w:szCs w:val="24"/>
              </w:rPr>
              <w:t>①</w:t>
            </w:r>
            <w:r>
              <w:rPr>
                <w:rFonts w:ascii="Times New Roman" w:hAnsi="Times New Roman" w:cs="Times New Roman"/>
                <w:b/>
                <w:color w:val="000000" w:themeColor="text1"/>
                <w:sz w:val="24"/>
              </w:rPr>
              <w:t>化粪池</w:t>
            </w:r>
            <w:r>
              <w:rPr>
                <w:rFonts w:ascii="Times New Roman" w:hAnsi="Times New Roman" w:cs="Times New Roman"/>
                <w:b/>
                <w:color w:val="000000" w:themeColor="text1"/>
                <w:sz w:val="24"/>
                <w:szCs w:val="24"/>
              </w:rPr>
              <w:t>环境影响减缓措施有效性分析</w:t>
            </w:r>
          </w:p>
          <w:p>
            <w:pPr>
              <w:pStyle w:val="40"/>
              <w:ind w:firstLine="480"/>
              <w:rPr>
                <w:rFonts w:eastAsiaTheme="minorEastAsia"/>
                <w:color w:val="000000" w:themeColor="text1"/>
                <w:szCs w:val="24"/>
              </w:rPr>
            </w:pPr>
            <w:r>
              <w:rPr>
                <w:rFonts w:eastAsiaTheme="minorEastAsia"/>
                <w:color w:val="FF0000"/>
                <w:szCs w:val="24"/>
              </w:rPr>
              <w:t>根据工程分析可知，项目生活污水产生量约为</w:t>
            </w:r>
            <w:r>
              <w:rPr>
                <w:rFonts w:hint="eastAsia" w:eastAsiaTheme="minorEastAsia"/>
                <w:color w:val="FF0000"/>
                <w:szCs w:val="24"/>
              </w:rPr>
              <w:t>0.96</w:t>
            </w:r>
            <w:r>
              <w:rPr>
                <w:rFonts w:eastAsiaTheme="minorEastAsia"/>
                <w:color w:val="FF0000"/>
                <w:szCs w:val="24"/>
              </w:rPr>
              <w:t>m³/d，变化系数按照1.2计，则最大生活污水量约为1.</w:t>
            </w:r>
            <w:r>
              <w:rPr>
                <w:rFonts w:hint="eastAsia" w:eastAsiaTheme="minorEastAsia"/>
                <w:color w:val="FF0000"/>
                <w:szCs w:val="24"/>
              </w:rPr>
              <w:t>15</w:t>
            </w:r>
            <w:r>
              <w:rPr>
                <w:rFonts w:eastAsiaTheme="minorEastAsia"/>
                <w:color w:val="FF0000"/>
                <w:szCs w:val="24"/>
              </w:rPr>
              <w:t>m³/d，</w:t>
            </w:r>
            <w:r>
              <w:rPr>
                <w:rFonts w:eastAsiaTheme="minorEastAsia"/>
                <w:color w:val="000000" w:themeColor="text1"/>
                <w:szCs w:val="24"/>
              </w:rPr>
              <w:t>根据《建筑给排水设计规范》（（GB50015-2019），化粪池总容积应满足废水停留时间12-24h的要求，并做好防渗处理，化粪池宜建在便于机动车清掏的位置；项目拟在生活区旁建设1个有效容积为3m³的化粪池对生活污水进行预处理，可满足24h停留时间要求，又该化粪池位于项目生活区旁，清掏车辆可进入进行清掏，且化粪池将严格按照规范要求进行防渗处置，因此化粪池设置合理。</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②</w:t>
            </w:r>
            <w:r>
              <w:rPr>
                <w:rFonts w:ascii="Times New Roman" w:hAnsi="Times New Roman" w:cs="Times New Roman"/>
                <w:b/>
                <w:color w:val="000000" w:themeColor="text1"/>
                <w:sz w:val="24"/>
                <w:szCs w:val="24"/>
              </w:rPr>
              <w:t>一体化污水处理设施有效性分析</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1 \* GB2 </w:instrText>
            </w:r>
            <w:r>
              <w:rPr>
                <w:rFonts w:ascii="Times New Roman" w:hAnsi="Times New Roman" w:cs="Times New Roman"/>
                <w:b/>
                <w:color w:val="000000" w:themeColor="text1"/>
                <w:sz w:val="24"/>
                <w:szCs w:val="24"/>
              </w:rPr>
              <w:fldChar w:fldCharType="separate"/>
            </w:r>
            <w:r>
              <w:rPr>
                <w:rFonts w:hint="eastAsia" w:ascii="宋体" w:hAnsi="宋体" w:eastAsia="宋体" w:cs="宋体"/>
                <w:b/>
                <w:color w:val="000000" w:themeColor="text1"/>
                <w:sz w:val="24"/>
                <w:szCs w:val="24"/>
              </w:rPr>
              <w:t>⑴</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一体化污水处理设施规模设置合理性分析</w:t>
            </w:r>
          </w:p>
          <w:p>
            <w:pPr>
              <w:pStyle w:val="40"/>
              <w:ind w:firstLine="480"/>
              <w:rPr>
                <w:rFonts w:eastAsiaTheme="minorEastAsia"/>
                <w:color w:val="000000" w:themeColor="text1"/>
                <w:szCs w:val="24"/>
              </w:rPr>
            </w:pPr>
            <w:r>
              <w:rPr>
                <w:rFonts w:eastAsiaTheme="minorEastAsia"/>
                <w:color w:val="FF0000"/>
                <w:szCs w:val="24"/>
              </w:rPr>
              <w:t>根据工程分析可知，该项目生活污水产生量为</w:t>
            </w:r>
            <w:r>
              <w:rPr>
                <w:rFonts w:hint="eastAsia" w:eastAsiaTheme="minorEastAsia"/>
                <w:color w:val="FF0000"/>
                <w:szCs w:val="24"/>
              </w:rPr>
              <w:t>0.96</w:t>
            </w:r>
            <w:r>
              <w:rPr>
                <w:rFonts w:eastAsiaTheme="minorEastAsia"/>
                <w:color w:val="FF0000"/>
                <w:szCs w:val="24"/>
              </w:rPr>
              <w:t>m³/d，变化系数按照1.2计，则最大废水量约为1.</w:t>
            </w:r>
            <w:r>
              <w:rPr>
                <w:rFonts w:hint="eastAsia" w:eastAsiaTheme="minorEastAsia"/>
                <w:color w:val="FF0000"/>
                <w:szCs w:val="24"/>
              </w:rPr>
              <w:t>15</w:t>
            </w:r>
            <w:r>
              <w:rPr>
                <w:rFonts w:eastAsiaTheme="minorEastAsia"/>
                <w:color w:val="FF0000"/>
                <w:szCs w:val="24"/>
              </w:rPr>
              <w:t>m³/d，</w:t>
            </w:r>
            <w:r>
              <w:rPr>
                <w:rFonts w:eastAsiaTheme="minorEastAsia"/>
                <w:color w:val="000000" w:themeColor="text1"/>
                <w:szCs w:val="24"/>
              </w:rPr>
              <w:t>而项目拟设置1套处理能力为3m³/d的一体化污水处理设施其规模可满足要求。</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2 \* GB2 </w:instrText>
            </w:r>
            <w:r>
              <w:rPr>
                <w:rFonts w:ascii="Times New Roman" w:hAnsi="Times New Roman" w:cs="Times New Roman"/>
                <w:b/>
                <w:color w:val="000000" w:themeColor="text1"/>
                <w:sz w:val="24"/>
                <w:szCs w:val="24"/>
              </w:rPr>
              <w:fldChar w:fldCharType="separate"/>
            </w:r>
            <w:r>
              <w:rPr>
                <w:rFonts w:hint="eastAsia" w:ascii="宋体" w:hAnsi="宋体" w:eastAsia="宋体" w:cs="宋体"/>
                <w:b/>
                <w:color w:val="000000" w:themeColor="text1"/>
                <w:sz w:val="24"/>
                <w:szCs w:val="24"/>
              </w:rPr>
              <w:t>⑵</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一体化污水处理设施工艺设置合理性分析</w:t>
            </w:r>
          </w:p>
          <w:p>
            <w:pPr>
              <w:pStyle w:val="40"/>
              <w:ind w:firstLine="480"/>
              <w:rPr>
                <w:rFonts w:eastAsiaTheme="minorEastAsia"/>
                <w:color w:val="000000" w:themeColor="text1"/>
                <w:szCs w:val="24"/>
              </w:rPr>
            </w:pPr>
            <w:r>
              <w:rPr>
                <w:rFonts w:eastAsiaTheme="minorEastAsia"/>
                <w:color w:val="000000" w:themeColor="text1"/>
                <w:szCs w:val="24"/>
              </w:rPr>
              <w:t>该项目设置的一体化污水处理设施购买成品进行安装，根据该一体化设施的设计资料，该设施拟采用生化处理工艺对生活污水进行处理，设计工艺如下图所示。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object>
                <v:shape id="_x0000_i1034" o:spt="75" type="#_x0000_t75" style="height:136.2pt;width:392.4pt;" o:ole="t" filled="f" o:preferrelative="t" stroked="f" coordsize="21600,21600">
                  <v:path/>
                  <v:fill on="f" focussize="0,0"/>
                  <v:stroke on="f" joinstyle="miter"/>
                  <v:imagedata r:id="rId24" o:title=""/>
                  <o:lock v:ext="edit" aspectratio="t"/>
                  <w10:wrap type="none"/>
                  <w10:anchorlock/>
                </v:shape>
                <o:OLEObject Type="Embed" ProgID="Visio.Drawing.11" ShapeID="_x0000_i1034" DrawAspect="Content" ObjectID="_1468075734" r:id="rId23">
                  <o:LockedField>false</o:LockedField>
                </o:OLEObject>
              </w:objec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图4.2.2-1 污水处理工艺流程图</w:t>
            </w:r>
          </w:p>
          <w:p>
            <w:pPr>
              <w:pStyle w:val="40"/>
              <w:ind w:firstLine="480"/>
              <w:rPr>
                <w:rFonts w:eastAsiaTheme="minorEastAsia"/>
                <w:color w:val="000000" w:themeColor="text1"/>
                <w:szCs w:val="24"/>
              </w:rPr>
            </w:pPr>
            <w:r>
              <w:rPr>
                <w:rFonts w:eastAsiaTheme="minorEastAsia"/>
                <w:color w:val="000000" w:themeColor="text1"/>
                <w:szCs w:val="24"/>
              </w:rPr>
              <w:t>污水处理工艺流程简述：</w:t>
            </w:r>
          </w:p>
          <w:p>
            <w:pPr>
              <w:pStyle w:val="40"/>
              <w:ind w:firstLine="480"/>
              <w:rPr>
                <w:rFonts w:eastAsiaTheme="minorEastAsia"/>
                <w:color w:val="000000" w:themeColor="text1"/>
                <w:szCs w:val="24"/>
              </w:rPr>
            </w:pPr>
            <w:r>
              <w:rPr>
                <w:rFonts w:hint="eastAsia" w:eastAsiaTheme="minorEastAsia"/>
                <w:color w:val="000000" w:themeColor="text1"/>
                <w:szCs w:val="24"/>
              </w:rPr>
              <w:t>A：</w:t>
            </w:r>
            <w:r>
              <w:rPr>
                <w:rFonts w:eastAsiaTheme="minorEastAsia"/>
                <w:color w:val="000000" w:themeColor="text1"/>
                <w:szCs w:val="24"/>
              </w:rPr>
              <w:t>调节池</w:t>
            </w:r>
          </w:p>
          <w:p>
            <w:pPr>
              <w:pStyle w:val="40"/>
              <w:ind w:firstLine="480"/>
              <w:rPr>
                <w:rFonts w:eastAsiaTheme="minorEastAsia"/>
                <w:color w:val="000000" w:themeColor="text1"/>
                <w:szCs w:val="24"/>
              </w:rPr>
            </w:pPr>
            <w:r>
              <w:rPr>
                <w:rFonts w:eastAsiaTheme="minorEastAsia"/>
                <w:color w:val="000000" w:themeColor="text1"/>
                <w:szCs w:val="24"/>
              </w:rPr>
              <w:t>进入调节池进行水量水质的混合。调节池兼酸化水解作用，将大分子有机污染物分解去除，由于调节池集生物降解、物理沉降和吸附为一体，污水中的颗粒和胶体污染物得到截留和吸附，并在产酸细菌等微生物作用下得到分化和降解。</w:t>
            </w:r>
          </w:p>
          <w:p>
            <w:pPr>
              <w:pStyle w:val="40"/>
              <w:ind w:firstLine="480"/>
              <w:rPr>
                <w:rFonts w:eastAsiaTheme="minorEastAsia"/>
                <w:color w:val="000000" w:themeColor="text1"/>
                <w:szCs w:val="24"/>
              </w:rPr>
            </w:pPr>
            <w:r>
              <w:rPr>
                <w:rFonts w:hint="eastAsia" w:eastAsiaTheme="minorEastAsia"/>
                <w:color w:val="000000" w:themeColor="text1"/>
                <w:szCs w:val="24"/>
              </w:rPr>
              <w:t>B：</w:t>
            </w:r>
            <w:r>
              <w:rPr>
                <w:rFonts w:eastAsiaTheme="minorEastAsia"/>
                <w:color w:val="000000" w:themeColor="text1"/>
                <w:szCs w:val="24"/>
              </w:rPr>
              <w:t>接触氧化池</w:t>
            </w:r>
          </w:p>
          <w:p>
            <w:pPr>
              <w:pStyle w:val="40"/>
              <w:ind w:firstLine="480"/>
              <w:rPr>
                <w:rFonts w:eastAsiaTheme="minorEastAsia"/>
                <w:color w:val="000000" w:themeColor="text1"/>
                <w:szCs w:val="24"/>
              </w:rPr>
            </w:pPr>
            <w:r>
              <w:rPr>
                <w:rFonts w:eastAsiaTheme="minorEastAsia"/>
                <w:color w:val="000000" w:themeColor="text1"/>
                <w:szCs w:val="24"/>
              </w:rPr>
              <w:t>好氧接触氧化池主要利用好氧菌去除CODcr、BOD</w:t>
            </w:r>
            <w:r>
              <w:rPr>
                <w:rFonts w:eastAsiaTheme="minorEastAsia"/>
                <w:color w:val="000000" w:themeColor="text1"/>
                <w:szCs w:val="24"/>
                <w:vertAlign w:val="subscript"/>
              </w:rPr>
              <w:t>5</w:t>
            </w:r>
            <w:r>
              <w:rPr>
                <w:rFonts w:eastAsiaTheme="minorEastAsia"/>
                <w:color w:val="000000" w:themeColor="text1"/>
                <w:szCs w:val="24"/>
              </w:rPr>
              <w:t>、SS、NH</w:t>
            </w:r>
            <w:r>
              <w:rPr>
                <w:rFonts w:eastAsiaTheme="minorEastAsia"/>
                <w:color w:val="000000" w:themeColor="text1"/>
                <w:szCs w:val="24"/>
                <w:vertAlign w:val="subscript"/>
              </w:rPr>
              <w:t>3</w:t>
            </w:r>
            <w:r>
              <w:rPr>
                <w:rFonts w:eastAsiaTheme="minorEastAsia"/>
                <w:color w:val="000000" w:themeColor="text1"/>
                <w:szCs w:val="24"/>
              </w:rPr>
              <w:t>-N和总磷等污染物。污水在调节水解池中调节水解后由泵提升依次进入接触氧化池，对污水中有机物进行充分的生物降解，在充氧的条件下，利用微生物的生物活动，将废水中大部分的有机物分解去除。</w:t>
            </w:r>
          </w:p>
          <w:p>
            <w:pPr>
              <w:pStyle w:val="40"/>
              <w:ind w:firstLine="480"/>
              <w:rPr>
                <w:rFonts w:eastAsiaTheme="minorEastAsia"/>
                <w:color w:val="000000" w:themeColor="text1"/>
                <w:szCs w:val="24"/>
              </w:rPr>
            </w:pPr>
            <w:r>
              <w:rPr>
                <w:rFonts w:hint="eastAsia" w:eastAsiaTheme="minorEastAsia"/>
                <w:color w:val="000000" w:themeColor="text1"/>
                <w:szCs w:val="24"/>
              </w:rPr>
              <w:t>C：</w:t>
            </w:r>
            <w:r>
              <w:rPr>
                <w:rFonts w:eastAsiaTheme="minorEastAsia"/>
                <w:color w:val="000000" w:themeColor="text1"/>
                <w:szCs w:val="24"/>
              </w:rPr>
              <w:t>二沉池</w:t>
            </w:r>
          </w:p>
          <w:p>
            <w:pPr>
              <w:pStyle w:val="40"/>
              <w:ind w:firstLine="480"/>
              <w:rPr>
                <w:rFonts w:eastAsiaTheme="minorEastAsia"/>
                <w:color w:val="000000" w:themeColor="text1"/>
                <w:szCs w:val="24"/>
              </w:rPr>
            </w:pPr>
            <w:r>
              <w:rPr>
                <w:rFonts w:eastAsiaTheme="minorEastAsia"/>
                <w:color w:val="000000" w:themeColor="text1"/>
                <w:szCs w:val="24"/>
              </w:rPr>
              <w:t>接触氧化池出水进入二沉池，二沉池前设PAC（絮凝剂）投加系统，投加PAC（絮凝剂），去除SS和部分胶体颗粒，二沉池出水经过石英砂过滤后，进一步降低水中SS和胶体颗粒含量。</w:t>
            </w:r>
          </w:p>
          <w:p>
            <w:pPr>
              <w:pStyle w:val="40"/>
              <w:ind w:firstLine="480"/>
              <w:rPr>
                <w:rFonts w:eastAsiaTheme="minorEastAsia"/>
                <w:color w:val="000000" w:themeColor="text1"/>
                <w:szCs w:val="24"/>
              </w:rPr>
            </w:pPr>
            <w:r>
              <w:rPr>
                <w:rFonts w:hint="eastAsia" w:eastAsiaTheme="minorEastAsia"/>
                <w:color w:val="000000" w:themeColor="text1"/>
                <w:szCs w:val="24"/>
              </w:rPr>
              <w:t>D：</w:t>
            </w:r>
            <w:r>
              <w:rPr>
                <w:rFonts w:eastAsiaTheme="minorEastAsia"/>
                <w:color w:val="000000" w:themeColor="text1"/>
                <w:szCs w:val="24"/>
              </w:rPr>
              <w:t>过滤</w:t>
            </w:r>
          </w:p>
          <w:p>
            <w:pPr>
              <w:pStyle w:val="40"/>
              <w:ind w:firstLine="480"/>
              <w:rPr>
                <w:rFonts w:eastAsiaTheme="minorEastAsia"/>
                <w:color w:val="000000" w:themeColor="text1"/>
                <w:szCs w:val="24"/>
              </w:rPr>
            </w:pPr>
            <w:r>
              <w:rPr>
                <w:rFonts w:eastAsiaTheme="minorEastAsia"/>
                <w:color w:val="000000" w:themeColor="text1"/>
                <w:szCs w:val="24"/>
              </w:rPr>
              <w:t>二沉池出水仍含有一定的悬浮物杂质，因此本方案设置深度处理（过滤）处理单元。二沉池出水进入过滤池进行过滤，去除水中残存的有机物、胶体、细菌残留物、微生物等。根据设计，过滤采用活性砂过滤，长期使用产生的脏砂经反冲洗后，反复使用，无需更换。</w:t>
            </w:r>
          </w:p>
          <w:p>
            <w:pPr>
              <w:pStyle w:val="40"/>
              <w:ind w:firstLine="480"/>
              <w:rPr>
                <w:rFonts w:eastAsiaTheme="minorEastAsia"/>
                <w:color w:val="000000" w:themeColor="text1"/>
                <w:szCs w:val="24"/>
              </w:rPr>
            </w:pPr>
            <w:r>
              <w:rPr>
                <w:rFonts w:hint="eastAsia" w:eastAsiaTheme="minorEastAsia"/>
                <w:color w:val="000000" w:themeColor="text1"/>
                <w:szCs w:val="24"/>
              </w:rPr>
              <w:t>E：</w:t>
            </w:r>
            <w:r>
              <w:rPr>
                <w:rFonts w:eastAsiaTheme="minorEastAsia"/>
                <w:color w:val="000000" w:themeColor="text1"/>
                <w:szCs w:val="24"/>
              </w:rPr>
              <w:t>消毒</w:t>
            </w:r>
          </w:p>
          <w:p>
            <w:pPr>
              <w:pStyle w:val="40"/>
              <w:ind w:firstLine="480"/>
              <w:rPr>
                <w:rFonts w:eastAsiaTheme="minorEastAsia"/>
                <w:color w:val="000000" w:themeColor="text1"/>
                <w:szCs w:val="24"/>
              </w:rPr>
            </w:pPr>
            <w:r>
              <w:rPr>
                <w:rFonts w:eastAsiaTheme="minorEastAsia"/>
                <w:color w:val="000000" w:themeColor="text1"/>
                <w:szCs w:val="24"/>
              </w:rPr>
              <w:t>过滤后的污水经过消毒，即可满足排放要求，消毒采用自动投加方式，定量把次氯酸钠药液投加到消毒池中，可以较彻底的消除细菌、臭味、色度等可能对人群造成的危害。</w:t>
            </w:r>
          </w:p>
          <w:p>
            <w:pPr>
              <w:pStyle w:val="40"/>
              <w:ind w:firstLine="480"/>
              <w:rPr>
                <w:rFonts w:eastAsiaTheme="minorEastAsia"/>
                <w:color w:val="000000" w:themeColor="text1"/>
                <w:szCs w:val="24"/>
              </w:rPr>
            </w:pPr>
            <w:r>
              <w:rPr>
                <w:rFonts w:eastAsiaTheme="minorEastAsia"/>
                <w:color w:val="000000" w:themeColor="text1"/>
                <w:szCs w:val="24"/>
              </w:rPr>
              <w:t>根据工程分析可知，经调节池调节处理后的生活污水BOD/COD约为0.63≥0.3，满足可生化条件，因此项目拟采用废水生化处理工艺技术可行，由根据核算，项目生活污水经一体化污水处理设施处理后可达到《城市污水再生利用 城市杂用水水质》（GB/T18920 -2020）城市绿化标准，因此其技术可行。</w:t>
            </w:r>
          </w:p>
          <w:p>
            <w:pPr>
              <w:pStyle w:val="40"/>
              <w:ind w:firstLine="480"/>
              <w:rPr>
                <w:rFonts w:eastAsiaTheme="minorEastAsia"/>
                <w:color w:val="000000" w:themeColor="text1"/>
                <w:szCs w:val="24"/>
              </w:rPr>
            </w:pPr>
            <w:r>
              <w:rPr>
                <w:rFonts w:eastAsiaTheme="minorEastAsia"/>
                <w:color w:val="000000" w:themeColor="text1"/>
                <w:szCs w:val="24"/>
              </w:rPr>
              <w:t>综上，项目设置1套处理能力为3m³/d的一体化污水处理设施对项目区废水进行处理，处理后回用于回用于项目区绿化，该措施可行。</w:t>
            </w:r>
          </w:p>
          <w:p>
            <w:pPr>
              <w:pStyle w:val="40"/>
              <w:ind w:firstLine="482"/>
              <w:rPr>
                <w:rFonts w:eastAsiaTheme="minorEastAsia"/>
                <w:b/>
                <w:color w:val="000000" w:themeColor="text1"/>
                <w:szCs w:val="24"/>
              </w:rPr>
            </w:pPr>
            <w:r>
              <w:rPr>
                <w:rFonts w:hint="eastAsia" w:ascii="宋体" w:hAnsi="宋体" w:cs="宋体"/>
                <w:b/>
                <w:color w:val="000000" w:themeColor="text1"/>
                <w:szCs w:val="24"/>
              </w:rPr>
              <w:t>④</w:t>
            </w:r>
            <w:r>
              <w:rPr>
                <w:rFonts w:eastAsiaTheme="minorEastAsia"/>
                <w:b/>
                <w:color w:val="000000" w:themeColor="text1"/>
                <w:szCs w:val="24"/>
              </w:rPr>
              <w:t>清水池环境影响减缓措施有效性分析</w:t>
            </w:r>
          </w:p>
          <w:p>
            <w:pPr>
              <w:pStyle w:val="40"/>
              <w:ind w:firstLine="480"/>
              <w:rPr>
                <w:rFonts w:eastAsiaTheme="minorEastAsia"/>
                <w:color w:val="000000" w:themeColor="text1"/>
                <w:szCs w:val="24"/>
              </w:rPr>
            </w:pPr>
            <w:r>
              <w:rPr>
                <w:rFonts w:eastAsiaTheme="minorEastAsia"/>
                <w:color w:val="FF0000"/>
                <w:szCs w:val="24"/>
              </w:rPr>
              <w:t>为了满足雨天等特殊情况，处理后生活污水的暂存要求，项目拟配套设置1个有效容积为10m³的清水池对处理后的生活污水进行暂存；项目生活污水最大产生量为</w:t>
            </w:r>
            <w:r>
              <w:rPr>
                <w:rFonts w:hint="eastAsia" w:eastAsiaTheme="minorEastAsia"/>
                <w:color w:val="FF0000"/>
                <w:szCs w:val="24"/>
              </w:rPr>
              <w:t>0.96</w:t>
            </w:r>
            <w:r>
              <w:rPr>
                <w:rFonts w:eastAsiaTheme="minorEastAsia"/>
                <w:color w:val="FF0000"/>
                <w:szCs w:val="24"/>
              </w:rPr>
              <w:t>m³/d，清水池可满足生活污水超过</w:t>
            </w:r>
            <w:r>
              <w:rPr>
                <w:rFonts w:hint="eastAsia" w:eastAsiaTheme="minorEastAsia"/>
                <w:color w:val="FF0000"/>
                <w:szCs w:val="24"/>
              </w:rPr>
              <w:t>10</w:t>
            </w:r>
            <w:r>
              <w:rPr>
                <w:rFonts w:eastAsiaTheme="minorEastAsia"/>
                <w:color w:val="FF0000"/>
                <w:szCs w:val="24"/>
              </w:rPr>
              <w:t>d的储存量，</w:t>
            </w:r>
            <w:r>
              <w:rPr>
                <w:rFonts w:eastAsiaTheme="minorEastAsia"/>
                <w:color w:val="000000" w:themeColor="text1"/>
                <w:szCs w:val="24"/>
              </w:rPr>
              <w:t>可满足雨天暂存后用于非雨天绿化的暂存要求，因此其设置可行。</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（4）自行监测要求</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项目砂石骨料属于C3039 其他建筑材料制造项目（简化管理）、水泥砖属于C3021 水泥制品制造（登记管理），根据《排污单位自行监测技术指南 总则》（HJ819-2017）和《排污许可证申请与核发技术规范 总则》（HJ942-2018）的要求，</w:t>
            </w:r>
            <w:r>
              <w:rPr>
                <w:rFonts w:hint="eastAsia" w:ascii="Times New Roman" w:hAnsi="Times New Roman" w:cs="Times New Roman"/>
                <w:color w:val="000000" w:themeColor="text1"/>
                <w:sz w:val="24"/>
                <w:szCs w:val="24"/>
              </w:rPr>
              <w:t>结合项目的实际情况，该项目废水自行监测主要针对一期工程；二期工程无废水自行监测要求。则</w:t>
            </w:r>
            <w:r>
              <w:rPr>
                <w:rFonts w:ascii="Times New Roman" w:hAnsi="Times New Roman" w:cs="Times New Roman"/>
                <w:color w:val="000000" w:themeColor="text1"/>
                <w:sz w:val="24"/>
                <w:szCs w:val="24"/>
              </w:rPr>
              <w:t>项目废水自行监测要求如下表所示。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表4.2.2-6  项目运营期</w:t>
            </w:r>
            <w:r>
              <w:rPr>
                <w:rFonts w:ascii="Times New Roman" w:hAnsi="Times New Roman" w:cs="Times New Roman"/>
                <w:b/>
                <w:color w:val="000000" w:themeColor="text1"/>
              </w:rPr>
              <w:t>废水</w:t>
            </w:r>
            <w:r>
              <w:rPr>
                <w:rFonts w:ascii="Times New Roman" w:hAnsi="Times New Roman" w:cs="Times New Roman"/>
                <w:b/>
                <w:color w:val="000000" w:themeColor="text1"/>
                <w:szCs w:val="24"/>
              </w:rPr>
              <w:t>自行监测计划一览表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278"/>
              <w:gridCol w:w="2545"/>
              <w:gridCol w:w="998"/>
              <w:gridCol w:w="2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对象</w:t>
                  </w:r>
                </w:p>
              </w:tc>
              <w:tc>
                <w:tcPr>
                  <w:tcW w:w="127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监测点位</w:t>
                  </w:r>
                </w:p>
              </w:tc>
              <w:tc>
                <w:tcPr>
                  <w:tcW w:w="254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监测因子</w:t>
                  </w:r>
                </w:p>
              </w:tc>
              <w:tc>
                <w:tcPr>
                  <w:tcW w:w="99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最低监测频率</w:t>
                  </w:r>
                </w:p>
              </w:tc>
              <w:tc>
                <w:tcPr>
                  <w:tcW w:w="290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废水</w:t>
                  </w:r>
                </w:p>
              </w:tc>
              <w:tc>
                <w:tcPr>
                  <w:tcW w:w="127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一体化污水处理设施出口</w:t>
                  </w:r>
                </w:p>
              </w:tc>
              <w:tc>
                <w:tcPr>
                  <w:tcW w:w="2545" w:type="dxa"/>
                  <w:vAlign w:val="center"/>
                </w:tcPr>
                <w:p>
                  <w:pPr>
                    <w:pStyle w:val="32"/>
                    <w:spacing w:line="360" w:lineRule="exact"/>
                    <w:ind w:firstLine="210" w:firstLineChars="100"/>
                    <w:jc w:val="left"/>
                    <w:rPr>
                      <w:rFonts w:eastAsiaTheme="minorEastAsia"/>
                      <w:color w:val="FF0000"/>
                    </w:rPr>
                  </w:pPr>
                  <w:r>
                    <w:rPr>
                      <w:color w:val="FF0000"/>
                    </w:rPr>
                    <w:t>pH、CODcr、BOD</w:t>
                  </w:r>
                  <w:r>
                    <w:rPr>
                      <w:color w:val="FF0000"/>
                      <w:vertAlign w:val="subscript"/>
                    </w:rPr>
                    <w:t>5</w:t>
                  </w:r>
                  <w:r>
                    <w:rPr>
                      <w:color w:val="FF0000"/>
                    </w:rPr>
                    <w:t>、NH</w:t>
                  </w:r>
                  <w:r>
                    <w:rPr>
                      <w:color w:val="FF0000"/>
                      <w:vertAlign w:val="subscript"/>
                    </w:rPr>
                    <w:t>3</w:t>
                  </w:r>
                  <w:r>
                    <w:rPr>
                      <w:color w:val="FF0000"/>
                    </w:rPr>
                    <w:t>-N、SS、总磷、总氮、</w:t>
                  </w:r>
                  <w:r>
                    <w:rPr>
                      <w:bCs w:val="0"/>
                      <w:snapToGrid/>
                      <w:color w:val="FF0000"/>
                      <w:kern w:val="0"/>
                      <w:szCs w:val="21"/>
                      <w:lang w:val="en-US"/>
                    </w:rPr>
                    <w:t>阴离子表面活性剂、</w:t>
                  </w:r>
                  <w:r>
                    <w:rPr>
                      <w:color w:val="FF0000"/>
                    </w:rPr>
                    <w:t>粪大肠菌群数</w:t>
                  </w:r>
                </w:p>
              </w:tc>
              <w:tc>
                <w:tcPr>
                  <w:tcW w:w="99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仅在自行验收时监测</w:t>
                  </w:r>
                </w:p>
              </w:tc>
              <w:tc>
                <w:tcPr>
                  <w:tcW w:w="2900" w:type="dxa"/>
                  <w:vAlign w:val="center"/>
                </w:tcPr>
                <w:p>
                  <w:pPr>
                    <w:pStyle w:val="32"/>
                    <w:spacing w:line="360" w:lineRule="exact"/>
                    <w:ind w:firstLine="210" w:firstLineChars="100"/>
                    <w:jc w:val="both"/>
                    <w:rPr>
                      <w:rFonts w:eastAsiaTheme="minorEastAsia"/>
                      <w:color w:val="000000" w:themeColor="text1"/>
                      <w:szCs w:val="21"/>
                    </w:rPr>
                  </w:pPr>
                  <w:r>
                    <w:rPr>
                      <w:color w:val="000000" w:themeColor="text1"/>
                    </w:rPr>
                    <w:t>《城市污水再生利用 城市杂用水水质》（GB/T18920-2020）城市绿化标准。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Merge w:val="continue"/>
                  <w:vAlign w:val="center"/>
                </w:tcPr>
                <w:p>
                  <w:pPr>
                    <w:pStyle w:val="32"/>
                    <w:spacing w:line="360" w:lineRule="exact"/>
                    <w:rPr>
                      <w:rFonts w:eastAsiaTheme="minorEastAsia"/>
                      <w:color w:val="000000" w:themeColor="text1"/>
                      <w:szCs w:val="21"/>
                    </w:rPr>
                  </w:pPr>
                </w:p>
              </w:tc>
              <w:tc>
                <w:tcPr>
                  <w:tcW w:w="1278"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三级沉淀池出口</w:t>
                  </w:r>
                </w:p>
              </w:tc>
              <w:tc>
                <w:tcPr>
                  <w:tcW w:w="2545" w:type="dxa"/>
                  <w:vAlign w:val="center"/>
                </w:tcPr>
                <w:p>
                  <w:pPr>
                    <w:pStyle w:val="32"/>
                    <w:spacing w:line="360" w:lineRule="exact"/>
                    <w:ind w:firstLine="210" w:firstLineChars="100"/>
                    <w:jc w:val="left"/>
                    <w:rPr>
                      <w:color w:val="000000" w:themeColor="text1"/>
                    </w:rPr>
                  </w:pPr>
                  <w:r>
                    <w:rPr>
                      <w:color w:val="000000" w:themeColor="text1"/>
                    </w:rPr>
                    <w:t>CODcr、</w:t>
                  </w:r>
                  <w:r>
                    <w:rPr>
                      <w:rFonts w:hint="eastAsia"/>
                      <w:color w:val="000000" w:themeColor="text1"/>
                    </w:rPr>
                    <w:t>石油类</w:t>
                  </w:r>
                  <w:r>
                    <w:rPr>
                      <w:color w:val="000000" w:themeColor="text1"/>
                    </w:rPr>
                    <w:t>、SS</w:t>
                  </w:r>
                </w:p>
              </w:tc>
              <w:tc>
                <w:tcPr>
                  <w:tcW w:w="998"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1次/a</w:t>
                  </w:r>
                </w:p>
              </w:tc>
              <w:tc>
                <w:tcPr>
                  <w:tcW w:w="2900" w:type="dxa"/>
                  <w:vAlign w:val="center"/>
                </w:tcPr>
                <w:p>
                  <w:pPr>
                    <w:pStyle w:val="32"/>
                    <w:spacing w:line="360" w:lineRule="exact"/>
                    <w:ind w:firstLine="210" w:firstLineChars="100"/>
                    <w:jc w:val="both"/>
                    <w:rPr>
                      <w:color w:val="000000" w:themeColor="text1"/>
                    </w:rPr>
                  </w:pPr>
                  <w:r>
                    <w:rPr>
                      <w:rFonts w:hint="eastAsia"/>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5" w:type="dxa"/>
                  <w:gridSpan w:val="5"/>
                  <w:vAlign w:val="center"/>
                </w:tcPr>
                <w:p>
                  <w:pPr>
                    <w:pStyle w:val="32"/>
                    <w:spacing w:line="360" w:lineRule="exact"/>
                    <w:ind w:firstLine="210" w:firstLineChars="100"/>
                    <w:jc w:val="both"/>
                    <w:rPr>
                      <w:color w:val="000000" w:themeColor="text1"/>
                    </w:rPr>
                  </w:pPr>
                  <w:r>
                    <w:rPr>
                      <w:color w:val="000000" w:themeColor="text1"/>
                    </w:rPr>
                    <w:t>备注：雨水排放口有流动水排放时开展监测</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环境影响分析结论</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经过分析可知，项目产生的废水包括砂石骨料</w:t>
            </w:r>
            <w:r>
              <w:rPr>
                <w:rFonts w:ascii="Times New Roman" w:hAnsi="Times New Roman" w:cs="Times New Roman"/>
                <w:color w:val="000000" w:themeColor="text1"/>
                <w:sz w:val="24"/>
                <w:szCs w:val="24"/>
              </w:rPr>
              <w:t>生产</w:t>
            </w:r>
            <w:r>
              <w:rPr>
                <w:rFonts w:hint="eastAsia" w:ascii="Times New Roman" w:hAnsi="Times New Roman" w:cs="Times New Roman"/>
                <w:color w:val="000000" w:themeColor="text1"/>
                <w:sz w:val="24"/>
                <w:szCs w:val="24"/>
              </w:rPr>
              <w:t>废水、水泥砖养护废水、生活污水和初期雨水，经各自配套的措施处理后，水泥砖养护废水、生活污水和初期雨水完全回用，不外排；而</w:t>
            </w:r>
            <w:r>
              <w:rPr>
                <w:rFonts w:ascii="Times New Roman" w:hAnsi="Times New Roman" w:cs="Times New Roman"/>
                <w:color w:val="000000" w:themeColor="text1"/>
                <w:sz w:val="24"/>
                <w:szCs w:val="24"/>
              </w:rPr>
              <w:t>昆明市东川金水矿业有限责任公司牛厂坪尾矿充填环境综合治理项目</w:t>
            </w:r>
            <w:r>
              <w:rPr>
                <w:rFonts w:hint="eastAsia" w:ascii="Times New Roman" w:hAnsi="Times New Roman" w:cs="Times New Roman"/>
                <w:color w:val="000000" w:themeColor="text1"/>
                <w:sz w:val="24"/>
                <w:szCs w:val="24"/>
              </w:rPr>
              <w:t>进行处理，项目废水可达到合理处置，对环境影响较小。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w:t>
            </w:r>
            <w:r>
              <w:rPr>
                <w:rFonts w:ascii="Times New Roman" w:hAnsi="Times New Roman" w:cs="Times New Roman"/>
                <w:b/>
                <w:color w:val="000000" w:themeColor="text1"/>
                <w:sz w:val="24"/>
              </w:rPr>
              <w:t>3</w:t>
            </w:r>
            <w:r>
              <w:rPr>
                <w:rFonts w:ascii="Times New Roman" w:hAnsi="Times New Roman" w:cs="Times New Roman"/>
                <w:b/>
                <w:color w:val="000000" w:themeColor="text1"/>
                <w:sz w:val="24"/>
                <w:szCs w:val="24"/>
              </w:rPr>
              <w:t xml:space="preserve"> 运营期</w:t>
            </w:r>
            <w:r>
              <w:rPr>
                <w:rFonts w:ascii="Times New Roman" w:hAnsi="Times New Roman" w:cs="Times New Roman"/>
                <w:b/>
                <w:color w:val="000000" w:themeColor="text1"/>
                <w:sz w:val="24"/>
              </w:rPr>
              <w:t>噪声</w:t>
            </w:r>
            <w:r>
              <w:rPr>
                <w:rFonts w:ascii="Times New Roman" w:hAnsi="Times New Roman" w:cs="Times New Roman"/>
                <w:b/>
                <w:color w:val="000000" w:themeColor="text1"/>
                <w:sz w:val="24"/>
                <w:szCs w:val="24"/>
              </w:rPr>
              <w:t>环境影响和保护措施</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rPr>
              <w:t>运营期噪声污染源强</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项目噪声污染源主要为设备噪声，其源强如下表所示。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w:t>
            </w:r>
            <w:r>
              <w:rPr>
                <w:rFonts w:ascii="Times New Roman" w:hAnsi="Times New Roman" w:cs="Times New Roman"/>
                <w:b/>
                <w:color w:val="000000" w:themeColor="text1"/>
              </w:rPr>
              <w:t>3</w:t>
            </w:r>
            <w:r>
              <w:rPr>
                <w:rFonts w:ascii="Times New Roman" w:hAnsi="Times New Roman" w:cs="Times New Roman"/>
                <w:b/>
                <w:color w:val="000000" w:themeColor="text1"/>
                <w:szCs w:val="24"/>
              </w:rPr>
              <w:t>-1 项目主要生产设备噪声源强一览表</w:t>
            </w:r>
          </w:p>
          <w:tbl>
            <w:tblPr>
              <w:tblStyle w:val="21"/>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93"/>
              <w:gridCol w:w="709"/>
              <w:gridCol w:w="709"/>
              <w:gridCol w:w="1134"/>
              <w:gridCol w:w="1559"/>
              <w:gridCol w:w="992"/>
              <w:gridCol w:w="992"/>
              <w:gridCol w:w="851"/>
              <w:gridCol w:w="106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93"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项目</w:t>
                  </w:r>
                </w:p>
              </w:tc>
              <w:tc>
                <w:tcPr>
                  <w:tcW w:w="709" w:type="dxa"/>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主要生产单元</w:t>
                  </w:r>
                </w:p>
              </w:tc>
              <w:tc>
                <w:tcPr>
                  <w:tcW w:w="709"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主要工艺</w:t>
                  </w:r>
                </w:p>
              </w:tc>
              <w:tc>
                <w:tcPr>
                  <w:tcW w:w="2693" w:type="dxa"/>
                  <w:gridSpan w:val="2"/>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生产设施</w:t>
                  </w:r>
                </w:p>
              </w:tc>
              <w:tc>
                <w:tcPr>
                  <w:tcW w:w="992" w:type="dxa"/>
                  <w:tcBorders>
                    <w:left w:val="single" w:color="auto" w:sz="4" w:space="0"/>
                    <w:right w:val="single" w:color="auto" w:sz="4" w:space="0"/>
                  </w:tcBorders>
                  <w:vAlign w:val="center"/>
                </w:tcPr>
                <w:p>
                  <w:pPr>
                    <w:widowControl/>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产生强度〔dB（A）〕</w:t>
                  </w:r>
                </w:p>
              </w:tc>
              <w:tc>
                <w:tcPr>
                  <w:tcW w:w="992" w:type="dxa"/>
                  <w:tcBorders>
                    <w:left w:val="single" w:color="auto" w:sz="4" w:space="0"/>
                  </w:tcBorders>
                  <w:vAlign w:val="center"/>
                </w:tcPr>
                <w:p>
                  <w:pPr>
                    <w:widowControl/>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降噪措施</w:t>
                  </w:r>
                </w:p>
              </w:tc>
              <w:tc>
                <w:tcPr>
                  <w:tcW w:w="851" w:type="dxa"/>
                  <w:vAlign w:val="center"/>
                </w:tcPr>
                <w:p>
                  <w:pPr>
                    <w:widowControl/>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排放强度〔dB（A）〕</w:t>
                  </w:r>
                </w:p>
              </w:tc>
              <w:tc>
                <w:tcPr>
                  <w:tcW w:w="1066" w:type="dxa"/>
                  <w:vAlign w:val="center"/>
                </w:tcPr>
                <w:p>
                  <w:pPr>
                    <w:widowControl/>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持续时间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93"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一期工程</w:t>
                  </w:r>
                </w:p>
              </w:tc>
              <w:tc>
                <w:tcPr>
                  <w:tcW w:w="709" w:type="dxa"/>
                  <w:vMerge w:val="restart"/>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主体工程</w:t>
                  </w:r>
                </w:p>
              </w:tc>
              <w:tc>
                <w:tcPr>
                  <w:tcW w:w="709" w:type="dxa"/>
                  <w:vMerge w:val="restart"/>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砂石骨料生产线</w:t>
                  </w:r>
                </w:p>
              </w:tc>
              <w:tc>
                <w:tcPr>
                  <w:tcW w:w="1134" w:type="dxa"/>
                  <w:vMerge w:val="restart"/>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破碎筛分车间</w:t>
                  </w:r>
                </w:p>
              </w:tc>
              <w:tc>
                <w:tcPr>
                  <w:tcW w:w="1559"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板式给料机</w:t>
                  </w:r>
                </w:p>
              </w:tc>
              <w:tc>
                <w:tcPr>
                  <w:tcW w:w="992"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85</w:t>
                  </w:r>
                </w:p>
              </w:tc>
              <w:tc>
                <w:tcPr>
                  <w:tcW w:w="992" w:type="dxa"/>
                  <w:vMerge w:val="restart"/>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color w:val="000000" w:themeColor="text1"/>
                      <w:kern w:val="0"/>
                    </w:rPr>
                    <w:t>减震垫、消声器、墙体阻隔等</w:t>
                  </w:r>
                </w:p>
              </w:tc>
              <w:tc>
                <w:tcPr>
                  <w:tcW w:w="85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70</w:t>
                  </w:r>
                </w:p>
              </w:tc>
              <w:tc>
                <w:tcPr>
                  <w:tcW w:w="1066" w:type="dxa"/>
                  <w:vAlign w:val="center"/>
                </w:tcPr>
                <w:p>
                  <w:pPr>
                    <w:widowControl/>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9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709"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709"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134"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559"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颚式破碎机</w:t>
                  </w:r>
                </w:p>
              </w:tc>
              <w:tc>
                <w:tcPr>
                  <w:tcW w:w="992"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95</w:t>
                  </w:r>
                </w:p>
              </w:tc>
              <w:tc>
                <w:tcPr>
                  <w:tcW w:w="992"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85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80</w:t>
                  </w:r>
                </w:p>
              </w:tc>
              <w:tc>
                <w:tcPr>
                  <w:tcW w:w="1066" w:type="dxa"/>
                  <w:vAlign w:val="center"/>
                </w:tcPr>
                <w:p>
                  <w:pPr>
                    <w:widowControl/>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9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709"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709"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134"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559"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反击破碎机</w:t>
                  </w:r>
                </w:p>
              </w:tc>
              <w:tc>
                <w:tcPr>
                  <w:tcW w:w="992"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95</w:t>
                  </w:r>
                </w:p>
              </w:tc>
              <w:tc>
                <w:tcPr>
                  <w:tcW w:w="992"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85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80</w:t>
                  </w:r>
                </w:p>
              </w:tc>
              <w:tc>
                <w:tcPr>
                  <w:tcW w:w="1066" w:type="dxa"/>
                  <w:vAlign w:val="center"/>
                </w:tcPr>
                <w:p>
                  <w:pPr>
                    <w:widowControl/>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9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709"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709"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134"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559" w:type="dxa"/>
                  <w:tcBorders>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圆振筛</w:t>
                  </w:r>
                </w:p>
              </w:tc>
              <w:tc>
                <w:tcPr>
                  <w:tcW w:w="992" w:type="dxa"/>
                  <w:tcBorders>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85</w:t>
                  </w:r>
                </w:p>
              </w:tc>
              <w:tc>
                <w:tcPr>
                  <w:tcW w:w="992"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85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70</w:t>
                  </w:r>
                </w:p>
              </w:tc>
              <w:tc>
                <w:tcPr>
                  <w:tcW w:w="1066" w:type="dxa"/>
                  <w:vAlign w:val="center"/>
                </w:tcPr>
                <w:p>
                  <w:pPr>
                    <w:widowControl/>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9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709"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709"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134"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559" w:type="dxa"/>
                  <w:tcBorders>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立轴制砂机</w:t>
                  </w:r>
                </w:p>
              </w:tc>
              <w:tc>
                <w:tcPr>
                  <w:tcW w:w="992" w:type="dxa"/>
                  <w:tcBorders>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95</w:t>
                  </w:r>
                </w:p>
              </w:tc>
              <w:tc>
                <w:tcPr>
                  <w:tcW w:w="992"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85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80</w:t>
                  </w:r>
                </w:p>
              </w:tc>
              <w:tc>
                <w:tcPr>
                  <w:tcW w:w="1066" w:type="dxa"/>
                  <w:vAlign w:val="center"/>
                </w:tcPr>
                <w:p>
                  <w:pPr>
                    <w:widowControl/>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9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709"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709"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134"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559" w:type="dxa"/>
                  <w:tcBorders>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球磨机</w:t>
                  </w:r>
                </w:p>
              </w:tc>
              <w:tc>
                <w:tcPr>
                  <w:tcW w:w="992" w:type="dxa"/>
                  <w:tcBorders>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95</w:t>
                  </w:r>
                </w:p>
              </w:tc>
              <w:tc>
                <w:tcPr>
                  <w:tcW w:w="992"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85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80</w:t>
                  </w:r>
                </w:p>
              </w:tc>
              <w:tc>
                <w:tcPr>
                  <w:tcW w:w="1066" w:type="dxa"/>
                  <w:vAlign w:val="center"/>
                </w:tcPr>
                <w:p>
                  <w:pPr>
                    <w:widowControl/>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9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709"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709"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134"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559" w:type="dxa"/>
                  <w:tcBorders>
                    <w:top w:val="single" w:color="auto" w:sz="4" w:space="0"/>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皮带运输机</w:t>
                  </w:r>
                </w:p>
              </w:tc>
              <w:tc>
                <w:tcPr>
                  <w:tcW w:w="992" w:type="dxa"/>
                  <w:tcBorders>
                    <w:top w:val="single" w:color="auto" w:sz="4" w:space="0"/>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80</w:t>
                  </w:r>
                </w:p>
              </w:tc>
              <w:tc>
                <w:tcPr>
                  <w:tcW w:w="992"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85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65</w:t>
                  </w:r>
                </w:p>
              </w:tc>
              <w:tc>
                <w:tcPr>
                  <w:tcW w:w="106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7" w:hRule="atLeast"/>
                <w:jc w:val="center"/>
              </w:trPr>
              <w:tc>
                <w:tcPr>
                  <w:tcW w:w="59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709"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709"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134" w:type="dxa"/>
                  <w:vMerge w:val="restart"/>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洗沙车间</w:t>
                  </w:r>
                </w:p>
              </w:tc>
              <w:tc>
                <w:tcPr>
                  <w:tcW w:w="1559"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轮式洗砂机</w:t>
                  </w:r>
                </w:p>
              </w:tc>
              <w:tc>
                <w:tcPr>
                  <w:tcW w:w="992"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88</w:t>
                  </w:r>
                </w:p>
              </w:tc>
              <w:tc>
                <w:tcPr>
                  <w:tcW w:w="992"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85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73</w:t>
                  </w:r>
                </w:p>
              </w:tc>
              <w:tc>
                <w:tcPr>
                  <w:tcW w:w="106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9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709"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709"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134"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559"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细砂回收机</w:t>
                  </w:r>
                </w:p>
              </w:tc>
              <w:tc>
                <w:tcPr>
                  <w:tcW w:w="992"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88</w:t>
                  </w:r>
                </w:p>
              </w:tc>
              <w:tc>
                <w:tcPr>
                  <w:tcW w:w="992"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85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73</w:t>
                  </w:r>
                </w:p>
              </w:tc>
              <w:tc>
                <w:tcPr>
                  <w:tcW w:w="106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9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709" w:type="dxa"/>
                  <w:vMerge w:val="continue"/>
                  <w:tcBorders>
                    <w:bottom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709" w:type="dxa"/>
                  <w:vMerge w:val="continue"/>
                  <w:tcBorders>
                    <w:left w:val="single" w:color="auto" w:sz="4" w:space="0"/>
                    <w:bottom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134"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559"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高频振脱水筛</w:t>
                  </w:r>
                </w:p>
              </w:tc>
              <w:tc>
                <w:tcPr>
                  <w:tcW w:w="992"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85</w:t>
                  </w:r>
                </w:p>
              </w:tc>
              <w:tc>
                <w:tcPr>
                  <w:tcW w:w="992"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85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70</w:t>
                  </w:r>
                </w:p>
              </w:tc>
              <w:tc>
                <w:tcPr>
                  <w:tcW w:w="106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9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709" w:type="dxa"/>
                  <w:vMerge w:val="restart"/>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储运工程</w:t>
                  </w:r>
                </w:p>
              </w:tc>
              <w:tc>
                <w:tcPr>
                  <w:tcW w:w="709" w:type="dxa"/>
                  <w:vMerge w:val="restart"/>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储运</w:t>
                  </w:r>
                </w:p>
              </w:tc>
              <w:tc>
                <w:tcPr>
                  <w:tcW w:w="1134" w:type="dxa"/>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废石堆场</w:t>
                  </w:r>
                </w:p>
              </w:tc>
              <w:tc>
                <w:tcPr>
                  <w:tcW w:w="1559"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履带式挖掘机</w:t>
                  </w:r>
                </w:p>
              </w:tc>
              <w:tc>
                <w:tcPr>
                  <w:tcW w:w="992"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95</w:t>
                  </w:r>
                </w:p>
              </w:tc>
              <w:tc>
                <w:tcPr>
                  <w:tcW w:w="992"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85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80</w:t>
                  </w:r>
                </w:p>
              </w:tc>
              <w:tc>
                <w:tcPr>
                  <w:tcW w:w="106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间歇产生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9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709"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709"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134" w:type="dxa"/>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产品堆场</w:t>
                  </w:r>
                </w:p>
              </w:tc>
              <w:tc>
                <w:tcPr>
                  <w:tcW w:w="1559" w:type="dxa"/>
                  <w:tcBorders>
                    <w:left w:val="single" w:color="auto" w:sz="4" w:space="0"/>
                    <w:right w:val="single" w:color="auto" w:sz="4" w:space="0"/>
                  </w:tcBorders>
                  <w:vAlign w:val="center"/>
                </w:tcPr>
                <w:p>
                  <w:pPr>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轮式装载机</w:t>
                  </w:r>
                </w:p>
              </w:tc>
              <w:tc>
                <w:tcPr>
                  <w:tcW w:w="992" w:type="dxa"/>
                  <w:tcBorders>
                    <w:left w:val="single" w:color="auto" w:sz="4" w:space="0"/>
                    <w:right w:val="single" w:color="auto" w:sz="4" w:space="0"/>
                  </w:tcBorders>
                  <w:vAlign w:val="center"/>
                </w:tcPr>
                <w:p>
                  <w:pPr>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95</w:t>
                  </w:r>
                </w:p>
              </w:tc>
              <w:tc>
                <w:tcPr>
                  <w:tcW w:w="992" w:type="dxa"/>
                  <w:vMerge w:val="continue"/>
                  <w:tcBorders>
                    <w:left w:val="single" w:color="auto" w:sz="4" w:space="0"/>
                  </w:tcBorders>
                  <w:vAlign w:val="center"/>
                </w:tcPr>
                <w:p>
                  <w:pPr>
                    <w:jc w:val="center"/>
                    <w:rPr>
                      <w:rFonts w:ascii="Times New Roman" w:hAnsi="Times New Roman" w:eastAsia="宋体" w:cs="Times New Roman"/>
                      <w:bCs/>
                      <w:snapToGrid w:val="0"/>
                      <w:color w:val="000000" w:themeColor="text1"/>
                      <w:kern w:val="32"/>
                      <w:lang w:val="zh-CN"/>
                    </w:rPr>
                  </w:pPr>
                </w:p>
              </w:tc>
              <w:tc>
                <w:tcPr>
                  <w:tcW w:w="85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80</w:t>
                  </w:r>
                </w:p>
              </w:tc>
              <w:tc>
                <w:tcPr>
                  <w:tcW w:w="106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间歇产生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93" w:type="dxa"/>
                  <w:vMerge w:val="restart"/>
                  <w:tcBorders>
                    <w:top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二期工程</w:t>
                  </w:r>
                </w:p>
              </w:tc>
              <w:tc>
                <w:tcPr>
                  <w:tcW w:w="709" w:type="dxa"/>
                  <w:vMerge w:val="restart"/>
                  <w:tcBorders>
                    <w:top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主体工程</w:t>
                  </w:r>
                </w:p>
              </w:tc>
              <w:tc>
                <w:tcPr>
                  <w:tcW w:w="709" w:type="dxa"/>
                  <w:vMerge w:val="restart"/>
                  <w:tcBorders>
                    <w:top w:val="single" w:color="auto" w:sz="4" w:space="0"/>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混凝土砖生产线</w:t>
                  </w:r>
                </w:p>
              </w:tc>
              <w:tc>
                <w:tcPr>
                  <w:tcW w:w="1134" w:type="dxa"/>
                  <w:vMerge w:val="restart"/>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搅拌混合车间</w:t>
                  </w:r>
                </w:p>
              </w:tc>
              <w:tc>
                <w:tcPr>
                  <w:tcW w:w="1559"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提升斗</w:t>
                  </w:r>
                </w:p>
              </w:tc>
              <w:tc>
                <w:tcPr>
                  <w:tcW w:w="992"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86</w:t>
                  </w:r>
                </w:p>
              </w:tc>
              <w:tc>
                <w:tcPr>
                  <w:tcW w:w="992" w:type="dxa"/>
                  <w:vMerge w:val="restart"/>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color w:val="000000" w:themeColor="text1"/>
                      <w:kern w:val="0"/>
                    </w:rPr>
                    <w:t>减震垫、消声器、墙体阻隔等</w:t>
                  </w:r>
                </w:p>
              </w:tc>
              <w:tc>
                <w:tcPr>
                  <w:tcW w:w="85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71</w:t>
                  </w:r>
                </w:p>
              </w:tc>
              <w:tc>
                <w:tcPr>
                  <w:tcW w:w="106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9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709"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709"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134"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559"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配料仓</w:t>
                  </w:r>
                </w:p>
              </w:tc>
              <w:tc>
                <w:tcPr>
                  <w:tcW w:w="992"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75</w:t>
                  </w:r>
                </w:p>
              </w:tc>
              <w:tc>
                <w:tcPr>
                  <w:tcW w:w="992"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85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60</w:t>
                  </w:r>
                </w:p>
              </w:tc>
              <w:tc>
                <w:tcPr>
                  <w:tcW w:w="106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9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709"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709"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134"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559"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搅拌机</w:t>
                  </w:r>
                </w:p>
              </w:tc>
              <w:tc>
                <w:tcPr>
                  <w:tcW w:w="992"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89</w:t>
                  </w:r>
                </w:p>
              </w:tc>
              <w:tc>
                <w:tcPr>
                  <w:tcW w:w="992"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85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74</w:t>
                  </w:r>
                </w:p>
              </w:tc>
              <w:tc>
                <w:tcPr>
                  <w:tcW w:w="106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 w:hRule="atLeast"/>
                <w:jc w:val="center"/>
              </w:trPr>
              <w:tc>
                <w:tcPr>
                  <w:tcW w:w="59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709"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709"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134" w:type="dxa"/>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成型车间</w:t>
                  </w:r>
                </w:p>
              </w:tc>
              <w:tc>
                <w:tcPr>
                  <w:tcW w:w="1559"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砌块成型机</w:t>
                  </w:r>
                </w:p>
              </w:tc>
              <w:tc>
                <w:tcPr>
                  <w:tcW w:w="992"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88</w:t>
                  </w:r>
                </w:p>
              </w:tc>
              <w:tc>
                <w:tcPr>
                  <w:tcW w:w="992"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85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73</w:t>
                  </w:r>
                </w:p>
              </w:tc>
              <w:tc>
                <w:tcPr>
                  <w:tcW w:w="106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9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709"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709"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134" w:type="dxa"/>
                  <w:vMerge w:val="restart"/>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养护区</w:t>
                  </w:r>
                </w:p>
              </w:tc>
              <w:tc>
                <w:tcPr>
                  <w:tcW w:w="1559"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叠砖机</w:t>
                  </w:r>
                </w:p>
              </w:tc>
              <w:tc>
                <w:tcPr>
                  <w:tcW w:w="992"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80</w:t>
                  </w:r>
                </w:p>
              </w:tc>
              <w:tc>
                <w:tcPr>
                  <w:tcW w:w="992"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85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65</w:t>
                  </w:r>
                </w:p>
              </w:tc>
              <w:tc>
                <w:tcPr>
                  <w:tcW w:w="106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9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709"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709"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134"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559" w:type="dxa"/>
                  <w:tcBorders>
                    <w:left w:val="single" w:color="auto" w:sz="4" w:space="0"/>
                    <w:right w:val="single" w:color="auto" w:sz="4" w:space="0"/>
                  </w:tcBorders>
                  <w:vAlign w:val="center"/>
                </w:tcPr>
                <w:p>
                  <w:pPr>
                    <w:widowControl/>
                    <w:jc w:val="center"/>
                    <w:textAlignment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合力叉车</w:t>
                  </w:r>
                </w:p>
              </w:tc>
              <w:tc>
                <w:tcPr>
                  <w:tcW w:w="992"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90</w:t>
                  </w:r>
                </w:p>
              </w:tc>
              <w:tc>
                <w:tcPr>
                  <w:tcW w:w="992"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85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75</w:t>
                  </w:r>
                </w:p>
              </w:tc>
              <w:tc>
                <w:tcPr>
                  <w:tcW w:w="106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间歇产生</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（2）厂界噪声预测</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根据建设内容及生产工艺，项目</w:t>
            </w:r>
            <w:r>
              <w:rPr>
                <w:rFonts w:hint="eastAsia" w:ascii="Times New Roman" w:hAnsi="Times New Roman" w:cs="Times New Roman"/>
                <w:color w:val="000000" w:themeColor="text1"/>
                <w:sz w:val="24"/>
              </w:rPr>
              <w:t>两期工程</w:t>
            </w:r>
            <w:r>
              <w:rPr>
                <w:rFonts w:ascii="Times New Roman" w:hAnsi="Times New Roman" w:cs="Times New Roman"/>
                <w:color w:val="000000" w:themeColor="text1"/>
                <w:sz w:val="24"/>
              </w:rPr>
              <w:t>噪声污染源主要</w:t>
            </w:r>
            <w:r>
              <w:rPr>
                <w:rFonts w:hint="eastAsia" w:ascii="Times New Roman" w:hAnsi="Times New Roman" w:cs="Times New Roman"/>
                <w:color w:val="000000" w:themeColor="text1"/>
                <w:sz w:val="24"/>
              </w:rPr>
              <w:t>均</w:t>
            </w:r>
            <w:r>
              <w:rPr>
                <w:rFonts w:ascii="Times New Roman" w:hAnsi="Times New Roman" w:cs="Times New Roman"/>
                <w:color w:val="000000" w:themeColor="text1"/>
                <w:sz w:val="24"/>
              </w:rPr>
              <w:t>为设备噪声。</w:t>
            </w:r>
            <w:r>
              <w:rPr>
                <w:rFonts w:hint="eastAsia" w:ascii="Times New Roman" w:hAnsi="Times New Roman" w:cs="Times New Roman"/>
                <w:color w:val="000000" w:themeColor="text1"/>
                <w:sz w:val="24"/>
              </w:rPr>
              <w:t>项目一期噪声源强主要为</w:t>
            </w:r>
            <w:r>
              <w:rPr>
                <w:rFonts w:ascii="Times New Roman" w:hAnsi="Times New Roman" w:cs="Times New Roman"/>
                <w:color w:val="000000" w:themeColor="text1"/>
                <w:sz w:val="24"/>
              </w:rPr>
              <w:t>砂石骨料生产线</w:t>
            </w:r>
            <w:r>
              <w:rPr>
                <w:rFonts w:hint="eastAsia" w:ascii="Times New Roman" w:hAnsi="Times New Roman" w:cs="Times New Roman"/>
                <w:color w:val="000000" w:themeColor="text1"/>
                <w:sz w:val="24"/>
              </w:rPr>
              <w:t>及储运工程设备噪声源强，而二期工程噪声源强主要为</w:t>
            </w:r>
            <w:r>
              <w:rPr>
                <w:rFonts w:ascii="Times New Roman" w:hAnsi="Times New Roman" w:cs="Times New Roman"/>
                <w:color w:val="000000" w:themeColor="text1"/>
                <w:sz w:val="24"/>
              </w:rPr>
              <w:t>混凝土砖生产线</w:t>
            </w:r>
            <w:r>
              <w:rPr>
                <w:rFonts w:hint="eastAsia" w:ascii="Times New Roman" w:hAnsi="Times New Roman" w:cs="Times New Roman"/>
                <w:color w:val="000000" w:themeColor="text1"/>
                <w:sz w:val="24"/>
              </w:rPr>
              <w:t>设备噪声源强，项目噪声对环境的影响主要为两期建成后的共同影响，项目总体建成后噪声达标排放，则分期噪声也可达标排放，因此环评不对运营期噪声进行分期预测。</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本环评采用环安科技有限公司根据《环境影响评价技术导则 声环境》（HJ2.4-2009）开发的“环境噪声影响评价系统Noisesystem1.1”噪声预测软件，对项目设备厂界噪声进行预测。</w:t>
            </w:r>
          </w:p>
          <w:p>
            <w:pPr>
              <w:spacing w:line="360" w:lineRule="auto"/>
              <w:ind w:firstLine="482" w:firstLineChars="200"/>
              <w:rPr>
                <w:rFonts w:ascii="Times New Roman" w:hAnsi="Times New Roman" w:cs="Times New Roman"/>
                <w:b/>
                <w:color w:val="000000" w:themeColor="text1"/>
                <w:sz w:val="24"/>
                <w:szCs w:val="24"/>
              </w:rPr>
            </w:pPr>
            <w:bookmarkStart w:id="3" w:name="_Toc9337268"/>
            <w:bookmarkStart w:id="4" w:name="_Toc13390404"/>
            <w:r>
              <w:rPr>
                <w:rFonts w:ascii="Times New Roman" w:hAnsi="Times New Roman" w:eastAsia="宋体" w:cs="Times New Roman"/>
                <w:b/>
                <w:color w:val="000000" w:themeColor="text1"/>
                <w:sz w:val="24"/>
                <w:szCs w:val="24"/>
              </w:rPr>
              <w:t>①</w:t>
            </w:r>
            <w:r>
              <w:rPr>
                <w:rFonts w:ascii="Times New Roman" w:hAnsi="Times New Roman" w:cs="Times New Roman"/>
                <w:b/>
                <w:color w:val="000000" w:themeColor="text1"/>
                <w:sz w:val="24"/>
                <w:szCs w:val="24"/>
              </w:rPr>
              <w:t>声级计算</w:t>
            </w:r>
            <w:bookmarkEnd w:id="3"/>
            <w:bookmarkEnd w:id="4"/>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建设项目声源在预测点产生的等效声级贡献值（Leq g）计算公式：</w:t>
            </w:r>
          </w:p>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object>
                <v:shape id="_x0000_i1035" o:spt="75" type="#_x0000_t75" style="height:34.2pt;width:132pt;" o:ole="t" filled="f" o:preferrelative="t" stroked="f" coordsize="21600,21600">
                  <v:path/>
                  <v:fill on="f" focussize="0,0"/>
                  <v:stroke on="f" joinstyle="miter"/>
                  <v:imagedata r:id="rId26" o:title=""/>
                  <o:lock v:ext="edit" aspectratio="t"/>
                  <w10:wrap type="none"/>
                  <w10:anchorlock/>
                </v:shape>
                <o:OLEObject Type="Embed" ProgID="Equation.3" ShapeID="_x0000_i1035" DrawAspect="Content" ObjectID="_1468075735" r:id="rId25">
                  <o:LockedField>false</o:LockedField>
                </o:OLEObject>
              </w:objec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式中：Leqg--建设项目声源在预测点的等效声级贡献值，dB（A）；</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LAi-- i声源在预测点产生的A 声级，dB（A）；</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T---预测计算的时间段，s；</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Ti--i 声源在T 时段内的运行时间，s。</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预测点的预测等效声级(L eq )计算公式</w:t>
            </w:r>
          </w:p>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object>
                <v:shape id="_x0000_i1036" o:spt="75" type="#_x0000_t75" style="height:20.4pt;width:141.6pt;" o:ole="t" filled="f" o:preferrelative="t" stroked="f" coordsize="21600,21600">
                  <v:path/>
                  <v:fill on="f" focussize="0,0"/>
                  <v:stroke on="f" joinstyle="miter"/>
                  <v:imagedata r:id="rId28" o:title=""/>
                  <o:lock v:ext="edit" aspectratio="t"/>
                  <w10:wrap type="none"/>
                  <w10:anchorlock/>
                </v:shape>
                <o:OLEObject Type="Embed" ProgID="Equation.3" ShapeID="_x0000_i1036" DrawAspect="Content" ObjectID="_1468075736" r:id="rId27">
                  <o:LockedField>false</o:LockedField>
                </o:OLEObject>
              </w:objec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式中：L eq g--建设项目声源在预测点的等效声级贡献值，dB（A）；</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 eqb--预测点的背景值，dB（A）</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eastAsia="宋体" w:cs="Times New Roman"/>
                <w:b/>
                <w:color w:val="000000" w:themeColor="text1"/>
                <w:sz w:val="24"/>
                <w:szCs w:val="24"/>
              </w:rPr>
              <w:t>②</w:t>
            </w:r>
            <w:r>
              <w:rPr>
                <w:rFonts w:ascii="Times New Roman" w:hAnsi="Times New Roman" w:cs="Times New Roman"/>
                <w:b/>
                <w:color w:val="000000" w:themeColor="text1"/>
                <w:sz w:val="24"/>
                <w:szCs w:val="24"/>
              </w:rPr>
              <w:t>户外声传播衰减计算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预测模式如下：</w:t>
            </w:r>
          </w:p>
          <w:p>
            <w:pPr>
              <w:spacing w:line="360" w:lineRule="auto"/>
              <w:jc w:val="center"/>
              <w:rPr>
                <w:rFonts w:ascii="Times New Roman" w:hAnsi="Times New Roman" w:cs="Times New Roman"/>
                <w:color w:val="000000" w:themeColor="text1"/>
                <w:sz w:val="24"/>
                <w:szCs w:val="24"/>
              </w:rPr>
            </w:pPr>
            <w:bookmarkStart w:id="5" w:name="_Toc13390405"/>
            <w:bookmarkStart w:id="6" w:name="_Toc9337269"/>
            <w:r>
              <w:rPr>
                <w:rFonts w:ascii="Times New Roman" w:hAnsi="Times New Roman" w:cs="Times New Roman"/>
                <w:color w:val="000000" w:themeColor="text1"/>
                <w:sz w:val="24"/>
                <w:szCs w:val="24"/>
              </w:rPr>
              <w:t>LA（r）=Lr</w:t>
            </w:r>
            <w:r>
              <w:rPr>
                <w:rFonts w:ascii="Times New Roman" w:hAnsi="Times New Roman" w:cs="Times New Roman"/>
                <w:color w:val="000000" w:themeColor="text1"/>
                <w:sz w:val="24"/>
                <w:szCs w:val="24"/>
                <w:vertAlign w:val="subscript"/>
              </w:rPr>
              <w:t>0</w:t>
            </w:r>
            <w:r>
              <w:rPr>
                <w:rFonts w:ascii="Times New Roman" w:hAnsi="Times New Roman" w:cs="Times New Roman"/>
                <w:color w:val="000000" w:themeColor="text1"/>
                <w:sz w:val="24"/>
                <w:szCs w:val="24"/>
              </w:rPr>
              <w:t>-20g（r/r</w:t>
            </w:r>
            <w:r>
              <w:rPr>
                <w:rFonts w:ascii="Times New Roman" w:hAnsi="Times New Roman" w:cs="Times New Roman"/>
                <w:color w:val="000000" w:themeColor="text1"/>
                <w:sz w:val="24"/>
                <w:szCs w:val="24"/>
                <w:vertAlign w:val="subscript"/>
              </w:rPr>
              <w:t>0</w:t>
            </w:r>
            <w:r>
              <w:rPr>
                <w:rFonts w:ascii="Times New Roman" w:hAnsi="Times New Roman" w:cs="Times New Roman"/>
                <w:color w:val="000000" w:themeColor="text1"/>
                <w:sz w:val="24"/>
                <w:szCs w:val="24"/>
              </w:rPr>
              <w:t>）-△L</w:t>
            </w:r>
            <w:bookmarkEnd w:id="5"/>
            <w:bookmarkEnd w:id="6"/>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式中：LA（r）--距声源r米处受声点的A声级；</w:t>
            </w:r>
          </w:p>
          <w:p>
            <w:pPr>
              <w:spacing w:line="360" w:lineRule="auto"/>
              <w:ind w:firstLine="480" w:firstLineChars="200"/>
              <w:rPr>
                <w:rFonts w:ascii="Times New Roman" w:hAnsi="Times New Roman" w:cs="Times New Roman"/>
                <w:color w:val="000000" w:themeColor="text1"/>
                <w:sz w:val="24"/>
                <w:szCs w:val="24"/>
              </w:rPr>
            </w:pPr>
            <w:bookmarkStart w:id="7" w:name="_Toc9337270"/>
            <w:bookmarkStart w:id="8" w:name="_Toc13390406"/>
            <w:r>
              <w:rPr>
                <w:rFonts w:ascii="Times New Roman" w:hAnsi="Times New Roman" w:cs="Times New Roman"/>
                <w:color w:val="000000" w:themeColor="text1"/>
                <w:sz w:val="24"/>
                <w:szCs w:val="24"/>
              </w:rPr>
              <w:t xml:space="preserve">      Lr</w:t>
            </w:r>
            <w:r>
              <w:rPr>
                <w:rFonts w:ascii="Times New Roman" w:hAnsi="Times New Roman" w:cs="Times New Roman"/>
                <w:color w:val="000000" w:themeColor="text1"/>
                <w:sz w:val="24"/>
                <w:szCs w:val="24"/>
                <w:vertAlign w:val="subscript"/>
              </w:rPr>
              <w:t>0</w:t>
            </w:r>
            <w:r>
              <w:rPr>
                <w:rFonts w:ascii="Times New Roman" w:hAnsi="Times New Roman" w:cs="Times New Roman"/>
                <w:color w:val="000000" w:themeColor="text1"/>
                <w:sz w:val="24"/>
                <w:szCs w:val="24"/>
              </w:rPr>
              <w:t>--参考点声源强度；</w:t>
            </w:r>
            <w:bookmarkEnd w:id="7"/>
            <w:bookmarkEnd w:id="8"/>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r--预测受声点与源之间的距离（m）；</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r</w:t>
            </w:r>
            <w:r>
              <w:rPr>
                <w:rFonts w:ascii="Times New Roman" w:hAnsi="Times New Roman" w:cs="Times New Roman"/>
                <w:color w:val="000000" w:themeColor="text1"/>
                <w:sz w:val="24"/>
                <w:szCs w:val="24"/>
                <w:vertAlign w:val="subscript"/>
              </w:rPr>
              <w:t>0</w:t>
            </w:r>
            <w:r>
              <w:rPr>
                <w:rFonts w:ascii="Times New Roman" w:hAnsi="Times New Roman" w:cs="Times New Roman"/>
                <w:color w:val="000000" w:themeColor="text1"/>
                <w:sz w:val="24"/>
                <w:szCs w:val="24"/>
              </w:rPr>
              <w:t>--参考点与源之间的距离（m）。</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△L--其它衰减因素</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影响△L取值的因素很多，因空气吸收、地面、绿化等引起的衰减值相对较小，本次预测拟忽略它们影响的衰减值，即按ΔL=0计；另外运营期各设备噪声源强考虑按采取措施后厂房外1m噪声级。</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各受声点的声源叠加按下列公式计算：</w:t>
            </w:r>
          </w:p>
          <w:p>
            <w:pPr>
              <w:spacing w:line="360" w:lineRule="auto"/>
              <w:jc w:val="center"/>
              <w:rPr>
                <w:rFonts w:ascii="Times New Roman" w:hAnsi="Times New Roman" w:cs="Times New Roman"/>
                <w:color w:val="000000" w:themeColor="text1"/>
                <w:sz w:val="24"/>
                <w:szCs w:val="24"/>
              </w:rPr>
            </w:pPr>
            <w:bookmarkStart w:id="9" w:name="_Toc9337271"/>
            <w:bookmarkStart w:id="10" w:name="_Toc13390407"/>
            <w:r>
              <w:rPr>
                <w:rFonts w:ascii="Times New Roman" w:hAnsi="Times New Roman" w:cs="Times New Roman"/>
                <w:color w:val="000000" w:themeColor="text1"/>
                <w:sz w:val="24"/>
                <w:szCs w:val="24"/>
              </w:rPr>
              <w:t>LA=10g［</w:t>
            </w:r>
            <w:r>
              <w:rPr>
                <w:rFonts w:ascii="Times New Roman" w:hAnsi="Times New Roman" w:cs="Times New Roman"/>
                <w:color w:val="000000" w:themeColor="text1"/>
                <w:sz w:val="24"/>
                <w:szCs w:val="24"/>
              </w:rPr>
              <w:object>
                <v:shape id="_x0000_i1037" o:spt="75" type="#_x0000_t75" style="height:41.4pt;width:50.4pt;" o:ole="t" filled="f" o:preferrelative="t" stroked="f" coordsize="21600,21600">
                  <v:path/>
                  <v:fill on="f" focussize="0,0"/>
                  <v:stroke on="f" joinstyle="miter"/>
                  <v:imagedata r:id="rId30" o:title=""/>
                  <o:lock v:ext="edit" aspectratio="t"/>
                  <w10:wrap type="none"/>
                  <w10:anchorlock/>
                </v:shape>
                <o:OLEObject Type="Embed" ProgID="Equation.3" ShapeID="_x0000_i1037" DrawAspect="Content" ObjectID="_1468075737" r:id="rId29">
                  <o:LockedField>false</o:LockedField>
                </o:OLEObject>
              </w:object>
            </w:r>
            <w:r>
              <w:rPr>
                <w:rFonts w:ascii="Times New Roman" w:hAnsi="Times New Roman" w:cs="Times New Roman"/>
                <w:color w:val="000000" w:themeColor="text1"/>
                <w:sz w:val="24"/>
                <w:szCs w:val="24"/>
              </w:rPr>
              <w:t>］</w:t>
            </w:r>
            <w:bookmarkEnd w:id="9"/>
            <w:bookmarkEnd w:id="10"/>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式中：Li--第i个声源声值；</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LA--某点噪声总叠加值；</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n--声源个数。</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eastAsia="宋体" w:cs="Times New Roman"/>
                <w:b/>
                <w:color w:val="000000" w:themeColor="text1"/>
                <w:sz w:val="24"/>
                <w:szCs w:val="24"/>
              </w:rPr>
              <w:t>③</w:t>
            </w:r>
            <w:r>
              <w:rPr>
                <w:rFonts w:ascii="Times New Roman" w:hAnsi="Times New Roman" w:cs="Times New Roman"/>
                <w:b/>
                <w:color w:val="000000" w:themeColor="text1"/>
                <w:sz w:val="24"/>
                <w:szCs w:val="24"/>
              </w:rPr>
              <w:t>预测点</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预测点均设置为东、南、西、北四个厂界。</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eastAsia="宋体" w:cs="Times New Roman"/>
                <w:b/>
                <w:color w:val="000000" w:themeColor="text1"/>
                <w:sz w:val="24"/>
                <w:szCs w:val="24"/>
              </w:rPr>
              <w:t>④</w:t>
            </w:r>
            <w:r>
              <w:rPr>
                <w:rFonts w:ascii="Times New Roman" w:hAnsi="Times New Roman" w:cs="Times New Roman"/>
                <w:b/>
                <w:color w:val="000000" w:themeColor="text1"/>
                <w:sz w:val="24"/>
                <w:szCs w:val="24"/>
              </w:rPr>
              <w:t>预测结果与评价</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经过预测，项目厂界东、南、西、北预测点的噪声预测结果如下表所示。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表4.2.3-2 项目建成后预测点的噪声贡献值  单位：dB（A）</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1904"/>
              <w:gridCol w:w="1806"/>
              <w:gridCol w:w="1826"/>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 w:hRule="atLeast"/>
                <w:jc w:val="center"/>
              </w:trPr>
              <w:tc>
                <w:tcPr>
                  <w:tcW w:w="1111" w:type="dxa"/>
                  <w:vAlign w:val="center"/>
                </w:tcPr>
                <w:p>
                  <w:pPr>
                    <w:pStyle w:val="32"/>
                    <w:spacing w:line="360" w:lineRule="exact"/>
                    <w:rPr>
                      <w:color w:val="000000" w:themeColor="text1"/>
                      <w:szCs w:val="21"/>
                    </w:rPr>
                  </w:pPr>
                  <w:r>
                    <w:rPr>
                      <w:color w:val="000000" w:themeColor="text1"/>
                      <w:szCs w:val="21"/>
                    </w:rPr>
                    <w:t>贡献值</w:t>
                  </w:r>
                </w:p>
              </w:tc>
              <w:tc>
                <w:tcPr>
                  <w:tcW w:w="1626" w:type="dxa"/>
                  <w:vAlign w:val="center"/>
                </w:tcPr>
                <w:p>
                  <w:pPr>
                    <w:pStyle w:val="32"/>
                    <w:spacing w:line="360" w:lineRule="exact"/>
                    <w:rPr>
                      <w:color w:val="000000" w:themeColor="text1"/>
                      <w:szCs w:val="21"/>
                    </w:rPr>
                  </w:pPr>
                  <w:r>
                    <w:rPr>
                      <w:color w:val="000000" w:themeColor="text1"/>
                      <w:szCs w:val="21"/>
                    </w:rPr>
                    <w:t>厂界东</w:t>
                  </w:r>
                </w:p>
              </w:tc>
              <w:tc>
                <w:tcPr>
                  <w:tcW w:w="1543" w:type="dxa"/>
                  <w:vAlign w:val="center"/>
                </w:tcPr>
                <w:p>
                  <w:pPr>
                    <w:pStyle w:val="32"/>
                    <w:spacing w:line="360" w:lineRule="exact"/>
                    <w:rPr>
                      <w:color w:val="000000" w:themeColor="text1"/>
                      <w:szCs w:val="21"/>
                    </w:rPr>
                  </w:pPr>
                  <w:r>
                    <w:rPr>
                      <w:color w:val="000000" w:themeColor="text1"/>
                      <w:szCs w:val="21"/>
                    </w:rPr>
                    <w:t>厂界南</w:t>
                  </w:r>
                </w:p>
              </w:tc>
              <w:tc>
                <w:tcPr>
                  <w:tcW w:w="1560" w:type="dxa"/>
                  <w:vAlign w:val="center"/>
                </w:tcPr>
                <w:p>
                  <w:pPr>
                    <w:pStyle w:val="32"/>
                    <w:spacing w:line="360" w:lineRule="exact"/>
                    <w:rPr>
                      <w:color w:val="000000" w:themeColor="text1"/>
                      <w:szCs w:val="21"/>
                    </w:rPr>
                  </w:pPr>
                  <w:r>
                    <w:rPr>
                      <w:color w:val="000000" w:themeColor="text1"/>
                      <w:szCs w:val="21"/>
                    </w:rPr>
                    <w:t>厂界西</w:t>
                  </w:r>
                </w:p>
              </w:tc>
              <w:tc>
                <w:tcPr>
                  <w:tcW w:w="1510" w:type="dxa"/>
                  <w:vAlign w:val="center"/>
                </w:tcPr>
                <w:p>
                  <w:pPr>
                    <w:pStyle w:val="32"/>
                    <w:spacing w:line="360" w:lineRule="exact"/>
                    <w:rPr>
                      <w:color w:val="000000" w:themeColor="text1"/>
                      <w:szCs w:val="21"/>
                    </w:rPr>
                  </w:pPr>
                  <w:r>
                    <w:rPr>
                      <w:color w:val="000000" w:themeColor="text1"/>
                      <w:szCs w:val="21"/>
                    </w:rPr>
                    <w:t>厂界北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Align w:val="center"/>
                </w:tcPr>
                <w:p>
                  <w:pPr>
                    <w:pStyle w:val="32"/>
                    <w:spacing w:line="360" w:lineRule="exact"/>
                    <w:rPr>
                      <w:color w:val="000000" w:themeColor="text1"/>
                      <w:szCs w:val="21"/>
                    </w:rPr>
                  </w:pPr>
                  <w:r>
                    <w:rPr>
                      <w:color w:val="000000" w:themeColor="text1"/>
                      <w:szCs w:val="21"/>
                    </w:rPr>
                    <w:t>昼</w:t>
                  </w:r>
                </w:p>
              </w:tc>
              <w:tc>
                <w:tcPr>
                  <w:tcW w:w="1626" w:type="dxa"/>
                  <w:vAlign w:val="center"/>
                </w:tcPr>
                <w:p>
                  <w:pPr>
                    <w:pStyle w:val="32"/>
                    <w:spacing w:line="360" w:lineRule="exact"/>
                    <w:rPr>
                      <w:color w:val="000000" w:themeColor="text1"/>
                      <w:szCs w:val="21"/>
                    </w:rPr>
                  </w:pPr>
                  <w:r>
                    <w:rPr>
                      <w:color w:val="000000" w:themeColor="text1"/>
                      <w:szCs w:val="21"/>
                    </w:rPr>
                    <w:t>4</w:t>
                  </w:r>
                  <w:r>
                    <w:rPr>
                      <w:rFonts w:hint="eastAsia"/>
                      <w:color w:val="000000" w:themeColor="text1"/>
                      <w:szCs w:val="21"/>
                    </w:rPr>
                    <w:t>9</w:t>
                  </w:r>
                  <w:r>
                    <w:rPr>
                      <w:color w:val="000000" w:themeColor="text1"/>
                      <w:szCs w:val="21"/>
                    </w:rPr>
                    <w:t>.8</w:t>
                  </w:r>
                </w:p>
              </w:tc>
              <w:tc>
                <w:tcPr>
                  <w:tcW w:w="1543" w:type="dxa"/>
                  <w:vAlign w:val="center"/>
                </w:tcPr>
                <w:p>
                  <w:pPr>
                    <w:pStyle w:val="32"/>
                    <w:spacing w:line="360" w:lineRule="exact"/>
                    <w:rPr>
                      <w:color w:val="000000" w:themeColor="text1"/>
                      <w:szCs w:val="21"/>
                    </w:rPr>
                  </w:pPr>
                  <w:r>
                    <w:rPr>
                      <w:rFonts w:hint="eastAsia"/>
                      <w:color w:val="000000" w:themeColor="text1"/>
                      <w:szCs w:val="21"/>
                    </w:rPr>
                    <w:t>43</w:t>
                  </w:r>
                  <w:r>
                    <w:rPr>
                      <w:color w:val="000000" w:themeColor="text1"/>
                      <w:szCs w:val="21"/>
                    </w:rPr>
                    <w:t>.</w:t>
                  </w:r>
                  <w:r>
                    <w:rPr>
                      <w:rFonts w:hint="eastAsia"/>
                      <w:color w:val="000000" w:themeColor="text1"/>
                      <w:szCs w:val="21"/>
                    </w:rPr>
                    <w:t>2</w:t>
                  </w:r>
                </w:p>
              </w:tc>
              <w:tc>
                <w:tcPr>
                  <w:tcW w:w="1560" w:type="dxa"/>
                  <w:vAlign w:val="center"/>
                </w:tcPr>
                <w:p>
                  <w:pPr>
                    <w:pStyle w:val="32"/>
                    <w:spacing w:line="360" w:lineRule="exact"/>
                    <w:rPr>
                      <w:color w:val="000000" w:themeColor="text1"/>
                      <w:szCs w:val="21"/>
                    </w:rPr>
                  </w:pPr>
                  <w:r>
                    <w:rPr>
                      <w:color w:val="000000" w:themeColor="text1"/>
                      <w:szCs w:val="21"/>
                    </w:rPr>
                    <w:t>4</w:t>
                  </w:r>
                  <w:r>
                    <w:rPr>
                      <w:rFonts w:hint="eastAsia"/>
                      <w:color w:val="000000" w:themeColor="text1"/>
                      <w:szCs w:val="21"/>
                    </w:rPr>
                    <w:t>7</w:t>
                  </w:r>
                  <w:r>
                    <w:rPr>
                      <w:color w:val="000000" w:themeColor="text1"/>
                      <w:szCs w:val="21"/>
                    </w:rPr>
                    <w:t>.</w:t>
                  </w:r>
                  <w:r>
                    <w:rPr>
                      <w:rFonts w:hint="eastAsia"/>
                      <w:color w:val="000000" w:themeColor="text1"/>
                      <w:szCs w:val="21"/>
                    </w:rPr>
                    <w:t>9</w:t>
                  </w:r>
                </w:p>
              </w:tc>
              <w:tc>
                <w:tcPr>
                  <w:tcW w:w="1510" w:type="dxa"/>
                  <w:vAlign w:val="center"/>
                </w:tcPr>
                <w:p>
                  <w:pPr>
                    <w:pStyle w:val="32"/>
                    <w:spacing w:line="360" w:lineRule="exact"/>
                    <w:rPr>
                      <w:color w:val="000000" w:themeColor="text1"/>
                      <w:szCs w:val="21"/>
                    </w:rPr>
                  </w:pPr>
                  <w:r>
                    <w:rPr>
                      <w:rFonts w:hint="eastAsia"/>
                      <w:color w:val="000000" w:themeColor="text1"/>
                      <w:szCs w:val="21"/>
                    </w:rPr>
                    <w:t>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Align w:val="center"/>
                </w:tcPr>
                <w:p>
                  <w:pPr>
                    <w:pStyle w:val="32"/>
                    <w:spacing w:line="360" w:lineRule="exact"/>
                    <w:rPr>
                      <w:color w:val="000000" w:themeColor="text1"/>
                      <w:szCs w:val="21"/>
                    </w:rPr>
                  </w:pPr>
                  <w:r>
                    <w:rPr>
                      <w:color w:val="000000" w:themeColor="text1"/>
                      <w:szCs w:val="21"/>
                    </w:rPr>
                    <w:t>夜</w:t>
                  </w:r>
                </w:p>
              </w:tc>
              <w:tc>
                <w:tcPr>
                  <w:tcW w:w="1626" w:type="dxa"/>
                  <w:vAlign w:val="center"/>
                </w:tcPr>
                <w:p>
                  <w:pPr>
                    <w:pStyle w:val="32"/>
                    <w:spacing w:line="360" w:lineRule="exact"/>
                    <w:rPr>
                      <w:color w:val="000000" w:themeColor="text1"/>
                      <w:szCs w:val="21"/>
                    </w:rPr>
                  </w:pPr>
                  <w:r>
                    <w:rPr>
                      <w:color w:val="000000" w:themeColor="text1"/>
                      <w:szCs w:val="21"/>
                    </w:rPr>
                    <w:t>4</w:t>
                  </w:r>
                  <w:r>
                    <w:rPr>
                      <w:rFonts w:hint="eastAsia"/>
                      <w:color w:val="000000" w:themeColor="text1"/>
                      <w:szCs w:val="21"/>
                    </w:rPr>
                    <w:t>9</w:t>
                  </w:r>
                  <w:r>
                    <w:rPr>
                      <w:color w:val="000000" w:themeColor="text1"/>
                      <w:szCs w:val="21"/>
                    </w:rPr>
                    <w:t>.8</w:t>
                  </w:r>
                </w:p>
              </w:tc>
              <w:tc>
                <w:tcPr>
                  <w:tcW w:w="1543" w:type="dxa"/>
                  <w:vAlign w:val="center"/>
                </w:tcPr>
                <w:p>
                  <w:pPr>
                    <w:pStyle w:val="32"/>
                    <w:spacing w:line="360" w:lineRule="exact"/>
                    <w:rPr>
                      <w:color w:val="000000" w:themeColor="text1"/>
                      <w:szCs w:val="21"/>
                    </w:rPr>
                  </w:pPr>
                  <w:r>
                    <w:rPr>
                      <w:rFonts w:hint="eastAsia"/>
                      <w:color w:val="000000" w:themeColor="text1"/>
                      <w:szCs w:val="21"/>
                    </w:rPr>
                    <w:t>43</w:t>
                  </w:r>
                  <w:r>
                    <w:rPr>
                      <w:color w:val="000000" w:themeColor="text1"/>
                      <w:szCs w:val="21"/>
                    </w:rPr>
                    <w:t>.</w:t>
                  </w:r>
                  <w:r>
                    <w:rPr>
                      <w:rFonts w:hint="eastAsia"/>
                      <w:color w:val="000000" w:themeColor="text1"/>
                      <w:szCs w:val="21"/>
                    </w:rPr>
                    <w:t>2</w:t>
                  </w:r>
                </w:p>
              </w:tc>
              <w:tc>
                <w:tcPr>
                  <w:tcW w:w="1560" w:type="dxa"/>
                  <w:vAlign w:val="center"/>
                </w:tcPr>
                <w:p>
                  <w:pPr>
                    <w:pStyle w:val="32"/>
                    <w:spacing w:line="360" w:lineRule="exact"/>
                    <w:rPr>
                      <w:color w:val="000000" w:themeColor="text1"/>
                      <w:szCs w:val="21"/>
                    </w:rPr>
                  </w:pPr>
                  <w:r>
                    <w:rPr>
                      <w:color w:val="000000" w:themeColor="text1"/>
                      <w:szCs w:val="21"/>
                    </w:rPr>
                    <w:t>4</w:t>
                  </w:r>
                  <w:r>
                    <w:rPr>
                      <w:rFonts w:hint="eastAsia"/>
                      <w:color w:val="000000" w:themeColor="text1"/>
                      <w:szCs w:val="21"/>
                    </w:rPr>
                    <w:t>7</w:t>
                  </w:r>
                  <w:r>
                    <w:rPr>
                      <w:color w:val="000000" w:themeColor="text1"/>
                      <w:szCs w:val="21"/>
                    </w:rPr>
                    <w:t>.</w:t>
                  </w:r>
                  <w:r>
                    <w:rPr>
                      <w:rFonts w:hint="eastAsia"/>
                      <w:color w:val="000000" w:themeColor="text1"/>
                      <w:szCs w:val="21"/>
                    </w:rPr>
                    <w:t>9</w:t>
                  </w:r>
                </w:p>
              </w:tc>
              <w:tc>
                <w:tcPr>
                  <w:tcW w:w="1510" w:type="dxa"/>
                  <w:vAlign w:val="center"/>
                </w:tcPr>
                <w:p>
                  <w:pPr>
                    <w:pStyle w:val="32"/>
                    <w:spacing w:line="360" w:lineRule="exact"/>
                    <w:rPr>
                      <w:color w:val="000000" w:themeColor="text1"/>
                      <w:szCs w:val="21"/>
                    </w:rPr>
                  </w:pPr>
                  <w:r>
                    <w:rPr>
                      <w:rFonts w:hint="eastAsia"/>
                      <w:color w:val="000000" w:themeColor="text1"/>
                      <w:szCs w:val="21"/>
                    </w:rPr>
                    <w:t>45.6</w:t>
                  </w:r>
                </w:p>
              </w:tc>
            </w:tr>
          </w:tbl>
          <w:p>
            <w:pPr>
              <w:pStyle w:val="40"/>
              <w:spacing w:beforeLines="50"/>
              <w:ind w:firstLine="480"/>
              <w:rPr>
                <w:rFonts w:eastAsiaTheme="minorEastAsia"/>
                <w:color w:val="000000" w:themeColor="text1"/>
                <w:szCs w:val="24"/>
              </w:rPr>
            </w:pPr>
            <w:r>
              <w:rPr>
                <w:rFonts w:eastAsiaTheme="minorEastAsia"/>
                <w:color w:val="000000" w:themeColor="text1"/>
                <w:szCs w:val="24"/>
              </w:rPr>
              <w:t>从上表可知，项目运营期选用低噪声设备，产噪设备设置于厂房中，设备基础减震，加强设备维护检修及运输车辆管理等。厂界噪声可达到《工业企业厂界环境噪声排放标准》（GB12348-2008）2类标准要求。</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（3）对环境保护目标影响预测</w:t>
            </w:r>
          </w:p>
          <w:p>
            <w:pPr>
              <w:pStyle w:val="40"/>
              <w:ind w:firstLine="480"/>
              <w:rPr>
                <w:rFonts w:eastAsiaTheme="minorEastAsia"/>
                <w:color w:val="000000" w:themeColor="text1"/>
                <w:szCs w:val="24"/>
              </w:rPr>
            </w:pPr>
            <w:r>
              <w:rPr>
                <w:rFonts w:eastAsiaTheme="minorEastAsia"/>
                <w:color w:val="000000" w:themeColor="text1"/>
                <w:szCs w:val="24"/>
              </w:rPr>
              <w:t>根据项目环境保护目标分布，项目区声环境评价范围内无声环境保护目标，因此项目噪声对环境影响较小。</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（4）自行监测要求</w:t>
            </w:r>
          </w:p>
          <w:p>
            <w:pPr>
              <w:pStyle w:val="40"/>
              <w:ind w:firstLine="480"/>
              <w:rPr>
                <w:rFonts w:eastAsiaTheme="minorEastAsia"/>
                <w:color w:val="000000" w:themeColor="text1"/>
                <w:szCs w:val="24"/>
              </w:rPr>
            </w:pPr>
            <w:r>
              <w:rPr>
                <w:rFonts w:eastAsiaTheme="minorEastAsia"/>
                <w:color w:val="000000" w:themeColor="text1"/>
                <w:szCs w:val="24"/>
              </w:rPr>
              <w:t>根据《排污单位自行监测技术指南 总则》（HJ819-2017）的要求，项目噪声自行监测要求如下表所示。</w:t>
            </w:r>
          </w:p>
          <w:p>
            <w:pPr>
              <w:pStyle w:val="34"/>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表4.2.3-3  厂界噪声自行监测计划一览表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76"/>
              <w:gridCol w:w="1417"/>
              <w:gridCol w:w="1701"/>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对象</w:t>
                  </w:r>
                </w:p>
              </w:tc>
              <w:tc>
                <w:tcPr>
                  <w:tcW w:w="1276"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监测点位</w:t>
                  </w:r>
                </w:p>
              </w:tc>
              <w:tc>
                <w:tcPr>
                  <w:tcW w:w="1417"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监测因子</w:t>
                  </w:r>
                </w:p>
              </w:tc>
              <w:tc>
                <w:tcPr>
                  <w:tcW w:w="1701"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最低监测频率</w:t>
                  </w:r>
                </w:p>
              </w:tc>
              <w:tc>
                <w:tcPr>
                  <w:tcW w:w="3476" w:type="dxa"/>
                  <w:vAlign w:val="center"/>
                </w:tcPr>
                <w:p>
                  <w:pPr>
                    <w:pStyle w:val="32"/>
                    <w:widowControl w:val="0"/>
                    <w:spacing w:line="360" w:lineRule="exact"/>
                    <w:rPr>
                      <w:rFonts w:eastAsiaTheme="minorEastAsia"/>
                      <w:color w:val="000000" w:themeColor="text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35"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噪声</w:t>
                  </w:r>
                </w:p>
              </w:tc>
              <w:tc>
                <w:tcPr>
                  <w:tcW w:w="1276"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厂界四周</w:t>
                  </w:r>
                </w:p>
              </w:tc>
              <w:tc>
                <w:tcPr>
                  <w:tcW w:w="1417"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等效连续A声级</w:t>
                  </w:r>
                </w:p>
              </w:tc>
              <w:tc>
                <w:tcPr>
                  <w:tcW w:w="1701" w:type="dxa"/>
                  <w:vAlign w:val="center"/>
                </w:tcPr>
                <w:p>
                  <w:pPr>
                    <w:pStyle w:val="32"/>
                    <w:widowControl w:val="0"/>
                    <w:spacing w:line="360" w:lineRule="exact"/>
                    <w:rPr>
                      <w:rFonts w:eastAsiaTheme="minorEastAsia"/>
                      <w:color w:val="000000" w:themeColor="text1"/>
                    </w:rPr>
                  </w:pPr>
                  <w:r>
                    <w:rPr>
                      <w:rFonts w:eastAsiaTheme="minorEastAsia"/>
                      <w:color w:val="000000" w:themeColor="text1"/>
                    </w:rPr>
                    <w:t>1次/季</w:t>
                  </w:r>
                </w:p>
              </w:tc>
              <w:tc>
                <w:tcPr>
                  <w:tcW w:w="3476" w:type="dxa"/>
                  <w:vAlign w:val="center"/>
                </w:tcPr>
                <w:p>
                  <w:pPr>
                    <w:pStyle w:val="32"/>
                    <w:widowControl w:val="0"/>
                    <w:spacing w:line="360" w:lineRule="exact"/>
                    <w:ind w:firstLine="210" w:firstLineChars="100"/>
                    <w:jc w:val="both"/>
                    <w:rPr>
                      <w:rFonts w:eastAsiaTheme="minorEastAsia"/>
                      <w:color w:val="000000" w:themeColor="text1"/>
                    </w:rPr>
                  </w:pPr>
                  <w:r>
                    <w:rPr>
                      <w:color w:val="000000" w:themeColor="text1"/>
                      <w:szCs w:val="21"/>
                    </w:rPr>
                    <w:t>《工业企业厂界环境噪声排放标准》（GB12348-2008）中2类标准</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4.2.4 运营期固体废物环境影响和保护措施</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（1）固体废物污染源强分析</w:t>
            </w:r>
          </w:p>
          <w:p>
            <w:pPr>
              <w:spacing w:line="360" w:lineRule="auto"/>
              <w:ind w:firstLine="360" w:firstLineChars="15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根据项目特点，该项目区产生的</w:t>
            </w:r>
            <w:r>
              <w:rPr>
                <w:rFonts w:ascii="Times New Roman" w:hAnsi="Times New Roman" w:cs="Times New Roman"/>
                <w:color w:val="000000" w:themeColor="text1"/>
                <w:sz w:val="24"/>
              </w:rPr>
              <w:t>废机油及废弃沾油抹布和污水处理设施污泥</w:t>
            </w:r>
            <w:r>
              <w:rPr>
                <w:rFonts w:hint="eastAsia" w:ascii="Times New Roman" w:hAnsi="Times New Roman" w:cs="Times New Roman"/>
                <w:color w:val="000000" w:themeColor="text1"/>
                <w:sz w:val="24"/>
              </w:rPr>
              <w:t>，全部纳入一期工程进行管理。</w:t>
            </w:r>
          </w:p>
          <w:p>
            <w:pPr>
              <w:pStyle w:val="40"/>
              <w:ind w:firstLine="482"/>
              <w:rPr>
                <w:b/>
                <w:color w:val="000000" w:themeColor="text1"/>
              </w:rPr>
            </w:pPr>
            <w:r>
              <w:rPr>
                <w:b/>
                <w:color w:val="000000" w:themeColor="text1"/>
              </w:rPr>
              <w:fldChar w:fldCharType="begin"/>
            </w:r>
            <w:r>
              <w:rPr>
                <w:b/>
                <w:color w:val="000000" w:themeColor="text1"/>
              </w:rPr>
              <w:instrText xml:space="preserve"> </w:instrText>
            </w:r>
            <w:r>
              <w:rPr>
                <w:rFonts w:hint="eastAsia"/>
                <w:b/>
                <w:color w:val="000000" w:themeColor="text1"/>
              </w:rPr>
              <w:instrText xml:space="preserve">= 1 \* GB4</w:instrText>
            </w:r>
            <w:r>
              <w:rPr>
                <w:b/>
                <w:color w:val="000000" w:themeColor="text1"/>
              </w:rPr>
              <w:instrText xml:space="preserve"> </w:instrText>
            </w:r>
            <w:r>
              <w:rPr>
                <w:b/>
                <w:color w:val="000000" w:themeColor="text1"/>
              </w:rPr>
              <w:fldChar w:fldCharType="separate"/>
            </w:r>
            <w:r>
              <w:rPr>
                <w:rFonts w:hint="eastAsia"/>
                <w:b/>
                <w:color w:val="000000" w:themeColor="text1"/>
              </w:rPr>
              <w:t>㈠</w:t>
            </w:r>
            <w:r>
              <w:rPr>
                <w:b/>
                <w:color w:val="000000" w:themeColor="text1"/>
              </w:rPr>
              <w:fldChar w:fldCharType="end"/>
            </w:r>
            <w:r>
              <w:rPr>
                <w:rFonts w:hint="eastAsia"/>
                <w:b/>
                <w:color w:val="000000" w:themeColor="text1"/>
              </w:rPr>
              <w:t>一期工程</w:t>
            </w:r>
            <w:r>
              <w:rPr>
                <w:b/>
                <w:color w:val="000000" w:themeColor="text1"/>
              </w:rPr>
              <w:t>固体废物污染源强分析</w:t>
            </w:r>
          </w:p>
          <w:p>
            <w:pPr>
              <w:pStyle w:val="40"/>
              <w:ind w:firstLine="480"/>
              <w:rPr>
                <w:rFonts w:eastAsiaTheme="minorEastAsia"/>
                <w:color w:val="000000" w:themeColor="text1"/>
                <w:szCs w:val="24"/>
              </w:rPr>
            </w:pPr>
            <w:r>
              <w:rPr>
                <w:rFonts w:eastAsiaTheme="minorEastAsia"/>
                <w:color w:val="000000" w:themeColor="text1"/>
                <w:szCs w:val="21"/>
              </w:rPr>
              <w:t>根据项目</w:t>
            </w:r>
            <w:r>
              <w:rPr>
                <w:rFonts w:hint="eastAsia"/>
                <w:color w:val="000000" w:themeColor="text1"/>
                <w:szCs w:val="21"/>
              </w:rPr>
              <w:t>一期工程</w:t>
            </w:r>
            <w:r>
              <w:rPr>
                <w:rFonts w:eastAsiaTheme="minorEastAsia"/>
                <w:color w:val="000000" w:themeColor="text1"/>
                <w:szCs w:val="21"/>
              </w:rPr>
              <w:t>内容及生产工艺，该项目</w:t>
            </w:r>
            <w:r>
              <w:rPr>
                <w:rFonts w:hint="eastAsia"/>
                <w:color w:val="000000" w:themeColor="text1"/>
                <w:szCs w:val="21"/>
              </w:rPr>
              <w:t>一期工程</w:t>
            </w:r>
            <w:r>
              <w:rPr>
                <w:rFonts w:eastAsiaTheme="minorEastAsia"/>
                <w:color w:val="000000" w:themeColor="text1"/>
                <w:szCs w:val="21"/>
              </w:rPr>
              <w:t>产生的固体废物包括：砂石骨料生产废水处理系统产生的含水污泥</w:t>
            </w:r>
            <w:r>
              <w:rPr>
                <w:rFonts w:hint="eastAsia" w:eastAsiaTheme="minorEastAsia"/>
                <w:color w:val="000000" w:themeColor="text1"/>
                <w:szCs w:val="21"/>
              </w:rPr>
              <w:t>、</w:t>
            </w:r>
            <w:r>
              <w:rPr>
                <w:rFonts w:eastAsiaTheme="minorEastAsia"/>
                <w:color w:val="000000" w:themeColor="text1"/>
                <w:szCs w:val="21"/>
              </w:rPr>
              <w:t>设备维修产生的废机油及废弃沾油抹布、生活垃圾和污水处理设施污泥。</w:t>
            </w:r>
          </w:p>
          <w:p>
            <w:pPr>
              <w:pStyle w:val="40"/>
              <w:ind w:firstLine="482"/>
              <w:rPr>
                <w:b/>
                <w:color w:val="000000" w:themeColor="text1"/>
              </w:rPr>
            </w:pPr>
            <w:r>
              <w:rPr>
                <w:rFonts w:hint="eastAsia"/>
                <w:b/>
                <w:color w:val="000000" w:themeColor="text1"/>
              </w:rPr>
              <w:t>①</w:t>
            </w:r>
            <w:r>
              <w:rPr>
                <w:b/>
                <w:color w:val="000000" w:themeColor="text1"/>
              </w:rPr>
              <w:t>含水污泥</w:t>
            </w:r>
          </w:p>
          <w:p>
            <w:pPr>
              <w:pStyle w:val="40"/>
              <w:ind w:firstLine="480"/>
              <w:rPr>
                <w:rFonts w:eastAsiaTheme="minorEastAsia"/>
                <w:color w:val="000000" w:themeColor="text1"/>
                <w:szCs w:val="24"/>
              </w:rPr>
            </w:pPr>
            <w:r>
              <w:rPr>
                <w:rFonts w:eastAsiaTheme="minorEastAsia"/>
                <w:color w:val="FF0000"/>
                <w:szCs w:val="24"/>
              </w:rPr>
              <w:t>根据设计，项目拟设置</w:t>
            </w:r>
            <w:r>
              <w:rPr>
                <w:rFonts w:hint="eastAsia" w:eastAsiaTheme="minorEastAsia"/>
                <w:color w:val="FF0000"/>
                <w:szCs w:val="24"/>
              </w:rPr>
              <w:t>1</w:t>
            </w:r>
            <w:r>
              <w:rPr>
                <w:rFonts w:eastAsiaTheme="minorEastAsia"/>
                <w:color w:val="FF0000"/>
                <w:szCs w:val="24"/>
              </w:rPr>
              <w:t>套砂石骨料生产废水处理系统对生产废水进行处理，该系统由</w:t>
            </w:r>
            <w:r>
              <w:rPr>
                <w:rFonts w:hint="eastAsia" w:eastAsiaTheme="minorEastAsia"/>
                <w:color w:val="FF0000"/>
                <w:szCs w:val="24"/>
              </w:rPr>
              <w:t>1组有效容积为60m³的三级沉淀池、1个10m³回水池和回水管道</w:t>
            </w:r>
            <w:r>
              <w:rPr>
                <w:rFonts w:eastAsiaTheme="minorEastAsia"/>
                <w:color w:val="FF0000"/>
                <w:szCs w:val="24"/>
              </w:rPr>
              <w:t>组成。</w:t>
            </w:r>
            <w:r>
              <w:rPr>
                <w:rFonts w:eastAsiaTheme="minorEastAsia"/>
                <w:color w:val="000000" w:themeColor="text1"/>
                <w:szCs w:val="24"/>
              </w:rPr>
              <w:t>首先进入三级沉淀池进行沉淀，沉淀后，约90%的上层清水进入回水池回用于骨料生产系统，而三级沉淀池产生的的含水污泥</w:t>
            </w:r>
            <w:r>
              <w:rPr>
                <w:rFonts w:hint="eastAsia" w:eastAsiaTheme="minorEastAsia"/>
                <w:color w:val="000000" w:themeColor="text1"/>
                <w:szCs w:val="24"/>
              </w:rPr>
              <w:t>产生量约为105t/d（31500t/a），其含水率为60%，依托</w:t>
            </w:r>
            <w:r>
              <w:rPr>
                <w:rFonts w:eastAsiaTheme="minorEastAsia"/>
                <w:color w:val="000000" w:themeColor="text1"/>
                <w:szCs w:val="24"/>
              </w:rPr>
              <w:t>昆明市东川金水矿业有限责任公司牛厂坪尾矿充填环境综合治理项目进行井下充填处理，处置率为100%。</w:t>
            </w:r>
          </w:p>
          <w:p>
            <w:pPr>
              <w:pStyle w:val="40"/>
              <w:ind w:firstLine="482"/>
              <w:rPr>
                <w:b/>
                <w:color w:val="000000" w:themeColor="text1"/>
              </w:rPr>
            </w:pPr>
            <w:r>
              <w:rPr>
                <w:b/>
                <w:color w:val="000000" w:themeColor="text1"/>
              </w:rPr>
              <w:t>②废机油及废弃沾油抹布</w:t>
            </w:r>
          </w:p>
          <w:p>
            <w:pPr>
              <w:pStyle w:val="40"/>
              <w:ind w:firstLine="480"/>
              <w:rPr>
                <w:rFonts w:eastAsiaTheme="minorEastAsia"/>
                <w:color w:val="000000" w:themeColor="text1"/>
                <w:szCs w:val="24"/>
              </w:rPr>
            </w:pPr>
            <w:r>
              <w:rPr>
                <w:rFonts w:eastAsiaTheme="minorEastAsia"/>
                <w:color w:val="000000" w:themeColor="text1"/>
                <w:szCs w:val="24"/>
              </w:rPr>
              <w:t>项目运营期将不定期对生产设备进行维护，如涂抹润滑油、机油等，维护过程中将产生少量废机油及废弃沾油抹布，根据《国家危险废物名录》（2021版），其属性见下表。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表4.2.4-</w:t>
            </w:r>
            <w:r>
              <w:rPr>
                <w:rFonts w:hint="eastAsia" w:ascii="Times New Roman" w:hAnsi="Times New Roman" w:cs="Times New Roman"/>
                <w:b/>
                <w:color w:val="000000" w:themeColor="text1"/>
                <w:szCs w:val="24"/>
              </w:rPr>
              <w:t>1</w:t>
            </w:r>
            <w:r>
              <w:rPr>
                <w:rFonts w:ascii="Times New Roman" w:hAnsi="Times New Roman" w:cs="Times New Roman"/>
                <w:b/>
                <w:color w:val="000000" w:themeColor="text1"/>
                <w:szCs w:val="24"/>
              </w:rPr>
              <w:t xml:space="preserve">  国家危险废物名录（2021年）（摘抄）</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1301"/>
              <w:gridCol w:w="862"/>
              <w:gridCol w:w="1052"/>
              <w:gridCol w:w="3010"/>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pct"/>
                  <w:vAlign w:val="center"/>
                </w:tcPr>
                <w:p>
                  <w:pPr>
                    <w:pStyle w:val="32"/>
                    <w:spacing w:line="360" w:lineRule="exact"/>
                    <w:rPr>
                      <w:color w:val="000000" w:themeColor="text1"/>
                      <w:szCs w:val="21"/>
                    </w:rPr>
                  </w:pPr>
                  <w:r>
                    <w:rPr>
                      <w:color w:val="000000" w:themeColor="text1"/>
                      <w:szCs w:val="21"/>
                    </w:rPr>
                    <w:t>项目危废</w:t>
                  </w:r>
                </w:p>
              </w:tc>
              <w:tc>
                <w:tcPr>
                  <w:tcW w:w="756" w:type="pct"/>
                  <w:vAlign w:val="center"/>
                </w:tcPr>
                <w:p>
                  <w:pPr>
                    <w:pStyle w:val="32"/>
                    <w:spacing w:line="360" w:lineRule="exact"/>
                    <w:rPr>
                      <w:color w:val="000000" w:themeColor="text1"/>
                      <w:szCs w:val="21"/>
                    </w:rPr>
                  </w:pPr>
                  <w:r>
                    <w:rPr>
                      <w:color w:val="000000" w:themeColor="text1"/>
                      <w:szCs w:val="21"/>
                    </w:rPr>
                    <w:t>废物类别</w:t>
                  </w:r>
                </w:p>
              </w:tc>
              <w:tc>
                <w:tcPr>
                  <w:tcW w:w="501" w:type="pct"/>
                  <w:vAlign w:val="center"/>
                </w:tcPr>
                <w:p>
                  <w:pPr>
                    <w:pStyle w:val="32"/>
                    <w:spacing w:line="360" w:lineRule="exact"/>
                    <w:rPr>
                      <w:color w:val="000000" w:themeColor="text1"/>
                      <w:szCs w:val="21"/>
                    </w:rPr>
                  </w:pPr>
                  <w:r>
                    <w:rPr>
                      <w:color w:val="000000" w:themeColor="text1"/>
                      <w:szCs w:val="21"/>
                    </w:rPr>
                    <w:t>行业来源</w:t>
                  </w:r>
                </w:p>
              </w:tc>
              <w:tc>
                <w:tcPr>
                  <w:tcW w:w="611" w:type="pct"/>
                  <w:vAlign w:val="center"/>
                </w:tcPr>
                <w:p>
                  <w:pPr>
                    <w:pStyle w:val="32"/>
                    <w:spacing w:line="360" w:lineRule="exact"/>
                    <w:rPr>
                      <w:color w:val="000000" w:themeColor="text1"/>
                      <w:szCs w:val="21"/>
                    </w:rPr>
                  </w:pPr>
                  <w:r>
                    <w:rPr>
                      <w:color w:val="000000" w:themeColor="text1"/>
                      <w:szCs w:val="21"/>
                    </w:rPr>
                    <w:t>废物代码</w:t>
                  </w:r>
                </w:p>
              </w:tc>
              <w:tc>
                <w:tcPr>
                  <w:tcW w:w="1749" w:type="pct"/>
                  <w:vAlign w:val="center"/>
                </w:tcPr>
                <w:p>
                  <w:pPr>
                    <w:pStyle w:val="32"/>
                    <w:spacing w:line="360" w:lineRule="exact"/>
                    <w:rPr>
                      <w:color w:val="000000" w:themeColor="text1"/>
                      <w:szCs w:val="21"/>
                    </w:rPr>
                  </w:pPr>
                  <w:r>
                    <w:rPr>
                      <w:color w:val="000000" w:themeColor="text1"/>
                      <w:szCs w:val="21"/>
                    </w:rPr>
                    <w:t>危险废物</w:t>
                  </w:r>
                </w:p>
              </w:tc>
              <w:tc>
                <w:tcPr>
                  <w:tcW w:w="600" w:type="pct"/>
                  <w:vAlign w:val="center"/>
                </w:tcPr>
                <w:p>
                  <w:pPr>
                    <w:pStyle w:val="32"/>
                    <w:spacing w:line="360" w:lineRule="exact"/>
                    <w:rPr>
                      <w:color w:val="000000" w:themeColor="text1"/>
                      <w:szCs w:val="21"/>
                    </w:rPr>
                  </w:pPr>
                  <w:r>
                    <w:rPr>
                      <w:color w:val="000000" w:themeColor="text1"/>
                      <w:szCs w:val="21"/>
                    </w:rPr>
                    <w:t>危险特征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3" w:type="pct"/>
                  <w:vAlign w:val="center"/>
                </w:tcPr>
                <w:p>
                  <w:pPr>
                    <w:pStyle w:val="32"/>
                    <w:spacing w:line="360" w:lineRule="exact"/>
                    <w:rPr>
                      <w:color w:val="000000" w:themeColor="text1"/>
                      <w:szCs w:val="21"/>
                    </w:rPr>
                  </w:pPr>
                  <w:r>
                    <w:rPr>
                      <w:color w:val="000000" w:themeColor="text1"/>
                      <w:szCs w:val="21"/>
                    </w:rPr>
                    <w:t>废机油</w:t>
                  </w:r>
                </w:p>
              </w:tc>
              <w:tc>
                <w:tcPr>
                  <w:tcW w:w="756" w:type="pct"/>
                  <w:vAlign w:val="center"/>
                </w:tcPr>
                <w:p>
                  <w:pPr>
                    <w:pStyle w:val="32"/>
                    <w:spacing w:line="360" w:lineRule="exact"/>
                    <w:rPr>
                      <w:color w:val="000000" w:themeColor="text1"/>
                      <w:szCs w:val="21"/>
                    </w:rPr>
                  </w:pPr>
                  <w:r>
                    <w:rPr>
                      <w:color w:val="000000" w:themeColor="text1"/>
                      <w:szCs w:val="21"/>
                    </w:rPr>
                    <w:t>HW08废矿物油与含矿物油废物</w:t>
                  </w:r>
                </w:p>
              </w:tc>
              <w:tc>
                <w:tcPr>
                  <w:tcW w:w="501" w:type="pct"/>
                  <w:vAlign w:val="center"/>
                </w:tcPr>
                <w:p>
                  <w:pPr>
                    <w:pStyle w:val="32"/>
                    <w:spacing w:line="360" w:lineRule="exact"/>
                    <w:rPr>
                      <w:color w:val="000000" w:themeColor="text1"/>
                      <w:szCs w:val="21"/>
                    </w:rPr>
                  </w:pPr>
                  <w:r>
                    <w:rPr>
                      <w:color w:val="000000" w:themeColor="text1"/>
                      <w:szCs w:val="21"/>
                    </w:rPr>
                    <w:t>非特定行业</w:t>
                  </w:r>
                </w:p>
              </w:tc>
              <w:tc>
                <w:tcPr>
                  <w:tcW w:w="611" w:type="pct"/>
                  <w:vAlign w:val="center"/>
                </w:tcPr>
                <w:p>
                  <w:pPr>
                    <w:pStyle w:val="32"/>
                    <w:spacing w:line="360" w:lineRule="exact"/>
                    <w:rPr>
                      <w:color w:val="000000" w:themeColor="text1"/>
                      <w:szCs w:val="21"/>
                    </w:rPr>
                  </w:pPr>
                  <w:r>
                    <w:rPr>
                      <w:color w:val="000000" w:themeColor="text1"/>
                      <w:szCs w:val="21"/>
                    </w:rPr>
                    <w:t>900-214-08</w:t>
                  </w:r>
                </w:p>
              </w:tc>
              <w:tc>
                <w:tcPr>
                  <w:tcW w:w="1749" w:type="pct"/>
                  <w:vAlign w:val="center"/>
                </w:tcPr>
                <w:p>
                  <w:pPr>
                    <w:pStyle w:val="32"/>
                    <w:spacing w:line="360" w:lineRule="exact"/>
                    <w:ind w:firstLine="210" w:firstLineChars="100"/>
                    <w:jc w:val="left"/>
                    <w:rPr>
                      <w:color w:val="000000" w:themeColor="text1"/>
                      <w:szCs w:val="21"/>
                    </w:rPr>
                  </w:pPr>
                  <w:r>
                    <w:rPr>
                      <w:color w:val="000000" w:themeColor="text1"/>
                      <w:szCs w:val="21"/>
                    </w:rPr>
                    <w:t>车辆、轮船及其它机械维修过程中产生的废发动机油、制动器油、自动变速器油、齿轮油等废润滑油</w:t>
                  </w:r>
                </w:p>
              </w:tc>
              <w:tc>
                <w:tcPr>
                  <w:tcW w:w="600" w:type="pct"/>
                  <w:vAlign w:val="center"/>
                </w:tcPr>
                <w:p>
                  <w:pPr>
                    <w:pStyle w:val="32"/>
                    <w:spacing w:line="360" w:lineRule="exact"/>
                    <w:rPr>
                      <w:color w:val="000000" w:themeColor="text1"/>
                      <w:szCs w:val="21"/>
                    </w:rPr>
                  </w:pPr>
                  <w:r>
                    <w:rPr>
                      <w:color w:val="000000" w:themeColor="text1"/>
                      <w:szCs w:val="21"/>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pct"/>
                  <w:vAlign w:val="center"/>
                </w:tcPr>
                <w:p>
                  <w:pPr>
                    <w:pStyle w:val="32"/>
                    <w:spacing w:line="360" w:lineRule="exact"/>
                    <w:rPr>
                      <w:color w:val="000000" w:themeColor="text1"/>
                      <w:szCs w:val="21"/>
                    </w:rPr>
                  </w:pPr>
                  <w:r>
                    <w:rPr>
                      <w:color w:val="000000" w:themeColor="text1"/>
                      <w:szCs w:val="21"/>
                    </w:rPr>
                    <w:t>沾油的抹布</w:t>
                  </w:r>
                </w:p>
              </w:tc>
              <w:tc>
                <w:tcPr>
                  <w:tcW w:w="756" w:type="pct"/>
                  <w:vAlign w:val="center"/>
                </w:tcPr>
                <w:p>
                  <w:pPr>
                    <w:pStyle w:val="32"/>
                    <w:spacing w:line="360" w:lineRule="exact"/>
                    <w:rPr>
                      <w:color w:val="000000" w:themeColor="text1"/>
                      <w:szCs w:val="21"/>
                    </w:rPr>
                  </w:pPr>
                  <w:r>
                    <w:rPr>
                      <w:color w:val="000000" w:themeColor="text1"/>
                      <w:szCs w:val="21"/>
                    </w:rPr>
                    <w:t>HW49其他废物</w:t>
                  </w:r>
                </w:p>
              </w:tc>
              <w:tc>
                <w:tcPr>
                  <w:tcW w:w="501" w:type="pct"/>
                  <w:vAlign w:val="center"/>
                </w:tcPr>
                <w:p>
                  <w:pPr>
                    <w:pStyle w:val="32"/>
                    <w:spacing w:line="360" w:lineRule="exact"/>
                    <w:rPr>
                      <w:color w:val="000000" w:themeColor="text1"/>
                      <w:szCs w:val="21"/>
                    </w:rPr>
                  </w:pPr>
                  <w:r>
                    <w:rPr>
                      <w:color w:val="000000" w:themeColor="text1"/>
                      <w:szCs w:val="21"/>
                    </w:rPr>
                    <w:t>非特定行业</w:t>
                  </w:r>
                </w:p>
              </w:tc>
              <w:tc>
                <w:tcPr>
                  <w:tcW w:w="611" w:type="pct"/>
                  <w:vAlign w:val="center"/>
                </w:tcPr>
                <w:p>
                  <w:pPr>
                    <w:pStyle w:val="32"/>
                    <w:spacing w:line="360" w:lineRule="exact"/>
                    <w:rPr>
                      <w:color w:val="000000" w:themeColor="text1"/>
                      <w:szCs w:val="21"/>
                    </w:rPr>
                  </w:pPr>
                  <w:r>
                    <w:rPr>
                      <w:color w:val="000000" w:themeColor="text1"/>
                      <w:szCs w:val="21"/>
                    </w:rPr>
                    <w:t>900-041-49</w:t>
                  </w:r>
                </w:p>
              </w:tc>
              <w:tc>
                <w:tcPr>
                  <w:tcW w:w="1749" w:type="pct"/>
                  <w:vAlign w:val="center"/>
                </w:tcPr>
                <w:p>
                  <w:pPr>
                    <w:pStyle w:val="32"/>
                    <w:spacing w:line="360" w:lineRule="exact"/>
                    <w:ind w:firstLine="210" w:firstLineChars="100"/>
                    <w:jc w:val="left"/>
                    <w:rPr>
                      <w:color w:val="000000" w:themeColor="text1"/>
                      <w:szCs w:val="21"/>
                    </w:rPr>
                  </w:pPr>
                  <w:r>
                    <w:rPr>
                      <w:color w:val="000000" w:themeColor="text1"/>
                      <w:szCs w:val="21"/>
                    </w:rPr>
                    <w:t>含有或沾染毒性、感染性危险废物的废弃包装物、容器、过滤吸附介质</w:t>
                  </w:r>
                </w:p>
              </w:tc>
              <w:tc>
                <w:tcPr>
                  <w:tcW w:w="600" w:type="pct"/>
                  <w:vAlign w:val="center"/>
                </w:tcPr>
                <w:p>
                  <w:pPr>
                    <w:pStyle w:val="32"/>
                    <w:spacing w:line="360" w:lineRule="exact"/>
                    <w:rPr>
                      <w:color w:val="000000" w:themeColor="text1"/>
                      <w:szCs w:val="21"/>
                    </w:rPr>
                  </w:pPr>
                  <w:r>
                    <w:rPr>
                      <w:color w:val="000000" w:themeColor="text1"/>
                      <w:szCs w:val="21"/>
                    </w:rPr>
                    <w:t>T/In</w:t>
                  </w:r>
                </w:p>
              </w:tc>
            </w:tr>
          </w:tbl>
          <w:p>
            <w:pPr>
              <w:pStyle w:val="40"/>
              <w:spacing w:beforeLines="50"/>
              <w:ind w:firstLine="480"/>
              <w:rPr>
                <w:color w:val="000000" w:themeColor="text1"/>
                <w:szCs w:val="24"/>
              </w:rPr>
            </w:pPr>
            <w:r>
              <w:rPr>
                <w:color w:val="000000" w:themeColor="text1"/>
                <w:szCs w:val="24"/>
              </w:rPr>
              <w:t>根据设计，项目区每年废机油产生量约为80kg，废弃沾油抹布产生量为10kg。针对项目产生的废机油和沾油的抹布，厂区拟建设了1个10m²的危险废物贮存间对项目区产生的危险废物进行分类暂存。废机油部分用于生产设备润滑使用，无法使用部分委托有资质的单位处置，处置率为100%。</w:t>
            </w:r>
          </w:p>
          <w:p>
            <w:pPr>
              <w:pStyle w:val="40"/>
              <w:ind w:firstLine="482"/>
              <w:rPr>
                <w:rFonts w:eastAsiaTheme="minorEastAsia"/>
                <w:b/>
                <w:color w:val="000000" w:themeColor="text1"/>
                <w:szCs w:val="24"/>
              </w:rPr>
            </w:pPr>
            <w:r>
              <w:rPr>
                <w:rFonts w:hint="eastAsia" w:eastAsiaTheme="minorEastAsia"/>
                <w:b/>
                <w:color w:val="000000" w:themeColor="text1"/>
                <w:szCs w:val="24"/>
              </w:rPr>
              <w:t>③一期工程</w:t>
            </w:r>
            <w:r>
              <w:rPr>
                <w:rFonts w:eastAsiaTheme="minorEastAsia"/>
                <w:b/>
                <w:color w:val="000000" w:themeColor="text1"/>
                <w:szCs w:val="24"/>
              </w:rPr>
              <w:t>生活垃圾</w:t>
            </w:r>
          </w:p>
          <w:p>
            <w:pPr>
              <w:pStyle w:val="40"/>
              <w:ind w:firstLine="480"/>
              <w:rPr>
                <w:rFonts w:eastAsiaTheme="minorEastAsia"/>
                <w:color w:val="000000" w:themeColor="text1"/>
                <w:szCs w:val="24"/>
              </w:rPr>
            </w:pPr>
            <w:r>
              <w:rPr>
                <w:rFonts w:eastAsiaTheme="minorEastAsia"/>
                <w:color w:val="000000" w:themeColor="text1"/>
                <w:szCs w:val="24"/>
              </w:rPr>
              <w:t>根据</w:t>
            </w:r>
            <w:r>
              <w:rPr>
                <w:rFonts w:hint="eastAsia" w:eastAsiaTheme="minorEastAsia"/>
                <w:color w:val="000000" w:themeColor="text1"/>
                <w:szCs w:val="24"/>
              </w:rPr>
              <w:t>劳动定员</w:t>
            </w:r>
            <w:r>
              <w:rPr>
                <w:rFonts w:eastAsiaTheme="minorEastAsia"/>
                <w:color w:val="000000" w:themeColor="text1"/>
                <w:szCs w:val="24"/>
              </w:rPr>
              <w:t>，该项目</w:t>
            </w:r>
            <w:r>
              <w:rPr>
                <w:rFonts w:hint="eastAsia" w:eastAsiaTheme="minorEastAsia"/>
                <w:color w:val="000000" w:themeColor="text1"/>
                <w:szCs w:val="24"/>
              </w:rPr>
              <w:t>一期工程</w:t>
            </w:r>
            <w:r>
              <w:rPr>
                <w:rFonts w:eastAsiaTheme="minorEastAsia"/>
                <w:color w:val="000000" w:themeColor="text1"/>
                <w:szCs w:val="24"/>
              </w:rPr>
              <w:t>拟定员工</w:t>
            </w:r>
            <w:r>
              <w:rPr>
                <w:rFonts w:hint="eastAsia" w:eastAsiaTheme="minorEastAsia"/>
                <w:color w:val="000000" w:themeColor="text1"/>
                <w:szCs w:val="24"/>
              </w:rPr>
              <w:t>1</w:t>
            </w:r>
            <w:r>
              <w:rPr>
                <w:rFonts w:eastAsiaTheme="minorEastAsia"/>
                <w:color w:val="000000" w:themeColor="text1"/>
                <w:szCs w:val="24"/>
              </w:rPr>
              <w:t>0人，</w:t>
            </w:r>
            <w:r>
              <w:rPr>
                <w:rFonts w:hint="eastAsia" w:eastAsiaTheme="minorEastAsia"/>
                <w:color w:val="000000" w:themeColor="text1"/>
                <w:szCs w:val="24"/>
              </w:rPr>
              <w:t>一期工程</w:t>
            </w:r>
            <w:r>
              <w:rPr>
                <w:rFonts w:eastAsiaTheme="minorEastAsia"/>
                <w:color w:val="000000" w:themeColor="text1"/>
                <w:szCs w:val="24"/>
              </w:rPr>
              <w:t>生活产生量按1kg/（人·d）计，则生活垃圾产生量为</w:t>
            </w:r>
            <w:r>
              <w:rPr>
                <w:rFonts w:hint="eastAsia" w:eastAsiaTheme="minorEastAsia"/>
                <w:color w:val="000000" w:themeColor="text1"/>
                <w:szCs w:val="24"/>
              </w:rPr>
              <w:t>1</w:t>
            </w:r>
            <w:r>
              <w:rPr>
                <w:rFonts w:eastAsiaTheme="minorEastAsia"/>
                <w:color w:val="000000" w:themeColor="text1"/>
                <w:szCs w:val="24"/>
              </w:rPr>
              <w:t>0kg/d（</w:t>
            </w:r>
            <w:r>
              <w:rPr>
                <w:rFonts w:hint="eastAsia" w:eastAsiaTheme="minorEastAsia"/>
                <w:color w:val="000000" w:themeColor="text1"/>
                <w:szCs w:val="24"/>
              </w:rPr>
              <w:t>3.3</w:t>
            </w:r>
            <w:r>
              <w:rPr>
                <w:rFonts w:eastAsiaTheme="minorEastAsia"/>
                <w:color w:val="000000" w:themeColor="text1"/>
                <w:szCs w:val="24"/>
              </w:rPr>
              <w:t>t/a）。生活垃圾集中收集后，委托环卫部门定期清运处置，处置率为100%。</w:t>
            </w:r>
          </w:p>
          <w:p>
            <w:pPr>
              <w:pStyle w:val="40"/>
              <w:ind w:firstLine="482"/>
              <w:rPr>
                <w:rFonts w:eastAsiaTheme="minorEastAsia"/>
                <w:b/>
                <w:color w:val="000000" w:themeColor="text1"/>
                <w:szCs w:val="24"/>
              </w:rPr>
            </w:pPr>
            <w:r>
              <w:rPr>
                <w:rFonts w:hint="eastAsia" w:ascii="宋体" w:hAnsi="宋体" w:cs="宋体"/>
                <w:b/>
                <w:color w:val="000000" w:themeColor="text1"/>
                <w:szCs w:val="24"/>
              </w:rPr>
              <w:t>④</w:t>
            </w:r>
            <w:r>
              <w:rPr>
                <w:rFonts w:eastAsiaTheme="minorEastAsia"/>
                <w:b/>
                <w:color w:val="000000" w:themeColor="text1"/>
                <w:szCs w:val="24"/>
              </w:rPr>
              <w:t>污水处理设施污泥</w:t>
            </w:r>
          </w:p>
          <w:p>
            <w:pPr>
              <w:pStyle w:val="40"/>
              <w:ind w:firstLine="480"/>
              <w:rPr>
                <w:color w:val="000000" w:themeColor="text1"/>
              </w:rPr>
            </w:pPr>
            <w:r>
              <w:rPr>
                <w:rFonts w:eastAsiaTheme="minorEastAsia"/>
                <w:color w:val="000000" w:themeColor="text1"/>
                <w:szCs w:val="24"/>
              </w:rPr>
              <w:t>根据项目特点可知，项目化粪池、一体化污水处理设施在处理废水的过程中，将产生一定的污泥，污泥主要来源于SS</w:t>
            </w:r>
            <w:r>
              <w:rPr>
                <w:color w:val="000000" w:themeColor="text1"/>
              </w:rPr>
              <w:t>和BOD</w:t>
            </w:r>
            <w:r>
              <w:rPr>
                <w:color w:val="000000" w:themeColor="text1"/>
                <w:vertAlign w:val="subscript"/>
              </w:rPr>
              <w:t>5</w:t>
            </w:r>
            <w:r>
              <w:rPr>
                <w:color w:val="000000" w:themeColor="text1"/>
              </w:rPr>
              <w:t>的去除，SS消减量为0.1</w:t>
            </w:r>
            <w:r>
              <w:rPr>
                <w:rFonts w:hint="eastAsia"/>
                <w:color w:val="000000" w:themeColor="text1"/>
              </w:rPr>
              <w:t>3</w:t>
            </w:r>
            <w:r>
              <w:rPr>
                <w:color w:val="000000" w:themeColor="text1"/>
              </w:rPr>
              <w:t>t/a，BOD</w:t>
            </w:r>
            <w:r>
              <w:rPr>
                <w:color w:val="000000" w:themeColor="text1"/>
                <w:vertAlign w:val="subscript"/>
              </w:rPr>
              <w:t>5</w:t>
            </w:r>
            <w:r>
              <w:rPr>
                <w:color w:val="000000" w:themeColor="text1"/>
              </w:rPr>
              <w:t>消减量为0.</w:t>
            </w:r>
            <w:r>
              <w:rPr>
                <w:rFonts w:hint="eastAsia"/>
                <w:color w:val="000000" w:themeColor="text1"/>
              </w:rPr>
              <w:t>106</w:t>
            </w:r>
            <w:r>
              <w:rPr>
                <w:color w:val="000000" w:themeColor="text1"/>
              </w:rPr>
              <w:t>t/a，以每去除1kgBOD</w:t>
            </w:r>
            <w:r>
              <w:rPr>
                <w:color w:val="000000" w:themeColor="text1"/>
                <w:vertAlign w:val="subscript"/>
              </w:rPr>
              <w:t>5</w:t>
            </w:r>
            <w:r>
              <w:rPr>
                <w:color w:val="000000" w:themeColor="text1"/>
              </w:rPr>
              <w:t>产生污泥0.8kg和去除1kgSS产生污泥1kg计，则预计污泥产生量为0.21t/a。委托环卫部门清运处理，其处置率为100%。</w:t>
            </w:r>
          </w:p>
          <w:p>
            <w:pPr>
              <w:pStyle w:val="40"/>
              <w:ind w:firstLine="482"/>
              <w:rPr>
                <w:b/>
                <w:color w:val="000000" w:themeColor="text1"/>
              </w:rPr>
            </w:pPr>
            <w:r>
              <w:rPr>
                <w:b/>
                <w:color w:val="000000" w:themeColor="text1"/>
              </w:rPr>
              <w:fldChar w:fldCharType="begin"/>
            </w:r>
            <w:r>
              <w:rPr>
                <w:b/>
                <w:color w:val="000000" w:themeColor="text1"/>
              </w:rPr>
              <w:instrText xml:space="preserve"> </w:instrText>
            </w:r>
            <w:r>
              <w:rPr>
                <w:rFonts w:hint="eastAsia"/>
                <w:b/>
                <w:color w:val="000000" w:themeColor="text1"/>
              </w:rPr>
              <w:instrText xml:space="preserve">= 2 \* GB4</w:instrText>
            </w:r>
            <w:r>
              <w:rPr>
                <w:b/>
                <w:color w:val="000000" w:themeColor="text1"/>
              </w:rPr>
              <w:instrText xml:space="preserve"> </w:instrText>
            </w:r>
            <w:r>
              <w:rPr>
                <w:b/>
                <w:color w:val="000000" w:themeColor="text1"/>
              </w:rPr>
              <w:fldChar w:fldCharType="separate"/>
            </w:r>
            <w:r>
              <w:rPr>
                <w:rFonts w:hint="eastAsia"/>
                <w:b/>
                <w:color w:val="000000" w:themeColor="text1"/>
              </w:rPr>
              <w:t>㈡</w:t>
            </w:r>
            <w:r>
              <w:rPr>
                <w:b/>
                <w:color w:val="000000" w:themeColor="text1"/>
              </w:rPr>
              <w:fldChar w:fldCharType="end"/>
            </w:r>
            <w:r>
              <w:rPr>
                <w:rFonts w:hint="eastAsia"/>
                <w:b/>
                <w:color w:val="000000" w:themeColor="text1"/>
              </w:rPr>
              <w:t>期工程</w:t>
            </w:r>
            <w:r>
              <w:rPr>
                <w:b/>
                <w:color w:val="000000" w:themeColor="text1"/>
              </w:rPr>
              <w:t>固体废物污染源强分析</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根据项目二期工程内容及生产工艺，该项目二期工程产生的固体废物包括：废砖、袋式除尘器收集粉尘、生活垃圾。</w:t>
            </w:r>
          </w:p>
          <w:p>
            <w:pPr>
              <w:pStyle w:val="40"/>
              <w:ind w:firstLine="482"/>
              <w:rPr>
                <w:rFonts w:eastAsiaTheme="minorEastAsia"/>
                <w:color w:val="000000" w:themeColor="text1"/>
                <w:szCs w:val="24"/>
              </w:rPr>
            </w:pPr>
            <w:r>
              <w:rPr>
                <w:rFonts w:hint="eastAsia"/>
                <w:b/>
                <w:color w:val="000000" w:themeColor="text1"/>
              </w:rPr>
              <w:t>①</w:t>
            </w:r>
            <w:r>
              <w:rPr>
                <w:b/>
                <w:color w:val="000000" w:themeColor="text1"/>
              </w:rPr>
              <w:t>废砖</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根据生产工艺，项目</w:t>
            </w:r>
            <w:r>
              <w:rPr>
                <w:rFonts w:hint="eastAsia" w:ascii="Times New Roman" w:hAnsi="Times New Roman" w:cs="Times New Roman"/>
                <w:color w:val="000000" w:themeColor="text1"/>
                <w:sz w:val="24"/>
                <w:szCs w:val="24"/>
              </w:rPr>
              <w:t>检测过程中会出现，应成型养护不到位而产生的废砖，</w:t>
            </w:r>
            <w:r>
              <w:rPr>
                <w:rFonts w:ascii="Times New Roman" w:hAnsi="Times New Roman" w:cs="Times New Roman"/>
                <w:color w:val="000000" w:themeColor="text1"/>
                <w:sz w:val="24"/>
                <w:szCs w:val="24"/>
              </w:rPr>
              <w:t>根据《排放源统计调查产排污核算方法和系数手册》中“C3021 水泥制品制造行业系数手册”</w:t>
            </w:r>
            <w:r>
              <w:rPr>
                <w:rFonts w:hint="eastAsia" w:ascii="Times New Roman" w:hAnsi="Times New Roman" w:cs="Times New Roman"/>
                <w:color w:val="000000" w:themeColor="text1"/>
                <w:sz w:val="24"/>
                <w:szCs w:val="24"/>
              </w:rPr>
              <w:t xml:space="preserve"> 成型养护</w:t>
            </w:r>
            <w:r>
              <w:rPr>
                <w:rFonts w:ascii="Times New Roman" w:hAnsi="Times New Roman" w:cs="Times New Roman"/>
                <w:color w:val="000000" w:themeColor="text1"/>
                <w:sz w:val="24"/>
                <w:szCs w:val="24"/>
              </w:rPr>
              <w:t>过程</w:t>
            </w:r>
            <w:r>
              <w:rPr>
                <w:rFonts w:hint="eastAsia" w:ascii="Times New Roman" w:hAnsi="Times New Roman" w:cs="Times New Roman"/>
                <w:color w:val="000000" w:themeColor="text1"/>
                <w:sz w:val="24"/>
                <w:szCs w:val="24"/>
              </w:rPr>
              <w:t>固体废物</w:t>
            </w:r>
            <w:r>
              <w:rPr>
                <w:rFonts w:ascii="Times New Roman" w:hAnsi="Times New Roman" w:cs="Times New Roman"/>
                <w:color w:val="000000" w:themeColor="text1"/>
                <w:sz w:val="24"/>
                <w:szCs w:val="24"/>
              </w:rPr>
              <w:t>产污系数如下表所示。</w:t>
            </w:r>
          </w:p>
          <w:p>
            <w:pPr>
              <w:spacing w:line="360" w:lineRule="auto"/>
              <w:ind w:firstLine="480" w:firstLineChars="200"/>
              <w:rPr>
                <w:rFonts w:ascii="Times New Roman" w:hAnsi="Times New Roman" w:cs="Times New Roman"/>
                <w:color w:val="000000" w:themeColor="text1"/>
                <w:sz w:val="24"/>
                <w:szCs w:val="24"/>
              </w:rPr>
            </w:pPr>
          </w:p>
          <w:p>
            <w:pPr>
              <w:jc w:val="center"/>
              <w:rPr>
                <w:rFonts w:ascii="Times New Roman" w:hAnsi="Times New Roman" w:eastAsia="宋体" w:cs="Times New Roman"/>
                <w:b/>
                <w:color w:val="000000" w:themeColor="text1"/>
                <w:szCs w:val="24"/>
              </w:rPr>
            </w:pPr>
          </w:p>
          <w:p>
            <w:pPr>
              <w:jc w:val="center"/>
              <w:rPr>
                <w:rFonts w:ascii="Times New Roman" w:hAnsi="Times New Roman" w:eastAsia="宋体" w:cs="Times New Roman"/>
                <w:b/>
                <w:color w:val="000000" w:themeColor="text1"/>
                <w:szCs w:val="24"/>
              </w:rPr>
            </w:pPr>
            <w:r>
              <w:rPr>
                <w:rFonts w:ascii="Times New Roman" w:hAnsi="Times New Roman" w:eastAsia="宋体" w:cs="Times New Roman"/>
                <w:b/>
                <w:color w:val="000000" w:themeColor="text1"/>
                <w:szCs w:val="24"/>
              </w:rPr>
              <w:t>表4.2.</w:t>
            </w:r>
            <w:r>
              <w:rPr>
                <w:rFonts w:hint="eastAsia" w:ascii="Times New Roman" w:hAnsi="Times New Roman" w:eastAsia="宋体" w:cs="Times New Roman"/>
                <w:b/>
                <w:color w:val="000000" w:themeColor="text1"/>
                <w:szCs w:val="24"/>
              </w:rPr>
              <w:t>4-2</w:t>
            </w:r>
            <w:r>
              <w:rPr>
                <w:rFonts w:ascii="Times New Roman" w:hAnsi="Times New Roman" w:eastAsia="宋体" w:cs="Times New Roman"/>
                <w:b/>
                <w:color w:val="000000" w:themeColor="text1"/>
                <w:szCs w:val="24"/>
              </w:rPr>
              <w:t xml:space="preserve">   3021 水泥制品制造行业系数表</w:t>
            </w:r>
          </w:p>
          <w:tbl>
            <w:tblPr>
              <w:tblStyle w:val="2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92"/>
              <w:gridCol w:w="665"/>
              <w:gridCol w:w="857"/>
              <w:gridCol w:w="708"/>
              <w:gridCol w:w="709"/>
              <w:gridCol w:w="567"/>
              <w:gridCol w:w="709"/>
              <w:gridCol w:w="1133"/>
              <w:gridCol w:w="1139"/>
              <w:gridCol w:w="722"/>
              <w:gridCol w:w="90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87" w:type="dxa"/>
                  <w:vAlign w:val="center"/>
                </w:tcPr>
                <w:p>
                  <w:pPr>
                    <w:pStyle w:val="32"/>
                    <w:spacing w:line="360" w:lineRule="exact"/>
                    <w:rPr>
                      <w:color w:val="000000" w:themeColor="text1"/>
                      <w:szCs w:val="21"/>
                    </w:rPr>
                  </w:pPr>
                  <w:r>
                    <w:rPr>
                      <w:color w:val="000000" w:themeColor="text1"/>
                      <w:szCs w:val="21"/>
                    </w:rPr>
                    <w:t>工段名称</w:t>
                  </w:r>
                </w:p>
              </w:tc>
              <w:tc>
                <w:tcPr>
                  <w:tcW w:w="659"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产品名称</w:t>
                  </w:r>
                </w:p>
              </w:tc>
              <w:tc>
                <w:tcPr>
                  <w:tcW w:w="849"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原料名称</w:t>
                  </w:r>
                </w:p>
              </w:tc>
              <w:tc>
                <w:tcPr>
                  <w:tcW w:w="701" w:type="dxa"/>
                  <w:vAlign w:val="center"/>
                </w:tcPr>
                <w:p>
                  <w:pPr>
                    <w:pStyle w:val="32"/>
                    <w:spacing w:line="360" w:lineRule="exact"/>
                    <w:rPr>
                      <w:color w:val="000000" w:themeColor="text1"/>
                      <w:szCs w:val="21"/>
                    </w:rPr>
                  </w:pPr>
                  <w:r>
                    <w:rPr>
                      <w:color w:val="000000" w:themeColor="text1"/>
                      <w:szCs w:val="21"/>
                    </w:rPr>
                    <w:t>工艺名称</w:t>
                  </w:r>
                </w:p>
              </w:tc>
              <w:tc>
                <w:tcPr>
                  <w:tcW w:w="702" w:type="dxa"/>
                  <w:vAlign w:val="center"/>
                </w:tcPr>
                <w:p>
                  <w:pPr>
                    <w:pStyle w:val="32"/>
                    <w:spacing w:line="360" w:lineRule="exact"/>
                    <w:rPr>
                      <w:color w:val="000000" w:themeColor="text1"/>
                      <w:szCs w:val="21"/>
                    </w:rPr>
                  </w:pPr>
                  <w:r>
                    <w:rPr>
                      <w:color w:val="000000" w:themeColor="text1"/>
                      <w:szCs w:val="21"/>
                    </w:rPr>
                    <w:t>规模等级</w:t>
                  </w:r>
                </w:p>
              </w:tc>
              <w:tc>
                <w:tcPr>
                  <w:tcW w:w="1264" w:type="dxa"/>
                  <w:gridSpan w:val="2"/>
                  <w:vAlign w:val="center"/>
                </w:tcPr>
                <w:p>
                  <w:pPr>
                    <w:pStyle w:val="32"/>
                    <w:spacing w:line="360" w:lineRule="exact"/>
                    <w:rPr>
                      <w:color w:val="000000" w:themeColor="text1"/>
                      <w:szCs w:val="21"/>
                    </w:rPr>
                  </w:pPr>
                  <w:r>
                    <w:rPr>
                      <w:color w:val="000000" w:themeColor="text1"/>
                      <w:szCs w:val="21"/>
                    </w:rPr>
                    <w:t>污染物指标</w:t>
                  </w:r>
                </w:p>
              </w:tc>
              <w:tc>
                <w:tcPr>
                  <w:tcW w:w="1122" w:type="dxa"/>
                  <w:vAlign w:val="center"/>
                </w:tcPr>
                <w:p>
                  <w:pPr>
                    <w:pStyle w:val="32"/>
                    <w:spacing w:line="360" w:lineRule="exact"/>
                    <w:rPr>
                      <w:color w:val="000000" w:themeColor="text1"/>
                      <w:szCs w:val="21"/>
                    </w:rPr>
                  </w:pPr>
                  <w:r>
                    <w:rPr>
                      <w:color w:val="000000" w:themeColor="text1"/>
                      <w:szCs w:val="21"/>
                    </w:rPr>
                    <w:t>系数单位</w:t>
                  </w:r>
                </w:p>
              </w:tc>
              <w:tc>
                <w:tcPr>
                  <w:tcW w:w="1128" w:type="dxa"/>
                  <w:vAlign w:val="center"/>
                </w:tcPr>
                <w:p>
                  <w:pPr>
                    <w:pStyle w:val="32"/>
                    <w:spacing w:line="360" w:lineRule="exact"/>
                    <w:rPr>
                      <w:color w:val="000000" w:themeColor="text1"/>
                      <w:szCs w:val="21"/>
                    </w:rPr>
                  </w:pPr>
                  <w:r>
                    <w:rPr>
                      <w:color w:val="000000" w:themeColor="text1"/>
                      <w:szCs w:val="21"/>
                    </w:rPr>
                    <w:t>产污系数</w:t>
                  </w:r>
                </w:p>
              </w:tc>
              <w:tc>
                <w:tcPr>
                  <w:tcW w:w="715" w:type="dxa"/>
                  <w:vAlign w:val="center"/>
                </w:tcPr>
                <w:p>
                  <w:pPr>
                    <w:pStyle w:val="32"/>
                    <w:spacing w:line="360" w:lineRule="exact"/>
                    <w:rPr>
                      <w:color w:val="000000" w:themeColor="text1"/>
                      <w:szCs w:val="21"/>
                    </w:rPr>
                  </w:pPr>
                  <w:r>
                    <w:rPr>
                      <w:color w:val="000000" w:themeColor="text1"/>
                      <w:szCs w:val="21"/>
                    </w:rPr>
                    <w:t>末端治理技术</w:t>
                  </w:r>
                </w:p>
              </w:tc>
              <w:tc>
                <w:tcPr>
                  <w:tcW w:w="895" w:type="dxa"/>
                  <w:vAlign w:val="center"/>
                </w:tcPr>
                <w:p>
                  <w:pPr>
                    <w:pStyle w:val="32"/>
                    <w:spacing w:line="360" w:lineRule="exact"/>
                    <w:rPr>
                      <w:color w:val="000000" w:themeColor="text1"/>
                      <w:szCs w:val="21"/>
                    </w:rPr>
                  </w:pPr>
                  <w:r>
                    <w:rPr>
                      <w:color w:val="000000" w:themeColor="text1"/>
                      <w:szCs w:val="21"/>
                    </w:rPr>
                    <w:t>末端治理技术效率（%）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87" w:type="dxa"/>
                  <w:vAlign w:val="center"/>
                </w:tcPr>
                <w:p>
                  <w:pPr>
                    <w:pStyle w:val="32"/>
                    <w:spacing w:line="360" w:lineRule="exact"/>
                    <w:rPr>
                      <w:color w:val="000000" w:themeColor="text1"/>
                      <w:szCs w:val="21"/>
                    </w:rPr>
                  </w:pPr>
                  <w:r>
                    <w:rPr>
                      <w:color w:val="000000" w:themeColor="text1"/>
                      <w:szCs w:val="21"/>
                    </w:rPr>
                    <w:t>物料输送</w:t>
                  </w:r>
                </w:p>
              </w:tc>
              <w:tc>
                <w:tcPr>
                  <w:tcW w:w="659"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各种水泥制品</w:t>
                  </w:r>
                </w:p>
              </w:tc>
              <w:tc>
                <w:tcPr>
                  <w:tcW w:w="849" w:type="dxa"/>
                  <w:tcBorders>
                    <w:left w:val="single" w:color="auto" w:sz="4" w:space="0"/>
                  </w:tcBorders>
                  <w:vAlign w:val="center"/>
                </w:tcPr>
                <w:p>
                  <w:pPr>
                    <w:pStyle w:val="32"/>
                    <w:spacing w:line="360" w:lineRule="exact"/>
                    <w:rPr>
                      <w:color w:val="000000" w:themeColor="text1"/>
                      <w:szCs w:val="21"/>
                    </w:rPr>
                  </w:pPr>
                  <w:r>
                    <w:rPr>
                      <w:color w:val="000000" w:themeColor="text1"/>
                      <w:szCs w:val="21"/>
                    </w:rPr>
                    <w:t>水泥、砂子、石子、钢筋</w:t>
                  </w:r>
                </w:p>
              </w:tc>
              <w:tc>
                <w:tcPr>
                  <w:tcW w:w="701" w:type="dxa"/>
                  <w:vAlign w:val="center"/>
                </w:tcPr>
                <w:p>
                  <w:pPr>
                    <w:pStyle w:val="32"/>
                    <w:spacing w:line="360" w:lineRule="exact"/>
                    <w:rPr>
                      <w:color w:val="000000" w:themeColor="text1"/>
                      <w:szCs w:val="21"/>
                    </w:rPr>
                  </w:pPr>
                  <w:r>
                    <w:rPr>
                      <w:rFonts w:hint="eastAsia"/>
                      <w:color w:val="000000" w:themeColor="text1"/>
                      <w:szCs w:val="21"/>
                    </w:rPr>
                    <w:t>成型养护</w:t>
                  </w:r>
                </w:p>
              </w:tc>
              <w:tc>
                <w:tcPr>
                  <w:tcW w:w="702" w:type="dxa"/>
                  <w:vAlign w:val="center"/>
                </w:tcPr>
                <w:p>
                  <w:pPr>
                    <w:pStyle w:val="32"/>
                    <w:spacing w:line="360" w:lineRule="exact"/>
                    <w:rPr>
                      <w:color w:val="000000" w:themeColor="text1"/>
                      <w:szCs w:val="21"/>
                    </w:rPr>
                  </w:pPr>
                  <w:r>
                    <w:rPr>
                      <w:color w:val="000000" w:themeColor="text1"/>
                      <w:szCs w:val="21"/>
                    </w:rPr>
                    <w:t>所有规模</w:t>
                  </w:r>
                </w:p>
              </w:tc>
              <w:tc>
                <w:tcPr>
                  <w:tcW w:w="562" w:type="dxa"/>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固废</w:t>
                  </w:r>
                </w:p>
              </w:tc>
              <w:tc>
                <w:tcPr>
                  <w:tcW w:w="702" w:type="dxa"/>
                  <w:tcBorders>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一般固体废物</w:t>
                  </w:r>
                </w:p>
              </w:tc>
              <w:tc>
                <w:tcPr>
                  <w:tcW w:w="1122" w:type="dxa"/>
                  <w:vAlign w:val="center"/>
                </w:tcPr>
                <w:p>
                  <w:pPr>
                    <w:pStyle w:val="32"/>
                    <w:spacing w:line="360" w:lineRule="exact"/>
                    <w:rPr>
                      <w:color w:val="000000" w:themeColor="text1"/>
                      <w:szCs w:val="21"/>
                    </w:rPr>
                  </w:pPr>
                  <w:r>
                    <w:rPr>
                      <w:rFonts w:hint="eastAsia"/>
                      <w:color w:val="000000" w:themeColor="text1"/>
                      <w:szCs w:val="21"/>
                    </w:rPr>
                    <w:t>吨</w:t>
                  </w:r>
                  <w:r>
                    <w:rPr>
                      <w:color w:val="000000" w:themeColor="text1"/>
                      <w:szCs w:val="21"/>
                    </w:rPr>
                    <w:t>/吨-产品</w:t>
                  </w:r>
                </w:p>
              </w:tc>
              <w:tc>
                <w:tcPr>
                  <w:tcW w:w="1128" w:type="dxa"/>
                  <w:vAlign w:val="center"/>
                </w:tcPr>
                <w:p>
                  <w:pPr>
                    <w:pStyle w:val="32"/>
                    <w:spacing w:line="360" w:lineRule="exact"/>
                    <w:rPr>
                      <w:color w:val="000000" w:themeColor="text1"/>
                      <w:szCs w:val="21"/>
                    </w:rPr>
                  </w:pPr>
                  <w:r>
                    <w:rPr>
                      <w:rFonts w:hint="eastAsia"/>
                      <w:color w:val="000000" w:themeColor="text1"/>
                      <w:szCs w:val="21"/>
                    </w:rPr>
                    <w:t>4.5×10</w:t>
                  </w:r>
                  <w:r>
                    <w:rPr>
                      <w:rFonts w:hint="eastAsia"/>
                      <w:color w:val="000000" w:themeColor="text1"/>
                      <w:szCs w:val="21"/>
                      <w:vertAlign w:val="superscript"/>
                    </w:rPr>
                    <w:t>-4</w:t>
                  </w:r>
                </w:p>
              </w:tc>
              <w:tc>
                <w:tcPr>
                  <w:tcW w:w="715" w:type="dxa"/>
                  <w:vAlign w:val="center"/>
                </w:tcPr>
                <w:p>
                  <w:pPr>
                    <w:pStyle w:val="32"/>
                    <w:spacing w:line="360" w:lineRule="exact"/>
                    <w:rPr>
                      <w:color w:val="000000" w:themeColor="text1"/>
                      <w:szCs w:val="21"/>
                    </w:rPr>
                  </w:pPr>
                  <w:r>
                    <w:rPr>
                      <w:color w:val="000000" w:themeColor="text1"/>
                      <w:szCs w:val="21"/>
                    </w:rPr>
                    <w:t>/</w:t>
                  </w:r>
                </w:p>
              </w:tc>
              <w:tc>
                <w:tcPr>
                  <w:tcW w:w="895" w:type="dxa"/>
                  <w:vAlign w:val="center"/>
                </w:tcPr>
                <w:p>
                  <w:pPr>
                    <w:pStyle w:val="32"/>
                    <w:spacing w:line="360" w:lineRule="exact"/>
                    <w:rPr>
                      <w:color w:val="000000" w:themeColor="text1"/>
                      <w:szCs w:val="21"/>
                    </w:rPr>
                  </w:pPr>
                  <w:r>
                    <w:rPr>
                      <w:color w:val="000000" w:themeColor="text1"/>
                      <w:szCs w:val="21"/>
                    </w:rPr>
                    <w:t>/</w:t>
                  </w:r>
                </w:p>
              </w:tc>
            </w:tr>
          </w:tbl>
          <w:p>
            <w:pPr>
              <w:pStyle w:val="40"/>
              <w:spacing w:beforeLines="50"/>
              <w:ind w:firstLine="480"/>
              <w:rPr>
                <w:rFonts w:eastAsiaTheme="minorEastAsia"/>
                <w:color w:val="000000" w:themeColor="text1"/>
                <w:szCs w:val="24"/>
              </w:rPr>
            </w:pPr>
            <w:r>
              <w:rPr>
                <w:rFonts w:hint="eastAsia" w:eastAsiaTheme="minorEastAsia"/>
                <w:color w:val="000000" w:themeColor="text1"/>
                <w:szCs w:val="24"/>
              </w:rPr>
              <w:t>根据项目主要产品及产能可知，项目</w:t>
            </w:r>
            <w:r>
              <w:rPr>
                <w:rFonts w:eastAsiaTheme="minorEastAsia"/>
                <w:color w:val="000000" w:themeColor="text1"/>
                <w:szCs w:val="24"/>
              </w:rPr>
              <w:t>水泥砖的总干重约19173.7t/a，</w:t>
            </w:r>
            <w:r>
              <w:rPr>
                <w:rFonts w:hint="eastAsia" w:eastAsiaTheme="minorEastAsia"/>
                <w:color w:val="000000" w:themeColor="text1"/>
                <w:szCs w:val="24"/>
              </w:rPr>
              <w:t>则</w:t>
            </w:r>
            <w:r>
              <w:rPr>
                <w:rFonts w:eastAsiaTheme="minorEastAsia"/>
                <w:color w:val="000000" w:themeColor="text1"/>
                <w:szCs w:val="24"/>
              </w:rPr>
              <w:t>废砖</w:t>
            </w:r>
            <w:r>
              <w:rPr>
                <w:rFonts w:hint="eastAsia" w:eastAsiaTheme="minorEastAsia"/>
                <w:color w:val="000000" w:themeColor="text1"/>
                <w:szCs w:val="24"/>
              </w:rPr>
              <w:t>产生量为8.63t/a，返回砂石骨料生产线处理，</w:t>
            </w:r>
            <w:r>
              <w:rPr>
                <w:rFonts w:eastAsiaTheme="minorEastAsia"/>
                <w:color w:val="000000" w:themeColor="text1"/>
                <w:szCs w:val="24"/>
              </w:rPr>
              <w:t>处置率为100%。</w:t>
            </w:r>
          </w:p>
          <w:p>
            <w:pPr>
              <w:pStyle w:val="40"/>
              <w:ind w:firstLine="482"/>
              <w:rPr>
                <w:b/>
                <w:color w:val="000000" w:themeColor="text1"/>
              </w:rPr>
            </w:pPr>
            <w:r>
              <w:rPr>
                <w:rFonts w:hint="eastAsia" w:ascii="宋体" w:hAnsi="宋体" w:cs="宋体"/>
                <w:b/>
                <w:color w:val="000000" w:themeColor="text1"/>
              </w:rPr>
              <w:t>②</w:t>
            </w:r>
            <w:r>
              <w:rPr>
                <w:b/>
                <w:color w:val="000000" w:themeColor="text1"/>
              </w:rPr>
              <w:t>袋式除尘器收集粉尘</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根据设计，</w:t>
            </w:r>
            <w:r>
              <w:rPr>
                <w:rFonts w:ascii="Times New Roman" w:hAnsi="Times New Roman" w:cs="Times New Roman"/>
                <w:color w:val="000000" w:themeColor="text1"/>
                <w:sz w:val="24"/>
                <w:szCs w:val="24"/>
              </w:rPr>
              <w:t>水泥仓顶端设置1#袋式除尘器对其处理</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搅拌混合工序</w:t>
            </w:r>
            <w:r>
              <w:rPr>
                <w:rFonts w:hint="eastAsia" w:ascii="Times New Roman" w:hAnsi="Times New Roman" w:cs="Times New Roman"/>
                <w:color w:val="000000" w:themeColor="text1"/>
                <w:sz w:val="24"/>
                <w:szCs w:val="24"/>
              </w:rPr>
              <w:t>设置</w:t>
            </w:r>
            <w:r>
              <w:rPr>
                <w:rFonts w:ascii="Times New Roman" w:hAnsi="Times New Roman" w:cs="Times New Roman"/>
                <w:color w:val="000000" w:themeColor="text1"/>
                <w:sz w:val="24"/>
                <w:szCs w:val="24"/>
              </w:rPr>
              <w:t>1台2#袋式除尘器进行处理，</w:t>
            </w:r>
            <w:r>
              <w:rPr>
                <w:rFonts w:hint="eastAsia" w:ascii="Times New Roman" w:hAnsi="Times New Roman" w:cs="Times New Roman"/>
                <w:color w:val="000000" w:themeColor="text1"/>
                <w:sz w:val="24"/>
                <w:szCs w:val="24"/>
              </w:rPr>
              <w:t>根据废气产排可知，</w:t>
            </w:r>
            <w:r>
              <w:rPr>
                <w:rFonts w:ascii="Times New Roman" w:hAnsi="Times New Roman" w:cs="Times New Roman"/>
                <w:color w:val="000000" w:themeColor="text1"/>
                <w:sz w:val="24"/>
                <w:szCs w:val="24"/>
              </w:rPr>
              <w:t>1#袋式除尘器</w:t>
            </w:r>
            <w:r>
              <w:rPr>
                <w:rFonts w:hint="eastAsia" w:ascii="Times New Roman" w:hAnsi="Times New Roman" w:cs="Times New Roman"/>
                <w:color w:val="000000" w:themeColor="text1"/>
                <w:sz w:val="24"/>
                <w:szCs w:val="24"/>
              </w:rPr>
              <w:t>收集粉尘量为0.4985t/a，其成分为水泥，直接返回水泥仓暂存后利用；2</w:t>
            </w:r>
            <w:r>
              <w:rPr>
                <w:rFonts w:ascii="Times New Roman" w:hAnsi="Times New Roman" w:cs="Times New Roman"/>
                <w:color w:val="000000" w:themeColor="text1"/>
                <w:sz w:val="24"/>
                <w:szCs w:val="24"/>
              </w:rPr>
              <w:t>#袋式除尘器</w:t>
            </w:r>
            <w:r>
              <w:rPr>
                <w:rFonts w:hint="eastAsia" w:ascii="Times New Roman" w:hAnsi="Times New Roman" w:cs="Times New Roman"/>
                <w:color w:val="000000" w:themeColor="text1"/>
                <w:sz w:val="24"/>
                <w:szCs w:val="24"/>
              </w:rPr>
              <w:t>收集粉尘量为9.0t/a，其主要成分为砂石骨料、水泥混合物，收集后作为水泥砖生产原料。处置率为100%。</w:t>
            </w:r>
          </w:p>
          <w:p>
            <w:pPr>
              <w:pStyle w:val="40"/>
              <w:ind w:firstLine="482"/>
              <w:rPr>
                <w:rFonts w:eastAsiaTheme="minorEastAsia"/>
                <w:b/>
                <w:color w:val="000000" w:themeColor="text1"/>
                <w:szCs w:val="24"/>
              </w:rPr>
            </w:pPr>
            <w:r>
              <w:rPr>
                <w:rFonts w:hint="eastAsia" w:eastAsiaTheme="minorEastAsia"/>
                <w:b/>
                <w:color w:val="000000" w:themeColor="text1"/>
                <w:szCs w:val="24"/>
              </w:rPr>
              <w:t>③二期工程</w:t>
            </w:r>
            <w:r>
              <w:rPr>
                <w:rFonts w:eastAsiaTheme="minorEastAsia"/>
                <w:b/>
                <w:color w:val="000000" w:themeColor="text1"/>
                <w:szCs w:val="24"/>
              </w:rPr>
              <w:t>生活垃圾</w:t>
            </w:r>
          </w:p>
          <w:p>
            <w:pPr>
              <w:pStyle w:val="40"/>
              <w:ind w:firstLine="480"/>
              <w:rPr>
                <w:rFonts w:eastAsiaTheme="minorEastAsia"/>
                <w:color w:val="000000" w:themeColor="text1"/>
                <w:szCs w:val="24"/>
              </w:rPr>
            </w:pPr>
            <w:r>
              <w:rPr>
                <w:rFonts w:eastAsiaTheme="minorEastAsia"/>
                <w:color w:val="000000" w:themeColor="text1"/>
                <w:szCs w:val="24"/>
              </w:rPr>
              <w:t>根据</w:t>
            </w:r>
            <w:r>
              <w:rPr>
                <w:rFonts w:hint="eastAsia" w:eastAsiaTheme="minorEastAsia"/>
                <w:color w:val="000000" w:themeColor="text1"/>
                <w:szCs w:val="24"/>
              </w:rPr>
              <w:t>劳动定员</w:t>
            </w:r>
            <w:r>
              <w:rPr>
                <w:rFonts w:eastAsiaTheme="minorEastAsia"/>
                <w:color w:val="000000" w:themeColor="text1"/>
                <w:szCs w:val="24"/>
              </w:rPr>
              <w:t>，该项目</w:t>
            </w:r>
            <w:r>
              <w:rPr>
                <w:rFonts w:hint="eastAsia" w:eastAsiaTheme="minorEastAsia"/>
                <w:color w:val="000000" w:themeColor="text1"/>
                <w:szCs w:val="24"/>
              </w:rPr>
              <w:t>二期工程</w:t>
            </w:r>
            <w:r>
              <w:rPr>
                <w:rFonts w:eastAsiaTheme="minorEastAsia"/>
                <w:color w:val="000000" w:themeColor="text1"/>
                <w:szCs w:val="24"/>
              </w:rPr>
              <w:t>拟定员工</w:t>
            </w:r>
            <w:r>
              <w:rPr>
                <w:rFonts w:hint="eastAsia" w:eastAsiaTheme="minorEastAsia"/>
                <w:color w:val="000000" w:themeColor="text1"/>
                <w:szCs w:val="24"/>
              </w:rPr>
              <w:t>1</w:t>
            </w:r>
            <w:r>
              <w:rPr>
                <w:rFonts w:eastAsiaTheme="minorEastAsia"/>
                <w:color w:val="000000" w:themeColor="text1"/>
                <w:szCs w:val="24"/>
              </w:rPr>
              <w:t>0人，生活产生量按1kg/（人·d）计，则</w:t>
            </w:r>
            <w:r>
              <w:rPr>
                <w:rFonts w:hint="eastAsia" w:eastAsiaTheme="minorEastAsia"/>
                <w:color w:val="000000" w:themeColor="text1"/>
                <w:szCs w:val="24"/>
              </w:rPr>
              <w:t>二期工程</w:t>
            </w:r>
            <w:r>
              <w:rPr>
                <w:rFonts w:eastAsiaTheme="minorEastAsia"/>
                <w:color w:val="000000" w:themeColor="text1"/>
                <w:szCs w:val="24"/>
              </w:rPr>
              <w:t>生活垃圾产生量为</w:t>
            </w:r>
            <w:r>
              <w:rPr>
                <w:rFonts w:hint="eastAsia" w:eastAsiaTheme="minorEastAsia"/>
                <w:color w:val="000000" w:themeColor="text1"/>
                <w:szCs w:val="24"/>
              </w:rPr>
              <w:t>1</w:t>
            </w:r>
            <w:r>
              <w:rPr>
                <w:rFonts w:eastAsiaTheme="minorEastAsia"/>
                <w:color w:val="000000" w:themeColor="text1"/>
                <w:szCs w:val="24"/>
              </w:rPr>
              <w:t>0kg/d（</w:t>
            </w:r>
            <w:r>
              <w:rPr>
                <w:rFonts w:hint="eastAsia" w:eastAsiaTheme="minorEastAsia"/>
                <w:color w:val="000000" w:themeColor="text1"/>
                <w:szCs w:val="24"/>
              </w:rPr>
              <w:t>3.3</w:t>
            </w:r>
            <w:r>
              <w:rPr>
                <w:rFonts w:eastAsiaTheme="minorEastAsia"/>
                <w:color w:val="000000" w:themeColor="text1"/>
                <w:szCs w:val="24"/>
              </w:rPr>
              <w:t>t/a）。生活垃圾集中收集后，委托环卫部门定期清运处置，处置率为100%。</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（2）固体废物环境影响和保护措施分析</w:t>
            </w:r>
          </w:p>
          <w:p>
            <w:pPr>
              <w:pStyle w:val="40"/>
              <w:ind w:firstLine="480"/>
              <w:rPr>
                <w:rFonts w:eastAsiaTheme="minorEastAsia"/>
                <w:color w:val="000000" w:themeColor="text1"/>
                <w:szCs w:val="24"/>
              </w:rPr>
            </w:pPr>
            <w:r>
              <w:rPr>
                <w:rFonts w:eastAsiaTheme="minorEastAsia"/>
                <w:color w:val="000000" w:themeColor="text1"/>
                <w:szCs w:val="24"/>
              </w:rPr>
              <w:t>根据固体废物污染源强分析可知，项目产生的固体废物环境影响和保护措施分析具体如下：</w:t>
            </w:r>
          </w:p>
          <w:p>
            <w:pPr>
              <w:pStyle w:val="34"/>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表4.2.4-3  固体废物环境影响和保护措施分析一览表</w:t>
            </w:r>
          </w:p>
          <w:tbl>
            <w:tblPr>
              <w:tblStyle w:val="2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27"/>
              <w:gridCol w:w="675"/>
              <w:gridCol w:w="1009"/>
              <w:gridCol w:w="854"/>
              <w:gridCol w:w="853"/>
              <w:gridCol w:w="1831"/>
              <w:gridCol w:w="1811"/>
              <w:gridCol w:w="9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7"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工程</w:t>
                  </w:r>
                </w:p>
              </w:tc>
              <w:tc>
                <w:tcPr>
                  <w:tcW w:w="6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产生环节</w:t>
                  </w:r>
                </w:p>
              </w:tc>
              <w:tc>
                <w:tcPr>
                  <w:tcW w:w="100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名称</w:t>
                  </w:r>
                </w:p>
              </w:tc>
              <w:tc>
                <w:tcPr>
                  <w:tcW w:w="85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属性</w:t>
                  </w:r>
                </w:p>
              </w:tc>
              <w:tc>
                <w:tcPr>
                  <w:tcW w:w="85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产生量</w:t>
                  </w:r>
                </w:p>
              </w:tc>
              <w:tc>
                <w:tcPr>
                  <w:tcW w:w="183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贮存方式</w:t>
                  </w:r>
                </w:p>
              </w:tc>
              <w:tc>
                <w:tcPr>
                  <w:tcW w:w="181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利用处置方式和去向</w:t>
                  </w:r>
                </w:p>
              </w:tc>
              <w:tc>
                <w:tcPr>
                  <w:tcW w:w="94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利用或处置量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7" w:type="dxa"/>
                  <w:vMerge w:val="restart"/>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一期工程</w:t>
                  </w:r>
                </w:p>
              </w:tc>
              <w:tc>
                <w:tcPr>
                  <w:tcW w:w="6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砂石骨料生产废水处理系统</w:t>
                  </w:r>
                </w:p>
              </w:tc>
              <w:tc>
                <w:tcPr>
                  <w:tcW w:w="100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含水污泥</w:t>
                  </w:r>
                </w:p>
              </w:tc>
              <w:tc>
                <w:tcPr>
                  <w:tcW w:w="85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一般工业固废</w:t>
                  </w:r>
                </w:p>
              </w:tc>
              <w:tc>
                <w:tcPr>
                  <w:tcW w:w="853"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31500t/a</w:t>
                  </w:r>
                </w:p>
              </w:tc>
              <w:tc>
                <w:tcPr>
                  <w:tcW w:w="1831" w:type="dxa"/>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4"/>
                    </w:rPr>
                    <w:t>不贮存，</w:t>
                  </w:r>
                  <w:r>
                    <w:rPr>
                      <w:rFonts w:hint="eastAsia" w:eastAsiaTheme="minorEastAsia"/>
                      <w:color w:val="000000" w:themeColor="text1"/>
                      <w:szCs w:val="24"/>
                    </w:rPr>
                    <w:t>管道输送依托处置</w:t>
                  </w:r>
                </w:p>
              </w:tc>
              <w:tc>
                <w:tcPr>
                  <w:tcW w:w="1811" w:type="dxa"/>
                  <w:vAlign w:val="center"/>
                </w:tcPr>
                <w:p>
                  <w:pPr>
                    <w:pStyle w:val="32"/>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4"/>
                    </w:rPr>
                    <w:t>依托</w:t>
                  </w:r>
                  <w:r>
                    <w:rPr>
                      <w:rFonts w:eastAsiaTheme="minorEastAsia"/>
                      <w:color w:val="000000" w:themeColor="text1"/>
                      <w:szCs w:val="24"/>
                    </w:rPr>
                    <w:t>昆明市东川金水矿业有限责任公司牛厂坪尾矿充填环境综合治理项目进行井下充填处理</w:t>
                  </w:r>
                  <w:r>
                    <w:rPr>
                      <w:rFonts w:hint="eastAsia" w:eastAsiaTheme="minorEastAsia"/>
                      <w:color w:val="000000" w:themeColor="text1"/>
                      <w:szCs w:val="24"/>
                    </w:rPr>
                    <w:t>。</w:t>
                  </w:r>
                </w:p>
              </w:tc>
              <w:tc>
                <w:tcPr>
                  <w:tcW w:w="945"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31500t/a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7" w:type="dxa"/>
                  <w:vMerge w:val="continue"/>
                  <w:vAlign w:val="center"/>
                </w:tcPr>
                <w:p>
                  <w:pPr>
                    <w:pStyle w:val="32"/>
                    <w:spacing w:line="360" w:lineRule="exact"/>
                    <w:rPr>
                      <w:rFonts w:eastAsiaTheme="minorEastAsia"/>
                      <w:color w:val="000000" w:themeColor="text1"/>
                      <w:szCs w:val="21"/>
                    </w:rPr>
                  </w:pPr>
                </w:p>
              </w:tc>
              <w:tc>
                <w:tcPr>
                  <w:tcW w:w="675"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设备维护</w:t>
                  </w:r>
                </w:p>
              </w:tc>
              <w:tc>
                <w:tcPr>
                  <w:tcW w:w="100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废机油</w:t>
                  </w:r>
                </w:p>
              </w:tc>
              <w:tc>
                <w:tcPr>
                  <w:tcW w:w="854"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危险废物</w:t>
                  </w:r>
                </w:p>
              </w:tc>
              <w:tc>
                <w:tcPr>
                  <w:tcW w:w="85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80kg/a</w:t>
                  </w:r>
                </w:p>
              </w:tc>
              <w:tc>
                <w:tcPr>
                  <w:tcW w:w="1831" w:type="dxa"/>
                  <w:vMerge w:val="restart"/>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厂区拟建设了1个10m²的危险废物贮存间对项目区产生的危险废物进行分类暂存。</w:t>
                  </w:r>
                </w:p>
              </w:tc>
              <w:tc>
                <w:tcPr>
                  <w:tcW w:w="1811" w:type="dxa"/>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废机油部分用于生产设备润滑使用，无法使用部分委托有资质的单位处置。</w:t>
                  </w:r>
                </w:p>
              </w:tc>
              <w:tc>
                <w:tcPr>
                  <w:tcW w:w="94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80kg/a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7" w:type="dxa"/>
                  <w:vMerge w:val="continue"/>
                  <w:vAlign w:val="center"/>
                </w:tcPr>
                <w:p>
                  <w:pPr>
                    <w:pStyle w:val="32"/>
                    <w:spacing w:line="360" w:lineRule="exact"/>
                    <w:rPr>
                      <w:rFonts w:eastAsiaTheme="minorEastAsia"/>
                      <w:color w:val="000000" w:themeColor="text1"/>
                      <w:szCs w:val="21"/>
                    </w:rPr>
                  </w:pPr>
                </w:p>
              </w:tc>
              <w:tc>
                <w:tcPr>
                  <w:tcW w:w="675" w:type="dxa"/>
                  <w:vMerge w:val="continue"/>
                  <w:vAlign w:val="center"/>
                </w:tcPr>
                <w:p>
                  <w:pPr>
                    <w:pStyle w:val="32"/>
                    <w:spacing w:line="360" w:lineRule="exact"/>
                    <w:rPr>
                      <w:rFonts w:eastAsiaTheme="minorEastAsia"/>
                      <w:color w:val="000000" w:themeColor="text1"/>
                      <w:szCs w:val="21"/>
                    </w:rPr>
                  </w:pPr>
                </w:p>
              </w:tc>
              <w:tc>
                <w:tcPr>
                  <w:tcW w:w="100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废弃沾油抹布</w:t>
                  </w:r>
                </w:p>
              </w:tc>
              <w:tc>
                <w:tcPr>
                  <w:tcW w:w="854" w:type="dxa"/>
                  <w:vMerge w:val="continue"/>
                  <w:vAlign w:val="center"/>
                </w:tcPr>
                <w:p>
                  <w:pPr>
                    <w:pStyle w:val="32"/>
                    <w:spacing w:line="360" w:lineRule="exact"/>
                    <w:rPr>
                      <w:rFonts w:eastAsiaTheme="minorEastAsia"/>
                      <w:color w:val="000000" w:themeColor="text1"/>
                      <w:szCs w:val="21"/>
                    </w:rPr>
                  </w:pPr>
                </w:p>
              </w:tc>
              <w:tc>
                <w:tcPr>
                  <w:tcW w:w="85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10kg/a</w:t>
                  </w:r>
                </w:p>
              </w:tc>
              <w:tc>
                <w:tcPr>
                  <w:tcW w:w="1831" w:type="dxa"/>
                  <w:vMerge w:val="continue"/>
                  <w:vAlign w:val="center"/>
                </w:tcPr>
                <w:p>
                  <w:pPr>
                    <w:pStyle w:val="32"/>
                    <w:spacing w:line="360" w:lineRule="exact"/>
                    <w:ind w:firstLine="210" w:firstLineChars="100"/>
                    <w:jc w:val="both"/>
                    <w:rPr>
                      <w:rFonts w:eastAsiaTheme="minorEastAsia"/>
                      <w:color w:val="000000" w:themeColor="text1"/>
                      <w:szCs w:val="24"/>
                    </w:rPr>
                  </w:pPr>
                </w:p>
              </w:tc>
              <w:tc>
                <w:tcPr>
                  <w:tcW w:w="1811" w:type="dxa"/>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委托有资质的单位处置。</w:t>
                  </w:r>
                </w:p>
              </w:tc>
              <w:tc>
                <w:tcPr>
                  <w:tcW w:w="94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10kg/a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7" w:type="dxa"/>
                  <w:vMerge w:val="restart"/>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二期工程</w:t>
                  </w:r>
                </w:p>
              </w:tc>
              <w:tc>
                <w:tcPr>
                  <w:tcW w:w="675"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成型养护</w:t>
                  </w:r>
                </w:p>
              </w:tc>
              <w:tc>
                <w:tcPr>
                  <w:tcW w:w="100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废砖</w:t>
                  </w:r>
                </w:p>
              </w:tc>
              <w:tc>
                <w:tcPr>
                  <w:tcW w:w="85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一般工业固废</w:t>
                  </w:r>
                </w:p>
              </w:tc>
              <w:tc>
                <w:tcPr>
                  <w:tcW w:w="853"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8.63t/a</w:t>
                  </w:r>
                </w:p>
              </w:tc>
              <w:tc>
                <w:tcPr>
                  <w:tcW w:w="1831" w:type="dxa"/>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不贮存，直接利用</w:t>
                  </w:r>
                </w:p>
              </w:tc>
              <w:tc>
                <w:tcPr>
                  <w:tcW w:w="1811" w:type="dxa"/>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直接</w:t>
                  </w:r>
                  <w:r>
                    <w:rPr>
                      <w:rFonts w:hint="eastAsia" w:eastAsiaTheme="minorEastAsia"/>
                      <w:color w:val="000000" w:themeColor="text1"/>
                      <w:szCs w:val="24"/>
                    </w:rPr>
                    <w:t>返回砂石骨料生产线处理</w:t>
                  </w:r>
                </w:p>
              </w:tc>
              <w:tc>
                <w:tcPr>
                  <w:tcW w:w="945"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4"/>
                    </w:rPr>
                    <w:t>8.63t/a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7" w:type="dxa"/>
                  <w:vMerge w:val="continue"/>
                  <w:vAlign w:val="center"/>
                </w:tcPr>
                <w:p>
                  <w:pPr>
                    <w:pStyle w:val="32"/>
                    <w:spacing w:line="360" w:lineRule="exact"/>
                    <w:rPr>
                      <w:rFonts w:eastAsiaTheme="minorEastAsia"/>
                      <w:color w:val="000000" w:themeColor="text1"/>
                      <w:szCs w:val="21"/>
                    </w:rPr>
                  </w:pPr>
                </w:p>
              </w:tc>
              <w:tc>
                <w:tcPr>
                  <w:tcW w:w="6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袋式除尘器</w:t>
                  </w:r>
                </w:p>
              </w:tc>
              <w:tc>
                <w:tcPr>
                  <w:tcW w:w="100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袋式除尘器收集粉尘</w:t>
                  </w:r>
                </w:p>
              </w:tc>
              <w:tc>
                <w:tcPr>
                  <w:tcW w:w="85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一般工业固废</w:t>
                  </w:r>
                </w:p>
              </w:tc>
              <w:tc>
                <w:tcPr>
                  <w:tcW w:w="853"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9.4985</w:t>
                  </w:r>
                  <w:r>
                    <w:rPr>
                      <w:rFonts w:eastAsiaTheme="minorEastAsia"/>
                      <w:color w:val="000000" w:themeColor="text1"/>
                      <w:szCs w:val="21"/>
                    </w:rPr>
                    <w:t>t/a</w:t>
                  </w:r>
                </w:p>
              </w:tc>
              <w:tc>
                <w:tcPr>
                  <w:tcW w:w="1831" w:type="dxa"/>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不贮存，直接利用</w:t>
                  </w:r>
                </w:p>
              </w:tc>
              <w:tc>
                <w:tcPr>
                  <w:tcW w:w="1811" w:type="dxa"/>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1#袋式除尘器</w:t>
                  </w:r>
                  <w:r>
                    <w:rPr>
                      <w:rFonts w:hint="eastAsia" w:eastAsiaTheme="minorEastAsia"/>
                      <w:color w:val="000000" w:themeColor="text1"/>
                      <w:szCs w:val="24"/>
                    </w:rPr>
                    <w:t>收集粉尘直接返回水泥仓暂存后利用；2</w:t>
                  </w:r>
                  <w:r>
                    <w:rPr>
                      <w:rFonts w:eastAsiaTheme="minorEastAsia"/>
                      <w:color w:val="000000" w:themeColor="text1"/>
                      <w:szCs w:val="24"/>
                    </w:rPr>
                    <w:t>#袋式除尘器</w:t>
                  </w:r>
                  <w:r>
                    <w:rPr>
                      <w:rFonts w:hint="eastAsia" w:eastAsiaTheme="minorEastAsia"/>
                      <w:color w:val="000000" w:themeColor="text1"/>
                      <w:szCs w:val="24"/>
                    </w:rPr>
                    <w:t>收集粉尘收集后作为水泥砖生产原料。</w:t>
                  </w:r>
                </w:p>
              </w:tc>
              <w:tc>
                <w:tcPr>
                  <w:tcW w:w="945"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9.4985</w:t>
                  </w:r>
                  <w:r>
                    <w:rPr>
                      <w:rFonts w:eastAsiaTheme="minorEastAsia"/>
                      <w:color w:val="000000" w:themeColor="text1"/>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7" w:type="dxa"/>
                  <w:vMerge w:val="restart"/>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w:t>
                  </w:r>
                </w:p>
              </w:tc>
              <w:tc>
                <w:tcPr>
                  <w:tcW w:w="675"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员工生活</w:t>
                  </w:r>
                  <w:r>
                    <w:rPr>
                      <w:rFonts w:hint="eastAsia" w:eastAsiaTheme="minorEastAsia"/>
                      <w:color w:val="000000" w:themeColor="text1"/>
                      <w:szCs w:val="21"/>
                    </w:rPr>
                    <w:t>（纳入一期管理）</w:t>
                  </w:r>
                </w:p>
              </w:tc>
              <w:tc>
                <w:tcPr>
                  <w:tcW w:w="100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生活垃圾</w:t>
                  </w:r>
                </w:p>
              </w:tc>
              <w:tc>
                <w:tcPr>
                  <w:tcW w:w="854"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生活固废</w:t>
                  </w:r>
                </w:p>
              </w:tc>
              <w:tc>
                <w:tcPr>
                  <w:tcW w:w="85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6.6t/a</w:t>
                  </w:r>
                </w:p>
              </w:tc>
              <w:tc>
                <w:tcPr>
                  <w:tcW w:w="1831" w:type="dxa"/>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使用垃圾桶集中收集，日产日清。</w:t>
                  </w:r>
                </w:p>
              </w:tc>
              <w:tc>
                <w:tcPr>
                  <w:tcW w:w="1811" w:type="dxa"/>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委托环卫部门定期清运处置。</w:t>
                  </w:r>
                </w:p>
              </w:tc>
              <w:tc>
                <w:tcPr>
                  <w:tcW w:w="94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6.6t/a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7" w:type="dxa"/>
                  <w:vMerge w:val="continue"/>
                  <w:vAlign w:val="center"/>
                </w:tcPr>
                <w:p>
                  <w:pPr>
                    <w:pStyle w:val="32"/>
                    <w:spacing w:line="360" w:lineRule="exact"/>
                    <w:rPr>
                      <w:rFonts w:eastAsiaTheme="minorEastAsia"/>
                      <w:color w:val="000000" w:themeColor="text1"/>
                      <w:szCs w:val="21"/>
                    </w:rPr>
                  </w:pPr>
                </w:p>
              </w:tc>
              <w:tc>
                <w:tcPr>
                  <w:tcW w:w="675" w:type="dxa"/>
                  <w:vMerge w:val="continue"/>
                  <w:vAlign w:val="center"/>
                </w:tcPr>
                <w:p>
                  <w:pPr>
                    <w:pStyle w:val="32"/>
                    <w:spacing w:line="360" w:lineRule="exact"/>
                    <w:rPr>
                      <w:rFonts w:eastAsiaTheme="minorEastAsia"/>
                      <w:color w:val="000000" w:themeColor="text1"/>
                      <w:szCs w:val="21"/>
                    </w:rPr>
                  </w:pPr>
                </w:p>
              </w:tc>
              <w:tc>
                <w:tcPr>
                  <w:tcW w:w="1009"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污水处理设施污泥</w:t>
                  </w:r>
                </w:p>
              </w:tc>
              <w:tc>
                <w:tcPr>
                  <w:tcW w:w="854" w:type="dxa"/>
                  <w:vMerge w:val="continue"/>
                  <w:vAlign w:val="center"/>
                </w:tcPr>
                <w:p>
                  <w:pPr>
                    <w:pStyle w:val="32"/>
                    <w:spacing w:line="360" w:lineRule="exact"/>
                    <w:rPr>
                      <w:rFonts w:eastAsiaTheme="minorEastAsia"/>
                      <w:color w:val="000000" w:themeColor="text1"/>
                      <w:szCs w:val="21"/>
                    </w:rPr>
                  </w:pPr>
                </w:p>
              </w:tc>
              <w:tc>
                <w:tcPr>
                  <w:tcW w:w="853"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0.21t/a</w:t>
                  </w:r>
                </w:p>
              </w:tc>
              <w:tc>
                <w:tcPr>
                  <w:tcW w:w="1831" w:type="dxa"/>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即清即运，不贮存</w:t>
                  </w:r>
                </w:p>
              </w:tc>
              <w:tc>
                <w:tcPr>
                  <w:tcW w:w="1811" w:type="dxa"/>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委托环卫部门清运处理</w:t>
                  </w:r>
                </w:p>
              </w:tc>
              <w:tc>
                <w:tcPr>
                  <w:tcW w:w="94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0.21t/a</w:t>
                  </w:r>
                </w:p>
              </w:tc>
            </w:tr>
          </w:tbl>
          <w:p>
            <w:pPr>
              <w:pStyle w:val="40"/>
              <w:spacing w:beforeLines="50"/>
              <w:ind w:firstLine="480"/>
              <w:rPr>
                <w:rFonts w:eastAsiaTheme="minorEastAsia"/>
                <w:color w:val="000000" w:themeColor="text1"/>
                <w:szCs w:val="21"/>
              </w:rPr>
            </w:pPr>
            <w:r>
              <w:rPr>
                <w:rFonts w:eastAsiaTheme="minorEastAsia"/>
                <w:color w:val="000000" w:themeColor="text1"/>
                <w:szCs w:val="21"/>
              </w:rPr>
              <w:t>由上表可知，项目针对固废废物采取的保护措施具体实施如下：</w:t>
            </w:r>
          </w:p>
          <w:p>
            <w:pPr>
              <w:pStyle w:val="40"/>
              <w:ind w:firstLine="480"/>
              <w:rPr>
                <w:color w:val="000000" w:themeColor="text1"/>
                <w:szCs w:val="24"/>
              </w:rPr>
            </w:pPr>
            <w:r>
              <w:rPr>
                <w:rFonts w:hint="eastAsia"/>
                <w:color w:val="000000" w:themeColor="text1"/>
                <w:szCs w:val="24"/>
              </w:rPr>
              <w:t>①</w:t>
            </w:r>
            <w:r>
              <w:rPr>
                <w:color w:val="000000" w:themeColor="text1"/>
                <w:szCs w:val="24"/>
              </w:rPr>
              <w:t>项目产生的含水污泥</w:t>
            </w:r>
            <w:r>
              <w:rPr>
                <w:rFonts w:hint="eastAsia"/>
                <w:color w:val="000000" w:themeColor="text1"/>
                <w:szCs w:val="24"/>
              </w:rPr>
              <w:t>、</w:t>
            </w:r>
            <w:r>
              <w:rPr>
                <w:color w:val="000000" w:themeColor="text1"/>
                <w:szCs w:val="24"/>
              </w:rPr>
              <w:t>废砖、袋式除尘器收集粉尘</w:t>
            </w:r>
            <w:r>
              <w:rPr>
                <w:rFonts w:hint="eastAsia"/>
                <w:color w:val="000000" w:themeColor="text1"/>
                <w:szCs w:val="24"/>
              </w:rPr>
              <w:t>为一般工业固废，其中</w:t>
            </w:r>
            <w:r>
              <w:rPr>
                <w:color w:val="000000" w:themeColor="text1"/>
                <w:szCs w:val="24"/>
              </w:rPr>
              <w:t>含水污泥</w:t>
            </w:r>
            <w:r>
              <w:rPr>
                <w:rFonts w:hint="eastAsia"/>
                <w:color w:val="000000" w:themeColor="text1"/>
                <w:szCs w:val="24"/>
              </w:rPr>
              <w:t>依托</w:t>
            </w:r>
            <w:r>
              <w:rPr>
                <w:color w:val="000000" w:themeColor="text1"/>
                <w:szCs w:val="24"/>
              </w:rPr>
              <w:t>昆明市东川金水矿业有限责任公司牛厂坪尾矿充填环境综合治理项目进行井下充填处理</w:t>
            </w:r>
            <w:r>
              <w:rPr>
                <w:rFonts w:hint="eastAsia"/>
                <w:color w:val="000000" w:themeColor="text1"/>
                <w:szCs w:val="24"/>
              </w:rPr>
              <w:t>；</w:t>
            </w:r>
            <w:r>
              <w:rPr>
                <w:color w:val="000000" w:themeColor="text1"/>
                <w:szCs w:val="24"/>
              </w:rPr>
              <w:t>废砖直接</w:t>
            </w:r>
            <w:r>
              <w:rPr>
                <w:rFonts w:hint="eastAsia"/>
                <w:color w:val="000000" w:themeColor="text1"/>
                <w:szCs w:val="24"/>
              </w:rPr>
              <w:t>返回砂石骨料生产线处理；而</w:t>
            </w:r>
            <w:r>
              <w:rPr>
                <w:color w:val="000000" w:themeColor="text1"/>
                <w:szCs w:val="24"/>
              </w:rPr>
              <w:t>1#袋式除尘器</w:t>
            </w:r>
            <w:r>
              <w:rPr>
                <w:rFonts w:hint="eastAsia"/>
                <w:color w:val="000000" w:themeColor="text1"/>
                <w:szCs w:val="24"/>
              </w:rPr>
              <w:t>收集粉尘直接返回水泥仓暂存后利用，2</w:t>
            </w:r>
            <w:r>
              <w:rPr>
                <w:color w:val="000000" w:themeColor="text1"/>
                <w:szCs w:val="24"/>
              </w:rPr>
              <w:t>#袋式除尘器</w:t>
            </w:r>
            <w:r>
              <w:rPr>
                <w:rFonts w:hint="eastAsia"/>
                <w:color w:val="000000" w:themeColor="text1"/>
                <w:szCs w:val="24"/>
              </w:rPr>
              <w:t>收集粉尘收集后作为水泥砖生产原料；均可得到合理处置。</w:t>
            </w:r>
          </w:p>
          <w:p>
            <w:pPr>
              <w:pStyle w:val="40"/>
              <w:ind w:firstLine="480"/>
              <w:rPr>
                <w:color w:val="000000" w:themeColor="text1"/>
                <w:szCs w:val="24"/>
              </w:rPr>
            </w:pPr>
            <w:r>
              <w:rPr>
                <w:color w:val="000000" w:themeColor="text1"/>
                <w:szCs w:val="24"/>
              </w:rPr>
              <w:t>②针对项目产生的废机油和废弃沾油抹布，厂区拟建设了1个10m²的危险废物贮存间对项目区产生的危险废物进行分类暂存。废机油部分用于生产设备润滑使用，无法使用部分委托有资质的单位处置，要求项目危险废物贮存间严格进行地面和裙墙防腐防渗，内部设置导流渠和收集池，规范设置标识标牌等。</w:t>
            </w:r>
          </w:p>
          <w:p>
            <w:pPr>
              <w:pStyle w:val="40"/>
              <w:ind w:firstLine="480"/>
              <w:rPr>
                <w:color w:val="000000" w:themeColor="text1"/>
                <w:szCs w:val="24"/>
              </w:rPr>
            </w:pPr>
            <w:r>
              <w:rPr>
                <w:color w:val="000000" w:themeColor="text1"/>
                <w:szCs w:val="24"/>
              </w:rPr>
              <w:t>③针对员工生活产生的生活固废，其中生活垃圾、污水处理设施污泥委托环卫部门定期清运处置。</w:t>
            </w:r>
          </w:p>
          <w:p>
            <w:pPr>
              <w:pStyle w:val="40"/>
              <w:ind w:firstLine="480"/>
              <w:rPr>
                <w:color w:val="000000" w:themeColor="text1"/>
                <w:szCs w:val="24"/>
              </w:rPr>
            </w:pPr>
            <w:r>
              <w:rPr>
                <w:color w:val="000000" w:themeColor="text1"/>
                <w:szCs w:val="24"/>
              </w:rPr>
              <w:t>综上，项目产生的固体废物均可得到合理处置，处置率为100%；对环境影响较小。</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（2）环境管理要求</w:t>
            </w:r>
          </w:p>
          <w:p>
            <w:pPr>
              <w:pStyle w:val="40"/>
              <w:ind w:firstLine="482"/>
              <w:rPr>
                <w:rFonts w:eastAsiaTheme="minorEastAsia"/>
                <w:b/>
                <w:color w:val="000000" w:themeColor="text1"/>
                <w:szCs w:val="24"/>
              </w:rPr>
            </w:pPr>
            <w:r>
              <w:rPr>
                <w:b/>
                <w:color w:val="000000" w:themeColor="text1"/>
                <w:szCs w:val="24"/>
              </w:rPr>
              <w:t>①</w:t>
            </w:r>
            <w:r>
              <w:rPr>
                <w:rFonts w:eastAsiaTheme="minorEastAsia"/>
                <w:b/>
                <w:color w:val="000000" w:themeColor="text1"/>
                <w:szCs w:val="24"/>
              </w:rPr>
              <w:t>危险废物管理要求</w:t>
            </w:r>
          </w:p>
          <w:p>
            <w:pPr>
              <w:pStyle w:val="40"/>
              <w:ind w:firstLine="480"/>
              <w:rPr>
                <w:color w:val="000000" w:themeColor="text1"/>
                <w:szCs w:val="24"/>
              </w:rPr>
            </w:pPr>
            <w:r>
              <w:rPr>
                <w:color w:val="000000" w:themeColor="text1"/>
                <w:szCs w:val="24"/>
              </w:rPr>
              <w:t>针对项目产生的危险废物，项目在日常管理过程中，必须严格按照《危险废物贮存污染控制标准》（GB18597-2001）及修改单的要求，在对危险废物的收集、贮存、利用和委托有资质的单位处理过程中，做到下表提出的要求。</w:t>
            </w:r>
          </w:p>
          <w:p>
            <w:pPr>
              <w:pStyle w:val="34"/>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表4.2.4-4 项目危险废物管理要求一览表</w:t>
            </w:r>
          </w:p>
          <w:tbl>
            <w:tblPr>
              <w:tblStyle w:val="21"/>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17"/>
              <w:gridCol w:w="816"/>
              <w:gridCol w:w="727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pPr>
                    <w:pStyle w:val="32"/>
                    <w:spacing w:before="78"/>
                    <w:ind w:left="11"/>
                    <w:rPr>
                      <w:rFonts w:eastAsiaTheme="minorEastAsia"/>
                      <w:color w:val="000000" w:themeColor="text1"/>
                    </w:rPr>
                  </w:pPr>
                  <w:r>
                    <w:rPr>
                      <w:rFonts w:eastAsiaTheme="minorEastAsia"/>
                      <w:color w:val="000000" w:themeColor="text1"/>
                    </w:rPr>
                    <w:t>序号</w:t>
                  </w:r>
                </w:p>
              </w:tc>
              <w:tc>
                <w:tcPr>
                  <w:tcW w:w="850" w:type="dxa"/>
                  <w:vAlign w:val="center"/>
                </w:tcPr>
                <w:p>
                  <w:pPr>
                    <w:pStyle w:val="32"/>
                    <w:spacing w:before="78"/>
                    <w:ind w:left="11"/>
                    <w:rPr>
                      <w:rFonts w:eastAsiaTheme="minorEastAsia"/>
                      <w:color w:val="000000" w:themeColor="text1"/>
                    </w:rPr>
                  </w:pPr>
                  <w:r>
                    <w:rPr>
                      <w:rFonts w:eastAsiaTheme="minorEastAsia"/>
                      <w:color w:val="000000" w:themeColor="text1"/>
                    </w:rPr>
                    <w:t>环节</w:t>
                  </w:r>
                </w:p>
              </w:tc>
              <w:tc>
                <w:tcPr>
                  <w:tcW w:w="7688" w:type="dxa"/>
                  <w:vAlign w:val="center"/>
                </w:tcPr>
                <w:p>
                  <w:pPr>
                    <w:pStyle w:val="32"/>
                    <w:spacing w:before="78"/>
                    <w:ind w:left="11"/>
                    <w:rPr>
                      <w:rFonts w:eastAsiaTheme="minorEastAsia"/>
                      <w:color w:val="000000" w:themeColor="text1"/>
                    </w:rPr>
                  </w:pPr>
                  <w:r>
                    <w:rPr>
                      <w:rFonts w:eastAsiaTheme="minorEastAsia"/>
                      <w:color w:val="000000" w:themeColor="text1"/>
                    </w:rPr>
                    <w:t>管理要求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pPr>
                    <w:pStyle w:val="32"/>
                    <w:spacing w:before="78"/>
                    <w:ind w:left="11"/>
                    <w:rPr>
                      <w:rFonts w:eastAsiaTheme="minorEastAsia"/>
                      <w:color w:val="000000" w:themeColor="text1"/>
                    </w:rPr>
                  </w:pPr>
                  <w:r>
                    <w:rPr>
                      <w:rFonts w:eastAsiaTheme="minorEastAsia"/>
                      <w:color w:val="000000" w:themeColor="text1"/>
                    </w:rPr>
                    <w:t>1</w:t>
                  </w:r>
                </w:p>
              </w:tc>
              <w:tc>
                <w:tcPr>
                  <w:tcW w:w="850" w:type="dxa"/>
                  <w:vAlign w:val="center"/>
                </w:tcPr>
                <w:p>
                  <w:pPr>
                    <w:pStyle w:val="32"/>
                    <w:spacing w:before="78"/>
                    <w:ind w:left="11"/>
                    <w:rPr>
                      <w:rFonts w:eastAsiaTheme="minorEastAsia"/>
                      <w:color w:val="000000" w:themeColor="text1"/>
                    </w:rPr>
                  </w:pPr>
                  <w:r>
                    <w:rPr>
                      <w:rFonts w:eastAsiaTheme="minorEastAsia"/>
                      <w:color w:val="000000" w:themeColor="text1"/>
                    </w:rPr>
                    <w:t>收集过程</w:t>
                  </w:r>
                </w:p>
              </w:tc>
              <w:tc>
                <w:tcPr>
                  <w:tcW w:w="7688" w:type="dxa"/>
                  <w:vAlign w:val="center"/>
                </w:tcPr>
                <w:p>
                  <w:pPr>
                    <w:pStyle w:val="32"/>
                    <w:spacing w:before="78"/>
                    <w:ind w:left="11" w:firstLine="210" w:firstLineChars="100"/>
                    <w:jc w:val="left"/>
                    <w:rPr>
                      <w:rFonts w:eastAsiaTheme="minorEastAsia"/>
                      <w:color w:val="000000" w:themeColor="text1"/>
                    </w:rPr>
                  </w:pPr>
                  <w:r>
                    <w:rPr>
                      <w:rFonts w:eastAsiaTheme="minorEastAsia"/>
                      <w:color w:val="000000" w:themeColor="text1"/>
                    </w:rPr>
                    <w:t>项目所产生的危险废物必须单独收集，严禁和一般固体废物混装。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pPr>
                    <w:pStyle w:val="32"/>
                    <w:spacing w:before="78"/>
                    <w:ind w:left="11"/>
                    <w:rPr>
                      <w:rFonts w:eastAsiaTheme="minorEastAsia"/>
                      <w:color w:val="000000" w:themeColor="text1"/>
                    </w:rPr>
                  </w:pPr>
                  <w:r>
                    <w:rPr>
                      <w:rFonts w:eastAsiaTheme="minorEastAsia"/>
                      <w:color w:val="000000" w:themeColor="text1"/>
                    </w:rPr>
                    <w:t>2</w:t>
                  </w:r>
                </w:p>
              </w:tc>
              <w:tc>
                <w:tcPr>
                  <w:tcW w:w="850" w:type="dxa"/>
                  <w:vAlign w:val="center"/>
                </w:tcPr>
                <w:p>
                  <w:pPr>
                    <w:pStyle w:val="32"/>
                    <w:spacing w:before="78"/>
                    <w:ind w:left="11"/>
                    <w:rPr>
                      <w:rFonts w:eastAsiaTheme="minorEastAsia"/>
                      <w:color w:val="000000" w:themeColor="text1"/>
                    </w:rPr>
                  </w:pPr>
                  <w:r>
                    <w:rPr>
                      <w:rFonts w:eastAsiaTheme="minorEastAsia"/>
                      <w:color w:val="000000" w:themeColor="text1"/>
                    </w:rPr>
                    <w:t>贮存过程</w:t>
                  </w:r>
                </w:p>
              </w:tc>
              <w:tc>
                <w:tcPr>
                  <w:tcW w:w="7688" w:type="dxa"/>
                  <w:vAlign w:val="center"/>
                </w:tcPr>
                <w:p>
                  <w:pPr>
                    <w:pStyle w:val="32"/>
                    <w:spacing w:before="78"/>
                    <w:ind w:left="11" w:firstLine="210" w:firstLineChars="100"/>
                    <w:jc w:val="left"/>
                    <w:rPr>
                      <w:rFonts w:eastAsiaTheme="minorEastAsia"/>
                      <w:color w:val="000000" w:themeColor="text1"/>
                    </w:rPr>
                  </w:pPr>
                  <w:r>
                    <w:rPr>
                      <w:color w:val="000000" w:themeColor="text1"/>
                    </w:rPr>
                    <w:t>①</w:t>
                  </w:r>
                  <w:r>
                    <w:rPr>
                      <w:rFonts w:eastAsiaTheme="minorEastAsia"/>
                      <w:color w:val="000000" w:themeColor="text1"/>
                    </w:rPr>
                    <w:t>要做好危险废物贮存间的防渗、防泄漏工作。</w:t>
                  </w:r>
                </w:p>
                <w:p>
                  <w:pPr>
                    <w:pStyle w:val="32"/>
                    <w:spacing w:before="78"/>
                    <w:ind w:left="11" w:firstLine="210" w:firstLineChars="100"/>
                    <w:jc w:val="left"/>
                    <w:rPr>
                      <w:rFonts w:eastAsiaTheme="minorEastAsia"/>
                      <w:color w:val="000000" w:themeColor="text1"/>
                    </w:rPr>
                  </w:pPr>
                  <w:r>
                    <w:rPr>
                      <w:color w:val="000000" w:themeColor="text1"/>
                    </w:rPr>
                    <w:t>②</w:t>
                  </w:r>
                  <w:r>
                    <w:rPr>
                      <w:rFonts w:eastAsiaTheme="minorEastAsia"/>
                      <w:color w:val="000000" w:themeColor="text1"/>
                    </w:rPr>
                    <w:t>危险废物堆场必须封顶，并做好防雨工作，场内须做好防渗措施。</w:t>
                  </w:r>
                </w:p>
                <w:p>
                  <w:pPr>
                    <w:pStyle w:val="32"/>
                    <w:spacing w:before="78"/>
                    <w:ind w:left="11" w:firstLine="210" w:firstLineChars="100"/>
                    <w:jc w:val="left"/>
                    <w:rPr>
                      <w:rFonts w:eastAsiaTheme="minorEastAsia"/>
                      <w:color w:val="000000" w:themeColor="text1"/>
                    </w:rPr>
                  </w:pPr>
                  <w:r>
                    <w:rPr>
                      <w:color w:val="000000" w:themeColor="text1"/>
                    </w:rPr>
                    <w:t>③</w:t>
                  </w:r>
                  <w:r>
                    <w:rPr>
                      <w:rFonts w:eastAsiaTheme="minorEastAsia"/>
                      <w:color w:val="000000" w:themeColor="text1"/>
                    </w:rPr>
                    <w:t>危险废物需用符合标准的容器盛装，容器上需粘贴符合《危险废物贮存污染控制标准》（GB18597-2001）附录A所示的标签。</w:t>
                  </w:r>
                </w:p>
                <w:p>
                  <w:pPr>
                    <w:pStyle w:val="32"/>
                    <w:spacing w:before="78"/>
                    <w:ind w:left="11" w:firstLine="210" w:firstLineChars="100"/>
                    <w:jc w:val="left"/>
                    <w:rPr>
                      <w:rFonts w:eastAsiaTheme="minorEastAsia"/>
                      <w:color w:val="000000" w:themeColor="text1"/>
                    </w:rPr>
                  </w:pPr>
                  <w:r>
                    <w:rPr>
                      <w:color w:val="000000" w:themeColor="text1"/>
                    </w:rPr>
                    <w:t>④</w:t>
                  </w:r>
                  <w:r>
                    <w:rPr>
                      <w:rFonts w:eastAsiaTheme="minorEastAsia"/>
                      <w:color w:val="000000" w:themeColor="text1"/>
                    </w:rPr>
                    <w:t>危险废物贮存间必须按GB15562.2《环境保护图形标志—固体废物贮存（处置）场》的规定设置警示标志。</w:t>
                  </w:r>
                </w:p>
                <w:p>
                  <w:pPr>
                    <w:pStyle w:val="32"/>
                    <w:spacing w:before="78"/>
                    <w:ind w:left="11" w:firstLine="210" w:firstLineChars="100"/>
                    <w:jc w:val="left"/>
                    <w:rPr>
                      <w:rFonts w:eastAsiaTheme="minorEastAsia"/>
                      <w:color w:val="000000" w:themeColor="text1"/>
                    </w:rPr>
                  </w:pPr>
                  <w:r>
                    <w:rPr>
                      <w:color w:val="000000" w:themeColor="text1"/>
                    </w:rPr>
                    <w:t>⑤</w:t>
                  </w:r>
                  <w:r>
                    <w:rPr>
                      <w:rFonts w:eastAsiaTheme="minorEastAsia"/>
                      <w:color w:val="000000" w:themeColor="text1"/>
                    </w:rPr>
                    <w:t>装载危险废物的容器要满足相应的强度要求，必须完好无损。</w:t>
                  </w:r>
                </w:p>
                <w:p>
                  <w:pPr>
                    <w:pStyle w:val="32"/>
                    <w:spacing w:before="78"/>
                    <w:ind w:left="11" w:firstLine="210" w:firstLineChars="100"/>
                    <w:jc w:val="left"/>
                    <w:rPr>
                      <w:rFonts w:eastAsiaTheme="minorEastAsia"/>
                      <w:color w:val="000000" w:themeColor="text1"/>
                    </w:rPr>
                  </w:pPr>
                  <w:r>
                    <w:rPr>
                      <w:color w:val="000000" w:themeColor="text1"/>
                    </w:rPr>
                    <w:t>⑥</w:t>
                  </w:r>
                  <w:r>
                    <w:rPr>
                      <w:rFonts w:eastAsiaTheme="minorEastAsia"/>
                      <w:color w:val="000000" w:themeColor="text1"/>
                    </w:rPr>
                    <w:t>盛装危险废物的容器材质和衬里要与危险废物性质相容（不相互反应）。</w:t>
                  </w:r>
                </w:p>
                <w:p>
                  <w:pPr>
                    <w:pStyle w:val="32"/>
                    <w:spacing w:before="78"/>
                    <w:ind w:left="11" w:firstLine="210" w:firstLineChars="100"/>
                    <w:jc w:val="left"/>
                    <w:rPr>
                      <w:rFonts w:eastAsiaTheme="minorEastAsia"/>
                      <w:color w:val="000000" w:themeColor="text1"/>
                    </w:rPr>
                  </w:pPr>
                  <w:r>
                    <w:rPr>
                      <w:color w:val="000000" w:themeColor="text1"/>
                    </w:rPr>
                    <w:t>⑦</w:t>
                  </w:r>
                  <w:r>
                    <w:rPr>
                      <w:rFonts w:eastAsiaTheme="minorEastAsia"/>
                      <w:color w:val="000000" w:themeColor="text1"/>
                    </w:rPr>
                    <w:t>盛装危险废物容器都应有防漏裙脚或储漏盘，防漏裙脚或储漏盘的材料要与危险废物相容。</w:t>
                  </w:r>
                </w:p>
                <w:p>
                  <w:pPr>
                    <w:pStyle w:val="32"/>
                    <w:spacing w:before="78"/>
                    <w:ind w:left="11" w:firstLine="210" w:firstLineChars="100"/>
                    <w:jc w:val="left"/>
                    <w:rPr>
                      <w:rFonts w:eastAsiaTheme="minorEastAsia"/>
                      <w:color w:val="000000" w:themeColor="text1"/>
                    </w:rPr>
                  </w:pPr>
                  <w:r>
                    <w:rPr>
                      <w:color w:val="000000" w:themeColor="text1"/>
                    </w:rPr>
                    <w:t>⑧</w:t>
                  </w:r>
                  <w:r>
                    <w:rPr>
                      <w:rFonts w:eastAsiaTheme="minorEastAsia"/>
                      <w:color w:val="000000" w:themeColor="text1"/>
                    </w:rPr>
                    <w:t>作好危险废物贮存情况的记录，记录上须注明危险废物的名称、来源、数量、特性和包装容器的类别、入库日期、存放库位、废物出库日期及接收单位名称。记录和货单在危险废物处置后继续保留三年。</w:t>
                  </w:r>
                </w:p>
                <w:p>
                  <w:pPr>
                    <w:pStyle w:val="32"/>
                    <w:spacing w:before="78"/>
                    <w:ind w:left="11" w:firstLine="210" w:firstLineChars="100"/>
                    <w:jc w:val="left"/>
                    <w:rPr>
                      <w:rFonts w:eastAsiaTheme="minorEastAsia"/>
                      <w:color w:val="000000" w:themeColor="text1"/>
                    </w:rPr>
                  </w:pPr>
                  <w:r>
                    <w:rPr>
                      <w:color w:val="000000" w:themeColor="text1"/>
                    </w:rPr>
                    <w:t>⑨</w:t>
                  </w:r>
                  <w:r>
                    <w:rPr>
                      <w:rFonts w:eastAsiaTheme="minorEastAsia"/>
                      <w:color w:val="000000" w:themeColor="text1"/>
                    </w:rPr>
                    <w:t>必须定期对所贮存的危险废物包装容器进行检查，发现破损，应及时采取措施清理更换。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pPr>
                    <w:pStyle w:val="32"/>
                    <w:spacing w:before="78"/>
                    <w:ind w:left="11"/>
                    <w:rPr>
                      <w:rFonts w:eastAsiaTheme="minorEastAsia"/>
                      <w:color w:val="000000" w:themeColor="text1"/>
                    </w:rPr>
                  </w:pPr>
                  <w:r>
                    <w:rPr>
                      <w:rFonts w:eastAsiaTheme="minorEastAsia"/>
                      <w:color w:val="000000" w:themeColor="text1"/>
                    </w:rPr>
                    <w:t>3</w:t>
                  </w:r>
                </w:p>
              </w:tc>
              <w:tc>
                <w:tcPr>
                  <w:tcW w:w="850" w:type="dxa"/>
                  <w:vAlign w:val="center"/>
                </w:tcPr>
                <w:p>
                  <w:pPr>
                    <w:pStyle w:val="32"/>
                    <w:spacing w:before="78"/>
                    <w:ind w:left="11"/>
                    <w:rPr>
                      <w:rFonts w:eastAsiaTheme="minorEastAsia"/>
                      <w:color w:val="000000" w:themeColor="text1"/>
                    </w:rPr>
                  </w:pPr>
                  <w:r>
                    <w:rPr>
                      <w:rFonts w:eastAsiaTheme="minorEastAsia"/>
                      <w:color w:val="000000" w:themeColor="text1"/>
                    </w:rPr>
                    <w:t>委托转移</w:t>
                  </w:r>
                </w:p>
              </w:tc>
              <w:tc>
                <w:tcPr>
                  <w:tcW w:w="7688" w:type="dxa"/>
                  <w:vAlign w:val="center"/>
                </w:tcPr>
                <w:p>
                  <w:pPr>
                    <w:pStyle w:val="32"/>
                    <w:spacing w:before="78"/>
                    <w:ind w:left="11" w:firstLine="210" w:firstLineChars="100"/>
                    <w:jc w:val="left"/>
                    <w:rPr>
                      <w:rFonts w:eastAsiaTheme="minorEastAsia"/>
                      <w:color w:val="000000" w:themeColor="text1"/>
                    </w:rPr>
                  </w:pPr>
                  <w:r>
                    <w:rPr>
                      <w:rFonts w:eastAsiaTheme="minorEastAsia"/>
                      <w:color w:val="000000" w:themeColor="text1"/>
                    </w:rPr>
                    <w:t>利用和委托有资质的单位处理过程中必须严格按照《危险废物转移联单管理办法》相关要求，严格执行危险废物转移联单制度，设置台账。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pPr>
                    <w:pStyle w:val="32"/>
                    <w:spacing w:before="78"/>
                    <w:ind w:left="11"/>
                    <w:rPr>
                      <w:rFonts w:eastAsiaTheme="minorEastAsia"/>
                      <w:color w:val="000000" w:themeColor="text1"/>
                    </w:rPr>
                  </w:pPr>
                  <w:r>
                    <w:rPr>
                      <w:rFonts w:eastAsiaTheme="minorEastAsia"/>
                      <w:color w:val="000000" w:themeColor="text1"/>
                    </w:rPr>
                    <w:t>4</w:t>
                  </w:r>
                </w:p>
              </w:tc>
              <w:tc>
                <w:tcPr>
                  <w:tcW w:w="850" w:type="dxa"/>
                  <w:vAlign w:val="center"/>
                </w:tcPr>
                <w:p>
                  <w:pPr>
                    <w:pStyle w:val="32"/>
                    <w:spacing w:before="78"/>
                    <w:ind w:left="11"/>
                    <w:rPr>
                      <w:rFonts w:eastAsiaTheme="minorEastAsia"/>
                      <w:color w:val="000000" w:themeColor="text1"/>
                    </w:rPr>
                  </w:pPr>
                  <w:r>
                    <w:rPr>
                      <w:rFonts w:eastAsiaTheme="minorEastAsia"/>
                      <w:color w:val="000000" w:themeColor="text1"/>
                    </w:rPr>
                    <w:t>危险废物贮存间的建设及管理</w:t>
                  </w:r>
                </w:p>
              </w:tc>
              <w:tc>
                <w:tcPr>
                  <w:tcW w:w="7688" w:type="dxa"/>
                  <w:vAlign w:val="center"/>
                </w:tcPr>
                <w:p>
                  <w:pPr>
                    <w:pStyle w:val="32"/>
                    <w:spacing w:before="78"/>
                    <w:ind w:left="11" w:firstLine="210" w:firstLineChars="100"/>
                    <w:jc w:val="left"/>
                    <w:rPr>
                      <w:rFonts w:eastAsiaTheme="minorEastAsia"/>
                      <w:color w:val="000000" w:themeColor="text1"/>
                    </w:rPr>
                  </w:pPr>
                  <w:r>
                    <w:rPr>
                      <w:color w:val="000000" w:themeColor="text1"/>
                    </w:rPr>
                    <w:t>①</w:t>
                  </w:r>
                  <w:r>
                    <w:rPr>
                      <w:rFonts w:eastAsiaTheme="minorEastAsia"/>
                      <w:color w:val="000000" w:themeColor="text1"/>
                    </w:rPr>
                    <w:t>危险废物贮存间必须要密闭建设，门口内侧设立围堰，地面应做好硬化及“三防”措施；</w:t>
                  </w:r>
                </w:p>
                <w:p>
                  <w:pPr>
                    <w:pStyle w:val="32"/>
                    <w:spacing w:before="78"/>
                    <w:ind w:left="11" w:firstLine="210" w:firstLineChars="100"/>
                    <w:jc w:val="left"/>
                    <w:rPr>
                      <w:rFonts w:eastAsiaTheme="minorEastAsia"/>
                      <w:color w:val="000000" w:themeColor="text1"/>
                    </w:rPr>
                  </w:pPr>
                  <w:r>
                    <w:rPr>
                      <w:color w:val="000000" w:themeColor="text1"/>
                    </w:rPr>
                    <w:t>②</w:t>
                  </w:r>
                  <w:r>
                    <w:rPr>
                      <w:rFonts w:eastAsiaTheme="minorEastAsia"/>
                      <w:color w:val="000000" w:themeColor="text1"/>
                    </w:rPr>
                    <w:t>危险废物贮存间门口需张贴标准规范的危险废物标识和危险信息版，屋内张贴企业《危险废物管理制度》；</w:t>
                  </w:r>
                </w:p>
                <w:p>
                  <w:pPr>
                    <w:pStyle w:val="32"/>
                    <w:spacing w:before="78"/>
                    <w:ind w:left="11" w:firstLine="210" w:firstLineChars="100"/>
                    <w:jc w:val="left"/>
                    <w:rPr>
                      <w:rFonts w:eastAsiaTheme="minorEastAsia"/>
                      <w:color w:val="000000" w:themeColor="text1"/>
                    </w:rPr>
                  </w:pPr>
                  <w:r>
                    <w:rPr>
                      <w:color w:val="000000" w:themeColor="text1"/>
                    </w:rPr>
                    <w:t>③</w:t>
                  </w:r>
                  <w:r>
                    <w:rPr>
                      <w:rFonts w:eastAsiaTheme="minorEastAsia"/>
                      <w:color w:val="000000" w:themeColor="text1"/>
                    </w:rPr>
                    <w:t>危险废物贮存间需按照“双人双锁”制度管理；</w:t>
                  </w:r>
                </w:p>
                <w:p>
                  <w:pPr>
                    <w:pStyle w:val="32"/>
                    <w:spacing w:before="78"/>
                    <w:ind w:left="11" w:firstLine="210" w:firstLineChars="100"/>
                    <w:jc w:val="left"/>
                    <w:rPr>
                      <w:rFonts w:eastAsiaTheme="minorEastAsia"/>
                      <w:color w:val="000000" w:themeColor="text1"/>
                    </w:rPr>
                  </w:pPr>
                  <w:r>
                    <w:rPr>
                      <w:color w:val="000000" w:themeColor="text1"/>
                    </w:rPr>
                    <w:t>④</w:t>
                  </w:r>
                  <w:r>
                    <w:rPr>
                      <w:rFonts w:eastAsiaTheme="minorEastAsia"/>
                      <w:color w:val="000000" w:themeColor="text1"/>
                    </w:rPr>
                    <w:t>不同种类危险废物应有明显的过道划分，墙上张贴危废名称，液体危废需将盛装容器放至防渗漏托盘内并在容器粘贴危险废物标签，固态危险废物包装需完好无破损并系挂危险废物标签，并按要求填写；</w:t>
                  </w:r>
                </w:p>
                <w:p>
                  <w:pPr>
                    <w:pStyle w:val="32"/>
                    <w:spacing w:before="78"/>
                    <w:ind w:left="11" w:firstLine="210" w:firstLineChars="100"/>
                    <w:jc w:val="left"/>
                    <w:rPr>
                      <w:rFonts w:eastAsiaTheme="minorEastAsia"/>
                      <w:color w:val="000000" w:themeColor="text1"/>
                    </w:rPr>
                  </w:pPr>
                  <w:r>
                    <w:rPr>
                      <w:color w:val="000000" w:themeColor="text1"/>
                    </w:rPr>
                    <w:t>⑤</w:t>
                  </w:r>
                  <w:r>
                    <w:rPr>
                      <w:rFonts w:eastAsiaTheme="minorEastAsia"/>
                      <w:color w:val="000000" w:themeColor="text1"/>
                    </w:rPr>
                    <w:t>建立台账并悬挂于危险废物贮存间内；</w:t>
                  </w:r>
                </w:p>
                <w:p>
                  <w:pPr>
                    <w:pStyle w:val="32"/>
                    <w:spacing w:before="78"/>
                    <w:ind w:left="11" w:firstLine="210" w:firstLineChars="100"/>
                    <w:jc w:val="left"/>
                    <w:rPr>
                      <w:rFonts w:eastAsiaTheme="minorEastAsia"/>
                      <w:color w:val="000000" w:themeColor="text1"/>
                    </w:rPr>
                  </w:pPr>
                  <w:r>
                    <w:rPr>
                      <w:color w:val="000000" w:themeColor="text1"/>
                    </w:rPr>
                    <w:t>⑥</w:t>
                  </w:r>
                  <w:r>
                    <w:rPr>
                      <w:rFonts w:eastAsiaTheme="minorEastAsia"/>
                      <w:color w:val="000000" w:themeColor="text1"/>
                    </w:rPr>
                    <w:t>危险废物贮存间内禁止存放除危险废物及应急工具及其他物品；</w:t>
                  </w:r>
                </w:p>
              </w:tc>
            </w:tr>
          </w:tbl>
          <w:p>
            <w:pPr>
              <w:pStyle w:val="40"/>
              <w:spacing w:beforeLines="50"/>
              <w:ind w:firstLine="482"/>
              <w:rPr>
                <w:rFonts w:eastAsiaTheme="minorEastAsia"/>
                <w:b/>
                <w:color w:val="000000" w:themeColor="text1"/>
                <w:szCs w:val="24"/>
              </w:rPr>
            </w:pPr>
            <w:bookmarkStart w:id="11" w:name="_Toc484976361"/>
            <w:r>
              <w:rPr>
                <w:b/>
                <w:color w:val="000000" w:themeColor="text1"/>
                <w:szCs w:val="24"/>
              </w:rPr>
              <w:t>②</w:t>
            </w:r>
            <w:r>
              <w:rPr>
                <w:rFonts w:eastAsiaTheme="minorEastAsia"/>
                <w:b/>
                <w:color w:val="000000" w:themeColor="text1"/>
                <w:szCs w:val="24"/>
              </w:rPr>
              <w:t>生活垃圾管理要求</w:t>
            </w:r>
          </w:p>
          <w:p>
            <w:pPr>
              <w:pStyle w:val="40"/>
              <w:ind w:firstLine="480"/>
              <w:rPr>
                <w:color w:val="000000" w:themeColor="text1"/>
                <w:szCs w:val="24"/>
              </w:rPr>
            </w:pPr>
            <w:r>
              <w:rPr>
                <w:color w:val="000000" w:themeColor="text1"/>
                <w:szCs w:val="24"/>
              </w:rPr>
              <w:t>项目产生的生活垃圾应做到日产日清。</w:t>
            </w:r>
          </w:p>
          <w:bookmarkEnd w:id="11"/>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4.2.5 地下水、土壤环境影响和保护措施</w:t>
            </w:r>
          </w:p>
          <w:p>
            <w:pPr>
              <w:pStyle w:val="40"/>
              <w:ind w:firstLine="361" w:firstLineChars="150"/>
              <w:rPr>
                <w:rFonts w:eastAsiaTheme="minorEastAsia"/>
                <w:b/>
                <w:color w:val="000000" w:themeColor="text1"/>
                <w:szCs w:val="24"/>
              </w:rPr>
            </w:pPr>
            <w:r>
              <w:rPr>
                <w:rFonts w:eastAsiaTheme="minorEastAsia"/>
                <w:b/>
                <w:color w:val="000000" w:themeColor="text1"/>
                <w:szCs w:val="24"/>
              </w:rPr>
              <w:t>（1）地下水、土壤污染源及污染物类型</w:t>
            </w:r>
          </w:p>
          <w:p>
            <w:pPr>
              <w:pStyle w:val="40"/>
              <w:ind w:firstLine="480"/>
              <w:rPr>
                <w:color w:val="000000" w:themeColor="text1"/>
                <w:szCs w:val="24"/>
              </w:rPr>
            </w:pPr>
            <w:r>
              <w:rPr>
                <w:color w:val="000000" w:themeColor="text1"/>
                <w:szCs w:val="24"/>
              </w:rPr>
              <w:t>项目利用废石生产砂石骨料和水泥砖，该项目可能对土壤造成污染的途径主要有：项目产生的废机油等危险废物地面漫流或渗漏至周边土壤，使土壤层中吸附了油类物质，其污染物类型包括石油类。</w:t>
            </w:r>
          </w:p>
          <w:p>
            <w:pPr>
              <w:pStyle w:val="40"/>
              <w:ind w:firstLine="361" w:firstLineChars="150"/>
              <w:rPr>
                <w:rFonts w:eastAsiaTheme="minorEastAsia"/>
                <w:b/>
                <w:color w:val="000000" w:themeColor="text1"/>
                <w:szCs w:val="24"/>
              </w:rPr>
            </w:pPr>
            <w:r>
              <w:rPr>
                <w:rFonts w:eastAsiaTheme="minorEastAsia"/>
                <w:b/>
                <w:color w:val="000000" w:themeColor="text1"/>
                <w:szCs w:val="24"/>
              </w:rPr>
              <w:t>（2）地下水、土壤污染源及污染途径</w:t>
            </w:r>
          </w:p>
          <w:p>
            <w:pPr>
              <w:pStyle w:val="40"/>
              <w:ind w:firstLine="480"/>
              <w:rPr>
                <w:color w:val="000000" w:themeColor="text1"/>
                <w:szCs w:val="24"/>
              </w:rPr>
            </w:pPr>
            <w:r>
              <w:rPr>
                <w:color w:val="000000" w:themeColor="text1"/>
                <w:szCs w:val="24"/>
              </w:rPr>
              <w:t>该项目污染源及污染途径主要包括：项目产生的废机油等危险废物地面漫流或渗漏至周边土壤，使土壤层中吸附了油类物质，其污染因子为有机污染物，周围土壤层吸附的油类物质不仅会造成植物生物的死亡，其污染因子具有随着农作物转移至人体，对人体造成危害。</w:t>
            </w:r>
          </w:p>
          <w:p>
            <w:pPr>
              <w:pStyle w:val="40"/>
              <w:ind w:firstLine="361" w:firstLineChars="150"/>
              <w:rPr>
                <w:rFonts w:eastAsiaTheme="minorEastAsia"/>
                <w:b/>
                <w:color w:val="000000" w:themeColor="text1"/>
                <w:szCs w:val="24"/>
              </w:rPr>
            </w:pPr>
            <w:r>
              <w:rPr>
                <w:rFonts w:eastAsiaTheme="minorEastAsia"/>
                <w:b/>
                <w:color w:val="000000" w:themeColor="text1"/>
                <w:szCs w:val="24"/>
              </w:rPr>
              <w:t>（3）防控措施</w:t>
            </w:r>
          </w:p>
          <w:p>
            <w:pPr>
              <w:pStyle w:val="40"/>
              <w:ind w:firstLine="480"/>
              <w:rPr>
                <w:color w:val="000000" w:themeColor="text1"/>
                <w:szCs w:val="24"/>
              </w:rPr>
            </w:pPr>
            <w:r>
              <w:rPr>
                <w:color w:val="000000" w:themeColor="text1"/>
                <w:szCs w:val="24"/>
              </w:rPr>
              <w:t>该项目地下水、土壤污染防治措施按照“源头控制、分区防治、应急响应”相结合的原则，从污染物的产生、入渗、扩散、应急响应进行控制。</w:t>
            </w:r>
          </w:p>
          <w:p>
            <w:pPr>
              <w:pStyle w:val="40"/>
              <w:ind w:firstLine="482"/>
              <w:rPr>
                <w:b/>
                <w:color w:val="000000" w:themeColor="text1"/>
                <w:szCs w:val="24"/>
              </w:rPr>
            </w:pPr>
            <w:r>
              <w:rPr>
                <w:rFonts w:hint="eastAsia" w:ascii="宋体" w:hAnsi="宋体" w:cs="宋体"/>
                <w:b/>
                <w:color w:val="000000" w:themeColor="text1"/>
                <w:szCs w:val="24"/>
              </w:rPr>
              <w:t>①</w:t>
            </w:r>
            <w:r>
              <w:rPr>
                <w:b/>
                <w:color w:val="000000" w:themeColor="text1"/>
                <w:szCs w:val="24"/>
              </w:rPr>
              <w:t>源头控制措施</w:t>
            </w:r>
          </w:p>
          <w:p>
            <w:pPr>
              <w:pStyle w:val="40"/>
              <w:ind w:firstLine="480"/>
              <w:rPr>
                <w:color w:val="000000" w:themeColor="text1"/>
                <w:szCs w:val="24"/>
              </w:rPr>
            </w:pPr>
            <w:r>
              <w:rPr>
                <w:color w:val="000000" w:themeColor="text1"/>
                <w:szCs w:val="24"/>
              </w:rPr>
              <w:t>严格按照公司制定的规范管理要求进行危险废物的管理。</w:t>
            </w:r>
          </w:p>
          <w:p>
            <w:pPr>
              <w:pStyle w:val="40"/>
              <w:ind w:firstLine="482"/>
              <w:rPr>
                <w:b/>
                <w:color w:val="000000" w:themeColor="text1"/>
                <w:szCs w:val="24"/>
              </w:rPr>
            </w:pPr>
            <w:r>
              <w:rPr>
                <w:rFonts w:hint="eastAsia" w:ascii="宋体" w:hAnsi="宋体" w:cs="宋体"/>
                <w:b/>
                <w:color w:val="000000" w:themeColor="text1"/>
                <w:szCs w:val="24"/>
              </w:rPr>
              <w:t>②</w:t>
            </w:r>
            <w:r>
              <w:rPr>
                <w:b/>
                <w:color w:val="000000" w:themeColor="text1"/>
                <w:szCs w:val="24"/>
              </w:rPr>
              <w:t>分区控制措施</w:t>
            </w:r>
          </w:p>
          <w:p>
            <w:pPr>
              <w:pStyle w:val="40"/>
              <w:ind w:firstLine="482"/>
              <w:rPr>
                <w:b/>
                <w:color w:val="000000" w:themeColor="text1"/>
                <w:szCs w:val="24"/>
              </w:rPr>
            </w:pPr>
            <w:r>
              <w:rPr>
                <w:b/>
                <w:color w:val="000000" w:themeColor="text1"/>
                <w:szCs w:val="24"/>
              </w:rPr>
              <w:fldChar w:fldCharType="begin"/>
            </w:r>
            <w:r>
              <w:rPr>
                <w:b/>
                <w:color w:val="000000" w:themeColor="text1"/>
                <w:szCs w:val="24"/>
              </w:rPr>
              <w:instrText xml:space="preserve"> </w:instrText>
            </w:r>
            <w:r>
              <w:rPr>
                <w:rFonts w:hint="eastAsia"/>
                <w:b/>
                <w:color w:val="000000" w:themeColor="text1"/>
                <w:szCs w:val="24"/>
              </w:rPr>
              <w:instrText xml:space="preserve">= 1 \* GB4</w:instrText>
            </w:r>
            <w:r>
              <w:rPr>
                <w:b/>
                <w:color w:val="000000" w:themeColor="text1"/>
                <w:szCs w:val="24"/>
              </w:rPr>
              <w:instrText xml:space="preserve"> </w:instrText>
            </w:r>
            <w:r>
              <w:rPr>
                <w:b/>
                <w:color w:val="000000" w:themeColor="text1"/>
                <w:szCs w:val="24"/>
              </w:rPr>
              <w:fldChar w:fldCharType="separate"/>
            </w:r>
            <w:r>
              <w:rPr>
                <w:rFonts w:hint="eastAsia"/>
                <w:b/>
                <w:color w:val="000000" w:themeColor="text1"/>
                <w:szCs w:val="24"/>
              </w:rPr>
              <w:t>㈠</w:t>
            </w:r>
            <w:r>
              <w:rPr>
                <w:b/>
                <w:color w:val="000000" w:themeColor="text1"/>
                <w:szCs w:val="24"/>
              </w:rPr>
              <w:fldChar w:fldCharType="end"/>
            </w:r>
            <w:r>
              <w:rPr>
                <w:rFonts w:hint="eastAsia"/>
                <w:b/>
                <w:color w:val="000000" w:themeColor="text1"/>
                <w:szCs w:val="24"/>
              </w:rPr>
              <w:t>一期工程</w:t>
            </w:r>
            <w:r>
              <w:rPr>
                <w:b/>
                <w:color w:val="000000" w:themeColor="text1"/>
                <w:szCs w:val="24"/>
              </w:rPr>
              <w:t>分区控制措施</w:t>
            </w:r>
          </w:p>
          <w:p>
            <w:pPr>
              <w:pStyle w:val="40"/>
              <w:ind w:firstLine="480"/>
              <w:rPr>
                <w:color w:val="000000" w:themeColor="text1"/>
                <w:szCs w:val="24"/>
              </w:rPr>
            </w:pPr>
            <w:r>
              <w:rPr>
                <w:color w:val="000000" w:themeColor="text1"/>
                <w:szCs w:val="24"/>
              </w:rPr>
              <w:t>根据以上分区原则可知，</w:t>
            </w:r>
            <w:r>
              <w:rPr>
                <w:rFonts w:hint="eastAsia"/>
                <w:color w:val="000000" w:themeColor="text1"/>
                <w:szCs w:val="24"/>
              </w:rPr>
              <w:t>一期工程包括</w:t>
            </w:r>
            <w:r>
              <w:rPr>
                <w:color w:val="000000" w:themeColor="text1"/>
                <w:szCs w:val="24"/>
              </w:rPr>
              <w:t>重点防渗区</w:t>
            </w:r>
            <w:r>
              <w:rPr>
                <w:rFonts w:hint="eastAsia"/>
                <w:color w:val="000000" w:themeColor="text1"/>
                <w:szCs w:val="24"/>
              </w:rPr>
              <w:t>、</w:t>
            </w:r>
            <w:r>
              <w:rPr>
                <w:color w:val="000000" w:themeColor="text1"/>
                <w:szCs w:val="24"/>
              </w:rPr>
              <w:t>一般防渗区</w:t>
            </w:r>
            <w:r>
              <w:rPr>
                <w:rFonts w:hint="eastAsia"/>
                <w:color w:val="000000" w:themeColor="text1"/>
                <w:szCs w:val="24"/>
              </w:rPr>
              <w:t>和</w:t>
            </w:r>
            <w:r>
              <w:rPr>
                <w:color w:val="000000" w:themeColor="text1"/>
                <w:szCs w:val="24"/>
              </w:rPr>
              <w:t>简单防渗区</w:t>
            </w:r>
            <w:r>
              <w:rPr>
                <w:rFonts w:hint="eastAsia"/>
                <w:color w:val="000000" w:themeColor="text1"/>
                <w:szCs w:val="24"/>
              </w:rPr>
              <w:t>，</w:t>
            </w:r>
            <w:r>
              <w:rPr>
                <w:color w:val="000000" w:themeColor="text1"/>
                <w:szCs w:val="24"/>
              </w:rPr>
              <w:t>项目分区防渗具体如下：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1 \* GB2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⑴</w:t>
            </w:r>
            <w:r>
              <w:rPr>
                <w:rFonts w:ascii="Times New Roman" w:hAnsi="Times New Roman" w:cs="Times New Roman"/>
                <w:b/>
                <w:color w:val="000000" w:themeColor="text1"/>
                <w:sz w:val="24"/>
                <w:szCs w:val="24"/>
              </w:rPr>
              <w:fldChar w:fldCharType="end"/>
            </w:r>
            <w:r>
              <w:rPr>
                <w:rFonts w:hint="eastAsia" w:ascii="Times New Roman" w:hAnsi="Times New Roman" w:cs="Times New Roman"/>
                <w:b/>
                <w:color w:val="000000" w:themeColor="text1"/>
                <w:sz w:val="24"/>
                <w:szCs w:val="24"/>
              </w:rPr>
              <w:t>一期工程</w:t>
            </w:r>
            <w:r>
              <w:rPr>
                <w:rFonts w:ascii="Times New Roman" w:hAnsi="Times New Roman" w:cs="Times New Roman"/>
                <w:b/>
                <w:color w:val="000000" w:themeColor="text1"/>
                <w:sz w:val="24"/>
                <w:szCs w:val="24"/>
              </w:rPr>
              <w:t>重点防渗区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项目重点防渗区为危险废物贮存间：危险废物贮存间地面和裙墙应采用不低于2mm厚的HDPE膜或其他人工防渗材料进行防渗，使其渗透系数≤10</w:t>
            </w:r>
            <w:r>
              <w:rPr>
                <w:rFonts w:ascii="Times New Roman" w:hAnsi="Times New Roman" w:cs="Times New Roman"/>
                <w:color w:val="000000" w:themeColor="text1"/>
                <w:sz w:val="24"/>
                <w:szCs w:val="24"/>
                <w:vertAlign w:val="superscript"/>
              </w:rPr>
              <w:t>-10</w:t>
            </w:r>
            <w:r>
              <w:rPr>
                <w:rFonts w:ascii="Times New Roman" w:hAnsi="Times New Roman" w:cs="Times New Roman"/>
                <w:color w:val="000000" w:themeColor="text1"/>
                <w:sz w:val="24"/>
                <w:szCs w:val="24"/>
              </w:rPr>
              <w:t>cm/s；</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2 \* GB2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⑵</w:t>
            </w:r>
            <w:r>
              <w:rPr>
                <w:rFonts w:ascii="Times New Roman" w:hAnsi="Times New Roman" w:cs="Times New Roman"/>
                <w:b/>
                <w:color w:val="000000" w:themeColor="text1"/>
                <w:sz w:val="24"/>
                <w:szCs w:val="24"/>
              </w:rPr>
              <w:fldChar w:fldCharType="end"/>
            </w:r>
            <w:r>
              <w:rPr>
                <w:rFonts w:hint="eastAsia" w:ascii="Times New Roman" w:hAnsi="Times New Roman" w:cs="Times New Roman"/>
                <w:b/>
                <w:color w:val="000000" w:themeColor="text1"/>
                <w:sz w:val="24"/>
                <w:szCs w:val="24"/>
              </w:rPr>
              <w:t>一期工程</w:t>
            </w:r>
            <w:r>
              <w:rPr>
                <w:rFonts w:ascii="Times New Roman" w:hAnsi="Times New Roman" w:cs="Times New Roman"/>
                <w:b/>
                <w:color w:val="000000" w:themeColor="text1"/>
                <w:sz w:val="24"/>
                <w:szCs w:val="24"/>
              </w:rPr>
              <w:t>一般防渗区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根据分区防渗规范要求，项目</w:t>
            </w: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生产区、砂石骨料生产废水处理系统、</w:t>
            </w: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初期雨水收集系统和生活污水处理系统区域划定为一般防渗区，一般防渗区措施在地面采取粘土铺底，并在上层铺30cm的混凝土进行硬化。确保防渗性能，使其渗透系数≤1.0×10</w:t>
            </w:r>
            <w:r>
              <w:rPr>
                <w:rFonts w:ascii="Times New Roman" w:hAnsi="Times New Roman" w:cs="Times New Roman"/>
                <w:color w:val="000000" w:themeColor="text1"/>
                <w:sz w:val="24"/>
                <w:szCs w:val="24"/>
                <w:vertAlign w:val="superscript"/>
              </w:rPr>
              <w:t>-7</w:t>
            </w:r>
            <w:r>
              <w:rPr>
                <w:rFonts w:ascii="Times New Roman" w:hAnsi="Times New Roman" w:cs="Times New Roman"/>
                <w:color w:val="000000" w:themeColor="text1"/>
                <w:sz w:val="24"/>
                <w:szCs w:val="24"/>
              </w:rPr>
              <w:t>cm/s。</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3 \* GB2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⑶</w:t>
            </w:r>
            <w:r>
              <w:rPr>
                <w:rFonts w:ascii="Times New Roman" w:hAnsi="Times New Roman" w:cs="Times New Roman"/>
                <w:b/>
                <w:color w:val="000000" w:themeColor="text1"/>
                <w:sz w:val="24"/>
                <w:szCs w:val="24"/>
              </w:rPr>
              <w:fldChar w:fldCharType="end"/>
            </w:r>
            <w:r>
              <w:rPr>
                <w:rFonts w:hint="eastAsia" w:ascii="Times New Roman" w:hAnsi="Times New Roman" w:cs="Times New Roman"/>
                <w:b/>
                <w:color w:val="000000" w:themeColor="text1"/>
                <w:sz w:val="24"/>
                <w:szCs w:val="24"/>
              </w:rPr>
              <w:t>一期工程</w:t>
            </w:r>
            <w:r>
              <w:rPr>
                <w:rFonts w:ascii="Times New Roman" w:hAnsi="Times New Roman" w:cs="Times New Roman"/>
                <w:b/>
                <w:color w:val="000000" w:themeColor="text1"/>
                <w:sz w:val="24"/>
                <w:szCs w:val="24"/>
              </w:rPr>
              <w:t>简单防渗区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根据项目特点，对于基本上不产生污染物的简单防渗区，不采取专门针对地下水污染的防治措施。</w:t>
            </w:r>
          </w:p>
          <w:p>
            <w:pPr>
              <w:pStyle w:val="40"/>
              <w:ind w:firstLine="482"/>
              <w:rPr>
                <w:b/>
                <w:color w:val="000000" w:themeColor="text1"/>
                <w:szCs w:val="24"/>
              </w:rPr>
            </w:pPr>
            <w:r>
              <w:rPr>
                <w:b/>
                <w:color w:val="000000" w:themeColor="text1"/>
                <w:szCs w:val="24"/>
              </w:rPr>
              <w:fldChar w:fldCharType="begin"/>
            </w:r>
            <w:r>
              <w:rPr>
                <w:b/>
                <w:color w:val="000000" w:themeColor="text1"/>
                <w:szCs w:val="24"/>
              </w:rPr>
              <w:instrText xml:space="preserve"> </w:instrText>
            </w:r>
            <w:r>
              <w:rPr>
                <w:rFonts w:hint="eastAsia"/>
                <w:b/>
                <w:color w:val="000000" w:themeColor="text1"/>
                <w:szCs w:val="24"/>
              </w:rPr>
              <w:instrText xml:space="preserve">= 2 \* GB4</w:instrText>
            </w:r>
            <w:r>
              <w:rPr>
                <w:b/>
                <w:color w:val="000000" w:themeColor="text1"/>
                <w:szCs w:val="24"/>
              </w:rPr>
              <w:instrText xml:space="preserve"> </w:instrText>
            </w:r>
            <w:r>
              <w:rPr>
                <w:b/>
                <w:color w:val="000000" w:themeColor="text1"/>
                <w:szCs w:val="24"/>
              </w:rPr>
              <w:fldChar w:fldCharType="separate"/>
            </w:r>
            <w:r>
              <w:rPr>
                <w:rFonts w:hint="eastAsia"/>
                <w:b/>
                <w:color w:val="000000" w:themeColor="text1"/>
                <w:szCs w:val="24"/>
              </w:rPr>
              <w:t>㈡</w:t>
            </w:r>
            <w:r>
              <w:rPr>
                <w:b/>
                <w:color w:val="000000" w:themeColor="text1"/>
                <w:szCs w:val="24"/>
              </w:rPr>
              <w:fldChar w:fldCharType="end"/>
            </w:r>
            <w:r>
              <w:rPr>
                <w:rFonts w:hint="eastAsia"/>
                <w:b/>
                <w:color w:val="000000" w:themeColor="text1"/>
                <w:szCs w:val="24"/>
              </w:rPr>
              <w:t>二期工程</w:t>
            </w:r>
            <w:r>
              <w:rPr>
                <w:b/>
                <w:color w:val="000000" w:themeColor="text1"/>
                <w:szCs w:val="24"/>
              </w:rPr>
              <w:t>分区控制措施</w:t>
            </w:r>
          </w:p>
          <w:p>
            <w:pPr>
              <w:pStyle w:val="40"/>
              <w:ind w:firstLine="480"/>
              <w:rPr>
                <w:color w:val="000000" w:themeColor="text1"/>
                <w:szCs w:val="24"/>
              </w:rPr>
            </w:pPr>
            <w:r>
              <w:rPr>
                <w:color w:val="000000" w:themeColor="text1"/>
                <w:szCs w:val="24"/>
              </w:rPr>
              <w:t>根据以上分区原则可知，</w:t>
            </w:r>
            <w:r>
              <w:rPr>
                <w:rFonts w:hint="eastAsia"/>
                <w:color w:val="000000" w:themeColor="text1"/>
                <w:szCs w:val="24"/>
              </w:rPr>
              <w:t>二期工程包括</w:t>
            </w:r>
            <w:r>
              <w:rPr>
                <w:color w:val="000000" w:themeColor="text1"/>
                <w:szCs w:val="24"/>
              </w:rPr>
              <w:t>一般防渗区</w:t>
            </w:r>
            <w:r>
              <w:rPr>
                <w:rFonts w:hint="eastAsia"/>
                <w:color w:val="000000" w:themeColor="text1"/>
                <w:szCs w:val="24"/>
              </w:rPr>
              <w:t>和</w:t>
            </w:r>
            <w:r>
              <w:rPr>
                <w:color w:val="000000" w:themeColor="text1"/>
                <w:szCs w:val="24"/>
              </w:rPr>
              <w:t>简单防渗区</w:t>
            </w:r>
            <w:r>
              <w:rPr>
                <w:rFonts w:hint="eastAsia"/>
                <w:color w:val="000000" w:themeColor="text1"/>
                <w:szCs w:val="24"/>
              </w:rPr>
              <w:t>，</w:t>
            </w:r>
            <w:r>
              <w:rPr>
                <w:color w:val="000000" w:themeColor="text1"/>
                <w:szCs w:val="24"/>
              </w:rPr>
              <w:t>项目分区防渗具体如下：</w:t>
            </w:r>
          </w:p>
          <w:p>
            <w:pPr>
              <w:pStyle w:val="40"/>
              <w:ind w:firstLine="482"/>
              <w:rPr>
                <w:color w:val="000000" w:themeColor="text1"/>
                <w:szCs w:val="24"/>
              </w:rPr>
            </w:pPr>
            <w:r>
              <w:rPr>
                <w:b/>
                <w:color w:val="000000" w:themeColor="text1"/>
                <w:szCs w:val="24"/>
              </w:rPr>
              <w:fldChar w:fldCharType="begin"/>
            </w:r>
            <w:r>
              <w:rPr>
                <w:b/>
                <w:color w:val="000000" w:themeColor="text1"/>
                <w:szCs w:val="24"/>
              </w:rPr>
              <w:instrText xml:space="preserve"> = 1 \* GB2 </w:instrText>
            </w:r>
            <w:r>
              <w:rPr>
                <w:b/>
                <w:color w:val="000000" w:themeColor="text1"/>
                <w:szCs w:val="24"/>
              </w:rPr>
              <w:fldChar w:fldCharType="separate"/>
            </w:r>
            <w:r>
              <w:rPr>
                <w:rFonts w:hint="eastAsia" w:ascii="宋体" w:hAnsi="宋体" w:cs="宋体"/>
                <w:b/>
                <w:color w:val="000000" w:themeColor="text1"/>
                <w:szCs w:val="24"/>
              </w:rPr>
              <w:t>⑴</w:t>
            </w:r>
            <w:r>
              <w:rPr>
                <w:b/>
                <w:color w:val="000000" w:themeColor="text1"/>
                <w:szCs w:val="24"/>
              </w:rPr>
              <w:fldChar w:fldCharType="end"/>
            </w:r>
            <w:r>
              <w:rPr>
                <w:rFonts w:hint="eastAsia"/>
                <w:b/>
                <w:color w:val="000000" w:themeColor="text1"/>
                <w:szCs w:val="24"/>
              </w:rPr>
              <w:t>二期工程</w:t>
            </w:r>
            <w:r>
              <w:rPr>
                <w:b/>
                <w:color w:val="000000" w:themeColor="text1"/>
                <w:szCs w:val="24"/>
              </w:rPr>
              <w:t>一般防渗区</w:t>
            </w:r>
          </w:p>
          <w:p>
            <w:pPr>
              <w:pStyle w:val="40"/>
              <w:ind w:firstLine="480"/>
              <w:rPr>
                <w:color w:val="000000" w:themeColor="text1"/>
                <w:szCs w:val="24"/>
              </w:rPr>
            </w:pPr>
            <w:r>
              <w:rPr>
                <w:color w:val="000000" w:themeColor="text1"/>
                <w:szCs w:val="24"/>
              </w:rPr>
              <w:t>根据分区防渗规范要求，项目</w:t>
            </w:r>
            <w:r>
              <w:rPr>
                <w:rFonts w:hint="eastAsia"/>
                <w:color w:val="000000" w:themeColor="text1"/>
                <w:szCs w:val="24"/>
              </w:rPr>
              <w:t>二期工程</w:t>
            </w:r>
            <w:r>
              <w:rPr>
                <w:color w:val="000000" w:themeColor="text1"/>
                <w:szCs w:val="24"/>
              </w:rPr>
              <w:t>生产区、养护废水处理系统、</w:t>
            </w:r>
            <w:r>
              <w:rPr>
                <w:rFonts w:hint="eastAsia"/>
                <w:color w:val="000000" w:themeColor="text1"/>
                <w:szCs w:val="24"/>
              </w:rPr>
              <w:t>二期工程</w:t>
            </w:r>
            <w:r>
              <w:rPr>
                <w:color w:val="000000" w:themeColor="text1"/>
                <w:szCs w:val="24"/>
              </w:rPr>
              <w:t>初期雨水收集系统区域划定为一般防渗区，一般防渗区措施在地面采取粘土铺底，并在上层铺30cm的混凝土进行硬化。确保防渗性能，使其渗透系数≤1.0×10</w:t>
            </w:r>
            <w:r>
              <w:rPr>
                <w:color w:val="000000" w:themeColor="text1"/>
                <w:szCs w:val="24"/>
                <w:vertAlign w:val="superscript"/>
              </w:rPr>
              <w:t>-7</w:t>
            </w:r>
            <w:r>
              <w:rPr>
                <w:color w:val="000000" w:themeColor="text1"/>
                <w:szCs w:val="24"/>
              </w:rPr>
              <w:t>cm/s。</w:t>
            </w:r>
          </w:p>
          <w:p>
            <w:pPr>
              <w:spacing w:line="360" w:lineRule="auto"/>
              <w:ind w:firstLine="482" w:firstLineChars="20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2 \* GB2 </w:instrText>
            </w:r>
            <w:r>
              <w:rPr>
                <w:rFonts w:ascii="Times New Roman" w:hAnsi="Times New Roman" w:cs="Times New Roman"/>
                <w:b/>
                <w:color w:val="000000" w:themeColor="text1"/>
                <w:sz w:val="24"/>
                <w:szCs w:val="24"/>
              </w:rPr>
              <w:fldChar w:fldCharType="separate"/>
            </w:r>
            <w:r>
              <w:rPr>
                <w:rFonts w:hint="eastAsia" w:ascii="宋体" w:hAnsi="宋体" w:eastAsia="宋体" w:cs="宋体"/>
                <w:b/>
                <w:color w:val="000000" w:themeColor="text1"/>
                <w:sz w:val="24"/>
                <w:szCs w:val="24"/>
              </w:rPr>
              <w:t>⑵</w:t>
            </w:r>
            <w:r>
              <w:rPr>
                <w:rFonts w:ascii="Times New Roman" w:hAnsi="Times New Roman" w:cs="Times New Roman"/>
                <w:b/>
                <w:color w:val="000000" w:themeColor="text1"/>
                <w:sz w:val="24"/>
                <w:szCs w:val="24"/>
              </w:rPr>
              <w:fldChar w:fldCharType="end"/>
            </w:r>
            <w:r>
              <w:rPr>
                <w:rFonts w:hint="eastAsia" w:ascii="Times New Roman" w:hAnsi="Times New Roman" w:cs="Times New Roman"/>
                <w:b/>
                <w:color w:val="000000" w:themeColor="text1"/>
                <w:sz w:val="24"/>
                <w:szCs w:val="24"/>
              </w:rPr>
              <w:t>二期工程</w:t>
            </w:r>
            <w:r>
              <w:rPr>
                <w:rFonts w:ascii="Times New Roman" w:hAnsi="Times New Roman" w:cs="Times New Roman"/>
                <w:b/>
                <w:color w:val="000000" w:themeColor="text1"/>
                <w:sz w:val="24"/>
                <w:szCs w:val="24"/>
              </w:rPr>
              <w:t>简单防渗区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根据项目特点，对于基本上不产生污染物的简单防渗区，不采取专门针对地下水污染的防治措施。</w:t>
            </w:r>
          </w:p>
          <w:p>
            <w:pPr>
              <w:pStyle w:val="40"/>
              <w:ind w:firstLine="361" w:firstLineChars="150"/>
              <w:rPr>
                <w:rFonts w:eastAsiaTheme="minorEastAsia"/>
                <w:b/>
                <w:color w:val="000000" w:themeColor="text1"/>
                <w:szCs w:val="24"/>
              </w:rPr>
            </w:pPr>
            <w:r>
              <w:rPr>
                <w:rFonts w:eastAsiaTheme="minorEastAsia"/>
                <w:b/>
                <w:color w:val="000000" w:themeColor="text1"/>
                <w:szCs w:val="24"/>
              </w:rPr>
              <w:t>（3）环境影响跟踪监测计划</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由于项目地下水</w:t>
            </w:r>
            <w:r>
              <w:rPr>
                <w:rFonts w:hint="eastAsia" w:ascii="Times New Roman" w:hAnsi="Times New Roman" w:cs="Times New Roman"/>
                <w:color w:val="000000" w:themeColor="text1"/>
                <w:sz w:val="24"/>
                <w:szCs w:val="24"/>
              </w:rPr>
              <w:t>和土壤</w:t>
            </w:r>
            <w:r>
              <w:rPr>
                <w:rFonts w:ascii="Times New Roman" w:hAnsi="Times New Roman" w:cs="Times New Roman"/>
                <w:color w:val="000000" w:themeColor="text1"/>
                <w:sz w:val="24"/>
                <w:szCs w:val="24"/>
              </w:rPr>
              <w:t>影响较小，因此该项目不设置地下水</w:t>
            </w:r>
            <w:r>
              <w:rPr>
                <w:rFonts w:hint="eastAsia" w:ascii="Times New Roman" w:hAnsi="Times New Roman" w:cs="Times New Roman"/>
                <w:color w:val="000000" w:themeColor="text1"/>
                <w:sz w:val="24"/>
                <w:szCs w:val="24"/>
              </w:rPr>
              <w:t>和土壤</w:t>
            </w:r>
            <w:r>
              <w:rPr>
                <w:rFonts w:ascii="Times New Roman" w:hAnsi="Times New Roman" w:cs="Times New Roman"/>
                <w:color w:val="000000" w:themeColor="text1"/>
                <w:sz w:val="24"/>
                <w:szCs w:val="24"/>
              </w:rPr>
              <w:t>环境影响跟踪监测计划。</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4.2.6 生态环境影响和保护措施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该项目位于昆明市东川区因民镇牛厂坪村，该项目购买原昆明东川众誉矿业有限责任公司砂厂范围内建设，项目建设对生态环境影响较小。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4.2.7 环境风险影响和防治措施</w:t>
            </w:r>
          </w:p>
          <w:p>
            <w:pPr>
              <w:pStyle w:val="40"/>
              <w:ind w:firstLine="361" w:firstLineChars="150"/>
              <w:rPr>
                <w:rFonts w:eastAsiaTheme="minorEastAsia"/>
                <w:b/>
                <w:color w:val="000000" w:themeColor="text1"/>
                <w:szCs w:val="24"/>
              </w:rPr>
            </w:pPr>
            <w:r>
              <w:rPr>
                <w:rFonts w:eastAsiaTheme="minorEastAsia"/>
                <w:b/>
                <w:color w:val="000000" w:themeColor="text1"/>
                <w:szCs w:val="24"/>
              </w:rPr>
              <w:t>（1）风险物质的分布情况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按照《建设项目环境风险评价技术导则》（HJ 169-2018）的要求，环境风险主要对涉及到的有毒有害和易燃易爆危险物质生产、使用、储存（包括使用管线输运）可能发生的突发性事故（不包括人为破坏及自然灾害引发的事故）的环境风险评价。根据项目特点，该项目危险废物，其危险特性如下表所示。</w:t>
            </w:r>
          </w:p>
          <w:p>
            <w:pPr>
              <w:pStyle w:val="34"/>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表4.2.7-1  项目涉及的危险物质基本情况一览表</w:t>
            </w:r>
          </w:p>
          <w:tbl>
            <w:tblPr>
              <w:tblStyle w:val="21"/>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58"/>
              <w:gridCol w:w="1081"/>
              <w:gridCol w:w="947"/>
              <w:gridCol w:w="814"/>
              <w:gridCol w:w="1081"/>
              <w:gridCol w:w="1081"/>
              <w:gridCol w:w="28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8" w:type="dxa"/>
                  <w:vAlign w:val="center"/>
                </w:tcPr>
                <w:p>
                  <w:pPr>
                    <w:pStyle w:val="32"/>
                    <w:spacing w:line="360" w:lineRule="exact"/>
                    <w:rPr>
                      <w:color w:val="000000" w:themeColor="text1"/>
                      <w:szCs w:val="21"/>
                    </w:rPr>
                  </w:pPr>
                  <w:r>
                    <w:rPr>
                      <w:color w:val="000000" w:themeColor="text1"/>
                      <w:szCs w:val="21"/>
                    </w:rPr>
                    <w:t>产生环节</w:t>
                  </w:r>
                </w:p>
              </w:tc>
              <w:tc>
                <w:tcPr>
                  <w:tcW w:w="1081" w:type="dxa"/>
                  <w:vAlign w:val="center"/>
                </w:tcPr>
                <w:p>
                  <w:pPr>
                    <w:pStyle w:val="32"/>
                    <w:spacing w:line="360" w:lineRule="exact"/>
                    <w:rPr>
                      <w:color w:val="000000" w:themeColor="text1"/>
                      <w:szCs w:val="21"/>
                    </w:rPr>
                  </w:pPr>
                  <w:r>
                    <w:rPr>
                      <w:color w:val="000000" w:themeColor="text1"/>
                      <w:szCs w:val="21"/>
                    </w:rPr>
                    <w:t>危险物质</w:t>
                  </w:r>
                </w:p>
              </w:tc>
              <w:tc>
                <w:tcPr>
                  <w:tcW w:w="947" w:type="dxa"/>
                  <w:vAlign w:val="center"/>
                </w:tcPr>
                <w:p>
                  <w:pPr>
                    <w:pStyle w:val="32"/>
                    <w:spacing w:line="360" w:lineRule="exact"/>
                    <w:rPr>
                      <w:color w:val="000000" w:themeColor="text1"/>
                      <w:szCs w:val="21"/>
                    </w:rPr>
                  </w:pPr>
                  <w:r>
                    <w:rPr>
                      <w:color w:val="000000" w:themeColor="text1"/>
                      <w:szCs w:val="21"/>
                    </w:rPr>
                    <w:t>年使用/产生量</w:t>
                  </w:r>
                </w:p>
              </w:tc>
              <w:tc>
                <w:tcPr>
                  <w:tcW w:w="814" w:type="dxa"/>
                  <w:tcBorders>
                    <w:right w:val="single" w:color="auto" w:sz="4" w:space="0"/>
                  </w:tcBorders>
                  <w:vAlign w:val="center"/>
                </w:tcPr>
                <w:p>
                  <w:pPr>
                    <w:pStyle w:val="32"/>
                    <w:spacing w:line="360" w:lineRule="exact"/>
                    <w:rPr>
                      <w:color w:val="000000" w:themeColor="text1"/>
                      <w:szCs w:val="21"/>
                    </w:rPr>
                  </w:pPr>
                  <w:r>
                    <w:rPr>
                      <w:color w:val="000000" w:themeColor="text1"/>
                      <w:szCs w:val="21"/>
                    </w:rPr>
                    <w:t>最大储存量</w:t>
                  </w:r>
                </w:p>
              </w:tc>
              <w:tc>
                <w:tcPr>
                  <w:tcW w:w="1081" w:type="dxa"/>
                  <w:tcBorders>
                    <w:left w:val="single" w:color="auto" w:sz="4" w:space="0"/>
                    <w:righ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临界量</w:t>
                  </w:r>
                </w:p>
              </w:tc>
              <w:tc>
                <w:tcPr>
                  <w:tcW w:w="1081" w:type="dxa"/>
                  <w:tcBorders>
                    <w:lef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Q值</w:t>
                  </w:r>
                </w:p>
              </w:tc>
              <w:tc>
                <w:tcPr>
                  <w:tcW w:w="2843" w:type="dxa"/>
                  <w:vAlign w:val="center"/>
                </w:tcPr>
                <w:p>
                  <w:pPr>
                    <w:pStyle w:val="32"/>
                    <w:spacing w:line="360" w:lineRule="exact"/>
                    <w:rPr>
                      <w:color w:val="000000" w:themeColor="text1"/>
                      <w:szCs w:val="21"/>
                    </w:rPr>
                  </w:pPr>
                  <w:r>
                    <w:rPr>
                      <w:color w:val="000000" w:themeColor="text1"/>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使用</w:t>
                  </w:r>
                </w:p>
              </w:tc>
              <w:tc>
                <w:tcPr>
                  <w:tcW w:w="108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次氯酸钠</w:t>
                  </w:r>
                </w:p>
              </w:tc>
              <w:tc>
                <w:tcPr>
                  <w:tcW w:w="94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0.05t/a</w:t>
                  </w:r>
                </w:p>
              </w:tc>
              <w:tc>
                <w:tcPr>
                  <w:tcW w:w="814" w:type="dxa"/>
                  <w:tcBorders>
                    <w:right w:val="single" w:color="auto" w:sz="4" w:space="0"/>
                  </w:tcBorders>
                  <w:vAlign w:val="center"/>
                </w:tcPr>
                <w:p>
                  <w:pPr>
                    <w:pStyle w:val="32"/>
                    <w:spacing w:line="360" w:lineRule="exact"/>
                    <w:ind w:left="11"/>
                    <w:rPr>
                      <w:rFonts w:eastAsiaTheme="minorEastAsia"/>
                      <w:color w:val="000000" w:themeColor="text1"/>
                      <w:szCs w:val="21"/>
                    </w:rPr>
                  </w:pPr>
                  <w:r>
                    <w:rPr>
                      <w:rFonts w:eastAsiaTheme="minorEastAsia"/>
                      <w:color w:val="000000" w:themeColor="text1"/>
                      <w:szCs w:val="21"/>
                    </w:rPr>
                    <w:t>0.05t</w:t>
                  </w:r>
                </w:p>
              </w:tc>
              <w:tc>
                <w:tcPr>
                  <w:tcW w:w="1081" w:type="dxa"/>
                  <w:tcBorders>
                    <w:left w:val="single" w:color="auto" w:sz="4" w:space="0"/>
                    <w:righ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5t</w:t>
                  </w:r>
                </w:p>
              </w:tc>
              <w:tc>
                <w:tcPr>
                  <w:tcW w:w="1081" w:type="dxa"/>
                  <w:tcBorders>
                    <w:lef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0.01</w:t>
                  </w:r>
                </w:p>
              </w:tc>
              <w:tc>
                <w:tcPr>
                  <w:tcW w:w="2843" w:type="dxa"/>
                  <w:vAlign w:val="center"/>
                </w:tcPr>
                <w:p>
                  <w:pPr>
                    <w:pStyle w:val="32"/>
                    <w:spacing w:line="360" w:lineRule="exact"/>
                    <w:ind w:left="11" w:firstLine="210" w:firstLineChars="100"/>
                    <w:jc w:val="both"/>
                    <w:rPr>
                      <w:color w:val="000000" w:themeColor="text1"/>
                    </w:rPr>
                  </w:pPr>
                  <w:r>
                    <w:rPr>
                      <w:color w:val="000000" w:themeColor="text1"/>
                    </w:rPr>
                    <w:t>采用袋装贮存于办公生活区内，保持干燥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储存</w:t>
                  </w:r>
                </w:p>
              </w:tc>
              <w:tc>
                <w:tcPr>
                  <w:tcW w:w="108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废机油</w:t>
                  </w:r>
                </w:p>
              </w:tc>
              <w:tc>
                <w:tcPr>
                  <w:tcW w:w="94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80kg/a</w:t>
                  </w:r>
                </w:p>
              </w:tc>
              <w:tc>
                <w:tcPr>
                  <w:tcW w:w="814" w:type="dxa"/>
                  <w:tcBorders>
                    <w:righ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0.08t/a</w:t>
                  </w:r>
                </w:p>
              </w:tc>
              <w:tc>
                <w:tcPr>
                  <w:tcW w:w="1081" w:type="dxa"/>
                  <w:tcBorders>
                    <w:left w:val="single" w:color="auto" w:sz="4" w:space="0"/>
                    <w:righ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2500t</w:t>
                  </w:r>
                </w:p>
              </w:tc>
              <w:tc>
                <w:tcPr>
                  <w:tcW w:w="1081" w:type="dxa"/>
                  <w:tcBorders>
                    <w:lef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0.000032</w:t>
                  </w:r>
                </w:p>
              </w:tc>
              <w:tc>
                <w:tcPr>
                  <w:tcW w:w="2843" w:type="dxa"/>
                  <w:vAlign w:val="center"/>
                </w:tcPr>
                <w:p>
                  <w:pPr>
                    <w:pStyle w:val="32"/>
                    <w:spacing w:line="360" w:lineRule="exact"/>
                    <w:ind w:left="11" w:firstLine="210" w:firstLineChars="100"/>
                    <w:jc w:val="both"/>
                    <w:rPr>
                      <w:color w:val="000000" w:themeColor="text1"/>
                    </w:rPr>
                  </w:pPr>
                  <w:r>
                    <w:rPr>
                      <w:color w:val="000000" w:themeColor="text1"/>
                    </w:rPr>
                    <w:t>桶装暂存于危险废物贮存间</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项目涉及危险物质的理化性质如下表所示。</w:t>
            </w:r>
          </w:p>
          <w:p>
            <w:pPr>
              <w:pStyle w:val="34"/>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表4.2.7-2 危险物质主要成分基本性质一览表</w:t>
            </w:r>
          </w:p>
          <w:tbl>
            <w:tblPr>
              <w:tblStyle w:val="2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01"/>
              <w:gridCol w:w="1346"/>
              <w:gridCol w:w="1053"/>
              <w:gridCol w:w="1184"/>
              <w:gridCol w:w="37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01"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次氯酸钠</w:t>
                  </w:r>
                </w:p>
              </w:tc>
              <w:tc>
                <w:tcPr>
                  <w:tcW w:w="134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文别名：</w:t>
                  </w:r>
                </w:p>
              </w:tc>
              <w:tc>
                <w:tcPr>
                  <w:tcW w:w="1053"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次氯酸钠</w:t>
                  </w:r>
                </w:p>
              </w:tc>
              <w:tc>
                <w:tcPr>
                  <w:tcW w:w="118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英文名称：</w:t>
                  </w:r>
                </w:p>
              </w:tc>
              <w:tc>
                <w:tcPr>
                  <w:tcW w:w="372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0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4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CAS号：</w:t>
                  </w:r>
                </w:p>
              </w:tc>
              <w:tc>
                <w:tcPr>
                  <w:tcW w:w="1053"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7681-52-9</w:t>
                  </w:r>
                </w:p>
              </w:tc>
              <w:tc>
                <w:tcPr>
                  <w:tcW w:w="1184" w:type="dxa"/>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UN号：</w:t>
                  </w:r>
                </w:p>
              </w:tc>
              <w:tc>
                <w:tcPr>
                  <w:tcW w:w="372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1791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0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4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危险性类别：</w:t>
                  </w:r>
                </w:p>
              </w:tc>
              <w:tc>
                <w:tcPr>
                  <w:tcW w:w="5958"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皮肤腐蚀/刺激-类别1B，严重眼损伤/眼刺激-类别1，危害水生环境-急性危害-类别1，危害水生环境-长期危害-类别1，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0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4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GHS警示词：</w:t>
                  </w:r>
                </w:p>
              </w:tc>
              <w:tc>
                <w:tcPr>
                  <w:tcW w:w="5958"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危险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0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4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危险性说明：</w:t>
                  </w:r>
                </w:p>
              </w:tc>
              <w:tc>
                <w:tcPr>
                  <w:tcW w:w="5958"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H314:造成严重的皮肤灼伤和眼损伤H410；对水生生物毒性极大并具有长期持续影响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0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4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理化特性：</w:t>
                  </w:r>
                </w:p>
              </w:tc>
              <w:tc>
                <w:tcPr>
                  <w:tcW w:w="5958"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微黄色、有似氯气的气味，溶于水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0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4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燃烧与爆炸危险性</w:t>
                  </w:r>
                </w:p>
              </w:tc>
              <w:tc>
                <w:tcPr>
                  <w:tcW w:w="5958"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不燃，无特殊燃爆特性。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0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4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活性反应：</w:t>
                  </w:r>
                </w:p>
              </w:tc>
              <w:tc>
                <w:tcPr>
                  <w:tcW w:w="5958"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与强还原剂、易燃或可燃物等禁配物接触发生强烈反应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0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4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禁忌物：</w:t>
                  </w:r>
                </w:p>
              </w:tc>
              <w:tc>
                <w:tcPr>
                  <w:tcW w:w="5958"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碱类。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0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4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毒性：</w:t>
                  </w:r>
                </w:p>
              </w:tc>
              <w:tc>
                <w:tcPr>
                  <w:tcW w:w="5958"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LD50：8500mg/kg（大鼠腹腔）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01" w:type="dxa"/>
                  <w:vMerge w:val="restart"/>
                  <w:vAlign w:val="center"/>
                </w:tcPr>
                <w:p>
                  <w:pPr>
                    <w:pStyle w:val="32"/>
                    <w:spacing w:line="360" w:lineRule="exact"/>
                    <w:rPr>
                      <w:color w:val="000000" w:themeColor="text1"/>
                      <w:szCs w:val="21"/>
                    </w:rPr>
                  </w:pPr>
                  <w:r>
                    <w:rPr>
                      <w:color w:val="000000" w:themeColor="text1"/>
                      <w:szCs w:val="21"/>
                    </w:rPr>
                    <w:t>废机油</w:t>
                  </w:r>
                </w:p>
              </w:tc>
              <w:tc>
                <w:tcPr>
                  <w:tcW w:w="1346" w:type="dxa"/>
                </w:tcPr>
                <w:p>
                  <w:pPr>
                    <w:pStyle w:val="32"/>
                    <w:spacing w:line="360" w:lineRule="exact"/>
                    <w:rPr>
                      <w:color w:val="000000" w:themeColor="text1"/>
                      <w:szCs w:val="21"/>
                    </w:rPr>
                  </w:pPr>
                  <w:r>
                    <w:rPr>
                      <w:color w:val="000000" w:themeColor="text1"/>
                      <w:szCs w:val="21"/>
                    </w:rPr>
                    <w:t>废物类别</w:t>
                  </w:r>
                </w:p>
              </w:tc>
              <w:tc>
                <w:tcPr>
                  <w:tcW w:w="5958" w:type="dxa"/>
                  <w:gridSpan w:val="3"/>
                  <w:vAlign w:val="center"/>
                </w:tcPr>
                <w:p>
                  <w:pPr>
                    <w:pStyle w:val="32"/>
                    <w:spacing w:line="360" w:lineRule="exact"/>
                    <w:ind w:left="11" w:firstLine="210" w:firstLineChars="100"/>
                    <w:jc w:val="left"/>
                    <w:rPr>
                      <w:color w:val="000000" w:themeColor="text1"/>
                      <w:szCs w:val="21"/>
                    </w:rPr>
                  </w:pPr>
                  <w:r>
                    <w:rPr>
                      <w:color w:val="000000" w:themeColor="text1"/>
                      <w:szCs w:val="21"/>
                    </w:rPr>
                    <w:t>HW08废矿物油与含矿物油废物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01" w:type="dxa"/>
                  <w:vMerge w:val="continue"/>
                  <w:vAlign w:val="center"/>
                </w:tcPr>
                <w:p>
                  <w:pPr>
                    <w:pStyle w:val="32"/>
                    <w:spacing w:line="360" w:lineRule="exact"/>
                    <w:rPr>
                      <w:color w:val="000000" w:themeColor="text1"/>
                      <w:szCs w:val="21"/>
                    </w:rPr>
                  </w:pPr>
                </w:p>
              </w:tc>
              <w:tc>
                <w:tcPr>
                  <w:tcW w:w="1346" w:type="dxa"/>
                  <w:vAlign w:val="center"/>
                </w:tcPr>
                <w:p>
                  <w:pPr>
                    <w:pStyle w:val="32"/>
                    <w:spacing w:line="360" w:lineRule="exact"/>
                    <w:rPr>
                      <w:color w:val="000000" w:themeColor="text1"/>
                      <w:szCs w:val="21"/>
                    </w:rPr>
                  </w:pPr>
                  <w:r>
                    <w:rPr>
                      <w:color w:val="000000" w:themeColor="text1"/>
                      <w:szCs w:val="21"/>
                    </w:rPr>
                    <w:t>废物代码</w:t>
                  </w:r>
                </w:p>
              </w:tc>
              <w:tc>
                <w:tcPr>
                  <w:tcW w:w="5958" w:type="dxa"/>
                  <w:gridSpan w:val="3"/>
                  <w:vAlign w:val="center"/>
                </w:tcPr>
                <w:p>
                  <w:pPr>
                    <w:pStyle w:val="32"/>
                    <w:spacing w:line="360" w:lineRule="exact"/>
                    <w:ind w:left="11" w:firstLine="210" w:firstLineChars="100"/>
                    <w:jc w:val="left"/>
                    <w:rPr>
                      <w:color w:val="000000" w:themeColor="text1"/>
                      <w:szCs w:val="21"/>
                    </w:rPr>
                  </w:pPr>
                  <w:r>
                    <w:rPr>
                      <w:color w:val="000000" w:themeColor="text1"/>
                      <w:szCs w:val="21"/>
                    </w:rPr>
                    <w:t>900-214-08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01" w:type="dxa"/>
                  <w:vMerge w:val="continue"/>
                  <w:vAlign w:val="center"/>
                </w:tcPr>
                <w:p>
                  <w:pPr>
                    <w:pStyle w:val="32"/>
                    <w:spacing w:line="360" w:lineRule="exact"/>
                    <w:rPr>
                      <w:color w:val="000000" w:themeColor="text1"/>
                      <w:szCs w:val="21"/>
                    </w:rPr>
                  </w:pPr>
                </w:p>
              </w:tc>
              <w:tc>
                <w:tcPr>
                  <w:tcW w:w="1346" w:type="dxa"/>
                  <w:vAlign w:val="center"/>
                </w:tcPr>
                <w:p>
                  <w:pPr>
                    <w:pStyle w:val="32"/>
                    <w:spacing w:line="360" w:lineRule="exact"/>
                    <w:rPr>
                      <w:color w:val="000000" w:themeColor="text1"/>
                      <w:szCs w:val="21"/>
                    </w:rPr>
                  </w:pPr>
                  <w:r>
                    <w:rPr>
                      <w:color w:val="000000" w:themeColor="text1"/>
                      <w:szCs w:val="21"/>
                    </w:rPr>
                    <w:t>危险特征</w:t>
                  </w:r>
                </w:p>
              </w:tc>
              <w:tc>
                <w:tcPr>
                  <w:tcW w:w="5958" w:type="dxa"/>
                  <w:gridSpan w:val="3"/>
                  <w:vAlign w:val="center"/>
                </w:tcPr>
                <w:p>
                  <w:pPr>
                    <w:pStyle w:val="32"/>
                    <w:spacing w:line="360" w:lineRule="exact"/>
                    <w:ind w:left="11" w:firstLine="210" w:firstLineChars="100"/>
                    <w:jc w:val="left"/>
                    <w:rPr>
                      <w:color w:val="000000" w:themeColor="text1"/>
                      <w:szCs w:val="21"/>
                    </w:rPr>
                  </w:pPr>
                  <w:r>
                    <w:rPr>
                      <w:color w:val="000000" w:themeColor="text1"/>
                      <w:szCs w:val="21"/>
                    </w:rPr>
                    <w:t>T，I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01" w:type="dxa"/>
                  <w:vMerge w:val="continue"/>
                  <w:vAlign w:val="center"/>
                </w:tcPr>
                <w:p>
                  <w:pPr>
                    <w:pStyle w:val="32"/>
                    <w:spacing w:line="360" w:lineRule="exact"/>
                    <w:rPr>
                      <w:color w:val="000000" w:themeColor="text1"/>
                      <w:szCs w:val="21"/>
                    </w:rPr>
                  </w:pPr>
                </w:p>
              </w:tc>
              <w:tc>
                <w:tcPr>
                  <w:tcW w:w="1346" w:type="dxa"/>
                  <w:vAlign w:val="center"/>
                </w:tcPr>
                <w:p>
                  <w:pPr>
                    <w:pStyle w:val="32"/>
                    <w:spacing w:line="360" w:lineRule="exact"/>
                    <w:rPr>
                      <w:color w:val="000000" w:themeColor="text1"/>
                      <w:szCs w:val="21"/>
                    </w:rPr>
                  </w:pPr>
                  <w:r>
                    <w:rPr>
                      <w:color w:val="000000" w:themeColor="text1"/>
                      <w:szCs w:val="21"/>
                    </w:rPr>
                    <w:t>危险特性</w:t>
                  </w:r>
                </w:p>
              </w:tc>
              <w:tc>
                <w:tcPr>
                  <w:tcW w:w="5958" w:type="dxa"/>
                  <w:gridSpan w:val="3"/>
                  <w:vAlign w:val="center"/>
                </w:tcPr>
                <w:p>
                  <w:pPr>
                    <w:pStyle w:val="32"/>
                    <w:spacing w:line="360" w:lineRule="exact"/>
                    <w:ind w:left="11" w:firstLine="210" w:firstLineChars="100"/>
                    <w:jc w:val="left"/>
                    <w:rPr>
                      <w:color w:val="000000" w:themeColor="text1"/>
                      <w:szCs w:val="21"/>
                    </w:rPr>
                  </w:pPr>
                  <w:r>
                    <w:rPr>
                      <w:color w:val="000000" w:themeColor="text1"/>
                      <w:szCs w:val="21"/>
                    </w:rPr>
                    <w:t>和矿物油性质类似，废矿油含有多种有毒性物质。如果废矿油内的有毒物质通过人体和动物的表皮渗透到血液中，并在体内积累，会导致各种细胞丧失正常功能，是公认的致癌和致突变化合物。其毒性可经呼吸道、消化道、皮肤进入人体。主要引起消化道和中枢神经系统损害。大剂量食入矿物油而引发的急性中毒变现为恶心、呕吐、头晕、视物模糊、易激动、步态不稳、细微震颤等。一般日常食用多位呕吐、腹泻症状。慢性中毒则可导致神经衰弱综合症及植物神经功能紊乱，轻者出现头晕、头疼、记忆力下降、失眠多梦、心悸、乏力等，有眼睑、舌、手指震颤，有些患者甚至会有癔病样发作；重者可出现表情淡漠、反应迟钝、傻笑、智力下降等类似精神分裂的症状。</w:t>
                  </w:r>
                </w:p>
              </w:tc>
            </w:tr>
          </w:tbl>
          <w:p>
            <w:pPr>
              <w:pStyle w:val="40"/>
              <w:spacing w:beforeLines="50"/>
              <w:ind w:firstLine="361" w:firstLineChars="150"/>
              <w:rPr>
                <w:rFonts w:eastAsiaTheme="minorEastAsia"/>
                <w:b/>
                <w:color w:val="000000" w:themeColor="text1"/>
                <w:szCs w:val="24"/>
              </w:rPr>
            </w:pPr>
            <w:r>
              <w:rPr>
                <w:rFonts w:eastAsiaTheme="minorEastAsia"/>
                <w:b/>
                <w:color w:val="000000" w:themeColor="text1"/>
                <w:szCs w:val="24"/>
              </w:rPr>
              <w:t>（2）可能影响途径</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该项目危险物质在存储及运输过程中泄露对地下水和土壤造成影响。影响途经具体如下：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eastAsia="宋体" w:cs="Times New Roman"/>
                <w:color w:val="000000" w:themeColor="text1"/>
                <w:sz w:val="24"/>
                <w:szCs w:val="24"/>
              </w:rPr>
              <w:t>①</w:t>
            </w:r>
            <w:r>
              <w:rPr>
                <w:rFonts w:ascii="Times New Roman" w:hAnsi="Times New Roman" w:cs="Times New Roman"/>
                <w:color w:val="000000" w:themeColor="text1"/>
                <w:sz w:val="24"/>
                <w:szCs w:val="24"/>
              </w:rPr>
              <w:t>次氯酸钠发生泄漏对人或水生生物造成影响。</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eastAsia="宋体" w:cs="Times New Roman"/>
                <w:color w:val="000000" w:themeColor="text1"/>
                <w:sz w:val="24"/>
                <w:szCs w:val="24"/>
              </w:rPr>
              <w:t>②</w:t>
            </w:r>
            <w:r>
              <w:rPr>
                <w:rFonts w:ascii="Times New Roman" w:hAnsi="Times New Roman" w:cs="Times New Roman"/>
                <w:color w:val="000000" w:themeColor="text1"/>
                <w:sz w:val="24"/>
                <w:szCs w:val="24"/>
              </w:rPr>
              <w:t>该项目废机油在存储及运输过程中泄露的环境风险。</w:t>
            </w:r>
          </w:p>
          <w:p>
            <w:pPr>
              <w:pStyle w:val="40"/>
              <w:ind w:firstLine="361" w:firstLineChars="150"/>
              <w:rPr>
                <w:rFonts w:eastAsiaTheme="minorEastAsia"/>
                <w:b/>
                <w:color w:val="000000" w:themeColor="text1"/>
                <w:szCs w:val="24"/>
              </w:rPr>
            </w:pPr>
            <w:r>
              <w:rPr>
                <w:rFonts w:eastAsiaTheme="minorEastAsia"/>
                <w:b/>
                <w:color w:val="000000" w:themeColor="text1"/>
                <w:szCs w:val="24"/>
              </w:rPr>
              <w:t>（3）环境风险防范措施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根据该项目环境影响途经，提出以下风险防范措施：</w:t>
            </w:r>
          </w:p>
          <w:p>
            <w:pPr>
              <w:spacing w:line="360" w:lineRule="auto"/>
              <w:ind w:firstLine="480" w:firstLineChars="200"/>
              <w:rPr>
                <w:rFonts w:ascii="Times New Roman" w:hAnsi="Times New Roman" w:cs="Times New Roman"/>
                <w:color w:val="000000" w:themeColor="text1"/>
                <w:sz w:val="24"/>
                <w:szCs w:val="24"/>
              </w:rPr>
            </w:pPr>
            <w:bookmarkStart w:id="12" w:name="_Toc67822189"/>
            <w:bookmarkStart w:id="13" w:name="_Toc82857308"/>
            <w:bookmarkStart w:id="14" w:name="_Toc114997846"/>
            <w:bookmarkStart w:id="15" w:name="_Toc57516232"/>
            <w:bookmarkStart w:id="16" w:name="_Toc116622310"/>
            <w:bookmarkStart w:id="17" w:name="_Toc115259923"/>
            <w:bookmarkStart w:id="18" w:name="_Toc57516383"/>
            <w:bookmarkStart w:id="19" w:name="_Toc56427845"/>
            <w:bookmarkStart w:id="20" w:name="_Toc76139457"/>
            <w:bookmarkStart w:id="21" w:name="_Toc88466811"/>
            <w:r>
              <w:rPr>
                <w:rFonts w:ascii="Times New Roman" w:hAnsi="Times New Roman" w:eastAsia="宋体" w:cs="Times New Roman"/>
                <w:color w:val="000000" w:themeColor="text1"/>
                <w:sz w:val="24"/>
                <w:szCs w:val="24"/>
              </w:rPr>
              <w:t>①</w:t>
            </w:r>
            <w:r>
              <w:rPr>
                <w:rFonts w:ascii="Times New Roman" w:hAnsi="Times New Roman" w:cs="Times New Roman"/>
                <w:color w:val="000000" w:themeColor="text1"/>
                <w:sz w:val="24"/>
                <w:szCs w:val="24"/>
              </w:rPr>
              <w:t>危废废物应储存于规范的危险废物贮存间；危险废物贮存间地面和裙墙应采用不低于2mm厚的HDPE膜或其他人工防渗材料进行防渗，使其渗透系数≤10</w:t>
            </w:r>
            <w:r>
              <w:rPr>
                <w:rFonts w:ascii="Times New Roman" w:hAnsi="Times New Roman" w:cs="Times New Roman"/>
                <w:color w:val="000000" w:themeColor="text1"/>
                <w:sz w:val="24"/>
                <w:szCs w:val="24"/>
                <w:vertAlign w:val="superscript"/>
              </w:rPr>
              <w:t>-10</w:t>
            </w:r>
            <w:r>
              <w:rPr>
                <w:rFonts w:ascii="Times New Roman" w:hAnsi="Times New Roman" w:cs="Times New Roman"/>
                <w:color w:val="000000" w:themeColor="text1"/>
                <w:sz w:val="24"/>
                <w:szCs w:val="24"/>
              </w:rPr>
              <w:t>cm/s；危险废物入库时，严格检验物品质量、数量、包装情况、有无泄漏。</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eastAsia="宋体" w:cs="Times New Roman"/>
                <w:color w:val="000000" w:themeColor="text1"/>
                <w:sz w:val="24"/>
                <w:szCs w:val="24"/>
              </w:rPr>
              <w:t>②</w:t>
            </w:r>
            <w:r>
              <w:rPr>
                <w:rFonts w:ascii="Times New Roman" w:hAnsi="Times New Roman" w:cs="Times New Roman"/>
                <w:color w:val="000000" w:themeColor="text1"/>
                <w:sz w:val="24"/>
                <w:szCs w:val="24"/>
              </w:rPr>
              <w:t>危险废物应由具有《危险废物经营许可证》并可以处置该类废物的单位进行处理处置，并严格执行危险废物转移联单制度，在危险废物转移前三日内报告移出地环境保护行政主管部门，并同时将预期到达时间报告接受地环境保护行政主管部门。严禁将各类废物转移给没有相应处理资质及能力的单位。</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eastAsia="宋体" w:cs="Times New Roman"/>
                <w:color w:val="000000" w:themeColor="text1"/>
                <w:sz w:val="24"/>
                <w:szCs w:val="24"/>
              </w:rPr>
              <w:t>③</w:t>
            </w:r>
            <w:r>
              <w:rPr>
                <w:rFonts w:ascii="Times New Roman" w:hAnsi="Times New Roman" w:cs="Times New Roman"/>
                <w:color w:val="000000" w:themeColor="text1"/>
                <w:sz w:val="24"/>
                <w:szCs w:val="24"/>
              </w:rPr>
              <w:t>项目区配备相应品种的消防器材。</w:t>
            </w:r>
            <w:bookmarkEnd w:id="12"/>
            <w:bookmarkEnd w:id="13"/>
            <w:bookmarkEnd w:id="14"/>
            <w:bookmarkEnd w:id="15"/>
            <w:bookmarkEnd w:id="16"/>
            <w:bookmarkEnd w:id="17"/>
            <w:bookmarkEnd w:id="18"/>
            <w:bookmarkEnd w:id="19"/>
            <w:bookmarkEnd w:id="20"/>
            <w:bookmarkEnd w:id="21"/>
          </w:p>
          <w:p>
            <w:pPr>
              <w:spacing w:line="360" w:lineRule="auto"/>
              <w:ind w:firstLine="480" w:firstLineChars="200"/>
              <w:rPr>
                <w:rFonts w:ascii="Times New Roman" w:hAnsi="Times New Roman" w:cs="Times New Roman"/>
                <w:color w:val="000000" w:themeColor="text1"/>
                <w:sz w:val="24"/>
                <w:szCs w:val="24"/>
              </w:rPr>
            </w:pPr>
            <w:r>
              <w:rPr>
                <w:rFonts w:hint="eastAsia" w:ascii="宋体" w:hAnsi="宋体" w:eastAsia="宋体" w:cs="宋体"/>
                <w:color w:val="000000" w:themeColor="text1"/>
                <w:sz w:val="24"/>
                <w:szCs w:val="24"/>
              </w:rPr>
              <w:t>④</w:t>
            </w:r>
            <w:r>
              <w:rPr>
                <w:rFonts w:ascii="Times New Roman" w:hAnsi="Times New Roman" w:cs="Times New Roman"/>
                <w:color w:val="000000" w:themeColor="text1"/>
                <w:sz w:val="24"/>
                <w:szCs w:val="24"/>
              </w:rPr>
              <w:t>次氯酸钠入库时，严格检验物品质量、数量、包装情况、有无泄漏。入库后应采取适当的养护措施，在贮存期内，定期检查，发现其品质变化、包装破损、渗漏等，应及时处理。</w:t>
            </w:r>
          </w:p>
          <w:p>
            <w:pPr>
              <w:pStyle w:val="40"/>
              <w:ind w:firstLine="361" w:firstLineChars="150"/>
              <w:rPr>
                <w:rFonts w:eastAsiaTheme="minorEastAsia"/>
                <w:b/>
                <w:color w:val="000000" w:themeColor="text1"/>
                <w:szCs w:val="24"/>
              </w:rPr>
            </w:pPr>
            <w:r>
              <w:rPr>
                <w:rFonts w:eastAsiaTheme="minorEastAsia"/>
                <w:b/>
                <w:color w:val="000000" w:themeColor="text1"/>
                <w:szCs w:val="24"/>
              </w:rPr>
              <w:t>（4）环境风险结论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该项目涉及到的危险物质主要有次氯酸钠和废机油等，在采取严格的防护措施后，事故发生概率较小，环境风险可接受。</w:t>
            </w:r>
          </w:p>
          <w:p>
            <w:pPr>
              <w:spacing w:line="360" w:lineRule="auto"/>
              <w:ind w:firstLine="482" w:firstLineChars="200"/>
              <w:rPr>
                <w:rFonts w:ascii="Times New Roman" w:hAnsi="Times New Roman" w:cs="Times New Roman"/>
                <w:b/>
                <w:color w:val="000000" w:themeColor="text1"/>
                <w:sz w:val="24"/>
                <w:szCs w:val="24"/>
              </w:rPr>
            </w:pPr>
            <w:bookmarkStart w:id="22" w:name="_Toc72228649"/>
            <w:r>
              <w:rPr>
                <w:rFonts w:ascii="Times New Roman" w:hAnsi="Times New Roman" w:cs="Times New Roman"/>
                <w:b/>
                <w:color w:val="000000" w:themeColor="text1"/>
                <w:sz w:val="24"/>
                <w:szCs w:val="24"/>
              </w:rPr>
              <w:t>4.3 环保投资估算</w:t>
            </w:r>
            <w:bookmarkEnd w:id="22"/>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4.3.1 一期工程环保投资估算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w:t>
            </w: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拟采取措施的具体内容、责任主体、实施时段及环境保护投入资金如下表所示。</w:t>
            </w:r>
          </w:p>
          <w:p>
            <w:pPr>
              <w:pStyle w:val="34"/>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表4.3-1  项目</w:t>
            </w:r>
            <w:r>
              <w:rPr>
                <w:rFonts w:hint="eastAsia" w:hAnsi="Times New Roman" w:eastAsiaTheme="minorEastAsia"/>
                <w:color w:val="000000" w:themeColor="text1"/>
                <w:sz w:val="21"/>
                <w:szCs w:val="21"/>
              </w:rPr>
              <w:t>一期工程</w:t>
            </w:r>
            <w:r>
              <w:rPr>
                <w:rFonts w:hAnsi="Times New Roman" w:eastAsiaTheme="minorEastAsia"/>
                <w:color w:val="000000" w:themeColor="text1"/>
                <w:sz w:val="21"/>
                <w:szCs w:val="21"/>
              </w:rPr>
              <w:t>环保投资一览表 单位：万元</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568"/>
              <w:gridCol w:w="39"/>
              <w:gridCol w:w="669"/>
              <w:gridCol w:w="1417"/>
              <w:gridCol w:w="2546"/>
              <w:gridCol w:w="8"/>
              <w:gridCol w:w="702"/>
              <w:gridCol w:w="141"/>
              <w:gridCol w:w="568"/>
              <w:gridCol w:w="782"/>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vMerge w:val="restart"/>
                  <w:vAlign w:val="center"/>
                </w:tcPr>
                <w:p>
                  <w:pPr>
                    <w:pStyle w:val="32"/>
                    <w:spacing w:line="360" w:lineRule="exact"/>
                    <w:rPr>
                      <w:color w:val="000000" w:themeColor="text1"/>
                      <w:szCs w:val="21"/>
                    </w:rPr>
                  </w:pPr>
                  <w:r>
                    <w:rPr>
                      <w:color w:val="000000" w:themeColor="text1"/>
                      <w:szCs w:val="21"/>
                    </w:rPr>
                    <w:t>时期</w:t>
                  </w:r>
                </w:p>
              </w:tc>
              <w:tc>
                <w:tcPr>
                  <w:tcW w:w="1276" w:type="dxa"/>
                  <w:gridSpan w:val="3"/>
                  <w:vMerge w:val="restart"/>
                  <w:vAlign w:val="center"/>
                </w:tcPr>
                <w:p>
                  <w:pPr>
                    <w:pStyle w:val="32"/>
                    <w:spacing w:line="360" w:lineRule="exact"/>
                    <w:rPr>
                      <w:color w:val="000000" w:themeColor="text1"/>
                      <w:szCs w:val="21"/>
                    </w:rPr>
                  </w:pPr>
                  <w:r>
                    <w:rPr>
                      <w:color w:val="000000" w:themeColor="text1"/>
                      <w:szCs w:val="21"/>
                    </w:rPr>
                    <w:t>类型</w:t>
                  </w:r>
                </w:p>
              </w:tc>
              <w:tc>
                <w:tcPr>
                  <w:tcW w:w="3963" w:type="dxa"/>
                  <w:gridSpan w:val="2"/>
                  <w:vAlign w:val="center"/>
                </w:tcPr>
                <w:p>
                  <w:pPr>
                    <w:pStyle w:val="32"/>
                    <w:spacing w:line="360" w:lineRule="exact"/>
                    <w:rPr>
                      <w:color w:val="000000" w:themeColor="text1"/>
                      <w:szCs w:val="21"/>
                    </w:rPr>
                  </w:pPr>
                  <w:r>
                    <w:rPr>
                      <w:color w:val="000000" w:themeColor="text1"/>
                      <w:szCs w:val="21"/>
                    </w:rPr>
                    <w:t>环保措施</w:t>
                  </w:r>
                </w:p>
              </w:tc>
              <w:tc>
                <w:tcPr>
                  <w:tcW w:w="1419" w:type="dxa"/>
                  <w:gridSpan w:val="4"/>
                  <w:vAlign w:val="center"/>
                </w:tcPr>
                <w:p>
                  <w:pPr>
                    <w:pStyle w:val="32"/>
                    <w:spacing w:line="360" w:lineRule="exact"/>
                    <w:rPr>
                      <w:color w:val="000000" w:themeColor="text1"/>
                      <w:szCs w:val="21"/>
                    </w:rPr>
                  </w:pPr>
                  <w:r>
                    <w:rPr>
                      <w:color w:val="000000" w:themeColor="text1"/>
                      <w:szCs w:val="21"/>
                    </w:rPr>
                    <w:t>建设期资金投入量（万元）</w:t>
                  </w:r>
                </w:p>
              </w:tc>
              <w:tc>
                <w:tcPr>
                  <w:tcW w:w="1494" w:type="dxa"/>
                  <w:gridSpan w:val="2"/>
                  <w:vAlign w:val="center"/>
                </w:tcPr>
                <w:p>
                  <w:pPr>
                    <w:pStyle w:val="32"/>
                    <w:spacing w:line="360" w:lineRule="exact"/>
                    <w:rPr>
                      <w:color w:val="000000" w:themeColor="text1"/>
                      <w:szCs w:val="21"/>
                    </w:rPr>
                  </w:pPr>
                  <w:r>
                    <w:rPr>
                      <w:color w:val="000000" w:themeColor="text1"/>
                      <w:szCs w:val="21"/>
                    </w:rPr>
                    <w:t>运行期资金投入量（万元/a）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vMerge w:val="continue"/>
                  <w:vAlign w:val="center"/>
                </w:tcPr>
                <w:p>
                  <w:pPr>
                    <w:pStyle w:val="32"/>
                    <w:spacing w:line="360" w:lineRule="exact"/>
                    <w:rPr>
                      <w:color w:val="000000" w:themeColor="text1"/>
                      <w:szCs w:val="21"/>
                    </w:rPr>
                  </w:pPr>
                </w:p>
              </w:tc>
              <w:tc>
                <w:tcPr>
                  <w:tcW w:w="1276" w:type="dxa"/>
                  <w:gridSpan w:val="3"/>
                  <w:vMerge w:val="continue"/>
                  <w:vAlign w:val="center"/>
                </w:tcPr>
                <w:p>
                  <w:pPr>
                    <w:pStyle w:val="32"/>
                    <w:spacing w:line="360" w:lineRule="exact"/>
                    <w:rPr>
                      <w:color w:val="000000" w:themeColor="text1"/>
                      <w:szCs w:val="21"/>
                    </w:rPr>
                  </w:pPr>
                </w:p>
              </w:tc>
              <w:tc>
                <w:tcPr>
                  <w:tcW w:w="1417" w:type="dxa"/>
                  <w:vAlign w:val="center"/>
                </w:tcPr>
                <w:p>
                  <w:pPr>
                    <w:pStyle w:val="32"/>
                    <w:spacing w:line="360" w:lineRule="exact"/>
                    <w:rPr>
                      <w:color w:val="000000" w:themeColor="text1"/>
                      <w:szCs w:val="21"/>
                    </w:rPr>
                  </w:pPr>
                  <w:r>
                    <w:rPr>
                      <w:color w:val="000000" w:themeColor="text1"/>
                      <w:szCs w:val="21"/>
                    </w:rPr>
                    <w:t>环保项目</w:t>
                  </w:r>
                </w:p>
              </w:tc>
              <w:tc>
                <w:tcPr>
                  <w:tcW w:w="2546" w:type="dxa"/>
                  <w:vAlign w:val="center"/>
                </w:tcPr>
                <w:p>
                  <w:pPr>
                    <w:pStyle w:val="32"/>
                    <w:spacing w:line="360" w:lineRule="exact"/>
                    <w:rPr>
                      <w:color w:val="000000" w:themeColor="text1"/>
                      <w:szCs w:val="21"/>
                    </w:rPr>
                  </w:pPr>
                  <w:r>
                    <w:rPr>
                      <w:color w:val="000000" w:themeColor="text1"/>
                      <w:szCs w:val="21"/>
                    </w:rPr>
                    <w:t>数量</w:t>
                  </w:r>
                </w:p>
              </w:tc>
              <w:tc>
                <w:tcPr>
                  <w:tcW w:w="710" w:type="dxa"/>
                  <w:gridSpan w:val="2"/>
                  <w:vAlign w:val="center"/>
                </w:tcPr>
                <w:p>
                  <w:pPr>
                    <w:pStyle w:val="32"/>
                    <w:spacing w:line="360" w:lineRule="exact"/>
                    <w:rPr>
                      <w:color w:val="000000" w:themeColor="text1"/>
                      <w:szCs w:val="21"/>
                    </w:rPr>
                  </w:pPr>
                  <w:r>
                    <w:rPr>
                      <w:color w:val="000000" w:themeColor="text1"/>
                      <w:szCs w:val="21"/>
                    </w:rPr>
                    <w:t>建设费用</w:t>
                  </w:r>
                </w:p>
              </w:tc>
              <w:tc>
                <w:tcPr>
                  <w:tcW w:w="709" w:type="dxa"/>
                  <w:gridSpan w:val="2"/>
                  <w:vAlign w:val="center"/>
                </w:tcPr>
                <w:p>
                  <w:pPr>
                    <w:pStyle w:val="32"/>
                    <w:spacing w:line="360" w:lineRule="exact"/>
                    <w:rPr>
                      <w:color w:val="000000" w:themeColor="text1"/>
                      <w:szCs w:val="21"/>
                    </w:rPr>
                  </w:pPr>
                  <w:r>
                    <w:rPr>
                      <w:color w:val="000000" w:themeColor="text1"/>
                      <w:szCs w:val="21"/>
                    </w:rPr>
                    <w:t>责任主体</w:t>
                  </w:r>
                </w:p>
              </w:tc>
              <w:tc>
                <w:tcPr>
                  <w:tcW w:w="782" w:type="dxa"/>
                  <w:vAlign w:val="center"/>
                </w:tcPr>
                <w:p>
                  <w:pPr>
                    <w:pStyle w:val="32"/>
                    <w:spacing w:line="360" w:lineRule="exact"/>
                    <w:rPr>
                      <w:color w:val="000000" w:themeColor="text1"/>
                      <w:szCs w:val="21"/>
                    </w:rPr>
                  </w:pPr>
                  <w:r>
                    <w:rPr>
                      <w:color w:val="000000" w:themeColor="text1"/>
                      <w:szCs w:val="21"/>
                    </w:rPr>
                    <w:t>运行费用</w:t>
                  </w:r>
                </w:p>
              </w:tc>
              <w:tc>
                <w:tcPr>
                  <w:tcW w:w="712" w:type="dxa"/>
                  <w:vAlign w:val="center"/>
                </w:tcPr>
                <w:p>
                  <w:pPr>
                    <w:pStyle w:val="32"/>
                    <w:spacing w:line="360" w:lineRule="exact"/>
                    <w:rPr>
                      <w:color w:val="000000" w:themeColor="text1"/>
                      <w:szCs w:val="21"/>
                    </w:rPr>
                  </w:pPr>
                  <w:r>
                    <w:rPr>
                      <w:color w:val="000000" w:themeColor="text1"/>
                      <w:szCs w:val="21"/>
                    </w:rPr>
                    <w:t>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vMerge w:val="restart"/>
                  <w:vAlign w:val="center"/>
                </w:tcPr>
                <w:p>
                  <w:pPr>
                    <w:pStyle w:val="32"/>
                    <w:spacing w:line="360" w:lineRule="exact"/>
                    <w:rPr>
                      <w:color w:val="000000" w:themeColor="text1"/>
                      <w:szCs w:val="21"/>
                    </w:rPr>
                  </w:pPr>
                  <w:r>
                    <w:rPr>
                      <w:color w:val="000000" w:themeColor="text1"/>
                      <w:szCs w:val="21"/>
                    </w:rPr>
                    <w:t>施工期污染源</w:t>
                  </w:r>
                </w:p>
              </w:tc>
              <w:tc>
                <w:tcPr>
                  <w:tcW w:w="568" w:type="dxa"/>
                  <w:vAlign w:val="center"/>
                </w:tcPr>
                <w:p>
                  <w:pPr>
                    <w:pStyle w:val="32"/>
                    <w:spacing w:line="360" w:lineRule="exact"/>
                    <w:rPr>
                      <w:color w:val="000000" w:themeColor="text1"/>
                      <w:szCs w:val="21"/>
                    </w:rPr>
                  </w:pPr>
                  <w:r>
                    <w:rPr>
                      <w:color w:val="000000" w:themeColor="text1"/>
                      <w:szCs w:val="21"/>
                    </w:rPr>
                    <w:t>废气</w:t>
                  </w:r>
                </w:p>
              </w:tc>
              <w:tc>
                <w:tcPr>
                  <w:tcW w:w="708" w:type="dxa"/>
                  <w:gridSpan w:val="2"/>
                  <w:vAlign w:val="center"/>
                </w:tcPr>
                <w:p>
                  <w:pPr>
                    <w:pStyle w:val="32"/>
                    <w:spacing w:line="360" w:lineRule="exact"/>
                    <w:rPr>
                      <w:color w:val="000000" w:themeColor="text1"/>
                      <w:szCs w:val="21"/>
                    </w:rPr>
                  </w:pPr>
                  <w:r>
                    <w:rPr>
                      <w:color w:val="000000" w:themeColor="text1"/>
                      <w:szCs w:val="21"/>
                    </w:rPr>
                    <w:t>扬尘</w:t>
                  </w:r>
                </w:p>
              </w:tc>
              <w:tc>
                <w:tcPr>
                  <w:tcW w:w="1417" w:type="dxa"/>
                  <w:vAlign w:val="center"/>
                </w:tcPr>
                <w:p>
                  <w:pPr>
                    <w:pStyle w:val="32"/>
                    <w:spacing w:line="360" w:lineRule="exact"/>
                    <w:rPr>
                      <w:color w:val="000000" w:themeColor="text1"/>
                      <w:szCs w:val="21"/>
                    </w:rPr>
                  </w:pPr>
                  <w:r>
                    <w:rPr>
                      <w:color w:val="000000" w:themeColor="text1"/>
                      <w:szCs w:val="21"/>
                    </w:rPr>
                    <w:t>洒水抑尘设施</w:t>
                  </w:r>
                </w:p>
              </w:tc>
              <w:tc>
                <w:tcPr>
                  <w:tcW w:w="2546" w:type="dxa"/>
                  <w:vAlign w:val="center"/>
                </w:tcPr>
                <w:p>
                  <w:pPr>
                    <w:pStyle w:val="32"/>
                    <w:spacing w:line="360" w:lineRule="exact"/>
                    <w:ind w:firstLine="210" w:firstLineChars="100"/>
                    <w:jc w:val="both"/>
                    <w:rPr>
                      <w:color w:val="000000" w:themeColor="text1"/>
                      <w:szCs w:val="21"/>
                    </w:rPr>
                  </w:pPr>
                  <w:r>
                    <w:rPr>
                      <w:color w:val="000000" w:themeColor="text1"/>
                      <w:szCs w:val="21"/>
                    </w:rPr>
                    <w:t>1套</w:t>
                  </w:r>
                </w:p>
              </w:tc>
              <w:tc>
                <w:tcPr>
                  <w:tcW w:w="710" w:type="dxa"/>
                  <w:gridSpan w:val="2"/>
                  <w:vAlign w:val="center"/>
                </w:tcPr>
                <w:p>
                  <w:pPr>
                    <w:pStyle w:val="32"/>
                    <w:spacing w:line="360" w:lineRule="exact"/>
                    <w:rPr>
                      <w:color w:val="000000" w:themeColor="text1"/>
                      <w:szCs w:val="21"/>
                    </w:rPr>
                  </w:pPr>
                  <w:r>
                    <w:rPr>
                      <w:rFonts w:hint="eastAsia"/>
                      <w:color w:val="000000" w:themeColor="text1"/>
                      <w:szCs w:val="21"/>
                    </w:rPr>
                    <w:t>1</w:t>
                  </w:r>
                </w:p>
              </w:tc>
              <w:tc>
                <w:tcPr>
                  <w:tcW w:w="709" w:type="dxa"/>
                  <w:gridSpan w:val="2"/>
                  <w:vMerge w:val="restart"/>
                  <w:vAlign w:val="center"/>
                </w:tcPr>
                <w:p>
                  <w:pPr>
                    <w:pStyle w:val="32"/>
                    <w:spacing w:line="360" w:lineRule="exact"/>
                    <w:rPr>
                      <w:color w:val="000000" w:themeColor="text1"/>
                      <w:szCs w:val="21"/>
                    </w:rPr>
                  </w:pPr>
                  <w:r>
                    <w:rPr>
                      <w:color w:val="000000" w:themeColor="text1"/>
                      <w:szCs w:val="21"/>
                    </w:rPr>
                    <w:t>施工单位</w:t>
                  </w:r>
                </w:p>
              </w:tc>
              <w:tc>
                <w:tcPr>
                  <w:tcW w:w="782" w:type="dxa"/>
                  <w:vAlign w:val="center"/>
                </w:tcPr>
                <w:p>
                  <w:pPr>
                    <w:pStyle w:val="32"/>
                    <w:spacing w:line="360" w:lineRule="exact"/>
                    <w:rPr>
                      <w:color w:val="000000" w:themeColor="text1"/>
                      <w:szCs w:val="21"/>
                    </w:rPr>
                  </w:pPr>
                  <w:r>
                    <w:rPr>
                      <w:color w:val="000000" w:themeColor="text1"/>
                      <w:szCs w:val="21"/>
                    </w:rPr>
                    <w:t>--</w:t>
                  </w:r>
                </w:p>
              </w:tc>
              <w:tc>
                <w:tcPr>
                  <w:tcW w:w="712" w:type="dxa"/>
                  <w:vMerge w:val="restart"/>
                  <w:vAlign w:val="center"/>
                </w:tcPr>
                <w:p>
                  <w:pPr>
                    <w:pStyle w:val="32"/>
                    <w:spacing w:line="360" w:lineRule="exact"/>
                    <w:rPr>
                      <w:color w:val="000000" w:themeColor="text1"/>
                      <w:szCs w:val="21"/>
                    </w:rPr>
                  </w:pPr>
                  <w:r>
                    <w:rPr>
                      <w:color w:val="000000" w:themeColor="text1"/>
                      <w:szCs w:val="21"/>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vMerge w:val="continue"/>
                  <w:vAlign w:val="center"/>
                </w:tcPr>
                <w:p>
                  <w:pPr>
                    <w:pStyle w:val="32"/>
                    <w:spacing w:line="360" w:lineRule="exact"/>
                    <w:rPr>
                      <w:color w:val="000000" w:themeColor="text1"/>
                      <w:szCs w:val="21"/>
                    </w:rPr>
                  </w:pPr>
                </w:p>
              </w:tc>
              <w:tc>
                <w:tcPr>
                  <w:tcW w:w="568" w:type="dxa"/>
                  <w:vAlign w:val="center"/>
                </w:tcPr>
                <w:p>
                  <w:pPr>
                    <w:pStyle w:val="32"/>
                    <w:spacing w:line="360" w:lineRule="exact"/>
                    <w:rPr>
                      <w:color w:val="000000" w:themeColor="text1"/>
                      <w:szCs w:val="21"/>
                    </w:rPr>
                  </w:pPr>
                  <w:r>
                    <w:rPr>
                      <w:color w:val="000000" w:themeColor="text1"/>
                      <w:szCs w:val="21"/>
                    </w:rPr>
                    <w:t>废水</w:t>
                  </w:r>
                </w:p>
              </w:tc>
              <w:tc>
                <w:tcPr>
                  <w:tcW w:w="708" w:type="dxa"/>
                  <w:gridSpan w:val="2"/>
                  <w:vAlign w:val="center"/>
                </w:tcPr>
                <w:p>
                  <w:pPr>
                    <w:pStyle w:val="32"/>
                    <w:spacing w:line="360" w:lineRule="exact"/>
                    <w:rPr>
                      <w:color w:val="000000" w:themeColor="text1"/>
                      <w:szCs w:val="21"/>
                    </w:rPr>
                  </w:pPr>
                  <w:r>
                    <w:rPr>
                      <w:color w:val="000000" w:themeColor="text1"/>
                      <w:szCs w:val="21"/>
                    </w:rPr>
                    <w:t>施工废水</w:t>
                  </w:r>
                </w:p>
              </w:tc>
              <w:tc>
                <w:tcPr>
                  <w:tcW w:w="1417" w:type="dxa"/>
                  <w:vAlign w:val="center"/>
                </w:tcPr>
                <w:p>
                  <w:pPr>
                    <w:pStyle w:val="32"/>
                    <w:spacing w:line="360" w:lineRule="exact"/>
                    <w:rPr>
                      <w:color w:val="000000" w:themeColor="text1"/>
                      <w:szCs w:val="21"/>
                    </w:rPr>
                  </w:pPr>
                  <w:r>
                    <w:rPr>
                      <w:color w:val="000000" w:themeColor="text1"/>
                      <w:szCs w:val="21"/>
                    </w:rPr>
                    <w:t>临时沉淀池</w:t>
                  </w:r>
                </w:p>
              </w:tc>
              <w:tc>
                <w:tcPr>
                  <w:tcW w:w="2546" w:type="dxa"/>
                  <w:vAlign w:val="center"/>
                </w:tcPr>
                <w:p>
                  <w:pPr>
                    <w:pStyle w:val="32"/>
                    <w:spacing w:line="360" w:lineRule="exact"/>
                    <w:ind w:firstLine="210" w:firstLineChars="100"/>
                    <w:jc w:val="both"/>
                    <w:rPr>
                      <w:color w:val="000000" w:themeColor="text1"/>
                      <w:szCs w:val="21"/>
                    </w:rPr>
                  </w:pPr>
                  <w:r>
                    <w:rPr>
                      <w:color w:val="000000" w:themeColor="text1"/>
                      <w:szCs w:val="21"/>
                    </w:rPr>
                    <w:t>1个，20m³</w:t>
                  </w:r>
                </w:p>
              </w:tc>
              <w:tc>
                <w:tcPr>
                  <w:tcW w:w="710" w:type="dxa"/>
                  <w:gridSpan w:val="2"/>
                  <w:vAlign w:val="center"/>
                </w:tcPr>
                <w:p>
                  <w:pPr>
                    <w:pStyle w:val="32"/>
                    <w:spacing w:line="360" w:lineRule="exact"/>
                    <w:rPr>
                      <w:color w:val="000000" w:themeColor="text1"/>
                      <w:szCs w:val="21"/>
                    </w:rPr>
                  </w:pPr>
                  <w:r>
                    <w:rPr>
                      <w:color w:val="000000" w:themeColor="text1"/>
                      <w:szCs w:val="21"/>
                    </w:rPr>
                    <w:t>1</w:t>
                  </w:r>
                </w:p>
              </w:tc>
              <w:tc>
                <w:tcPr>
                  <w:tcW w:w="709" w:type="dxa"/>
                  <w:gridSpan w:val="2"/>
                  <w:vMerge w:val="continue"/>
                  <w:vAlign w:val="center"/>
                </w:tcPr>
                <w:p>
                  <w:pPr>
                    <w:pStyle w:val="32"/>
                    <w:spacing w:line="360" w:lineRule="exact"/>
                    <w:rPr>
                      <w:color w:val="000000" w:themeColor="text1"/>
                      <w:szCs w:val="21"/>
                    </w:rPr>
                  </w:pPr>
                </w:p>
              </w:tc>
              <w:tc>
                <w:tcPr>
                  <w:tcW w:w="782" w:type="dxa"/>
                  <w:vAlign w:val="center"/>
                </w:tcPr>
                <w:p>
                  <w:pPr>
                    <w:pStyle w:val="32"/>
                    <w:spacing w:line="360" w:lineRule="exact"/>
                    <w:rPr>
                      <w:color w:val="000000" w:themeColor="text1"/>
                      <w:szCs w:val="21"/>
                    </w:rPr>
                  </w:pPr>
                  <w:r>
                    <w:rPr>
                      <w:color w:val="000000" w:themeColor="text1"/>
                      <w:szCs w:val="21"/>
                    </w:rPr>
                    <w:t>--</w:t>
                  </w:r>
                </w:p>
              </w:tc>
              <w:tc>
                <w:tcPr>
                  <w:tcW w:w="712"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vMerge w:val="continue"/>
                  <w:vAlign w:val="center"/>
                </w:tcPr>
                <w:p>
                  <w:pPr>
                    <w:pStyle w:val="32"/>
                    <w:spacing w:line="360" w:lineRule="exact"/>
                    <w:rPr>
                      <w:color w:val="000000" w:themeColor="text1"/>
                      <w:szCs w:val="21"/>
                    </w:rPr>
                  </w:pPr>
                </w:p>
              </w:tc>
              <w:tc>
                <w:tcPr>
                  <w:tcW w:w="568" w:type="dxa"/>
                  <w:vAlign w:val="center"/>
                </w:tcPr>
                <w:p>
                  <w:pPr>
                    <w:pStyle w:val="32"/>
                    <w:spacing w:line="360" w:lineRule="exact"/>
                    <w:rPr>
                      <w:color w:val="000000" w:themeColor="text1"/>
                      <w:szCs w:val="21"/>
                    </w:rPr>
                  </w:pPr>
                  <w:r>
                    <w:rPr>
                      <w:color w:val="000000" w:themeColor="text1"/>
                      <w:szCs w:val="21"/>
                    </w:rPr>
                    <w:t>噪声</w:t>
                  </w:r>
                </w:p>
              </w:tc>
              <w:tc>
                <w:tcPr>
                  <w:tcW w:w="708" w:type="dxa"/>
                  <w:gridSpan w:val="2"/>
                  <w:vAlign w:val="center"/>
                </w:tcPr>
                <w:p>
                  <w:pPr>
                    <w:pStyle w:val="32"/>
                    <w:spacing w:line="360" w:lineRule="exact"/>
                    <w:rPr>
                      <w:color w:val="000000" w:themeColor="text1"/>
                      <w:szCs w:val="21"/>
                    </w:rPr>
                  </w:pPr>
                  <w:r>
                    <w:rPr>
                      <w:color w:val="000000" w:themeColor="text1"/>
                      <w:szCs w:val="21"/>
                    </w:rPr>
                    <w:t>施工噪声</w:t>
                  </w:r>
                </w:p>
              </w:tc>
              <w:tc>
                <w:tcPr>
                  <w:tcW w:w="1417" w:type="dxa"/>
                  <w:vAlign w:val="center"/>
                </w:tcPr>
                <w:p>
                  <w:pPr>
                    <w:pStyle w:val="32"/>
                    <w:spacing w:line="360" w:lineRule="exact"/>
                    <w:rPr>
                      <w:color w:val="000000" w:themeColor="text1"/>
                      <w:szCs w:val="21"/>
                    </w:rPr>
                  </w:pPr>
                  <w:r>
                    <w:rPr>
                      <w:color w:val="000000" w:themeColor="text1"/>
                      <w:szCs w:val="21"/>
                    </w:rPr>
                    <w:t>遮挡围墙</w:t>
                  </w:r>
                </w:p>
              </w:tc>
              <w:tc>
                <w:tcPr>
                  <w:tcW w:w="2546" w:type="dxa"/>
                  <w:vAlign w:val="center"/>
                </w:tcPr>
                <w:p>
                  <w:pPr>
                    <w:pStyle w:val="32"/>
                    <w:spacing w:line="360" w:lineRule="exact"/>
                    <w:ind w:firstLine="210" w:firstLineChars="100"/>
                    <w:jc w:val="both"/>
                    <w:rPr>
                      <w:color w:val="000000" w:themeColor="text1"/>
                      <w:szCs w:val="21"/>
                    </w:rPr>
                  </w:pPr>
                  <w:r>
                    <w:rPr>
                      <w:color w:val="000000" w:themeColor="text1"/>
                      <w:szCs w:val="21"/>
                    </w:rPr>
                    <w:t>2.5m高，围挡</w:t>
                  </w:r>
                </w:p>
              </w:tc>
              <w:tc>
                <w:tcPr>
                  <w:tcW w:w="710" w:type="dxa"/>
                  <w:gridSpan w:val="2"/>
                  <w:vAlign w:val="center"/>
                </w:tcPr>
                <w:p>
                  <w:pPr>
                    <w:pStyle w:val="32"/>
                    <w:spacing w:line="360" w:lineRule="exact"/>
                    <w:rPr>
                      <w:color w:val="000000" w:themeColor="text1"/>
                      <w:szCs w:val="21"/>
                    </w:rPr>
                  </w:pPr>
                  <w:r>
                    <w:rPr>
                      <w:rFonts w:hint="eastAsia"/>
                      <w:color w:val="000000" w:themeColor="text1"/>
                      <w:szCs w:val="21"/>
                    </w:rPr>
                    <w:t>1</w:t>
                  </w:r>
                </w:p>
              </w:tc>
              <w:tc>
                <w:tcPr>
                  <w:tcW w:w="709" w:type="dxa"/>
                  <w:gridSpan w:val="2"/>
                  <w:vMerge w:val="continue"/>
                  <w:vAlign w:val="center"/>
                </w:tcPr>
                <w:p>
                  <w:pPr>
                    <w:pStyle w:val="32"/>
                    <w:spacing w:line="360" w:lineRule="exact"/>
                    <w:rPr>
                      <w:color w:val="000000" w:themeColor="text1"/>
                      <w:szCs w:val="21"/>
                    </w:rPr>
                  </w:pPr>
                </w:p>
              </w:tc>
              <w:tc>
                <w:tcPr>
                  <w:tcW w:w="782" w:type="dxa"/>
                  <w:vAlign w:val="center"/>
                </w:tcPr>
                <w:p>
                  <w:pPr>
                    <w:pStyle w:val="32"/>
                    <w:spacing w:line="360" w:lineRule="exact"/>
                    <w:rPr>
                      <w:color w:val="000000" w:themeColor="text1"/>
                      <w:szCs w:val="21"/>
                    </w:rPr>
                  </w:pPr>
                  <w:r>
                    <w:rPr>
                      <w:color w:val="000000" w:themeColor="text1"/>
                      <w:szCs w:val="21"/>
                    </w:rPr>
                    <w:t>--</w:t>
                  </w:r>
                </w:p>
              </w:tc>
              <w:tc>
                <w:tcPr>
                  <w:tcW w:w="712"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vMerge w:val="restart"/>
                  <w:vAlign w:val="center"/>
                </w:tcPr>
                <w:p>
                  <w:pPr>
                    <w:pStyle w:val="32"/>
                    <w:spacing w:line="360" w:lineRule="exact"/>
                    <w:rPr>
                      <w:color w:val="000000" w:themeColor="text1"/>
                      <w:szCs w:val="21"/>
                    </w:rPr>
                  </w:pPr>
                  <w:r>
                    <w:rPr>
                      <w:color w:val="000000" w:themeColor="text1"/>
                      <w:szCs w:val="21"/>
                    </w:rPr>
                    <w:t>运营期污染源</w:t>
                  </w:r>
                </w:p>
              </w:tc>
              <w:tc>
                <w:tcPr>
                  <w:tcW w:w="568" w:type="dxa"/>
                  <w:vMerge w:val="restart"/>
                  <w:vAlign w:val="center"/>
                </w:tcPr>
                <w:p>
                  <w:pPr>
                    <w:pStyle w:val="32"/>
                    <w:spacing w:line="360" w:lineRule="exact"/>
                    <w:rPr>
                      <w:color w:val="000000" w:themeColor="text1"/>
                      <w:szCs w:val="21"/>
                    </w:rPr>
                  </w:pPr>
                  <w:r>
                    <w:rPr>
                      <w:color w:val="000000" w:themeColor="text1"/>
                      <w:szCs w:val="21"/>
                    </w:rPr>
                    <w:t>废气</w:t>
                  </w:r>
                </w:p>
              </w:tc>
              <w:tc>
                <w:tcPr>
                  <w:tcW w:w="708" w:type="dxa"/>
                  <w:gridSpan w:val="2"/>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扬尘</w:t>
                  </w:r>
                </w:p>
              </w:tc>
              <w:tc>
                <w:tcPr>
                  <w:tcW w:w="1417" w:type="dxa"/>
                  <w:vAlign w:val="center"/>
                </w:tcPr>
                <w:p>
                  <w:pPr>
                    <w:pStyle w:val="32"/>
                    <w:spacing w:line="360" w:lineRule="exact"/>
                    <w:rPr>
                      <w:color w:val="000000" w:themeColor="text1"/>
                      <w:szCs w:val="21"/>
                    </w:rPr>
                  </w:pPr>
                  <w:r>
                    <w:rPr>
                      <w:color w:val="000000" w:themeColor="text1"/>
                      <w:szCs w:val="21"/>
                    </w:rPr>
                    <w:t>围挡和顶棚</w:t>
                  </w:r>
                </w:p>
              </w:tc>
              <w:tc>
                <w:tcPr>
                  <w:tcW w:w="2554" w:type="dxa"/>
                  <w:gridSpan w:val="2"/>
                  <w:vAlign w:val="center"/>
                </w:tcPr>
                <w:p>
                  <w:pPr>
                    <w:pStyle w:val="32"/>
                    <w:spacing w:line="360" w:lineRule="exact"/>
                    <w:ind w:firstLine="210" w:firstLineChars="100"/>
                    <w:jc w:val="both"/>
                    <w:rPr>
                      <w:color w:val="000000" w:themeColor="text1"/>
                      <w:szCs w:val="21"/>
                    </w:rPr>
                  </w:pPr>
                  <w:r>
                    <w:rPr>
                      <w:color w:val="000000" w:themeColor="text1"/>
                      <w:szCs w:val="21"/>
                    </w:rPr>
                    <w:t>拟对废石堆场和产品堆场（1#料场、2#料场和3#料场）除车辆进出区域，其他区域均分别设置不低于物料堆存高度围挡和顶棚。</w:t>
                  </w:r>
                </w:p>
              </w:tc>
              <w:tc>
                <w:tcPr>
                  <w:tcW w:w="702" w:type="dxa"/>
                  <w:vAlign w:val="center"/>
                </w:tcPr>
                <w:p>
                  <w:pPr>
                    <w:pStyle w:val="32"/>
                    <w:spacing w:line="360" w:lineRule="exact"/>
                    <w:rPr>
                      <w:color w:val="000000" w:themeColor="text1"/>
                      <w:szCs w:val="21"/>
                    </w:rPr>
                  </w:pPr>
                  <w:r>
                    <w:rPr>
                      <w:color w:val="000000" w:themeColor="text1"/>
                      <w:szCs w:val="21"/>
                    </w:rPr>
                    <w:t>1</w:t>
                  </w:r>
                  <w:r>
                    <w:rPr>
                      <w:rFonts w:hint="eastAsia"/>
                      <w:color w:val="000000" w:themeColor="text1"/>
                      <w:szCs w:val="21"/>
                    </w:rPr>
                    <w:t>7</w:t>
                  </w:r>
                </w:p>
              </w:tc>
              <w:tc>
                <w:tcPr>
                  <w:tcW w:w="709" w:type="dxa"/>
                  <w:gridSpan w:val="2"/>
                  <w:vMerge w:val="restart"/>
                  <w:vAlign w:val="center"/>
                </w:tcPr>
                <w:p>
                  <w:pPr>
                    <w:pStyle w:val="32"/>
                    <w:spacing w:line="360" w:lineRule="exact"/>
                    <w:rPr>
                      <w:color w:val="000000" w:themeColor="text1"/>
                      <w:szCs w:val="21"/>
                    </w:rPr>
                  </w:pPr>
                  <w:r>
                    <w:rPr>
                      <w:color w:val="000000" w:themeColor="text1"/>
                      <w:szCs w:val="21"/>
                    </w:rPr>
                    <w:t>施工单位</w:t>
                  </w:r>
                </w:p>
              </w:tc>
              <w:tc>
                <w:tcPr>
                  <w:tcW w:w="782" w:type="dxa"/>
                  <w:vAlign w:val="center"/>
                </w:tcPr>
                <w:p>
                  <w:pPr>
                    <w:pStyle w:val="32"/>
                    <w:spacing w:line="360" w:lineRule="exact"/>
                    <w:rPr>
                      <w:color w:val="000000" w:themeColor="text1"/>
                      <w:szCs w:val="21"/>
                    </w:rPr>
                  </w:pPr>
                  <w:r>
                    <w:rPr>
                      <w:color w:val="000000" w:themeColor="text1"/>
                      <w:szCs w:val="21"/>
                    </w:rPr>
                    <w:t>1</w:t>
                  </w:r>
                  <w:r>
                    <w:rPr>
                      <w:rFonts w:hint="eastAsia"/>
                      <w:color w:val="000000" w:themeColor="text1"/>
                      <w:szCs w:val="21"/>
                    </w:rPr>
                    <w:t>.2</w:t>
                  </w:r>
                </w:p>
              </w:tc>
              <w:tc>
                <w:tcPr>
                  <w:tcW w:w="712" w:type="dxa"/>
                  <w:vMerge w:val="restart"/>
                  <w:vAlign w:val="center"/>
                </w:tcPr>
                <w:p>
                  <w:pPr>
                    <w:pStyle w:val="32"/>
                    <w:spacing w:line="360" w:lineRule="exact"/>
                    <w:rPr>
                      <w:color w:val="000000" w:themeColor="text1"/>
                      <w:szCs w:val="21"/>
                    </w:rPr>
                  </w:pPr>
                  <w:r>
                    <w:rPr>
                      <w:color w:val="000000" w:themeColor="text1"/>
                      <w:szCs w:val="21"/>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vMerge w:val="continue"/>
                  <w:vAlign w:val="center"/>
                </w:tcPr>
                <w:p>
                  <w:pPr>
                    <w:pStyle w:val="32"/>
                    <w:spacing w:line="360" w:lineRule="exact"/>
                    <w:rPr>
                      <w:color w:val="000000" w:themeColor="text1"/>
                      <w:szCs w:val="21"/>
                    </w:rPr>
                  </w:pPr>
                </w:p>
              </w:tc>
              <w:tc>
                <w:tcPr>
                  <w:tcW w:w="568" w:type="dxa"/>
                  <w:vMerge w:val="continue"/>
                  <w:vAlign w:val="center"/>
                </w:tcPr>
                <w:p>
                  <w:pPr>
                    <w:pStyle w:val="32"/>
                    <w:spacing w:line="360" w:lineRule="exact"/>
                    <w:rPr>
                      <w:color w:val="000000" w:themeColor="text1"/>
                      <w:szCs w:val="21"/>
                    </w:rPr>
                  </w:pPr>
                </w:p>
              </w:tc>
              <w:tc>
                <w:tcPr>
                  <w:tcW w:w="708" w:type="dxa"/>
                  <w:gridSpan w:val="2"/>
                  <w:vMerge w:val="continue"/>
                  <w:vAlign w:val="center"/>
                </w:tcPr>
                <w:p>
                  <w:pPr>
                    <w:pStyle w:val="32"/>
                    <w:spacing w:line="360" w:lineRule="exact"/>
                    <w:rPr>
                      <w:rFonts w:eastAsiaTheme="minorEastAsia"/>
                      <w:color w:val="000000" w:themeColor="text1"/>
                      <w:szCs w:val="21"/>
                    </w:rPr>
                  </w:pPr>
                </w:p>
              </w:tc>
              <w:tc>
                <w:tcPr>
                  <w:tcW w:w="1417" w:type="dxa"/>
                  <w:vAlign w:val="center"/>
                </w:tcPr>
                <w:p>
                  <w:pPr>
                    <w:pStyle w:val="32"/>
                    <w:spacing w:line="360" w:lineRule="exact"/>
                    <w:rPr>
                      <w:color w:val="000000" w:themeColor="text1"/>
                      <w:szCs w:val="21"/>
                    </w:rPr>
                  </w:pPr>
                  <w:r>
                    <w:rPr>
                      <w:color w:val="000000" w:themeColor="text1"/>
                      <w:szCs w:val="21"/>
                    </w:rPr>
                    <w:t>雾炮机</w:t>
                  </w:r>
                </w:p>
              </w:tc>
              <w:tc>
                <w:tcPr>
                  <w:tcW w:w="2554" w:type="dxa"/>
                  <w:gridSpan w:val="2"/>
                  <w:vAlign w:val="center"/>
                </w:tcPr>
                <w:p>
                  <w:pPr>
                    <w:pStyle w:val="32"/>
                    <w:spacing w:line="360" w:lineRule="exact"/>
                    <w:ind w:firstLine="210" w:firstLineChars="100"/>
                    <w:jc w:val="both"/>
                    <w:rPr>
                      <w:color w:val="000000" w:themeColor="text1"/>
                      <w:szCs w:val="21"/>
                    </w:rPr>
                  </w:pPr>
                  <w:r>
                    <w:rPr>
                      <w:color w:val="000000" w:themeColor="text1"/>
                      <w:szCs w:val="21"/>
                    </w:rPr>
                    <w:t>1台</w:t>
                  </w:r>
                </w:p>
              </w:tc>
              <w:tc>
                <w:tcPr>
                  <w:tcW w:w="702" w:type="dxa"/>
                  <w:vAlign w:val="center"/>
                </w:tcPr>
                <w:p>
                  <w:pPr>
                    <w:pStyle w:val="32"/>
                    <w:spacing w:line="360" w:lineRule="exact"/>
                    <w:rPr>
                      <w:color w:val="000000" w:themeColor="text1"/>
                      <w:szCs w:val="21"/>
                    </w:rPr>
                  </w:pPr>
                  <w:r>
                    <w:rPr>
                      <w:color w:val="000000" w:themeColor="text1"/>
                      <w:szCs w:val="21"/>
                    </w:rPr>
                    <w:t>1</w:t>
                  </w:r>
                </w:p>
              </w:tc>
              <w:tc>
                <w:tcPr>
                  <w:tcW w:w="709" w:type="dxa"/>
                  <w:gridSpan w:val="2"/>
                  <w:vMerge w:val="continue"/>
                  <w:vAlign w:val="center"/>
                </w:tcPr>
                <w:p>
                  <w:pPr>
                    <w:pStyle w:val="32"/>
                    <w:spacing w:line="360" w:lineRule="exact"/>
                    <w:rPr>
                      <w:color w:val="000000" w:themeColor="text1"/>
                      <w:szCs w:val="21"/>
                    </w:rPr>
                  </w:pPr>
                </w:p>
              </w:tc>
              <w:tc>
                <w:tcPr>
                  <w:tcW w:w="782" w:type="dxa"/>
                  <w:vAlign w:val="center"/>
                </w:tcPr>
                <w:p>
                  <w:pPr>
                    <w:pStyle w:val="32"/>
                    <w:spacing w:line="360" w:lineRule="exact"/>
                    <w:rPr>
                      <w:color w:val="000000" w:themeColor="text1"/>
                      <w:szCs w:val="21"/>
                    </w:rPr>
                  </w:pPr>
                  <w:r>
                    <w:rPr>
                      <w:color w:val="000000" w:themeColor="text1"/>
                      <w:szCs w:val="21"/>
                    </w:rPr>
                    <w:t>0.5</w:t>
                  </w:r>
                </w:p>
              </w:tc>
              <w:tc>
                <w:tcPr>
                  <w:tcW w:w="712"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vMerge w:val="continue"/>
                  <w:vAlign w:val="center"/>
                </w:tcPr>
                <w:p>
                  <w:pPr>
                    <w:pStyle w:val="32"/>
                    <w:spacing w:line="360" w:lineRule="exact"/>
                    <w:rPr>
                      <w:color w:val="000000" w:themeColor="text1"/>
                      <w:szCs w:val="21"/>
                    </w:rPr>
                  </w:pPr>
                </w:p>
              </w:tc>
              <w:tc>
                <w:tcPr>
                  <w:tcW w:w="568" w:type="dxa"/>
                  <w:vMerge w:val="continue"/>
                  <w:vAlign w:val="center"/>
                </w:tcPr>
                <w:p>
                  <w:pPr>
                    <w:pStyle w:val="32"/>
                    <w:spacing w:line="360" w:lineRule="exact"/>
                    <w:rPr>
                      <w:color w:val="000000" w:themeColor="text1"/>
                      <w:szCs w:val="21"/>
                    </w:rPr>
                  </w:pPr>
                </w:p>
              </w:tc>
              <w:tc>
                <w:tcPr>
                  <w:tcW w:w="708" w:type="dxa"/>
                  <w:gridSpan w:val="2"/>
                  <w:vMerge w:val="continue"/>
                  <w:vAlign w:val="center"/>
                </w:tcPr>
                <w:p>
                  <w:pPr>
                    <w:pStyle w:val="32"/>
                    <w:spacing w:line="360" w:lineRule="exact"/>
                    <w:rPr>
                      <w:rFonts w:eastAsiaTheme="minorEastAsia"/>
                      <w:color w:val="000000" w:themeColor="text1"/>
                      <w:szCs w:val="21"/>
                    </w:rPr>
                  </w:pPr>
                </w:p>
              </w:tc>
              <w:tc>
                <w:tcPr>
                  <w:tcW w:w="1417" w:type="dxa"/>
                  <w:vAlign w:val="center"/>
                </w:tcPr>
                <w:p>
                  <w:pPr>
                    <w:pStyle w:val="32"/>
                    <w:spacing w:line="360" w:lineRule="exact"/>
                    <w:rPr>
                      <w:color w:val="000000" w:themeColor="text1"/>
                      <w:szCs w:val="21"/>
                    </w:rPr>
                  </w:pPr>
                  <w:r>
                    <w:rPr>
                      <w:color w:val="000000" w:themeColor="text1"/>
                      <w:szCs w:val="21"/>
                    </w:rPr>
                    <w:t>破碎筛分系统加水作业</w:t>
                  </w:r>
                </w:p>
              </w:tc>
              <w:tc>
                <w:tcPr>
                  <w:tcW w:w="2554" w:type="dxa"/>
                  <w:gridSpan w:val="2"/>
                  <w:vAlign w:val="center"/>
                </w:tcPr>
                <w:p>
                  <w:pPr>
                    <w:pStyle w:val="32"/>
                    <w:spacing w:line="360" w:lineRule="exact"/>
                    <w:ind w:firstLine="210" w:firstLineChars="100"/>
                    <w:jc w:val="both"/>
                    <w:rPr>
                      <w:color w:val="000000" w:themeColor="text1"/>
                      <w:szCs w:val="21"/>
                    </w:rPr>
                  </w:pPr>
                  <w:r>
                    <w:rPr>
                      <w:color w:val="000000" w:themeColor="text1"/>
                      <w:szCs w:val="21"/>
                    </w:rPr>
                    <w:t>项目砂石骨料生产线整个破碎筛分系统均采用加水作业</w:t>
                  </w:r>
                </w:p>
              </w:tc>
              <w:tc>
                <w:tcPr>
                  <w:tcW w:w="702" w:type="dxa"/>
                  <w:vAlign w:val="center"/>
                </w:tcPr>
                <w:p>
                  <w:pPr>
                    <w:pStyle w:val="32"/>
                    <w:spacing w:line="360" w:lineRule="exact"/>
                    <w:rPr>
                      <w:color w:val="000000" w:themeColor="text1"/>
                      <w:szCs w:val="21"/>
                    </w:rPr>
                  </w:pPr>
                  <w:r>
                    <w:rPr>
                      <w:color w:val="000000" w:themeColor="text1"/>
                      <w:szCs w:val="21"/>
                    </w:rPr>
                    <w:t>--</w:t>
                  </w:r>
                </w:p>
              </w:tc>
              <w:tc>
                <w:tcPr>
                  <w:tcW w:w="709" w:type="dxa"/>
                  <w:gridSpan w:val="2"/>
                  <w:vMerge w:val="continue"/>
                  <w:vAlign w:val="center"/>
                </w:tcPr>
                <w:p>
                  <w:pPr>
                    <w:pStyle w:val="32"/>
                    <w:spacing w:line="360" w:lineRule="exact"/>
                    <w:rPr>
                      <w:color w:val="000000" w:themeColor="text1"/>
                      <w:szCs w:val="21"/>
                    </w:rPr>
                  </w:pPr>
                </w:p>
              </w:tc>
              <w:tc>
                <w:tcPr>
                  <w:tcW w:w="782" w:type="dxa"/>
                  <w:vAlign w:val="center"/>
                </w:tcPr>
                <w:p>
                  <w:pPr>
                    <w:pStyle w:val="32"/>
                    <w:spacing w:line="360" w:lineRule="exact"/>
                    <w:rPr>
                      <w:color w:val="000000" w:themeColor="text1"/>
                      <w:szCs w:val="21"/>
                    </w:rPr>
                  </w:pPr>
                  <w:r>
                    <w:rPr>
                      <w:color w:val="000000" w:themeColor="text1"/>
                      <w:szCs w:val="21"/>
                    </w:rPr>
                    <w:t>0</w:t>
                  </w:r>
                </w:p>
              </w:tc>
              <w:tc>
                <w:tcPr>
                  <w:tcW w:w="712"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vMerge w:val="continue"/>
                  <w:vAlign w:val="center"/>
                </w:tcPr>
                <w:p>
                  <w:pPr>
                    <w:pStyle w:val="32"/>
                    <w:spacing w:line="360" w:lineRule="exact"/>
                    <w:rPr>
                      <w:color w:val="000000" w:themeColor="text1"/>
                      <w:szCs w:val="21"/>
                    </w:rPr>
                  </w:pPr>
                </w:p>
              </w:tc>
              <w:tc>
                <w:tcPr>
                  <w:tcW w:w="568" w:type="dxa"/>
                  <w:vMerge w:val="continue"/>
                  <w:vAlign w:val="center"/>
                </w:tcPr>
                <w:p>
                  <w:pPr>
                    <w:pStyle w:val="32"/>
                    <w:spacing w:line="360" w:lineRule="exact"/>
                    <w:rPr>
                      <w:color w:val="000000" w:themeColor="text1"/>
                      <w:szCs w:val="21"/>
                    </w:rPr>
                  </w:pPr>
                </w:p>
              </w:tc>
              <w:tc>
                <w:tcPr>
                  <w:tcW w:w="708" w:type="dxa"/>
                  <w:gridSpan w:val="2"/>
                  <w:vMerge w:val="continue"/>
                  <w:vAlign w:val="center"/>
                </w:tcPr>
                <w:p>
                  <w:pPr>
                    <w:pStyle w:val="32"/>
                    <w:spacing w:line="360" w:lineRule="exact"/>
                    <w:rPr>
                      <w:rFonts w:eastAsiaTheme="minorEastAsia"/>
                      <w:color w:val="000000" w:themeColor="text1"/>
                      <w:szCs w:val="21"/>
                    </w:rPr>
                  </w:pPr>
                </w:p>
              </w:tc>
              <w:tc>
                <w:tcPr>
                  <w:tcW w:w="1417" w:type="dxa"/>
                  <w:vAlign w:val="center"/>
                </w:tcPr>
                <w:p>
                  <w:pPr>
                    <w:pStyle w:val="32"/>
                    <w:spacing w:line="360" w:lineRule="exact"/>
                    <w:rPr>
                      <w:color w:val="000000" w:themeColor="text1"/>
                      <w:szCs w:val="21"/>
                    </w:rPr>
                  </w:pPr>
                  <w:r>
                    <w:rPr>
                      <w:color w:val="000000" w:themeColor="text1"/>
                      <w:szCs w:val="21"/>
                    </w:rPr>
                    <w:t>密闭运输</w:t>
                  </w:r>
                </w:p>
              </w:tc>
              <w:tc>
                <w:tcPr>
                  <w:tcW w:w="2554" w:type="dxa"/>
                  <w:gridSpan w:val="2"/>
                  <w:vAlign w:val="center"/>
                </w:tcPr>
                <w:p>
                  <w:pPr>
                    <w:pStyle w:val="32"/>
                    <w:spacing w:line="360" w:lineRule="exact"/>
                    <w:ind w:firstLine="210" w:firstLineChars="100"/>
                    <w:jc w:val="both"/>
                    <w:rPr>
                      <w:color w:val="000000" w:themeColor="text1"/>
                      <w:szCs w:val="21"/>
                    </w:rPr>
                  </w:pPr>
                  <w:r>
                    <w:rPr>
                      <w:color w:val="000000" w:themeColor="text1"/>
                      <w:szCs w:val="21"/>
                    </w:rPr>
                    <w:t>皮带机密闭</w:t>
                  </w:r>
                </w:p>
              </w:tc>
              <w:tc>
                <w:tcPr>
                  <w:tcW w:w="702" w:type="dxa"/>
                  <w:vAlign w:val="center"/>
                </w:tcPr>
                <w:p>
                  <w:pPr>
                    <w:pStyle w:val="32"/>
                    <w:spacing w:line="360" w:lineRule="exact"/>
                    <w:rPr>
                      <w:color w:val="000000" w:themeColor="text1"/>
                      <w:szCs w:val="21"/>
                    </w:rPr>
                  </w:pPr>
                  <w:r>
                    <w:rPr>
                      <w:color w:val="000000" w:themeColor="text1"/>
                      <w:szCs w:val="21"/>
                    </w:rPr>
                    <w:t>4</w:t>
                  </w:r>
                </w:p>
              </w:tc>
              <w:tc>
                <w:tcPr>
                  <w:tcW w:w="709" w:type="dxa"/>
                  <w:gridSpan w:val="2"/>
                  <w:vMerge w:val="continue"/>
                  <w:vAlign w:val="center"/>
                </w:tcPr>
                <w:p>
                  <w:pPr>
                    <w:pStyle w:val="32"/>
                    <w:spacing w:line="360" w:lineRule="exact"/>
                    <w:rPr>
                      <w:color w:val="000000" w:themeColor="text1"/>
                      <w:szCs w:val="21"/>
                    </w:rPr>
                  </w:pPr>
                </w:p>
              </w:tc>
              <w:tc>
                <w:tcPr>
                  <w:tcW w:w="782" w:type="dxa"/>
                  <w:vAlign w:val="center"/>
                </w:tcPr>
                <w:p>
                  <w:pPr>
                    <w:pStyle w:val="32"/>
                    <w:spacing w:line="360" w:lineRule="exact"/>
                    <w:rPr>
                      <w:color w:val="000000" w:themeColor="text1"/>
                      <w:szCs w:val="21"/>
                    </w:rPr>
                  </w:pPr>
                  <w:r>
                    <w:rPr>
                      <w:color w:val="000000" w:themeColor="text1"/>
                      <w:szCs w:val="21"/>
                    </w:rPr>
                    <w:t>0</w:t>
                  </w:r>
                </w:p>
              </w:tc>
              <w:tc>
                <w:tcPr>
                  <w:tcW w:w="712"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vMerge w:val="continue"/>
                  <w:vAlign w:val="center"/>
                </w:tcPr>
                <w:p>
                  <w:pPr>
                    <w:pStyle w:val="32"/>
                    <w:spacing w:line="360" w:lineRule="exact"/>
                    <w:rPr>
                      <w:color w:val="000000" w:themeColor="text1"/>
                      <w:szCs w:val="21"/>
                    </w:rPr>
                  </w:pPr>
                </w:p>
              </w:tc>
              <w:tc>
                <w:tcPr>
                  <w:tcW w:w="568" w:type="dxa"/>
                  <w:vMerge w:val="restart"/>
                  <w:vAlign w:val="center"/>
                </w:tcPr>
                <w:p>
                  <w:pPr>
                    <w:pStyle w:val="32"/>
                    <w:spacing w:line="360" w:lineRule="exact"/>
                    <w:rPr>
                      <w:color w:val="000000" w:themeColor="text1"/>
                      <w:szCs w:val="21"/>
                    </w:rPr>
                  </w:pPr>
                  <w:r>
                    <w:rPr>
                      <w:color w:val="000000" w:themeColor="text1"/>
                      <w:szCs w:val="21"/>
                    </w:rPr>
                    <w:t>废水</w:t>
                  </w:r>
                </w:p>
              </w:tc>
              <w:tc>
                <w:tcPr>
                  <w:tcW w:w="2125" w:type="dxa"/>
                  <w:gridSpan w:val="3"/>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雨污分流</w:t>
                  </w:r>
                </w:p>
              </w:tc>
              <w:tc>
                <w:tcPr>
                  <w:tcW w:w="2554" w:type="dxa"/>
                  <w:gridSpan w:val="2"/>
                  <w:vAlign w:val="center"/>
                </w:tcPr>
                <w:p>
                  <w:pPr>
                    <w:pStyle w:val="32"/>
                    <w:spacing w:line="360" w:lineRule="exact"/>
                    <w:ind w:firstLine="210" w:firstLineChars="100"/>
                    <w:jc w:val="left"/>
                    <w:rPr>
                      <w:color w:val="000000" w:themeColor="text1"/>
                      <w:szCs w:val="21"/>
                    </w:rPr>
                  </w:pPr>
                  <w:r>
                    <w:rPr>
                      <w:color w:val="000000" w:themeColor="text1"/>
                      <w:szCs w:val="21"/>
                    </w:rPr>
                    <w:t>雨水管网</w:t>
                  </w:r>
                </w:p>
              </w:tc>
              <w:tc>
                <w:tcPr>
                  <w:tcW w:w="702" w:type="dxa"/>
                  <w:vAlign w:val="center"/>
                </w:tcPr>
                <w:p>
                  <w:pPr>
                    <w:pStyle w:val="32"/>
                    <w:spacing w:line="360" w:lineRule="exact"/>
                    <w:rPr>
                      <w:color w:val="000000" w:themeColor="text1"/>
                      <w:szCs w:val="21"/>
                    </w:rPr>
                  </w:pPr>
                  <w:r>
                    <w:rPr>
                      <w:color w:val="000000" w:themeColor="text1"/>
                      <w:szCs w:val="21"/>
                    </w:rPr>
                    <w:t>--</w:t>
                  </w:r>
                </w:p>
              </w:tc>
              <w:tc>
                <w:tcPr>
                  <w:tcW w:w="709" w:type="dxa"/>
                  <w:gridSpan w:val="2"/>
                  <w:vMerge w:val="continue"/>
                  <w:vAlign w:val="center"/>
                </w:tcPr>
                <w:p>
                  <w:pPr>
                    <w:pStyle w:val="32"/>
                    <w:spacing w:line="360" w:lineRule="exact"/>
                    <w:rPr>
                      <w:color w:val="000000" w:themeColor="text1"/>
                      <w:szCs w:val="21"/>
                    </w:rPr>
                  </w:pPr>
                </w:p>
              </w:tc>
              <w:tc>
                <w:tcPr>
                  <w:tcW w:w="782" w:type="dxa"/>
                  <w:vAlign w:val="center"/>
                </w:tcPr>
                <w:p>
                  <w:pPr>
                    <w:pStyle w:val="32"/>
                    <w:spacing w:line="360" w:lineRule="exact"/>
                    <w:rPr>
                      <w:color w:val="000000" w:themeColor="text1"/>
                      <w:szCs w:val="21"/>
                    </w:rPr>
                  </w:pPr>
                  <w:r>
                    <w:rPr>
                      <w:color w:val="000000" w:themeColor="text1"/>
                      <w:szCs w:val="21"/>
                    </w:rPr>
                    <w:t>--</w:t>
                  </w:r>
                </w:p>
              </w:tc>
              <w:tc>
                <w:tcPr>
                  <w:tcW w:w="712"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vMerge w:val="continue"/>
                  <w:vAlign w:val="center"/>
                </w:tcPr>
                <w:p>
                  <w:pPr>
                    <w:pStyle w:val="32"/>
                    <w:spacing w:line="360" w:lineRule="exact"/>
                    <w:rPr>
                      <w:color w:val="000000" w:themeColor="text1"/>
                      <w:szCs w:val="21"/>
                    </w:rPr>
                  </w:pPr>
                </w:p>
              </w:tc>
              <w:tc>
                <w:tcPr>
                  <w:tcW w:w="568" w:type="dxa"/>
                  <w:vMerge w:val="continue"/>
                  <w:vAlign w:val="center"/>
                </w:tcPr>
                <w:p>
                  <w:pPr>
                    <w:pStyle w:val="32"/>
                    <w:spacing w:line="360" w:lineRule="exact"/>
                    <w:rPr>
                      <w:color w:val="000000" w:themeColor="text1"/>
                      <w:szCs w:val="21"/>
                    </w:rPr>
                  </w:pPr>
                </w:p>
              </w:tc>
              <w:tc>
                <w:tcPr>
                  <w:tcW w:w="708" w:type="dxa"/>
                  <w:gridSpan w:val="2"/>
                  <w:vAlign w:val="center"/>
                </w:tcPr>
                <w:p>
                  <w:pPr>
                    <w:pStyle w:val="32"/>
                    <w:spacing w:line="360" w:lineRule="exact"/>
                    <w:rPr>
                      <w:color w:val="000000" w:themeColor="text1"/>
                      <w:szCs w:val="21"/>
                    </w:rPr>
                  </w:pPr>
                  <w:r>
                    <w:rPr>
                      <w:color w:val="000000" w:themeColor="text1"/>
                      <w:szCs w:val="21"/>
                    </w:rPr>
                    <w:t>砂石骨料生产废水</w:t>
                  </w:r>
                </w:p>
              </w:tc>
              <w:tc>
                <w:tcPr>
                  <w:tcW w:w="1417" w:type="dxa"/>
                  <w:vAlign w:val="center"/>
                </w:tcPr>
                <w:p>
                  <w:pPr>
                    <w:pStyle w:val="32"/>
                    <w:spacing w:line="360" w:lineRule="exact"/>
                    <w:rPr>
                      <w:color w:val="000000" w:themeColor="text1"/>
                      <w:szCs w:val="21"/>
                    </w:rPr>
                  </w:pPr>
                  <w:r>
                    <w:rPr>
                      <w:color w:val="000000" w:themeColor="text1"/>
                      <w:szCs w:val="21"/>
                    </w:rPr>
                    <w:t>砂石骨料生产废水处理系统</w:t>
                  </w:r>
                </w:p>
              </w:tc>
              <w:tc>
                <w:tcPr>
                  <w:tcW w:w="2554" w:type="dxa"/>
                  <w:gridSpan w:val="2"/>
                  <w:vAlign w:val="center"/>
                </w:tcPr>
                <w:p>
                  <w:pPr>
                    <w:pStyle w:val="32"/>
                    <w:spacing w:line="360" w:lineRule="exact"/>
                    <w:ind w:firstLine="210" w:firstLineChars="100"/>
                    <w:jc w:val="left"/>
                    <w:rPr>
                      <w:color w:val="FF0000"/>
                      <w:szCs w:val="21"/>
                    </w:rPr>
                  </w:pPr>
                  <w:r>
                    <w:rPr>
                      <w:color w:val="FF0000"/>
                      <w:szCs w:val="21"/>
                    </w:rPr>
                    <w:t>1组有效容积为60m³的三级沉淀池、1个10m³回水池和回水管道</w:t>
                  </w:r>
                </w:p>
              </w:tc>
              <w:tc>
                <w:tcPr>
                  <w:tcW w:w="702" w:type="dxa"/>
                  <w:vAlign w:val="center"/>
                </w:tcPr>
                <w:p>
                  <w:pPr>
                    <w:pStyle w:val="32"/>
                    <w:spacing w:line="360" w:lineRule="exact"/>
                    <w:rPr>
                      <w:color w:val="000000" w:themeColor="text1"/>
                      <w:szCs w:val="21"/>
                    </w:rPr>
                  </w:pPr>
                  <w:r>
                    <w:rPr>
                      <w:color w:val="000000" w:themeColor="text1"/>
                      <w:szCs w:val="21"/>
                    </w:rPr>
                    <w:t>35</w:t>
                  </w:r>
                </w:p>
              </w:tc>
              <w:tc>
                <w:tcPr>
                  <w:tcW w:w="709" w:type="dxa"/>
                  <w:gridSpan w:val="2"/>
                  <w:vMerge w:val="continue"/>
                  <w:vAlign w:val="center"/>
                </w:tcPr>
                <w:p>
                  <w:pPr>
                    <w:pStyle w:val="32"/>
                    <w:spacing w:line="360" w:lineRule="exact"/>
                    <w:rPr>
                      <w:color w:val="000000" w:themeColor="text1"/>
                      <w:szCs w:val="21"/>
                    </w:rPr>
                  </w:pPr>
                </w:p>
              </w:tc>
              <w:tc>
                <w:tcPr>
                  <w:tcW w:w="782" w:type="dxa"/>
                  <w:vAlign w:val="center"/>
                </w:tcPr>
                <w:p>
                  <w:pPr>
                    <w:pStyle w:val="32"/>
                    <w:spacing w:line="360" w:lineRule="exact"/>
                    <w:rPr>
                      <w:color w:val="000000" w:themeColor="text1"/>
                      <w:szCs w:val="21"/>
                    </w:rPr>
                  </w:pPr>
                  <w:r>
                    <w:rPr>
                      <w:color w:val="000000" w:themeColor="text1"/>
                      <w:szCs w:val="21"/>
                    </w:rPr>
                    <w:t>4</w:t>
                  </w:r>
                </w:p>
              </w:tc>
              <w:tc>
                <w:tcPr>
                  <w:tcW w:w="712"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vMerge w:val="continue"/>
                  <w:vAlign w:val="center"/>
                </w:tcPr>
                <w:p>
                  <w:pPr>
                    <w:pStyle w:val="32"/>
                    <w:spacing w:line="360" w:lineRule="exact"/>
                    <w:rPr>
                      <w:color w:val="000000" w:themeColor="text1"/>
                      <w:szCs w:val="21"/>
                    </w:rPr>
                  </w:pPr>
                </w:p>
              </w:tc>
              <w:tc>
                <w:tcPr>
                  <w:tcW w:w="568" w:type="dxa"/>
                  <w:vMerge w:val="continue"/>
                  <w:vAlign w:val="center"/>
                </w:tcPr>
                <w:p>
                  <w:pPr>
                    <w:pStyle w:val="32"/>
                    <w:spacing w:line="360" w:lineRule="exact"/>
                    <w:rPr>
                      <w:color w:val="000000" w:themeColor="text1"/>
                      <w:szCs w:val="21"/>
                    </w:rPr>
                  </w:pPr>
                </w:p>
              </w:tc>
              <w:tc>
                <w:tcPr>
                  <w:tcW w:w="708" w:type="dxa"/>
                  <w:gridSpan w:val="2"/>
                  <w:vAlign w:val="center"/>
                </w:tcPr>
                <w:p>
                  <w:pPr>
                    <w:pStyle w:val="32"/>
                    <w:spacing w:line="360" w:lineRule="exact"/>
                    <w:rPr>
                      <w:color w:val="000000" w:themeColor="text1"/>
                      <w:szCs w:val="21"/>
                    </w:rPr>
                  </w:pPr>
                  <w:r>
                    <w:rPr>
                      <w:color w:val="000000" w:themeColor="text1"/>
                      <w:szCs w:val="21"/>
                    </w:rPr>
                    <w:t>初期雨水</w:t>
                  </w:r>
                </w:p>
              </w:tc>
              <w:tc>
                <w:tcPr>
                  <w:tcW w:w="1417" w:type="dxa"/>
                  <w:vAlign w:val="center"/>
                </w:tcPr>
                <w:p>
                  <w:pPr>
                    <w:pStyle w:val="32"/>
                    <w:spacing w:line="360" w:lineRule="exact"/>
                    <w:rPr>
                      <w:color w:val="000000" w:themeColor="text1"/>
                      <w:szCs w:val="21"/>
                    </w:rPr>
                  </w:pPr>
                  <w:r>
                    <w:rPr>
                      <w:color w:val="000000" w:themeColor="text1"/>
                      <w:szCs w:val="21"/>
                    </w:rPr>
                    <w:t>初期雨水收集系统</w:t>
                  </w:r>
                </w:p>
              </w:tc>
              <w:tc>
                <w:tcPr>
                  <w:tcW w:w="2554" w:type="dxa"/>
                  <w:gridSpan w:val="2"/>
                  <w:vAlign w:val="center"/>
                </w:tcPr>
                <w:p>
                  <w:pPr>
                    <w:pStyle w:val="32"/>
                    <w:spacing w:line="360" w:lineRule="exact"/>
                    <w:ind w:firstLine="210" w:firstLineChars="100"/>
                    <w:jc w:val="left"/>
                    <w:rPr>
                      <w:color w:val="000000" w:themeColor="text1"/>
                      <w:szCs w:val="21"/>
                    </w:rPr>
                  </w:pPr>
                  <w:r>
                    <w:rPr>
                      <w:color w:val="000000" w:themeColor="text1"/>
                      <w:szCs w:val="21"/>
                    </w:rPr>
                    <w:t>截排水沟和1个有效容积为</w:t>
                  </w:r>
                  <w:r>
                    <w:rPr>
                      <w:rFonts w:hint="eastAsia"/>
                      <w:color w:val="000000" w:themeColor="text1"/>
                      <w:szCs w:val="21"/>
                    </w:rPr>
                    <w:t>9</w:t>
                  </w:r>
                  <w:r>
                    <w:rPr>
                      <w:color w:val="000000" w:themeColor="text1"/>
                      <w:szCs w:val="21"/>
                    </w:rPr>
                    <w:t>m³</w:t>
                  </w:r>
                  <w:r>
                    <w:rPr>
                      <w:rFonts w:hint="eastAsia"/>
                      <w:color w:val="000000" w:themeColor="text1"/>
                      <w:szCs w:val="21"/>
                    </w:rPr>
                    <w:t>的初期雨水收集池</w:t>
                  </w:r>
                </w:p>
              </w:tc>
              <w:tc>
                <w:tcPr>
                  <w:tcW w:w="702" w:type="dxa"/>
                  <w:vAlign w:val="center"/>
                </w:tcPr>
                <w:p>
                  <w:pPr>
                    <w:pStyle w:val="32"/>
                    <w:spacing w:line="360" w:lineRule="exact"/>
                    <w:rPr>
                      <w:color w:val="000000" w:themeColor="text1"/>
                      <w:szCs w:val="21"/>
                    </w:rPr>
                  </w:pPr>
                  <w:r>
                    <w:rPr>
                      <w:color w:val="000000" w:themeColor="text1"/>
                      <w:szCs w:val="21"/>
                    </w:rPr>
                    <w:t>9</w:t>
                  </w:r>
                </w:p>
              </w:tc>
              <w:tc>
                <w:tcPr>
                  <w:tcW w:w="709" w:type="dxa"/>
                  <w:gridSpan w:val="2"/>
                  <w:vMerge w:val="continue"/>
                  <w:vAlign w:val="center"/>
                </w:tcPr>
                <w:p>
                  <w:pPr>
                    <w:pStyle w:val="32"/>
                    <w:spacing w:line="360" w:lineRule="exact"/>
                    <w:rPr>
                      <w:color w:val="000000" w:themeColor="text1"/>
                      <w:szCs w:val="21"/>
                    </w:rPr>
                  </w:pPr>
                </w:p>
              </w:tc>
              <w:tc>
                <w:tcPr>
                  <w:tcW w:w="782" w:type="dxa"/>
                  <w:vAlign w:val="center"/>
                </w:tcPr>
                <w:p>
                  <w:pPr>
                    <w:pStyle w:val="32"/>
                    <w:spacing w:line="360" w:lineRule="exact"/>
                    <w:rPr>
                      <w:color w:val="000000" w:themeColor="text1"/>
                      <w:szCs w:val="21"/>
                    </w:rPr>
                  </w:pPr>
                  <w:r>
                    <w:rPr>
                      <w:color w:val="000000" w:themeColor="text1"/>
                      <w:szCs w:val="21"/>
                    </w:rPr>
                    <w:t>1</w:t>
                  </w:r>
                </w:p>
              </w:tc>
              <w:tc>
                <w:tcPr>
                  <w:tcW w:w="712"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453" w:type="dxa"/>
                  <w:vMerge w:val="continue"/>
                  <w:vAlign w:val="center"/>
                </w:tcPr>
                <w:p>
                  <w:pPr>
                    <w:pStyle w:val="32"/>
                    <w:spacing w:line="360" w:lineRule="exact"/>
                    <w:rPr>
                      <w:color w:val="000000" w:themeColor="text1"/>
                      <w:szCs w:val="21"/>
                    </w:rPr>
                  </w:pPr>
                </w:p>
              </w:tc>
              <w:tc>
                <w:tcPr>
                  <w:tcW w:w="568" w:type="dxa"/>
                  <w:vMerge w:val="continue"/>
                  <w:vAlign w:val="center"/>
                </w:tcPr>
                <w:p>
                  <w:pPr>
                    <w:pStyle w:val="32"/>
                    <w:spacing w:line="360" w:lineRule="exact"/>
                    <w:rPr>
                      <w:color w:val="000000" w:themeColor="text1"/>
                      <w:szCs w:val="21"/>
                    </w:rPr>
                  </w:pPr>
                </w:p>
              </w:tc>
              <w:tc>
                <w:tcPr>
                  <w:tcW w:w="708" w:type="dxa"/>
                  <w:gridSpan w:val="2"/>
                  <w:vAlign w:val="center"/>
                </w:tcPr>
                <w:p>
                  <w:pPr>
                    <w:pStyle w:val="32"/>
                    <w:spacing w:line="360" w:lineRule="exact"/>
                    <w:rPr>
                      <w:color w:val="000000" w:themeColor="text1"/>
                      <w:szCs w:val="21"/>
                    </w:rPr>
                  </w:pPr>
                  <w:r>
                    <w:rPr>
                      <w:color w:val="000000" w:themeColor="text1"/>
                      <w:szCs w:val="21"/>
                    </w:rPr>
                    <w:t>生活污水</w:t>
                  </w:r>
                </w:p>
              </w:tc>
              <w:tc>
                <w:tcPr>
                  <w:tcW w:w="1417" w:type="dxa"/>
                  <w:vAlign w:val="center"/>
                </w:tcPr>
                <w:p>
                  <w:pPr>
                    <w:pStyle w:val="32"/>
                    <w:spacing w:line="360" w:lineRule="exact"/>
                    <w:rPr>
                      <w:color w:val="000000" w:themeColor="text1"/>
                      <w:szCs w:val="21"/>
                    </w:rPr>
                  </w:pPr>
                  <w:r>
                    <w:rPr>
                      <w:rFonts w:eastAsiaTheme="minorEastAsia"/>
                      <w:color w:val="000000" w:themeColor="text1"/>
                      <w:szCs w:val="21"/>
                    </w:rPr>
                    <w:t>生活污水处理系统</w:t>
                  </w:r>
                </w:p>
              </w:tc>
              <w:tc>
                <w:tcPr>
                  <w:tcW w:w="2554" w:type="dxa"/>
                  <w:gridSpan w:val="2"/>
                  <w:vAlign w:val="center"/>
                </w:tcPr>
                <w:p>
                  <w:pPr>
                    <w:pStyle w:val="32"/>
                    <w:spacing w:line="360" w:lineRule="exact"/>
                    <w:ind w:firstLine="210" w:firstLineChars="100"/>
                    <w:jc w:val="both"/>
                    <w:rPr>
                      <w:color w:val="000000" w:themeColor="text1"/>
                      <w:szCs w:val="21"/>
                    </w:rPr>
                  </w:pPr>
                  <w:r>
                    <w:rPr>
                      <w:color w:val="000000" w:themeColor="text1"/>
                      <w:szCs w:val="21"/>
                    </w:rPr>
                    <w:t>1个有效容积为3m³的化粪池、1套处理能力为3m³/d的一体化污水处理设施和1个有效容积为10m³的清水池</w:t>
                  </w:r>
                </w:p>
              </w:tc>
              <w:tc>
                <w:tcPr>
                  <w:tcW w:w="702" w:type="dxa"/>
                  <w:vAlign w:val="center"/>
                </w:tcPr>
                <w:p>
                  <w:pPr>
                    <w:pStyle w:val="32"/>
                    <w:spacing w:line="360" w:lineRule="exact"/>
                    <w:rPr>
                      <w:color w:val="000000" w:themeColor="text1"/>
                      <w:szCs w:val="21"/>
                    </w:rPr>
                  </w:pPr>
                  <w:r>
                    <w:rPr>
                      <w:color w:val="000000" w:themeColor="text1"/>
                      <w:szCs w:val="21"/>
                    </w:rPr>
                    <w:t>15</w:t>
                  </w:r>
                </w:p>
              </w:tc>
              <w:tc>
                <w:tcPr>
                  <w:tcW w:w="709" w:type="dxa"/>
                  <w:gridSpan w:val="2"/>
                  <w:vMerge w:val="continue"/>
                  <w:vAlign w:val="center"/>
                </w:tcPr>
                <w:p>
                  <w:pPr>
                    <w:pStyle w:val="32"/>
                    <w:spacing w:line="360" w:lineRule="exact"/>
                    <w:rPr>
                      <w:color w:val="000000" w:themeColor="text1"/>
                      <w:szCs w:val="21"/>
                    </w:rPr>
                  </w:pPr>
                </w:p>
              </w:tc>
              <w:tc>
                <w:tcPr>
                  <w:tcW w:w="782" w:type="dxa"/>
                  <w:vAlign w:val="center"/>
                </w:tcPr>
                <w:p>
                  <w:pPr>
                    <w:pStyle w:val="32"/>
                    <w:spacing w:line="360" w:lineRule="exact"/>
                    <w:rPr>
                      <w:color w:val="000000" w:themeColor="text1"/>
                      <w:szCs w:val="21"/>
                    </w:rPr>
                  </w:pPr>
                  <w:r>
                    <w:rPr>
                      <w:color w:val="000000" w:themeColor="text1"/>
                      <w:szCs w:val="21"/>
                    </w:rPr>
                    <w:t>1.5</w:t>
                  </w:r>
                </w:p>
              </w:tc>
              <w:tc>
                <w:tcPr>
                  <w:tcW w:w="712"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vMerge w:val="continue"/>
                  <w:vAlign w:val="center"/>
                </w:tcPr>
                <w:p>
                  <w:pPr>
                    <w:pStyle w:val="32"/>
                    <w:spacing w:line="360" w:lineRule="exact"/>
                    <w:rPr>
                      <w:color w:val="000000" w:themeColor="text1"/>
                      <w:szCs w:val="21"/>
                    </w:rPr>
                  </w:pPr>
                </w:p>
              </w:tc>
              <w:tc>
                <w:tcPr>
                  <w:tcW w:w="1276" w:type="dxa"/>
                  <w:gridSpan w:val="3"/>
                  <w:vMerge w:val="restart"/>
                  <w:vAlign w:val="center"/>
                </w:tcPr>
                <w:p>
                  <w:pPr>
                    <w:pStyle w:val="32"/>
                    <w:spacing w:line="360" w:lineRule="exact"/>
                    <w:rPr>
                      <w:color w:val="000000" w:themeColor="text1"/>
                      <w:szCs w:val="21"/>
                    </w:rPr>
                  </w:pPr>
                  <w:r>
                    <w:rPr>
                      <w:color w:val="000000" w:themeColor="text1"/>
                      <w:szCs w:val="21"/>
                    </w:rPr>
                    <w:t>地下水防渗</w:t>
                  </w:r>
                </w:p>
              </w:tc>
              <w:tc>
                <w:tcPr>
                  <w:tcW w:w="1417" w:type="dxa"/>
                  <w:vAlign w:val="center"/>
                </w:tcPr>
                <w:p>
                  <w:pPr>
                    <w:pStyle w:val="32"/>
                    <w:spacing w:line="360" w:lineRule="exact"/>
                    <w:rPr>
                      <w:color w:val="000000" w:themeColor="text1"/>
                      <w:szCs w:val="21"/>
                    </w:rPr>
                  </w:pPr>
                  <w:r>
                    <w:rPr>
                      <w:color w:val="000000" w:themeColor="text1"/>
                      <w:szCs w:val="21"/>
                    </w:rPr>
                    <w:t>重点防渗区</w:t>
                  </w:r>
                </w:p>
              </w:tc>
              <w:tc>
                <w:tcPr>
                  <w:tcW w:w="2554" w:type="dxa"/>
                  <w:gridSpan w:val="2"/>
                  <w:vAlign w:val="center"/>
                </w:tcPr>
                <w:p>
                  <w:pPr>
                    <w:pStyle w:val="32"/>
                    <w:spacing w:line="360" w:lineRule="exact"/>
                    <w:ind w:firstLine="210" w:firstLineChars="100"/>
                    <w:jc w:val="both"/>
                    <w:rPr>
                      <w:color w:val="000000" w:themeColor="text1"/>
                      <w:szCs w:val="21"/>
                    </w:rPr>
                  </w:pPr>
                  <w:r>
                    <w:rPr>
                      <w:color w:val="000000" w:themeColor="text1"/>
                      <w:szCs w:val="21"/>
                    </w:rPr>
                    <w:t>项目重点防渗区为危险废物贮存间：危险废物贮存间地面和裙墙应采用不低于2mm厚的HDPE膜或其他人工防渗材料进行防渗，使其渗透系数≤10</w:t>
                  </w:r>
                  <w:r>
                    <w:rPr>
                      <w:color w:val="000000" w:themeColor="text1"/>
                      <w:szCs w:val="21"/>
                      <w:vertAlign w:val="superscript"/>
                    </w:rPr>
                    <w:t>-10</w:t>
                  </w:r>
                  <w:r>
                    <w:rPr>
                      <w:color w:val="000000" w:themeColor="text1"/>
                      <w:szCs w:val="21"/>
                    </w:rPr>
                    <w:t>cm/s；</w:t>
                  </w:r>
                </w:p>
              </w:tc>
              <w:tc>
                <w:tcPr>
                  <w:tcW w:w="702" w:type="dxa"/>
                  <w:vAlign w:val="center"/>
                </w:tcPr>
                <w:p>
                  <w:pPr>
                    <w:pStyle w:val="32"/>
                    <w:spacing w:line="360" w:lineRule="exact"/>
                    <w:rPr>
                      <w:color w:val="000000" w:themeColor="text1"/>
                      <w:szCs w:val="21"/>
                    </w:rPr>
                  </w:pPr>
                  <w:r>
                    <w:rPr>
                      <w:color w:val="000000" w:themeColor="text1"/>
                      <w:szCs w:val="21"/>
                    </w:rPr>
                    <w:t>0.5</w:t>
                  </w:r>
                </w:p>
              </w:tc>
              <w:tc>
                <w:tcPr>
                  <w:tcW w:w="709" w:type="dxa"/>
                  <w:gridSpan w:val="2"/>
                  <w:vMerge w:val="continue"/>
                  <w:vAlign w:val="center"/>
                </w:tcPr>
                <w:p>
                  <w:pPr>
                    <w:pStyle w:val="32"/>
                    <w:spacing w:line="360" w:lineRule="exact"/>
                    <w:rPr>
                      <w:color w:val="000000" w:themeColor="text1"/>
                      <w:szCs w:val="21"/>
                    </w:rPr>
                  </w:pPr>
                </w:p>
              </w:tc>
              <w:tc>
                <w:tcPr>
                  <w:tcW w:w="782" w:type="dxa"/>
                  <w:vAlign w:val="center"/>
                </w:tcPr>
                <w:p>
                  <w:pPr>
                    <w:pStyle w:val="32"/>
                    <w:spacing w:line="360" w:lineRule="exact"/>
                    <w:rPr>
                      <w:color w:val="000000" w:themeColor="text1"/>
                      <w:szCs w:val="21"/>
                    </w:rPr>
                  </w:pPr>
                  <w:r>
                    <w:rPr>
                      <w:color w:val="000000" w:themeColor="text1"/>
                      <w:szCs w:val="21"/>
                    </w:rPr>
                    <w:t>0</w:t>
                  </w:r>
                </w:p>
              </w:tc>
              <w:tc>
                <w:tcPr>
                  <w:tcW w:w="712"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vMerge w:val="continue"/>
                  <w:vAlign w:val="center"/>
                </w:tcPr>
                <w:p>
                  <w:pPr>
                    <w:pStyle w:val="32"/>
                    <w:spacing w:line="360" w:lineRule="exact"/>
                    <w:rPr>
                      <w:color w:val="000000" w:themeColor="text1"/>
                      <w:szCs w:val="21"/>
                    </w:rPr>
                  </w:pPr>
                </w:p>
              </w:tc>
              <w:tc>
                <w:tcPr>
                  <w:tcW w:w="1276" w:type="dxa"/>
                  <w:gridSpan w:val="3"/>
                  <w:vMerge w:val="continue"/>
                  <w:vAlign w:val="center"/>
                </w:tcPr>
                <w:p>
                  <w:pPr>
                    <w:pStyle w:val="32"/>
                    <w:spacing w:line="360" w:lineRule="exact"/>
                    <w:rPr>
                      <w:color w:val="000000" w:themeColor="text1"/>
                      <w:szCs w:val="21"/>
                    </w:rPr>
                  </w:pPr>
                </w:p>
              </w:tc>
              <w:tc>
                <w:tcPr>
                  <w:tcW w:w="1417" w:type="dxa"/>
                  <w:vAlign w:val="center"/>
                </w:tcPr>
                <w:p>
                  <w:pPr>
                    <w:pStyle w:val="32"/>
                    <w:spacing w:line="360" w:lineRule="exact"/>
                    <w:rPr>
                      <w:color w:val="000000" w:themeColor="text1"/>
                      <w:szCs w:val="21"/>
                    </w:rPr>
                  </w:pPr>
                  <w:r>
                    <w:rPr>
                      <w:color w:val="000000" w:themeColor="text1"/>
                      <w:szCs w:val="21"/>
                    </w:rPr>
                    <w:t>一般防渗区</w:t>
                  </w:r>
                </w:p>
              </w:tc>
              <w:tc>
                <w:tcPr>
                  <w:tcW w:w="2554" w:type="dxa"/>
                  <w:gridSpan w:val="2"/>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一期工程</w:t>
                  </w:r>
                  <w:r>
                    <w:rPr>
                      <w:color w:val="000000" w:themeColor="text1"/>
                      <w:szCs w:val="21"/>
                    </w:rPr>
                    <w:t>生产区、砂石骨料生产废水处理系统、</w:t>
                  </w:r>
                  <w:r>
                    <w:rPr>
                      <w:rFonts w:hint="eastAsia"/>
                      <w:color w:val="000000" w:themeColor="text1"/>
                      <w:szCs w:val="21"/>
                    </w:rPr>
                    <w:t>一期工程</w:t>
                  </w:r>
                  <w:r>
                    <w:rPr>
                      <w:color w:val="000000" w:themeColor="text1"/>
                      <w:szCs w:val="21"/>
                    </w:rPr>
                    <w:t>初期雨水收集系统和生活污水处理系统区域划定为一般防渗区，一般防渗区措施在地面采取粘土铺底，并在上层铺30cm的混凝土进行硬化。确保防渗性能，使其渗透系数≤1.0×10</w:t>
                  </w:r>
                  <w:r>
                    <w:rPr>
                      <w:color w:val="000000" w:themeColor="text1"/>
                      <w:szCs w:val="21"/>
                      <w:vertAlign w:val="superscript"/>
                    </w:rPr>
                    <w:t>-7</w:t>
                  </w:r>
                  <w:r>
                    <w:rPr>
                      <w:color w:val="000000" w:themeColor="text1"/>
                      <w:szCs w:val="21"/>
                    </w:rPr>
                    <w:t>cm/s。</w:t>
                  </w:r>
                </w:p>
              </w:tc>
              <w:tc>
                <w:tcPr>
                  <w:tcW w:w="702" w:type="dxa"/>
                  <w:vAlign w:val="center"/>
                </w:tcPr>
                <w:p>
                  <w:pPr>
                    <w:pStyle w:val="32"/>
                    <w:spacing w:line="360" w:lineRule="exact"/>
                    <w:rPr>
                      <w:color w:val="000000" w:themeColor="text1"/>
                      <w:szCs w:val="21"/>
                    </w:rPr>
                  </w:pPr>
                  <w:r>
                    <w:rPr>
                      <w:rFonts w:hint="eastAsia"/>
                      <w:color w:val="000000" w:themeColor="text1"/>
                      <w:szCs w:val="21"/>
                    </w:rPr>
                    <w:t>4</w:t>
                  </w:r>
                  <w:r>
                    <w:rPr>
                      <w:color w:val="000000" w:themeColor="text1"/>
                      <w:szCs w:val="21"/>
                    </w:rPr>
                    <w:t>8</w:t>
                  </w:r>
                </w:p>
              </w:tc>
              <w:tc>
                <w:tcPr>
                  <w:tcW w:w="709" w:type="dxa"/>
                  <w:gridSpan w:val="2"/>
                  <w:vMerge w:val="continue"/>
                  <w:vAlign w:val="center"/>
                </w:tcPr>
                <w:p>
                  <w:pPr>
                    <w:pStyle w:val="32"/>
                    <w:spacing w:line="360" w:lineRule="exact"/>
                    <w:rPr>
                      <w:color w:val="000000" w:themeColor="text1"/>
                      <w:szCs w:val="21"/>
                    </w:rPr>
                  </w:pPr>
                </w:p>
              </w:tc>
              <w:tc>
                <w:tcPr>
                  <w:tcW w:w="782" w:type="dxa"/>
                  <w:vAlign w:val="center"/>
                </w:tcPr>
                <w:p>
                  <w:pPr>
                    <w:pStyle w:val="32"/>
                    <w:spacing w:line="360" w:lineRule="exact"/>
                    <w:rPr>
                      <w:color w:val="000000" w:themeColor="text1"/>
                      <w:szCs w:val="21"/>
                    </w:rPr>
                  </w:pPr>
                  <w:r>
                    <w:rPr>
                      <w:color w:val="000000" w:themeColor="text1"/>
                      <w:szCs w:val="21"/>
                    </w:rPr>
                    <w:t>0</w:t>
                  </w:r>
                </w:p>
              </w:tc>
              <w:tc>
                <w:tcPr>
                  <w:tcW w:w="712"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vMerge w:val="continue"/>
                  <w:vAlign w:val="center"/>
                </w:tcPr>
                <w:p>
                  <w:pPr>
                    <w:pStyle w:val="32"/>
                    <w:spacing w:line="360" w:lineRule="exact"/>
                    <w:rPr>
                      <w:color w:val="000000" w:themeColor="text1"/>
                      <w:szCs w:val="21"/>
                    </w:rPr>
                  </w:pPr>
                </w:p>
              </w:tc>
              <w:tc>
                <w:tcPr>
                  <w:tcW w:w="607" w:type="dxa"/>
                  <w:gridSpan w:val="2"/>
                  <w:vAlign w:val="center"/>
                </w:tcPr>
                <w:p>
                  <w:pPr>
                    <w:pStyle w:val="32"/>
                    <w:spacing w:line="360" w:lineRule="exact"/>
                    <w:rPr>
                      <w:color w:val="000000" w:themeColor="text1"/>
                      <w:szCs w:val="21"/>
                    </w:rPr>
                  </w:pPr>
                  <w:r>
                    <w:rPr>
                      <w:color w:val="000000" w:themeColor="text1"/>
                      <w:szCs w:val="21"/>
                    </w:rPr>
                    <w:t>噪声</w:t>
                  </w:r>
                </w:p>
              </w:tc>
              <w:tc>
                <w:tcPr>
                  <w:tcW w:w="669" w:type="dxa"/>
                  <w:vAlign w:val="center"/>
                </w:tcPr>
                <w:p>
                  <w:pPr>
                    <w:pStyle w:val="32"/>
                    <w:spacing w:line="360" w:lineRule="exact"/>
                    <w:rPr>
                      <w:color w:val="000000" w:themeColor="text1"/>
                      <w:szCs w:val="21"/>
                    </w:rPr>
                  </w:pPr>
                  <w:r>
                    <w:rPr>
                      <w:color w:val="000000" w:themeColor="text1"/>
                      <w:szCs w:val="21"/>
                    </w:rPr>
                    <w:t>设备噪声</w:t>
                  </w:r>
                </w:p>
              </w:tc>
              <w:tc>
                <w:tcPr>
                  <w:tcW w:w="1417" w:type="dxa"/>
                  <w:vAlign w:val="center"/>
                </w:tcPr>
                <w:p>
                  <w:pPr>
                    <w:pStyle w:val="32"/>
                    <w:spacing w:line="360" w:lineRule="exact"/>
                    <w:rPr>
                      <w:color w:val="000000" w:themeColor="text1"/>
                      <w:szCs w:val="21"/>
                    </w:rPr>
                  </w:pPr>
                  <w:r>
                    <w:rPr>
                      <w:color w:val="000000" w:themeColor="text1"/>
                      <w:szCs w:val="21"/>
                    </w:rPr>
                    <w:t>减震垫、消声器等</w:t>
                  </w:r>
                </w:p>
              </w:tc>
              <w:tc>
                <w:tcPr>
                  <w:tcW w:w="2554" w:type="dxa"/>
                  <w:gridSpan w:val="2"/>
                  <w:vAlign w:val="center"/>
                </w:tcPr>
                <w:p>
                  <w:pPr>
                    <w:pStyle w:val="32"/>
                    <w:spacing w:line="360" w:lineRule="exact"/>
                    <w:ind w:firstLine="210" w:firstLineChars="100"/>
                    <w:jc w:val="left"/>
                    <w:rPr>
                      <w:color w:val="000000" w:themeColor="text1"/>
                      <w:szCs w:val="21"/>
                    </w:rPr>
                  </w:pPr>
                  <w:r>
                    <w:rPr>
                      <w:color w:val="000000" w:themeColor="text1"/>
                      <w:szCs w:val="21"/>
                    </w:rPr>
                    <w:t>设备基础加装减震垫、消声器等</w:t>
                  </w:r>
                </w:p>
              </w:tc>
              <w:tc>
                <w:tcPr>
                  <w:tcW w:w="702" w:type="dxa"/>
                  <w:vAlign w:val="center"/>
                </w:tcPr>
                <w:p>
                  <w:pPr>
                    <w:pStyle w:val="32"/>
                    <w:spacing w:line="360" w:lineRule="exact"/>
                    <w:rPr>
                      <w:color w:val="000000" w:themeColor="text1"/>
                      <w:szCs w:val="21"/>
                    </w:rPr>
                  </w:pPr>
                  <w:r>
                    <w:rPr>
                      <w:rFonts w:hint="eastAsia"/>
                      <w:color w:val="000000" w:themeColor="text1"/>
                      <w:szCs w:val="21"/>
                    </w:rPr>
                    <w:t>1</w:t>
                  </w:r>
                </w:p>
              </w:tc>
              <w:tc>
                <w:tcPr>
                  <w:tcW w:w="709" w:type="dxa"/>
                  <w:gridSpan w:val="2"/>
                  <w:vMerge w:val="continue"/>
                  <w:vAlign w:val="center"/>
                </w:tcPr>
                <w:p>
                  <w:pPr>
                    <w:pStyle w:val="32"/>
                    <w:spacing w:line="360" w:lineRule="exact"/>
                    <w:rPr>
                      <w:color w:val="000000" w:themeColor="text1"/>
                      <w:szCs w:val="21"/>
                    </w:rPr>
                  </w:pPr>
                </w:p>
              </w:tc>
              <w:tc>
                <w:tcPr>
                  <w:tcW w:w="782" w:type="dxa"/>
                  <w:vAlign w:val="center"/>
                </w:tcPr>
                <w:p>
                  <w:pPr>
                    <w:pStyle w:val="32"/>
                    <w:spacing w:line="360" w:lineRule="exact"/>
                    <w:rPr>
                      <w:color w:val="000000" w:themeColor="text1"/>
                      <w:szCs w:val="21"/>
                    </w:rPr>
                  </w:pPr>
                  <w:r>
                    <w:rPr>
                      <w:color w:val="000000" w:themeColor="text1"/>
                      <w:szCs w:val="21"/>
                    </w:rPr>
                    <w:t>0</w:t>
                  </w:r>
                </w:p>
              </w:tc>
              <w:tc>
                <w:tcPr>
                  <w:tcW w:w="712"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vMerge w:val="continue"/>
                  <w:vAlign w:val="center"/>
                </w:tcPr>
                <w:p>
                  <w:pPr>
                    <w:pStyle w:val="32"/>
                    <w:spacing w:line="360" w:lineRule="exact"/>
                    <w:rPr>
                      <w:color w:val="000000" w:themeColor="text1"/>
                      <w:szCs w:val="21"/>
                    </w:rPr>
                  </w:pPr>
                </w:p>
              </w:tc>
              <w:tc>
                <w:tcPr>
                  <w:tcW w:w="607" w:type="dxa"/>
                  <w:gridSpan w:val="2"/>
                  <w:vMerge w:val="restart"/>
                  <w:vAlign w:val="center"/>
                </w:tcPr>
                <w:p>
                  <w:pPr>
                    <w:pStyle w:val="32"/>
                    <w:spacing w:line="360" w:lineRule="exact"/>
                    <w:rPr>
                      <w:color w:val="000000" w:themeColor="text1"/>
                      <w:szCs w:val="21"/>
                    </w:rPr>
                  </w:pPr>
                  <w:r>
                    <w:rPr>
                      <w:color w:val="000000" w:themeColor="text1"/>
                      <w:szCs w:val="21"/>
                    </w:rPr>
                    <w:t>固废</w:t>
                  </w:r>
                </w:p>
              </w:tc>
              <w:tc>
                <w:tcPr>
                  <w:tcW w:w="669" w:type="dxa"/>
                  <w:vAlign w:val="center"/>
                </w:tcPr>
                <w:p>
                  <w:pPr>
                    <w:pStyle w:val="32"/>
                    <w:spacing w:line="360" w:lineRule="exact"/>
                    <w:rPr>
                      <w:color w:val="000000" w:themeColor="text1"/>
                      <w:szCs w:val="21"/>
                    </w:rPr>
                  </w:pPr>
                  <w:r>
                    <w:rPr>
                      <w:color w:val="000000" w:themeColor="text1"/>
                      <w:szCs w:val="21"/>
                    </w:rPr>
                    <w:t>危险废物</w:t>
                  </w:r>
                </w:p>
              </w:tc>
              <w:tc>
                <w:tcPr>
                  <w:tcW w:w="1417" w:type="dxa"/>
                  <w:vAlign w:val="center"/>
                </w:tcPr>
                <w:p>
                  <w:pPr>
                    <w:pStyle w:val="32"/>
                    <w:spacing w:line="360" w:lineRule="exact"/>
                    <w:rPr>
                      <w:color w:val="000000" w:themeColor="text1"/>
                      <w:szCs w:val="21"/>
                    </w:rPr>
                  </w:pPr>
                  <w:r>
                    <w:rPr>
                      <w:color w:val="000000" w:themeColor="text1"/>
                      <w:szCs w:val="21"/>
                    </w:rPr>
                    <w:t>危险废物贮存间</w:t>
                  </w:r>
                </w:p>
              </w:tc>
              <w:tc>
                <w:tcPr>
                  <w:tcW w:w="2554" w:type="dxa"/>
                  <w:gridSpan w:val="2"/>
                  <w:vAlign w:val="center"/>
                </w:tcPr>
                <w:p>
                  <w:pPr>
                    <w:pStyle w:val="32"/>
                    <w:spacing w:line="360" w:lineRule="exact"/>
                    <w:ind w:firstLine="210" w:firstLineChars="100"/>
                    <w:jc w:val="left"/>
                    <w:rPr>
                      <w:color w:val="000000" w:themeColor="text1"/>
                      <w:szCs w:val="21"/>
                    </w:rPr>
                  </w:pPr>
                  <w:r>
                    <w:rPr>
                      <w:color w:val="000000" w:themeColor="text1"/>
                      <w:szCs w:val="21"/>
                    </w:rPr>
                    <w:t>1个10m²</w:t>
                  </w:r>
                </w:p>
              </w:tc>
              <w:tc>
                <w:tcPr>
                  <w:tcW w:w="702" w:type="dxa"/>
                  <w:vAlign w:val="center"/>
                </w:tcPr>
                <w:p>
                  <w:pPr>
                    <w:pStyle w:val="32"/>
                    <w:spacing w:line="360" w:lineRule="exact"/>
                    <w:rPr>
                      <w:color w:val="000000" w:themeColor="text1"/>
                      <w:szCs w:val="21"/>
                    </w:rPr>
                  </w:pPr>
                  <w:r>
                    <w:rPr>
                      <w:color w:val="000000" w:themeColor="text1"/>
                      <w:szCs w:val="21"/>
                    </w:rPr>
                    <w:t>1</w:t>
                  </w:r>
                </w:p>
              </w:tc>
              <w:tc>
                <w:tcPr>
                  <w:tcW w:w="709" w:type="dxa"/>
                  <w:gridSpan w:val="2"/>
                  <w:vMerge w:val="continue"/>
                  <w:vAlign w:val="center"/>
                </w:tcPr>
                <w:p>
                  <w:pPr>
                    <w:pStyle w:val="32"/>
                    <w:spacing w:line="360" w:lineRule="exact"/>
                    <w:rPr>
                      <w:color w:val="000000" w:themeColor="text1"/>
                      <w:szCs w:val="21"/>
                    </w:rPr>
                  </w:pPr>
                </w:p>
              </w:tc>
              <w:tc>
                <w:tcPr>
                  <w:tcW w:w="782" w:type="dxa"/>
                  <w:vAlign w:val="center"/>
                </w:tcPr>
                <w:p>
                  <w:pPr>
                    <w:pStyle w:val="32"/>
                    <w:spacing w:line="360" w:lineRule="exact"/>
                    <w:rPr>
                      <w:color w:val="000000" w:themeColor="text1"/>
                      <w:szCs w:val="21"/>
                    </w:rPr>
                  </w:pPr>
                  <w:r>
                    <w:rPr>
                      <w:color w:val="000000" w:themeColor="text1"/>
                      <w:szCs w:val="21"/>
                    </w:rPr>
                    <w:t>6</w:t>
                  </w:r>
                </w:p>
              </w:tc>
              <w:tc>
                <w:tcPr>
                  <w:tcW w:w="712"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vMerge w:val="continue"/>
                  <w:vAlign w:val="center"/>
                </w:tcPr>
                <w:p>
                  <w:pPr>
                    <w:pStyle w:val="32"/>
                    <w:spacing w:line="360" w:lineRule="exact"/>
                    <w:rPr>
                      <w:color w:val="000000" w:themeColor="text1"/>
                      <w:szCs w:val="21"/>
                    </w:rPr>
                  </w:pPr>
                </w:p>
              </w:tc>
              <w:tc>
                <w:tcPr>
                  <w:tcW w:w="607" w:type="dxa"/>
                  <w:gridSpan w:val="2"/>
                  <w:vMerge w:val="continue"/>
                  <w:vAlign w:val="center"/>
                </w:tcPr>
                <w:p>
                  <w:pPr>
                    <w:pStyle w:val="32"/>
                    <w:spacing w:line="360" w:lineRule="exact"/>
                    <w:rPr>
                      <w:color w:val="000000" w:themeColor="text1"/>
                      <w:szCs w:val="21"/>
                    </w:rPr>
                  </w:pPr>
                </w:p>
              </w:tc>
              <w:tc>
                <w:tcPr>
                  <w:tcW w:w="669" w:type="dxa"/>
                  <w:vAlign w:val="center"/>
                </w:tcPr>
                <w:p>
                  <w:pPr>
                    <w:pStyle w:val="32"/>
                    <w:spacing w:line="360" w:lineRule="exact"/>
                    <w:rPr>
                      <w:color w:val="000000" w:themeColor="text1"/>
                      <w:szCs w:val="21"/>
                    </w:rPr>
                  </w:pPr>
                  <w:r>
                    <w:rPr>
                      <w:color w:val="000000" w:themeColor="text1"/>
                      <w:szCs w:val="21"/>
                    </w:rPr>
                    <w:t>生活垃圾</w:t>
                  </w:r>
                </w:p>
              </w:tc>
              <w:tc>
                <w:tcPr>
                  <w:tcW w:w="1417" w:type="dxa"/>
                  <w:vAlign w:val="center"/>
                </w:tcPr>
                <w:p>
                  <w:pPr>
                    <w:pStyle w:val="32"/>
                    <w:spacing w:line="360" w:lineRule="exact"/>
                    <w:rPr>
                      <w:color w:val="000000" w:themeColor="text1"/>
                      <w:szCs w:val="21"/>
                    </w:rPr>
                  </w:pPr>
                  <w:r>
                    <w:rPr>
                      <w:color w:val="000000" w:themeColor="text1"/>
                      <w:szCs w:val="21"/>
                    </w:rPr>
                    <w:t>生活垃圾桶</w:t>
                  </w:r>
                </w:p>
              </w:tc>
              <w:tc>
                <w:tcPr>
                  <w:tcW w:w="2554" w:type="dxa"/>
                  <w:gridSpan w:val="2"/>
                  <w:vAlign w:val="center"/>
                </w:tcPr>
                <w:p>
                  <w:pPr>
                    <w:pStyle w:val="32"/>
                    <w:spacing w:line="360" w:lineRule="exact"/>
                    <w:ind w:firstLine="210" w:firstLineChars="100"/>
                    <w:jc w:val="left"/>
                    <w:rPr>
                      <w:color w:val="000000" w:themeColor="text1"/>
                      <w:szCs w:val="21"/>
                    </w:rPr>
                  </w:pPr>
                  <w:r>
                    <w:rPr>
                      <w:color w:val="000000" w:themeColor="text1"/>
                      <w:szCs w:val="21"/>
                    </w:rPr>
                    <w:t>--</w:t>
                  </w:r>
                </w:p>
              </w:tc>
              <w:tc>
                <w:tcPr>
                  <w:tcW w:w="702" w:type="dxa"/>
                  <w:vAlign w:val="center"/>
                </w:tcPr>
                <w:p>
                  <w:pPr>
                    <w:pStyle w:val="32"/>
                    <w:spacing w:line="360" w:lineRule="exact"/>
                    <w:rPr>
                      <w:color w:val="000000" w:themeColor="text1"/>
                      <w:szCs w:val="21"/>
                    </w:rPr>
                  </w:pPr>
                  <w:r>
                    <w:rPr>
                      <w:color w:val="000000" w:themeColor="text1"/>
                      <w:szCs w:val="21"/>
                    </w:rPr>
                    <w:t>0.01</w:t>
                  </w:r>
                </w:p>
              </w:tc>
              <w:tc>
                <w:tcPr>
                  <w:tcW w:w="709" w:type="dxa"/>
                  <w:gridSpan w:val="2"/>
                  <w:vMerge w:val="continue"/>
                  <w:vAlign w:val="center"/>
                </w:tcPr>
                <w:p>
                  <w:pPr>
                    <w:pStyle w:val="32"/>
                    <w:spacing w:line="360" w:lineRule="exact"/>
                    <w:rPr>
                      <w:color w:val="000000" w:themeColor="text1"/>
                      <w:szCs w:val="21"/>
                    </w:rPr>
                  </w:pPr>
                </w:p>
              </w:tc>
              <w:tc>
                <w:tcPr>
                  <w:tcW w:w="782" w:type="dxa"/>
                  <w:vAlign w:val="center"/>
                </w:tcPr>
                <w:p>
                  <w:pPr>
                    <w:pStyle w:val="32"/>
                    <w:spacing w:line="360" w:lineRule="exact"/>
                    <w:rPr>
                      <w:color w:val="000000" w:themeColor="text1"/>
                      <w:szCs w:val="21"/>
                    </w:rPr>
                  </w:pPr>
                  <w:r>
                    <w:rPr>
                      <w:color w:val="000000" w:themeColor="text1"/>
                      <w:szCs w:val="21"/>
                    </w:rPr>
                    <w:t>2</w:t>
                  </w:r>
                </w:p>
              </w:tc>
              <w:tc>
                <w:tcPr>
                  <w:tcW w:w="712"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vMerge w:val="continue"/>
                  <w:vAlign w:val="center"/>
                </w:tcPr>
                <w:p>
                  <w:pPr>
                    <w:pStyle w:val="32"/>
                    <w:spacing w:line="360" w:lineRule="exact"/>
                    <w:rPr>
                      <w:color w:val="000000" w:themeColor="text1"/>
                      <w:szCs w:val="21"/>
                    </w:rPr>
                  </w:pPr>
                </w:p>
              </w:tc>
              <w:tc>
                <w:tcPr>
                  <w:tcW w:w="607" w:type="dxa"/>
                  <w:gridSpan w:val="2"/>
                  <w:vAlign w:val="center"/>
                </w:tcPr>
                <w:p>
                  <w:pPr>
                    <w:pStyle w:val="32"/>
                    <w:spacing w:line="360" w:lineRule="exact"/>
                    <w:rPr>
                      <w:color w:val="000000" w:themeColor="text1"/>
                      <w:szCs w:val="21"/>
                    </w:rPr>
                  </w:pPr>
                  <w:r>
                    <w:rPr>
                      <w:color w:val="000000" w:themeColor="text1"/>
                      <w:szCs w:val="21"/>
                    </w:rPr>
                    <w:t>其他</w:t>
                  </w:r>
                </w:p>
              </w:tc>
              <w:tc>
                <w:tcPr>
                  <w:tcW w:w="2086" w:type="dxa"/>
                  <w:gridSpan w:val="2"/>
                  <w:vAlign w:val="center"/>
                </w:tcPr>
                <w:p>
                  <w:pPr>
                    <w:pStyle w:val="32"/>
                    <w:spacing w:line="360" w:lineRule="exact"/>
                    <w:rPr>
                      <w:color w:val="000000" w:themeColor="text1"/>
                      <w:szCs w:val="21"/>
                    </w:rPr>
                  </w:pPr>
                  <w:r>
                    <w:rPr>
                      <w:color w:val="000000" w:themeColor="text1"/>
                      <w:szCs w:val="21"/>
                    </w:rPr>
                    <w:t>标识牌</w:t>
                  </w:r>
                </w:p>
              </w:tc>
              <w:tc>
                <w:tcPr>
                  <w:tcW w:w="2554" w:type="dxa"/>
                  <w:gridSpan w:val="2"/>
                  <w:vAlign w:val="center"/>
                </w:tcPr>
                <w:p>
                  <w:pPr>
                    <w:pStyle w:val="32"/>
                    <w:spacing w:line="360" w:lineRule="exact"/>
                    <w:ind w:firstLine="210" w:firstLineChars="100"/>
                    <w:jc w:val="left"/>
                    <w:rPr>
                      <w:color w:val="000000" w:themeColor="text1"/>
                      <w:szCs w:val="21"/>
                    </w:rPr>
                  </w:pPr>
                  <w:r>
                    <w:rPr>
                      <w:color w:val="000000" w:themeColor="text1"/>
                      <w:szCs w:val="21"/>
                    </w:rPr>
                    <w:t>--</w:t>
                  </w:r>
                </w:p>
              </w:tc>
              <w:tc>
                <w:tcPr>
                  <w:tcW w:w="702" w:type="dxa"/>
                  <w:vAlign w:val="center"/>
                </w:tcPr>
                <w:p>
                  <w:pPr>
                    <w:pStyle w:val="32"/>
                    <w:spacing w:line="360" w:lineRule="exact"/>
                    <w:rPr>
                      <w:color w:val="000000" w:themeColor="text1"/>
                      <w:szCs w:val="21"/>
                    </w:rPr>
                  </w:pPr>
                  <w:r>
                    <w:rPr>
                      <w:color w:val="000000" w:themeColor="text1"/>
                      <w:szCs w:val="21"/>
                    </w:rPr>
                    <w:t>0.</w:t>
                  </w:r>
                  <w:r>
                    <w:rPr>
                      <w:rFonts w:hint="eastAsia"/>
                      <w:color w:val="000000" w:themeColor="text1"/>
                      <w:szCs w:val="21"/>
                    </w:rPr>
                    <w:t>05</w:t>
                  </w:r>
                </w:p>
              </w:tc>
              <w:tc>
                <w:tcPr>
                  <w:tcW w:w="709" w:type="dxa"/>
                  <w:gridSpan w:val="2"/>
                  <w:vMerge w:val="continue"/>
                  <w:vAlign w:val="center"/>
                </w:tcPr>
                <w:p>
                  <w:pPr>
                    <w:pStyle w:val="32"/>
                    <w:spacing w:line="360" w:lineRule="exact"/>
                    <w:rPr>
                      <w:color w:val="000000" w:themeColor="text1"/>
                      <w:szCs w:val="21"/>
                    </w:rPr>
                  </w:pPr>
                </w:p>
              </w:tc>
              <w:tc>
                <w:tcPr>
                  <w:tcW w:w="782" w:type="dxa"/>
                  <w:vAlign w:val="center"/>
                </w:tcPr>
                <w:p>
                  <w:pPr>
                    <w:pStyle w:val="32"/>
                    <w:spacing w:line="360" w:lineRule="exact"/>
                    <w:rPr>
                      <w:color w:val="000000" w:themeColor="text1"/>
                      <w:szCs w:val="21"/>
                    </w:rPr>
                  </w:pPr>
                  <w:r>
                    <w:rPr>
                      <w:color w:val="000000" w:themeColor="text1"/>
                      <w:szCs w:val="21"/>
                    </w:rPr>
                    <w:t>0</w:t>
                  </w:r>
                </w:p>
              </w:tc>
              <w:tc>
                <w:tcPr>
                  <w:tcW w:w="712"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0" w:type="dxa"/>
                  <w:gridSpan w:val="7"/>
                  <w:vAlign w:val="center"/>
                </w:tcPr>
                <w:p>
                  <w:pPr>
                    <w:pStyle w:val="32"/>
                    <w:spacing w:line="360" w:lineRule="exact"/>
                    <w:rPr>
                      <w:color w:val="000000" w:themeColor="text1"/>
                      <w:szCs w:val="21"/>
                    </w:rPr>
                  </w:pPr>
                  <w:r>
                    <w:rPr>
                      <w:color w:val="000000" w:themeColor="text1"/>
                      <w:szCs w:val="21"/>
                    </w:rPr>
                    <w:t>管理相关费用</w:t>
                  </w:r>
                </w:p>
              </w:tc>
              <w:tc>
                <w:tcPr>
                  <w:tcW w:w="2905" w:type="dxa"/>
                  <w:gridSpan w:val="5"/>
                  <w:vAlign w:val="center"/>
                </w:tcPr>
                <w:p>
                  <w:pPr>
                    <w:pStyle w:val="32"/>
                    <w:spacing w:line="360" w:lineRule="exact"/>
                    <w:rPr>
                      <w:color w:val="000000" w:themeColor="text1"/>
                      <w:szCs w:val="21"/>
                    </w:rPr>
                  </w:pPr>
                  <w:r>
                    <w:rPr>
                      <w:color w:val="000000" w:themeColor="text1"/>
                      <w:szCs w:val="21"/>
                    </w:rPr>
                    <w:t xml:space="preserve">10万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0" w:type="dxa"/>
                  <w:gridSpan w:val="7"/>
                  <w:vAlign w:val="center"/>
                </w:tcPr>
                <w:p>
                  <w:pPr>
                    <w:pStyle w:val="32"/>
                    <w:spacing w:line="360" w:lineRule="exact"/>
                    <w:rPr>
                      <w:color w:val="000000" w:themeColor="text1"/>
                      <w:szCs w:val="21"/>
                    </w:rPr>
                  </w:pPr>
                  <w:r>
                    <w:rPr>
                      <w:color w:val="000000" w:themeColor="text1"/>
                      <w:szCs w:val="21"/>
                    </w:rPr>
                    <w:t>合计</w:t>
                  </w:r>
                </w:p>
              </w:tc>
              <w:tc>
                <w:tcPr>
                  <w:tcW w:w="843" w:type="dxa"/>
                  <w:gridSpan w:val="2"/>
                  <w:vAlign w:val="center"/>
                </w:tcPr>
                <w:p>
                  <w:pPr>
                    <w:pStyle w:val="32"/>
                    <w:spacing w:line="360" w:lineRule="exact"/>
                    <w:rPr>
                      <w:color w:val="000000" w:themeColor="text1"/>
                      <w:szCs w:val="21"/>
                    </w:rPr>
                  </w:pPr>
                  <w:r>
                    <w:rPr>
                      <w:color w:val="000000" w:themeColor="text1"/>
                      <w:szCs w:val="21"/>
                    </w:rPr>
                    <w:t>1</w:t>
                  </w:r>
                  <w:r>
                    <w:rPr>
                      <w:rFonts w:hint="eastAsia"/>
                      <w:color w:val="000000" w:themeColor="text1"/>
                      <w:szCs w:val="21"/>
                    </w:rPr>
                    <w:t>34.56</w:t>
                  </w:r>
                </w:p>
              </w:tc>
              <w:tc>
                <w:tcPr>
                  <w:tcW w:w="568" w:type="dxa"/>
                  <w:vAlign w:val="center"/>
                </w:tcPr>
                <w:p>
                  <w:pPr>
                    <w:pStyle w:val="32"/>
                    <w:spacing w:line="360" w:lineRule="exact"/>
                    <w:rPr>
                      <w:color w:val="000000" w:themeColor="text1"/>
                      <w:szCs w:val="21"/>
                    </w:rPr>
                  </w:pPr>
                  <w:r>
                    <w:rPr>
                      <w:color w:val="000000" w:themeColor="text1"/>
                      <w:szCs w:val="21"/>
                    </w:rPr>
                    <w:t>--</w:t>
                  </w:r>
                </w:p>
              </w:tc>
              <w:tc>
                <w:tcPr>
                  <w:tcW w:w="782" w:type="dxa"/>
                  <w:vAlign w:val="center"/>
                </w:tcPr>
                <w:p>
                  <w:pPr>
                    <w:pStyle w:val="32"/>
                    <w:spacing w:line="360" w:lineRule="exact"/>
                    <w:rPr>
                      <w:color w:val="000000" w:themeColor="text1"/>
                      <w:szCs w:val="21"/>
                    </w:rPr>
                  </w:pPr>
                  <w:r>
                    <w:rPr>
                      <w:color w:val="000000" w:themeColor="text1"/>
                      <w:szCs w:val="21"/>
                    </w:rPr>
                    <w:t>1</w:t>
                  </w:r>
                  <w:r>
                    <w:rPr>
                      <w:rFonts w:hint="eastAsia"/>
                      <w:color w:val="000000" w:themeColor="text1"/>
                      <w:szCs w:val="21"/>
                    </w:rPr>
                    <w:t>6.2</w:t>
                  </w:r>
                </w:p>
              </w:tc>
              <w:tc>
                <w:tcPr>
                  <w:tcW w:w="712" w:type="dxa"/>
                  <w:vAlign w:val="center"/>
                </w:tcPr>
                <w:p>
                  <w:pPr>
                    <w:pStyle w:val="32"/>
                    <w:spacing w:line="360" w:lineRule="exact"/>
                    <w:rPr>
                      <w:color w:val="000000" w:themeColor="text1"/>
                      <w:szCs w:val="21"/>
                    </w:rPr>
                  </w:pPr>
                  <w:r>
                    <w:rPr>
                      <w:color w:val="000000" w:themeColor="text1"/>
                      <w:szCs w:val="21"/>
                    </w:rPr>
                    <w:t>--</w:t>
                  </w:r>
                </w:p>
              </w:tc>
            </w:tr>
          </w:tbl>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由上表可知，</w:t>
            </w:r>
            <w:r>
              <w:rPr>
                <w:rFonts w:ascii="Times New Roman" w:hAnsi="Times New Roman" w:cs="Times New Roman"/>
                <w:color w:val="000000" w:themeColor="text1"/>
                <w:sz w:val="24"/>
                <w:szCs w:val="24"/>
              </w:rPr>
              <w:t>总投资</w:t>
            </w: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基建环保投资为</w:t>
            </w:r>
            <w:r>
              <w:rPr>
                <w:rFonts w:hint="eastAsia" w:ascii="Times New Roman" w:hAnsi="Times New Roman" w:cs="Times New Roman"/>
                <w:color w:val="000000" w:themeColor="text1"/>
                <w:sz w:val="24"/>
                <w:szCs w:val="24"/>
              </w:rPr>
              <w:t>134.56</w:t>
            </w:r>
            <w:r>
              <w:rPr>
                <w:rFonts w:ascii="Times New Roman" w:hAnsi="Times New Roman" w:cs="Times New Roman"/>
                <w:color w:val="000000" w:themeColor="text1"/>
                <w:sz w:val="24"/>
                <w:szCs w:val="24"/>
              </w:rPr>
              <w:t>万元，占总投资</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5256万元</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的</w:t>
            </w:r>
            <w:r>
              <w:rPr>
                <w:rFonts w:hint="eastAsia" w:ascii="Times New Roman" w:hAnsi="Times New Roman" w:cs="Times New Roman"/>
                <w:color w:val="000000" w:themeColor="text1"/>
                <w:sz w:val="24"/>
                <w:szCs w:val="24"/>
              </w:rPr>
              <w:t>2.56</w:t>
            </w:r>
            <w:r>
              <w:rPr>
                <w:rFonts w:ascii="Times New Roman" w:hAnsi="Times New Roman" w:cs="Times New Roman"/>
                <w:color w:val="000000" w:themeColor="text1"/>
                <w:sz w:val="24"/>
                <w:szCs w:val="24"/>
              </w:rPr>
              <w:t>%。年环保投资运行费用约为</w:t>
            </w:r>
            <w:r>
              <w:rPr>
                <w:rFonts w:hint="eastAsia" w:ascii="Times New Roman" w:hAnsi="Times New Roman" w:cs="Times New Roman"/>
                <w:color w:val="000000" w:themeColor="text1"/>
                <w:sz w:val="24"/>
                <w:szCs w:val="24"/>
              </w:rPr>
              <w:t>16.2</w:t>
            </w:r>
            <w:r>
              <w:rPr>
                <w:rFonts w:ascii="Times New Roman" w:hAnsi="Times New Roman" w:cs="Times New Roman"/>
                <w:color w:val="000000" w:themeColor="text1"/>
                <w:sz w:val="24"/>
                <w:szCs w:val="24"/>
              </w:rPr>
              <w:t>万元</w:t>
            </w:r>
            <w:r>
              <w:rPr>
                <w:rFonts w:hint="eastAsia" w:ascii="Times New Roman" w:hAnsi="Times New Roman" w:cs="Times New Roman"/>
                <w:color w:val="000000" w:themeColor="text1"/>
                <w:sz w:val="24"/>
                <w:szCs w:val="24"/>
              </w:rPr>
              <w:t>。</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4.3.2 二期工程环保投资估算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w:t>
            </w:r>
            <w:r>
              <w:rPr>
                <w:rFonts w:hint="eastAsia" w:ascii="Times New Roman" w:hAnsi="Times New Roman" w:cs="Times New Roman"/>
                <w:color w:val="000000" w:themeColor="text1"/>
                <w:sz w:val="24"/>
                <w:szCs w:val="24"/>
              </w:rPr>
              <w:t>二期工程</w:t>
            </w:r>
            <w:r>
              <w:rPr>
                <w:rFonts w:ascii="Times New Roman" w:hAnsi="Times New Roman" w:cs="Times New Roman"/>
                <w:color w:val="000000" w:themeColor="text1"/>
                <w:sz w:val="24"/>
                <w:szCs w:val="24"/>
              </w:rPr>
              <w:t>拟采取措施的具体内容、责任主体、实施时段及环境保护投入资金如下表所示。</w:t>
            </w:r>
          </w:p>
          <w:p>
            <w:pPr>
              <w:pStyle w:val="34"/>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表4.3</w:t>
            </w:r>
            <w:r>
              <w:rPr>
                <w:rFonts w:hint="eastAsia" w:hAnsi="Times New Roman" w:eastAsiaTheme="minorEastAsia"/>
                <w:color w:val="000000" w:themeColor="text1"/>
                <w:sz w:val="21"/>
                <w:szCs w:val="21"/>
              </w:rPr>
              <w:t>.2</w:t>
            </w:r>
            <w:r>
              <w:rPr>
                <w:rFonts w:hAnsi="Times New Roman" w:eastAsiaTheme="minorEastAsia"/>
                <w:color w:val="000000" w:themeColor="text1"/>
                <w:sz w:val="21"/>
                <w:szCs w:val="21"/>
              </w:rPr>
              <w:t>-1  项目</w:t>
            </w:r>
            <w:r>
              <w:rPr>
                <w:rFonts w:hint="eastAsia" w:hAnsi="Times New Roman" w:eastAsiaTheme="minorEastAsia"/>
                <w:color w:val="000000" w:themeColor="text1"/>
                <w:sz w:val="21"/>
                <w:szCs w:val="21"/>
              </w:rPr>
              <w:t>二期工程</w:t>
            </w:r>
            <w:r>
              <w:rPr>
                <w:rFonts w:hAnsi="Times New Roman" w:eastAsiaTheme="minorEastAsia"/>
                <w:color w:val="000000" w:themeColor="text1"/>
                <w:sz w:val="21"/>
                <w:szCs w:val="21"/>
              </w:rPr>
              <w:t>环保投资一览表 单位：万元</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568"/>
              <w:gridCol w:w="39"/>
              <w:gridCol w:w="669"/>
              <w:gridCol w:w="1416"/>
              <w:gridCol w:w="2545"/>
              <w:gridCol w:w="8"/>
              <w:gridCol w:w="705"/>
              <w:gridCol w:w="709"/>
              <w:gridCol w:w="782"/>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vMerge w:val="restart"/>
                  <w:vAlign w:val="center"/>
                </w:tcPr>
                <w:p>
                  <w:pPr>
                    <w:pStyle w:val="32"/>
                    <w:spacing w:line="360" w:lineRule="exact"/>
                    <w:rPr>
                      <w:color w:val="000000" w:themeColor="text1"/>
                      <w:szCs w:val="21"/>
                    </w:rPr>
                  </w:pPr>
                  <w:r>
                    <w:rPr>
                      <w:color w:val="000000" w:themeColor="text1"/>
                      <w:szCs w:val="21"/>
                    </w:rPr>
                    <w:t>时期</w:t>
                  </w:r>
                </w:p>
              </w:tc>
              <w:tc>
                <w:tcPr>
                  <w:tcW w:w="1276" w:type="dxa"/>
                  <w:gridSpan w:val="3"/>
                  <w:vMerge w:val="restart"/>
                  <w:vAlign w:val="center"/>
                </w:tcPr>
                <w:p>
                  <w:pPr>
                    <w:pStyle w:val="32"/>
                    <w:spacing w:line="360" w:lineRule="exact"/>
                    <w:rPr>
                      <w:color w:val="000000" w:themeColor="text1"/>
                      <w:szCs w:val="21"/>
                    </w:rPr>
                  </w:pPr>
                  <w:r>
                    <w:rPr>
                      <w:color w:val="000000" w:themeColor="text1"/>
                      <w:szCs w:val="21"/>
                    </w:rPr>
                    <w:t>类型</w:t>
                  </w:r>
                </w:p>
              </w:tc>
              <w:tc>
                <w:tcPr>
                  <w:tcW w:w="3963" w:type="dxa"/>
                  <w:gridSpan w:val="2"/>
                  <w:vAlign w:val="center"/>
                </w:tcPr>
                <w:p>
                  <w:pPr>
                    <w:pStyle w:val="32"/>
                    <w:spacing w:line="360" w:lineRule="exact"/>
                    <w:rPr>
                      <w:color w:val="000000" w:themeColor="text1"/>
                      <w:szCs w:val="21"/>
                    </w:rPr>
                  </w:pPr>
                  <w:r>
                    <w:rPr>
                      <w:color w:val="000000" w:themeColor="text1"/>
                      <w:szCs w:val="21"/>
                    </w:rPr>
                    <w:t>环保措施</w:t>
                  </w:r>
                </w:p>
              </w:tc>
              <w:tc>
                <w:tcPr>
                  <w:tcW w:w="1419" w:type="dxa"/>
                  <w:gridSpan w:val="3"/>
                  <w:vAlign w:val="center"/>
                </w:tcPr>
                <w:p>
                  <w:pPr>
                    <w:pStyle w:val="32"/>
                    <w:spacing w:line="360" w:lineRule="exact"/>
                    <w:rPr>
                      <w:color w:val="000000" w:themeColor="text1"/>
                      <w:szCs w:val="21"/>
                    </w:rPr>
                  </w:pPr>
                  <w:r>
                    <w:rPr>
                      <w:color w:val="000000" w:themeColor="text1"/>
                      <w:szCs w:val="21"/>
                    </w:rPr>
                    <w:t>建设期资金投入量（万元）</w:t>
                  </w:r>
                </w:p>
              </w:tc>
              <w:tc>
                <w:tcPr>
                  <w:tcW w:w="1494" w:type="dxa"/>
                  <w:gridSpan w:val="2"/>
                  <w:vAlign w:val="center"/>
                </w:tcPr>
                <w:p>
                  <w:pPr>
                    <w:pStyle w:val="32"/>
                    <w:spacing w:line="360" w:lineRule="exact"/>
                    <w:rPr>
                      <w:color w:val="000000" w:themeColor="text1"/>
                      <w:szCs w:val="21"/>
                    </w:rPr>
                  </w:pPr>
                  <w:r>
                    <w:rPr>
                      <w:color w:val="000000" w:themeColor="text1"/>
                      <w:szCs w:val="21"/>
                    </w:rPr>
                    <w:t>运行期资金投入量（万元/a）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vMerge w:val="continue"/>
                  <w:vAlign w:val="center"/>
                </w:tcPr>
                <w:p>
                  <w:pPr>
                    <w:pStyle w:val="32"/>
                    <w:spacing w:line="360" w:lineRule="exact"/>
                    <w:rPr>
                      <w:color w:val="000000" w:themeColor="text1"/>
                      <w:szCs w:val="21"/>
                    </w:rPr>
                  </w:pPr>
                </w:p>
              </w:tc>
              <w:tc>
                <w:tcPr>
                  <w:tcW w:w="1276" w:type="dxa"/>
                  <w:gridSpan w:val="3"/>
                  <w:vMerge w:val="continue"/>
                  <w:vAlign w:val="center"/>
                </w:tcPr>
                <w:p>
                  <w:pPr>
                    <w:pStyle w:val="32"/>
                    <w:spacing w:line="360" w:lineRule="exact"/>
                    <w:rPr>
                      <w:color w:val="000000" w:themeColor="text1"/>
                      <w:szCs w:val="21"/>
                    </w:rPr>
                  </w:pPr>
                </w:p>
              </w:tc>
              <w:tc>
                <w:tcPr>
                  <w:tcW w:w="1417" w:type="dxa"/>
                  <w:vAlign w:val="center"/>
                </w:tcPr>
                <w:p>
                  <w:pPr>
                    <w:pStyle w:val="32"/>
                    <w:spacing w:line="360" w:lineRule="exact"/>
                    <w:rPr>
                      <w:color w:val="000000" w:themeColor="text1"/>
                      <w:szCs w:val="21"/>
                    </w:rPr>
                  </w:pPr>
                  <w:r>
                    <w:rPr>
                      <w:color w:val="000000" w:themeColor="text1"/>
                      <w:szCs w:val="21"/>
                    </w:rPr>
                    <w:t>环保项目</w:t>
                  </w:r>
                </w:p>
              </w:tc>
              <w:tc>
                <w:tcPr>
                  <w:tcW w:w="2546" w:type="dxa"/>
                  <w:vAlign w:val="center"/>
                </w:tcPr>
                <w:p>
                  <w:pPr>
                    <w:pStyle w:val="32"/>
                    <w:spacing w:line="360" w:lineRule="exact"/>
                    <w:rPr>
                      <w:color w:val="000000" w:themeColor="text1"/>
                      <w:szCs w:val="21"/>
                    </w:rPr>
                  </w:pPr>
                  <w:r>
                    <w:rPr>
                      <w:color w:val="000000" w:themeColor="text1"/>
                      <w:szCs w:val="21"/>
                    </w:rPr>
                    <w:t>数量</w:t>
                  </w:r>
                </w:p>
              </w:tc>
              <w:tc>
                <w:tcPr>
                  <w:tcW w:w="710" w:type="dxa"/>
                  <w:gridSpan w:val="2"/>
                  <w:vAlign w:val="center"/>
                </w:tcPr>
                <w:p>
                  <w:pPr>
                    <w:pStyle w:val="32"/>
                    <w:spacing w:line="360" w:lineRule="exact"/>
                    <w:rPr>
                      <w:color w:val="000000" w:themeColor="text1"/>
                      <w:szCs w:val="21"/>
                    </w:rPr>
                  </w:pPr>
                  <w:r>
                    <w:rPr>
                      <w:color w:val="000000" w:themeColor="text1"/>
                      <w:szCs w:val="21"/>
                    </w:rPr>
                    <w:t>建设费用</w:t>
                  </w:r>
                </w:p>
              </w:tc>
              <w:tc>
                <w:tcPr>
                  <w:tcW w:w="709" w:type="dxa"/>
                  <w:vAlign w:val="center"/>
                </w:tcPr>
                <w:p>
                  <w:pPr>
                    <w:pStyle w:val="32"/>
                    <w:spacing w:line="360" w:lineRule="exact"/>
                    <w:rPr>
                      <w:color w:val="000000" w:themeColor="text1"/>
                      <w:szCs w:val="21"/>
                    </w:rPr>
                  </w:pPr>
                  <w:r>
                    <w:rPr>
                      <w:color w:val="000000" w:themeColor="text1"/>
                      <w:szCs w:val="21"/>
                    </w:rPr>
                    <w:t>责任主体</w:t>
                  </w:r>
                </w:p>
              </w:tc>
              <w:tc>
                <w:tcPr>
                  <w:tcW w:w="782" w:type="dxa"/>
                  <w:vAlign w:val="center"/>
                </w:tcPr>
                <w:p>
                  <w:pPr>
                    <w:pStyle w:val="32"/>
                    <w:spacing w:line="360" w:lineRule="exact"/>
                    <w:rPr>
                      <w:color w:val="000000" w:themeColor="text1"/>
                      <w:szCs w:val="21"/>
                    </w:rPr>
                  </w:pPr>
                  <w:r>
                    <w:rPr>
                      <w:color w:val="000000" w:themeColor="text1"/>
                      <w:szCs w:val="21"/>
                    </w:rPr>
                    <w:t>运行费用</w:t>
                  </w:r>
                </w:p>
              </w:tc>
              <w:tc>
                <w:tcPr>
                  <w:tcW w:w="712" w:type="dxa"/>
                  <w:vAlign w:val="center"/>
                </w:tcPr>
                <w:p>
                  <w:pPr>
                    <w:pStyle w:val="32"/>
                    <w:spacing w:line="360" w:lineRule="exact"/>
                    <w:rPr>
                      <w:color w:val="000000" w:themeColor="text1"/>
                      <w:szCs w:val="21"/>
                    </w:rPr>
                  </w:pPr>
                  <w:r>
                    <w:rPr>
                      <w:color w:val="000000" w:themeColor="text1"/>
                      <w:szCs w:val="21"/>
                    </w:rPr>
                    <w:t>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vMerge w:val="restart"/>
                  <w:vAlign w:val="center"/>
                </w:tcPr>
                <w:p>
                  <w:pPr>
                    <w:pStyle w:val="32"/>
                    <w:spacing w:line="360" w:lineRule="exact"/>
                    <w:rPr>
                      <w:color w:val="000000" w:themeColor="text1"/>
                      <w:szCs w:val="21"/>
                    </w:rPr>
                  </w:pPr>
                  <w:r>
                    <w:rPr>
                      <w:color w:val="000000" w:themeColor="text1"/>
                      <w:szCs w:val="21"/>
                    </w:rPr>
                    <w:t>施工期污染源</w:t>
                  </w:r>
                </w:p>
              </w:tc>
              <w:tc>
                <w:tcPr>
                  <w:tcW w:w="568" w:type="dxa"/>
                  <w:vAlign w:val="center"/>
                </w:tcPr>
                <w:p>
                  <w:pPr>
                    <w:pStyle w:val="32"/>
                    <w:spacing w:line="360" w:lineRule="exact"/>
                    <w:rPr>
                      <w:color w:val="000000" w:themeColor="text1"/>
                      <w:szCs w:val="21"/>
                    </w:rPr>
                  </w:pPr>
                  <w:r>
                    <w:rPr>
                      <w:color w:val="000000" w:themeColor="text1"/>
                      <w:szCs w:val="21"/>
                    </w:rPr>
                    <w:t>废气</w:t>
                  </w:r>
                </w:p>
              </w:tc>
              <w:tc>
                <w:tcPr>
                  <w:tcW w:w="708" w:type="dxa"/>
                  <w:gridSpan w:val="2"/>
                  <w:vAlign w:val="center"/>
                </w:tcPr>
                <w:p>
                  <w:pPr>
                    <w:pStyle w:val="32"/>
                    <w:spacing w:line="360" w:lineRule="exact"/>
                    <w:rPr>
                      <w:color w:val="000000" w:themeColor="text1"/>
                      <w:szCs w:val="21"/>
                    </w:rPr>
                  </w:pPr>
                  <w:r>
                    <w:rPr>
                      <w:color w:val="000000" w:themeColor="text1"/>
                      <w:szCs w:val="21"/>
                    </w:rPr>
                    <w:t>扬尘</w:t>
                  </w:r>
                </w:p>
              </w:tc>
              <w:tc>
                <w:tcPr>
                  <w:tcW w:w="1417" w:type="dxa"/>
                  <w:vAlign w:val="center"/>
                </w:tcPr>
                <w:p>
                  <w:pPr>
                    <w:pStyle w:val="32"/>
                    <w:spacing w:line="360" w:lineRule="exact"/>
                    <w:rPr>
                      <w:color w:val="000000" w:themeColor="text1"/>
                      <w:szCs w:val="21"/>
                    </w:rPr>
                  </w:pPr>
                  <w:r>
                    <w:rPr>
                      <w:color w:val="000000" w:themeColor="text1"/>
                      <w:szCs w:val="21"/>
                    </w:rPr>
                    <w:t>洒水抑尘设施</w:t>
                  </w:r>
                </w:p>
              </w:tc>
              <w:tc>
                <w:tcPr>
                  <w:tcW w:w="2546" w:type="dxa"/>
                  <w:vAlign w:val="center"/>
                </w:tcPr>
                <w:p>
                  <w:pPr>
                    <w:pStyle w:val="32"/>
                    <w:spacing w:line="360" w:lineRule="exact"/>
                    <w:ind w:firstLine="210" w:firstLineChars="100"/>
                    <w:jc w:val="both"/>
                    <w:rPr>
                      <w:color w:val="000000" w:themeColor="text1"/>
                      <w:szCs w:val="21"/>
                    </w:rPr>
                  </w:pPr>
                  <w:r>
                    <w:rPr>
                      <w:color w:val="000000" w:themeColor="text1"/>
                      <w:szCs w:val="21"/>
                    </w:rPr>
                    <w:t>1套</w:t>
                  </w:r>
                </w:p>
              </w:tc>
              <w:tc>
                <w:tcPr>
                  <w:tcW w:w="710" w:type="dxa"/>
                  <w:gridSpan w:val="2"/>
                  <w:vAlign w:val="center"/>
                </w:tcPr>
                <w:p>
                  <w:pPr>
                    <w:pStyle w:val="32"/>
                    <w:spacing w:line="360" w:lineRule="exact"/>
                    <w:rPr>
                      <w:color w:val="000000" w:themeColor="text1"/>
                      <w:szCs w:val="21"/>
                    </w:rPr>
                  </w:pPr>
                  <w:r>
                    <w:rPr>
                      <w:rFonts w:hint="eastAsia"/>
                      <w:color w:val="000000" w:themeColor="text1"/>
                      <w:szCs w:val="21"/>
                    </w:rPr>
                    <w:t>1</w:t>
                  </w:r>
                </w:p>
              </w:tc>
              <w:tc>
                <w:tcPr>
                  <w:tcW w:w="709" w:type="dxa"/>
                  <w:vMerge w:val="restart"/>
                  <w:vAlign w:val="center"/>
                </w:tcPr>
                <w:p>
                  <w:pPr>
                    <w:pStyle w:val="32"/>
                    <w:spacing w:line="360" w:lineRule="exact"/>
                    <w:rPr>
                      <w:color w:val="000000" w:themeColor="text1"/>
                      <w:szCs w:val="21"/>
                    </w:rPr>
                  </w:pPr>
                  <w:r>
                    <w:rPr>
                      <w:color w:val="000000" w:themeColor="text1"/>
                      <w:szCs w:val="21"/>
                    </w:rPr>
                    <w:t>施工单位</w:t>
                  </w:r>
                </w:p>
              </w:tc>
              <w:tc>
                <w:tcPr>
                  <w:tcW w:w="782" w:type="dxa"/>
                  <w:vAlign w:val="center"/>
                </w:tcPr>
                <w:p>
                  <w:pPr>
                    <w:pStyle w:val="32"/>
                    <w:spacing w:line="360" w:lineRule="exact"/>
                    <w:rPr>
                      <w:color w:val="000000" w:themeColor="text1"/>
                      <w:szCs w:val="21"/>
                    </w:rPr>
                  </w:pPr>
                  <w:r>
                    <w:rPr>
                      <w:color w:val="000000" w:themeColor="text1"/>
                      <w:szCs w:val="21"/>
                    </w:rPr>
                    <w:t>--</w:t>
                  </w:r>
                </w:p>
              </w:tc>
              <w:tc>
                <w:tcPr>
                  <w:tcW w:w="712" w:type="dxa"/>
                  <w:vMerge w:val="restart"/>
                  <w:vAlign w:val="center"/>
                </w:tcPr>
                <w:p>
                  <w:pPr>
                    <w:pStyle w:val="32"/>
                    <w:spacing w:line="360" w:lineRule="exact"/>
                    <w:rPr>
                      <w:color w:val="000000" w:themeColor="text1"/>
                      <w:szCs w:val="21"/>
                    </w:rPr>
                  </w:pPr>
                  <w:r>
                    <w:rPr>
                      <w:color w:val="000000" w:themeColor="text1"/>
                      <w:szCs w:val="21"/>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vMerge w:val="continue"/>
                  <w:vAlign w:val="center"/>
                </w:tcPr>
                <w:p>
                  <w:pPr>
                    <w:pStyle w:val="32"/>
                    <w:spacing w:line="360" w:lineRule="exact"/>
                    <w:rPr>
                      <w:color w:val="000000" w:themeColor="text1"/>
                      <w:szCs w:val="21"/>
                    </w:rPr>
                  </w:pPr>
                </w:p>
              </w:tc>
              <w:tc>
                <w:tcPr>
                  <w:tcW w:w="568" w:type="dxa"/>
                  <w:vAlign w:val="center"/>
                </w:tcPr>
                <w:p>
                  <w:pPr>
                    <w:pStyle w:val="32"/>
                    <w:spacing w:line="360" w:lineRule="exact"/>
                    <w:rPr>
                      <w:color w:val="000000" w:themeColor="text1"/>
                      <w:szCs w:val="21"/>
                    </w:rPr>
                  </w:pPr>
                  <w:r>
                    <w:rPr>
                      <w:color w:val="000000" w:themeColor="text1"/>
                      <w:szCs w:val="21"/>
                    </w:rPr>
                    <w:t>噪声</w:t>
                  </w:r>
                </w:p>
              </w:tc>
              <w:tc>
                <w:tcPr>
                  <w:tcW w:w="708" w:type="dxa"/>
                  <w:gridSpan w:val="2"/>
                  <w:vAlign w:val="center"/>
                </w:tcPr>
                <w:p>
                  <w:pPr>
                    <w:pStyle w:val="32"/>
                    <w:spacing w:line="360" w:lineRule="exact"/>
                    <w:rPr>
                      <w:color w:val="000000" w:themeColor="text1"/>
                      <w:szCs w:val="21"/>
                    </w:rPr>
                  </w:pPr>
                  <w:r>
                    <w:rPr>
                      <w:color w:val="000000" w:themeColor="text1"/>
                      <w:szCs w:val="21"/>
                    </w:rPr>
                    <w:t>施工噪声</w:t>
                  </w:r>
                </w:p>
              </w:tc>
              <w:tc>
                <w:tcPr>
                  <w:tcW w:w="1417" w:type="dxa"/>
                  <w:vAlign w:val="center"/>
                </w:tcPr>
                <w:p>
                  <w:pPr>
                    <w:pStyle w:val="32"/>
                    <w:spacing w:line="360" w:lineRule="exact"/>
                    <w:rPr>
                      <w:color w:val="000000" w:themeColor="text1"/>
                      <w:szCs w:val="21"/>
                    </w:rPr>
                  </w:pPr>
                  <w:r>
                    <w:rPr>
                      <w:color w:val="000000" w:themeColor="text1"/>
                      <w:szCs w:val="21"/>
                    </w:rPr>
                    <w:t>遮挡围墙</w:t>
                  </w:r>
                </w:p>
              </w:tc>
              <w:tc>
                <w:tcPr>
                  <w:tcW w:w="2546" w:type="dxa"/>
                  <w:vAlign w:val="center"/>
                </w:tcPr>
                <w:p>
                  <w:pPr>
                    <w:pStyle w:val="32"/>
                    <w:spacing w:line="360" w:lineRule="exact"/>
                    <w:ind w:firstLine="210" w:firstLineChars="100"/>
                    <w:jc w:val="both"/>
                    <w:rPr>
                      <w:color w:val="000000" w:themeColor="text1"/>
                      <w:szCs w:val="21"/>
                    </w:rPr>
                  </w:pPr>
                  <w:r>
                    <w:rPr>
                      <w:color w:val="000000" w:themeColor="text1"/>
                      <w:szCs w:val="21"/>
                    </w:rPr>
                    <w:t>2.5m高，围挡</w:t>
                  </w:r>
                </w:p>
              </w:tc>
              <w:tc>
                <w:tcPr>
                  <w:tcW w:w="710" w:type="dxa"/>
                  <w:gridSpan w:val="2"/>
                  <w:vAlign w:val="center"/>
                </w:tcPr>
                <w:p>
                  <w:pPr>
                    <w:pStyle w:val="32"/>
                    <w:spacing w:line="360" w:lineRule="exact"/>
                    <w:rPr>
                      <w:color w:val="000000" w:themeColor="text1"/>
                      <w:szCs w:val="21"/>
                    </w:rPr>
                  </w:pPr>
                  <w:r>
                    <w:rPr>
                      <w:rFonts w:hint="eastAsia"/>
                      <w:color w:val="000000" w:themeColor="text1"/>
                      <w:szCs w:val="21"/>
                    </w:rPr>
                    <w:t>1</w:t>
                  </w:r>
                </w:p>
              </w:tc>
              <w:tc>
                <w:tcPr>
                  <w:tcW w:w="709" w:type="dxa"/>
                  <w:vMerge w:val="continue"/>
                  <w:vAlign w:val="center"/>
                </w:tcPr>
                <w:p>
                  <w:pPr>
                    <w:pStyle w:val="32"/>
                    <w:spacing w:line="360" w:lineRule="exact"/>
                    <w:rPr>
                      <w:color w:val="000000" w:themeColor="text1"/>
                      <w:szCs w:val="21"/>
                    </w:rPr>
                  </w:pPr>
                </w:p>
              </w:tc>
              <w:tc>
                <w:tcPr>
                  <w:tcW w:w="782" w:type="dxa"/>
                  <w:vAlign w:val="center"/>
                </w:tcPr>
                <w:p>
                  <w:pPr>
                    <w:pStyle w:val="32"/>
                    <w:spacing w:line="360" w:lineRule="exact"/>
                    <w:rPr>
                      <w:color w:val="000000" w:themeColor="text1"/>
                      <w:szCs w:val="21"/>
                    </w:rPr>
                  </w:pPr>
                  <w:r>
                    <w:rPr>
                      <w:color w:val="000000" w:themeColor="text1"/>
                      <w:szCs w:val="21"/>
                    </w:rPr>
                    <w:t>--</w:t>
                  </w:r>
                </w:p>
              </w:tc>
              <w:tc>
                <w:tcPr>
                  <w:tcW w:w="712"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vMerge w:val="restart"/>
                  <w:vAlign w:val="center"/>
                </w:tcPr>
                <w:p>
                  <w:pPr>
                    <w:pStyle w:val="32"/>
                    <w:spacing w:line="360" w:lineRule="exact"/>
                    <w:rPr>
                      <w:color w:val="000000" w:themeColor="text1"/>
                      <w:szCs w:val="21"/>
                    </w:rPr>
                  </w:pPr>
                  <w:r>
                    <w:rPr>
                      <w:color w:val="000000" w:themeColor="text1"/>
                      <w:szCs w:val="21"/>
                    </w:rPr>
                    <w:t>运营期污染源</w:t>
                  </w:r>
                </w:p>
              </w:tc>
              <w:tc>
                <w:tcPr>
                  <w:tcW w:w="568" w:type="dxa"/>
                  <w:vMerge w:val="restart"/>
                  <w:vAlign w:val="center"/>
                </w:tcPr>
                <w:p>
                  <w:pPr>
                    <w:pStyle w:val="32"/>
                    <w:spacing w:line="360" w:lineRule="exact"/>
                    <w:rPr>
                      <w:color w:val="000000" w:themeColor="text1"/>
                      <w:szCs w:val="21"/>
                    </w:rPr>
                  </w:pPr>
                  <w:r>
                    <w:rPr>
                      <w:color w:val="000000" w:themeColor="text1"/>
                      <w:szCs w:val="21"/>
                    </w:rPr>
                    <w:t>废气</w:t>
                  </w:r>
                </w:p>
              </w:tc>
              <w:tc>
                <w:tcPr>
                  <w:tcW w:w="708" w:type="dxa"/>
                  <w:gridSpan w:val="2"/>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粉尘</w:t>
                  </w:r>
                </w:p>
              </w:tc>
              <w:tc>
                <w:tcPr>
                  <w:tcW w:w="1417" w:type="dxa"/>
                  <w:vAlign w:val="center"/>
                </w:tcPr>
                <w:p>
                  <w:pPr>
                    <w:pStyle w:val="32"/>
                    <w:spacing w:line="360" w:lineRule="exact"/>
                    <w:rPr>
                      <w:color w:val="000000" w:themeColor="text1"/>
                      <w:szCs w:val="21"/>
                    </w:rPr>
                  </w:pPr>
                  <w:r>
                    <w:rPr>
                      <w:color w:val="000000" w:themeColor="text1"/>
                      <w:szCs w:val="21"/>
                    </w:rPr>
                    <w:t>集气罩</w:t>
                  </w:r>
                </w:p>
              </w:tc>
              <w:tc>
                <w:tcPr>
                  <w:tcW w:w="2554" w:type="dxa"/>
                  <w:gridSpan w:val="2"/>
                  <w:vAlign w:val="center"/>
                </w:tcPr>
                <w:p>
                  <w:pPr>
                    <w:pStyle w:val="32"/>
                    <w:spacing w:line="360" w:lineRule="exact"/>
                    <w:ind w:firstLine="210" w:firstLineChars="100"/>
                    <w:jc w:val="left"/>
                    <w:rPr>
                      <w:color w:val="000000" w:themeColor="text1"/>
                      <w:szCs w:val="21"/>
                    </w:rPr>
                  </w:pPr>
                  <w:r>
                    <w:rPr>
                      <w:color w:val="000000" w:themeColor="text1"/>
                      <w:szCs w:val="21"/>
                    </w:rPr>
                    <w:t>1个，集气效率不低于90%</w:t>
                  </w:r>
                </w:p>
              </w:tc>
              <w:tc>
                <w:tcPr>
                  <w:tcW w:w="702" w:type="dxa"/>
                  <w:vAlign w:val="center"/>
                </w:tcPr>
                <w:p>
                  <w:pPr>
                    <w:pStyle w:val="32"/>
                    <w:spacing w:line="360" w:lineRule="exact"/>
                    <w:rPr>
                      <w:color w:val="000000" w:themeColor="text1"/>
                      <w:szCs w:val="21"/>
                    </w:rPr>
                  </w:pPr>
                  <w:r>
                    <w:rPr>
                      <w:color w:val="000000" w:themeColor="text1"/>
                      <w:szCs w:val="21"/>
                    </w:rPr>
                    <w:t>2</w:t>
                  </w:r>
                </w:p>
              </w:tc>
              <w:tc>
                <w:tcPr>
                  <w:tcW w:w="709" w:type="dxa"/>
                  <w:vMerge w:val="continue"/>
                  <w:vAlign w:val="center"/>
                </w:tcPr>
                <w:p>
                  <w:pPr>
                    <w:pStyle w:val="32"/>
                    <w:spacing w:line="360" w:lineRule="exact"/>
                    <w:rPr>
                      <w:color w:val="000000" w:themeColor="text1"/>
                      <w:szCs w:val="21"/>
                    </w:rPr>
                  </w:pPr>
                </w:p>
              </w:tc>
              <w:tc>
                <w:tcPr>
                  <w:tcW w:w="782" w:type="dxa"/>
                  <w:vAlign w:val="center"/>
                </w:tcPr>
                <w:p>
                  <w:pPr>
                    <w:pStyle w:val="32"/>
                    <w:spacing w:line="360" w:lineRule="exact"/>
                    <w:rPr>
                      <w:color w:val="000000" w:themeColor="text1"/>
                      <w:szCs w:val="21"/>
                    </w:rPr>
                  </w:pPr>
                  <w:r>
                    <w:rPr>
                      <w:color w:val="000000" w:themeColor="text1"/>
                      <w:szCs w:val="21"/>
                    </w:rPr>
                    <w:t>0.5</w:t>
                  </w:r>
                </w:p>
              </w:tc>
              <w:tc>
                <w:tcPr>
                  <w:tcW w:w="712"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vMerge w:val="continue"/>
                  <w:vAlign w:val="center"/>
                </w:tcPr>
                <w:p>
                  <w:pPr>
                    <w:pStyle w:val="32"/>
                    <w:spacing w:line="360" w:lineRule="exact"/>
                    <w:rPr>
                      <w:color w:val="000000" w:themeColor="text1"/>
                      <w:szCs w:val="21"/>
                    </w:rPr>
                  </w:pPr>
                </w:p>
              </w:tc>
              <w:tc>
                <w:tcPr>
                  <w:tcW w:w="568" w:type="dxa"/>
                  <w:vMerge w:val="continue"/>
                  <w:vAlign w:val="center"/>
                </w:tcPr>
                <w:p>
                  <w:pPr>
                    <w:pStyle w:val="32"/>
                    <w:spacing w:line="360" w:lineRule="exact"/>
                    <w:rPr>
                      <w:color w:val="000000" w:themeColor="text1"/>
                      <w:szCs w:val="21"/>
                    </w:rPr>
                  </w:pPr>
                </w:p>
              </w:tc>
              <w:tc>
                <w:tcPr>
                  <w:tcW w:w="708" w:type="dxa"/>
                  <w:gridSpan w:val="2"/>
                  <w:vMerge w:val="continue"/>
                  <w:vAlign w:val="center"/>
                </w:tcPr>
                <w:p>
                  <w:pPr>
                    <w:pStyle w:val="32"/>
                    <w:spacing w:line="360" w:lineRule="exact"/>
                    <w:rPr>
                      <w:rFonts w:eastAsiaTheme="minorEastAsia"/>
                      <w:color w:val="000000" w:themeColor="text1"/>
                      <w:szCs w:val="21"/>
                    </w:rPr>
                  </w:pPr>
                </w:p>
              </w:tc>
              <w:tc>
                <w:tcPr>
                  <w:tcW w:w="1417" w:type="dxa"/>
                  <w:vAlign w:val="center"/>
                </w:tcPr>
                <w:p>
                  <w:pPr>
                    <w:pStyle w:val="32"/>
                    <w:spacing w:line="360" w:lineRule="exact"/>
                    <w:rPr>
                      <w:color w:val="000000" w:themeColor="text1"/>
                      <w:szCs w:val="21"/>
                    </w:rPr>
                  </w:pPr>
                  <w:r>
                    <w:rPr>
                      <w:color w:val="000000" w:themeColor="text1"/>
                      <w:szCs w:val="21"/>
                    </w:rPr>
                    <w:t>袋式除尘器</w:t>
                  </w:r>
                </w:p>
              </w:tc>
              <w:tc>
                <w:tcPr>
                  <w:tcW w:w="2554" w:type="dxa"/>
                  <w:gridSpan w:val="2"/>
                  <w:vAlign w:val="center"/>
                </w:tcPr>
                <w:p>
                  <w:pPr>
                    <w:pStyle w:val="32"/>
                    <w:spacing w:line="360" w:lineRule="exact"/>
                    <w:ind w:firstLine="210" w:firstLineChars="100"/>
                    <w:jc w:val="left"/>
                    <w:rPr>
                      <w:color w:val="000000" w:themeColor="text1"/>
                      <w:szCs w:val="21"/>
                    </w:rPr>
                  </w:pPr>
                  <w:r>
                    <w:rPr>
                      <w:color w:val="000000" w:themeColor="text1"/>
                      <w:szCs w:val="21"/>
                    </w:rPr>
                    <w:t>2台，平均除尘效率为99.7%</w:t>
                  </w:r>
                </w:p>
              </w:tc>
              <w:tc>
                <w:tcPr>
                  <w:tcW w:w="702" w:type="dxa"/>
                  <w:vAlign w:val="center"/>
                </w:tcPr>
                <w:p>
                  <w:pPr>
                    <w:pStyle w:val="32"/>
                    <w:spacing w:line="360" w:lineRule="exact"/>
                    <w:rPr>
                      <w:color w:val="000000" w:themeColor="text1"/>
                      <w:szCs w:val="21"/>
                    </w:rPr>
                  </w:pPr>
                  <w:r>
                    <w:rPr>
                      <w:color w:val="000000" w:themeColor="text1"/>
                      <w:szCs w:val="21"/>
                    </w:rPr>
                    <w:t>3</w:t>
                  </w:r>
                </w:p>
              </w:tc>
              <w:tc>
                <w:tcPr>
                  <w:tcW w:w="709" w:type="dxa"/>
                  <w:vMerge w:val="continue"/>
                  <w:vAlign w:val="center"/>
                </w:tcPr>
                <w:p>
                  <w:pPr>
                    <w:pStyle w:val="32"/>
                    <w:spacing w:line="360" w:lineRule="exact"/>
                    <w:rPr>
                      <w:color w:val="000000" w:themeColor="text1"/>
                      <w:szCs w:val="21"/>
                    </w:rPr>
                  </w:pPr>
                </w:p>
              </w:tc>
              <w:tc>
                <w:tcPr>
                  <w:tcW w:w="782" w:type="dxa"/>
                  <w:vAlign w:val="center"/>
                </w:tcPr>
                <w:p>
                  <w:pPr>
                    <w:pStyle w:val="32"/>
                    <w:spacing w:line="360" w:lineRule="exact"/>
                    <w:rPr>
                      <w:color w:val="000000" w:themeColor="text1"/>
                      <w:szCs w:val="21"/>
                    </w:rPr>
                  </w:pPr>
                  <w:r>
                    <w:rPr>
                      <w:color w:val="000000" w:themeColor="text1"/>
                      <w:szCs w:val="21"/>
                    </w:rPr>
                    <w:t>0.6</w:t>
                  </w:r>
                </w:p>
              </w:tc>
              <w:tc>
                <w:tcPr>
                  <w:tcW w:w="712"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vMerge w:val="continue"/>
                  <w:vAlign w:val="center"/>
                </w:tcPr>
                <w:p>
                  <w:pPr>
                    <w:pStyle w:val="32"/>
                    <w:spacing w:line="360" w:lineRule="exact"/>
                    <w:rPr>
                      <w:color w:val="000000" w:themeColor="text1"/>
                      <w:szCs w:val="21"/>
                    </w:rPr>
                  </w:pPr>
                </w:p>
              </w:tc>
              <w:tc>
                <w:tcPr>
                  <w:tcW w:w="568" w:type="dxa"/>
                  <w:vMerge w:val="continue"/>
                  <w:vAlign w:val="center"/>
                </w:tcPr>
                <w:p>
                  <w:pPr>
                    <w:pStyle w:val="32"/>
                    <w:spacing w:line="360" w:lineRule="exact"/>
                    <w:rPr>
                      <w:color w:val="000000" w:themeColor="text1"/>
                      <w:szCs w:val="21"/>
                    </w:rPr>
                  </w:pPr>
                </w:p>
              </w:tc>
              <w:tc>
                <w:tcPr>
                  <w:tcW w:w="708" w:type="dxa"/>
                  <w:gridSpan w:val="2"/>
                  <w:vMerge w:val="continue"/>
                  <w:vAlign w:val="center"/>
                </w:tcPr>
                <w:p>
                  <w:pPr>
                    <w:pStyle w:val="32"/>
                    <w:spacing w:line="360" w:lineRule="exact"/>
                    <w:rPr>
                      <w:rFonts w:eastAsiaTheme="minorEastAsia"/>
                      <w:color w:val="000000" w:themeColor="text1"/>
                      <w:szCs w:val="21"/>
                    </w:rPr>
                  </w:pPr>
                </w:p>
              </w:tc>
              <w:tc>
                <w:tcPr>
                  <w:tcW w:w="1417" w:type="dxa"/>
                  <w:vAlign w:val="center"/>
                </w:tcPr>
                <w:p>
                  <w:pPr>
                    <w:pStyle w:val="32"/>
                    <w:spacing w:line="360" w:lineRule="exact"/>
                    <w:rPr>
                      <w:color w:val="000000" w:themeColor="text1"/>
                      <w:szCs w:val="21"/>
                    </w:rPr>
                  </w:pPr>
                  <w:r>
                    <w:rPr>
                      <w:color w:val="000000" w:themeColor="text1"/>
                      <w:szCs w:val="21"/>
                    </w:rPr>
                    <w:t>排气筒</w:t>
                  </w:r>
                </w:p>
              </w:tc>
              <w:tc>
                <w:tcPr>
                  <w:tcW w:w="2554" w:type="dxa"/>
                  <w:gridSpan w:val="2"/>
                  <w:vAlign w:val="center"/>
                </w:tcPr>
                <w:p>
                  <w:pPr>
                    <w:pStyle w:val="32"/>
                    <w:spacing w:line="360" w:lineRule="exact"/>
                    <w:ind w:firstLine="210" w:firstLineChars="100"/>
                    <w:jc w:val="left"/>
                    <w:rPr>
                      <w:color w:val="000000" w:themeColor="text1"/>
                      <w:szCs w:val="21"/>
                    </w:rPr>
                  </w:pPr>
                  <w:r>
                    <w:rPr>
                      <w:color w:val="000000" w:themeColor="text1"/>
                      <w:szCs w:val="21"/>
                    </w:rPr>
                    <w:t>2根， DA001排气口Φ0.2m、离地高为15m； DA002排气筒Φ0.4m，高15m。</w:t>
                  </w:r>
                </w:p>
              </w:tc>
              <w:tc>
                <w:tcPr>
                  <w:tcW w:w="702" w:type="dxa"/>
                  <w:vAlign w:val="center"/>
                </w:tcPr>
                <w:p>
                  <w:pPr>
                    <w:pStyle w:val="32"/>
                    <w:spacing w:line="360" w:lineRule="exact"/>
                    <w:rPr>
                      <w:color w:val="000000" w:themeColor="text1"/>
                      <w:szCs w:val="21"/>
                    </w:rPr>
                  </w:pPr>
                  <w:r>
                    <w:rPr>
                      <w:color w:val="000000" w:themeColor="text1"/>
                      <w:szCs w:val="21"/>
                    </w:rPr>
                    <w:t>1</w:t>
                  </w:r>
                </w:p>
              </w:tc>
              <w:tc>
                <w:tcPr>
                  <w:tcW w:w="709" w:type="dxa"/>
                  <w:vMerge w:val="continue"/>
                  <w:vAlign w:val="center"/>
                </w:tcPr>
                <w:p>
                  <w:pPr>
                    <w:pStyle w:val="32"/>
                    <w:spacing w:line="360" w:lineRule="exact"/>
                    <w:rPr>
                      <w:color w:val="000000" w:themeColor="text1"/>
                      <w:szCs w:val="21"/>
                    </w:rPr>
                  </w:pPr>
                </w:p>
              </w:tc>
              <w:tc>
                <w:tcPr>
                  <w:tcW w:w="782" w:type="dxa"/>
                  <w:vAlign w:val="center"/>
                </w:tcPr>
                <w:p>
                  <w:pPr>
                    <w:pStyle w:val="32"/>
                    <w:spacing w:line="360" w:lineRule="exact"/>
                    <w:rPr>
                      <w:color w:val="000000" w:themeColor="text1"/>
                      <w:szCs w:val="21"/>
                    </w:rPr>
                  </w:pPr>
                  <w:r>
                    <w:rPr>
                      <w:color w:val="000000" w:themeColor="text1"/>
                      <w:szCs w:val="21"/>
                    </w:rPr>
                    <w:t>0</w:t>
                  </w:r>
                </w:p>
              </w:tc>
              <w:tc>
                <w:tcPr>
                  <w:tcW w:w="712"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vMerge w:val="continue"/>
                  <w:vAlign w:val="center"/>
                </w:tcPr>
                <w:p>
                  <w:pPr>
                    <w:pStyle w:val="32"/>
                    <w:spacing w:line="360" w:lineRule="exact"/>
                    <w:rPr>
                      <w:color w:val="000000" w:themeColor="text1"/>
                      <w:szCs w:val="21"/>
                    </w:rPr>
                  </w:pPr>
                </w:p>
              </w:tc>
              <w:tc>
                <w:tcPr>
                  <w:tcW w:w="568" w:type="dxa"/>
                  <w:vMerge w:val="restart"/>
                  <w:vAlign w:val="center"/>
                </w:tcPr>
                <w:p>
                  <w:pPr>
                    <w:pStyle w:val="32"/>
                    <w:spacing w:line="360" w:lineRule="exact"/>
                    <w:rPr>
                      <w:color w:val="000000" w:themeColor="text1"/>
                      <w:szCs w:val="21"/>
                    </w:rPr>
                  </w:pPr>
                  <w:r>
                    <w:rPr>
                      <w:color w:val="000000" w:themeColor="text1"/>
                      <w:szCs w:val="21"/>
                    </w:rPr>
                    <w:t>废水</w:t>
                  </w:r>
                </w:p>
              </w:tc>
              <w:tc>
                <w:tcPr>
                  <w:tcW w:w="2125" w:type="dxa"/>
                  <w:gridSpan w:val="3"/>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雨污分流</w:t>
                  </w:r>
                </w:p>
              </w:tc>
              <w:tc>
                <w:tcPr>
                  <w:tcW w:w="2554" w:type="dxa"/>
                  <w:gridSpan w:val="2"/>
                  <w:vAlign w:val="center"/>
                </w:tcPr>
                <w:p>
                  <w:pPr>
                    <w:pStyle w:val="32"/>
                    <w:spacing w:line="360" w:lineRule="exact"/>
                    <w:ind w:firstLine="210" w:firstLineChars="100"/>
                    <w:jc w:val="left"/>
                    <w:rPr>
                      <w:color w:val="000000" w:themeColor="text1"/>
                      <w:szCs w:val="21"/>
                    </w:rPr>
                  </w:pPr>
                  <w:r>
                    <w:rPr>
                      <w:color w:val="000000" w:themeColor="text1"/>
                      <w:szCs w:val="21"/>
                    </w:rPr>
                    <w:t>雨水管网</w:t>
                  </w:r>
                </w:p>
              </w:tc>
              <w:tc>
                <w:tcPr>
                  <w:tcW w:w="702" w:type="dxa"/>
                  <w:vAlign w:val="center"/>
                </w:tcPr>
                <w:p>
                  <w:pPr>
                    <w:pStyle w:val="32"/>
                    <w:spacing w:line="360" w:lineRule="exact"/>
                    <w:rPr>
                      <w:color w:val="000000" w:themeColor="text1"/>
                      <w:szCs w:val="21"/>
                    </w:rPr>
                  </w:pPr>
                  <w:r>
                    <w:rPr>
                      <w:color w:val="000000" w:themeColor="text1"/>
                      <w:szCs w:val="21"/>
                    </w:rPr>
                    <w:t>--</w:t>
                  </w:r>
                </w:p>
              </w:tc>
              <w:tc>
                <w:tcPr>
                  <w:tcW w:w="709" w:type="dxa"/>
                  <w:vMerge w:val="continue"/>
                  <w:vAlign w:val="center"/>
                </w:tcPr>
                <w:p>
                  <w:pPr>
                    <w:pStyle w:val="32"/>
                    <w:spacing w:line="360" w:lineRule="exact"/>
                    <w:rPr>
                      <w:color w:val="000000" w:themeColor="text1"/>
                      <w:szCs w:val="21"/>
                    </w:rPr>
                  </w:pPr>
                </w:p>
              </w:tc>
              <w:tc>
                <w:tcPr>
                  <w:tcW w:w="782" w:type="dxa"/>
                  <w:vAlign w:val="center"/>
                </w:tcPr>
                <w:p>
                  <w:pPr>
                    <w:pStyle w:val="32"/>
                    <w:spacing w:line="360" w:lineRule="exact"/>
                    <w:rPr>
                      <w:color w:val="000000" w:themeColor="text1"/>
                      <w:szCs w:val="21"/>
                    </w:rPr>
                  </w:pPr>
                  <w:r>
                    <w:rPr>
                      <w:color w:val="000000" w:themeColor="text1"/>
                      <w:szCs w:val="21"/>
                    </w:rPr>
                    <w:t>--</w:t>
                  </w:r>
                </w:p>
              </w:tc>
              <w:tc>
                <w:tcPr>
                  <w:tcW w:w="712"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vMerge w:val="continue"/>
                  <w:vAlign w:val="center"/>
                </w:tcPr>
                <w:p>
                  <w:pPr>
                    <w:pStyle w:val="32"/>
                    <w:spacing w:line="360" w:lineRule="exact"/>
                    <w:rPr>
                      <w:color w:val="000000" w:themeColor="text1"/>
                      <w:szCs w:val="21"/>
                    </w:rPr>
                  </w:pPr>
                </w:p>
              </w:tc>
              <w:tc>
                <w:tcPr>
                  <w:tcW w:w="568" w:type="dxa"/>
                  <w:vMerge w:val="continue"/>
                  <w:vAlign w:val="center"/>
                </w:tcPr>
                <w:p>
                  <w:pPr>
                    <w:pStyle w:val="32"/>
                    <w:spacing w:line="360" w:lineRule="exact"/>
                    <w:rPr>
                      <w:color w:val="000000" w:themeColor="text1"/>
                      <w:szCs w:val="21"/>
                    </w:rPr>
                  </w:pPr>
                </w:p>
              </w:tc>
              <w:tc>
                <w:tcPr>
                  <w:tcW w:w="708" w:type="dxa"/>
                  <w:gridSpan w:val="2"/>
                  <w:vAlign w:val="center"/>
                </w:tcPr>
                <w:p>
                  <w:pPr>
                    <w:pStyle w:val="32"/>
                    <w:spacing w:line="360" w:lineRule="exact"/>
                    <w:rPr>
                      <w:color w:val="000000" w:themeColor="text1"/>
                      <w:szCs w:val="21"/>
                    </w:rPr>
                  </w:pPr>
                  <w:r>
                    <w:rPr>
                      <w:color w:val="000000" w:themeColor="text1"/>
                      <w:szCs w:val="21"/>
                    </w:rPr>
                    <w:t>养护废水</w:t>
                  </w:r>
                </w:p>
              </w:tc>
              <w:tc>
                <w:tcPr>
                  <w:tcW w:w="1417" w:type="dxa"/>
                  <w:vAlign w:val="center"/>
                </w:tcPr>
                <w:p>
                  <w:pPr>
                    <w:pStyle w:val="32"/>
                    <w:spacing w:line="360" w:lineRule="exact"/>
                    <w:rPr>
                      <w:color w:val="000000" w:themeColor="text1"/>
                      <w:szCs w:val="21"/>
                    </w:rPr>
                  </w:pPr>
                  <w:r>
                    <w:rPr>
                      <w:color w:val="000000" w:themeColor="text1"/>
                      <w:szCs w:val="21"/>
                    </w:rPr>
                    <w:t>养护废水处理系统</w:t>
                  </w:r>
                </w:p>
              </w:tc>
              <w:tc>
                <w:tcPr>
                  <w:tcW w:w="2554" w:type="dxa"/>
                  <w:gridSpan w:val="2"/>
                  <w:vAlign w:val="center"/>
                </w:tcPr>
                <w:p>
                  <w:pPr>
                    <w:pStyle w:val="32"/>
                    <w:spacing w:line="360" w:lineRule="exact"/>
                    <w:ind w:firstLine="210" w:firstLineChars="100"/>
                    <w:jc w:val="left"/>
                    <w:rPr>
                      <w:color w:val="000000" w:themeColor="text1"/>
                      <w:szCs w:val="21"/>
                    </w:rPr>
                  </w:pPr>
                  <w:r>
                    <w:rPr>
                      <w:color w:val="000000" w:themeColor="text1"/>
                      <w:szCs w:val="21"/>
                    </w:rPr>
                    <w:t>1个有效容积为6m³的养护废水收集池</w:t>
                  </w:r>
                </w:p>
              </w:tc>
              <w:tc>
                <w:tcPr>
                  <w:tcW w:w="702" w:type="dxa"/>
                  <w:vAlign w:val="center"/>
                </w:tcPr>
                <w:p>
                  <w:pPr>
                    <w:pStyle w:val="32"/>
                    <w:spacing w:line="360" w:lineRule="exact"/>
                    <w:rPr>
                      <w:color w:val="000000" w:themeColor="text1"/>
                      <w:szCs w:val="21"/>
                    </w:rPr>
                  </w:pPr>
                  <w:r>
                    <w:rPr>
                      <w:color w:val="000000" w:themeColor="text1"/>
                      <w:szCs w:val="21"/>
                    </w:rPr>
                    <w:t>2</w:t>
                  </w:r>
                </w:p>
              </w:tc>
              <w:tc>
                <w:tcPr>
                  <w:tcW w:w="709" w:type="dxa"/>
                  <w:vMerge w:val="continue"/>
                  <w:vAlign w:val="center"/>
                </w:tcPr>
                <w:p>
                  <w:pPr>
                    <w:pStyle w:val="32"/>
                    <w:spacing w:line="360" w:lineRule="exact"/>
                    <w:rPr>
                      <w:color w:val="000000" w:themeColor="text1"/>
                      <w:szCs w:val="21"/>
                    </w:rPr>
                  </w:pPr>
                </w:p>
              </w:tc>
              <w:tc>
                <w:tcPr>
                  <w:tcW w:w="782" w:type="dxa"/>
                  <w:vAlign w:val="center"/>
                </w:tcPr>
                <w:p>
                  <w:pPr>
                    <w:pStyle w:val="32"/>
                    <w:spacing w:line="360" w:lineRule="exact"/>
                    <w:rPr>
                      <w:color w:val="000000" w:themeColor="text1"/>
                      <w:szCs w:val="21"/>
                    </w:rPr>
                  </w:pPr>
                  <w:r>
                    <w:rPr>
                      <w:color w:val="000000" w:themeColor="text1"/>
                      <w:szCs w:val="21"/>
                    </w:rPr>
                    <w:t>1</w:t>
                  </w:r>
                </w:p>
              </w:tc>
              <w:tc>
                <w:tcPr>
                  <w:tcW w:w="712"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vMerge w:val="continue"/>
                  <w:vAlign w:val="center"/>
                </w:tcPr>
                <w:p>
                  <w:pPr>
                    <w:pStyle w:val="32"/>
                    <w:spacing w:line="360" w:lineRule="exact"/>
                    <w:rPr>
                      <w:color w:val="000000" w:themeColor="text1"/>
                      <w:szCs w:val="21"/>
                    </w:rPr>
                  </w:pPr>
                </w:p>
              </w:tc>
              <w:tc>
                <w:tcPr>
                  <w:tcW w:w="568" w:type="dxa"/>
                  <w:vMerge w:val="continue"/>
                  <w:vAlign w:val="center"/>
                </w:tcPr>
                <w:p>
                  <w:pPr>
                    <w:pStyle w:val="32"/>
                    <w:spacing w:line="360" w:lineRule="exact"/>
                    <w:rPr>
                      <w:color w:val="000000" w:themeColor="text1"/>
                      <w:szCs w:val="21"/>
                    </w:rPr>
                  </w:pPr>
                </w:p>
              </w:tc>
              <w:tc>
                <w:tcPr>
                  <w:tcW w:w="708" w:type="dxa"/>
                  <w:gridSpan w:val="2"/>
                  <w:vAlign w:val="center"/>
                </w:tcPr>
                <w:p>
                  <w:pPr>
                    <w:pStyle w:val="32"/>
                    <w:spacing w:line="360" w:lineRule="exact"/>
                    <w:rPr>
                      <w:color w:val="000000" w:themeColor="text1"/>
                      <w:szCs w:val="21"/>
                    </w:rPr>
                  </w:pPr>
                  <w:r>
                    <w:rPr>
                      <w:color w:val="000000" w:themeColor="text1"/>
                      <w:szCs w:val="21"/>
                    </w:rPr>
                    <w:t>初期雨水</w:t>
                  </w:r>
                </w:p>
              </w:tc>
              <w:tc>
                <w:tcPr>
                  <w:tcW w:w="1417" w:type="dxa"/>
                  <w:vAlign w:val="center"/>
                </w:tcPr>
                <w:p>
                  <w:pPr>
                    <w:pStyle w:val="32"/>
                    <w:spacing w:line="360" w:lineRule="exact"/>
                    <w:rPr>
                      <w:color w:val="000000" w:themeColor="text1"/>
                      <w:szCs w:val="21"/>
                    </w:rPr>
                  </w:pPr>
                  <w:r>
                    <w:rPr>
                      <w:color w:val="000000" w:themeColor="text1"/>
                      <w:szCs w:val="21"/>
                    </w:rPr>
                    <w:t>初期雨水收集系统</w:t>
                  </w:r>
                </w:p>
              </w:tc>
              <w:tc>
                <w:tcPr>
                  <w:tcW w:w="2554" w:type="dxa"/>
                  <w:gridSpan w:val="2"/>
                  <w:vAlign w:val="center"/>
                </w:tcPr>
                <w:p>
                  <w:pPr>
                    <w:pStyle w:val="32"/>
                    <w:spacing w:line="360" w:lineRule="exact"/>
                    <w:ind w:firstLine="210" w:firstLineChars="100"/>
                    <w:jc w:val="left"/>
                    <w:rPr>
                      <w:color w:val="000000" w:themeColor="text1"/>
                      <w:szCs w:val="21"/>
                    </w:rPr>
                  </w:pPr>
                  <w:r>
                    <w:rPr>
                      <w:color w:val="000000" w:themeColor="text1"/>
                      <w:szCs w:val="21"/>
                    </w:rPr>
                    <w:t>截排水沟和1个有效容积为</w:t>
                  </w:r>
                  <w:r>
                    <w:rPr>
                      <w:rFonts w:hint="eastAsia"/>
                      <w:color w:val="000000" w:themeColor="text1"/>
                      <w:szCs w:val="21"/>
                    </w:rPr>
                    <w:t>5</w:t>
                  </w:r>
                  <w:r>
                    <w:rPr>
                      <w:color w:val="000000" w:themeColor="text1"/>
                      <w:szCs w:val="21"/>
                    </w:rPr>
                    <w:t>m³</w:t>
                  </w:r>
                  <w:r>
                    <w:rPr>
                      <w:rFonts w:hint="eastAsia"/>
                      <w:color w:val="000000" w:themeColor="text1"/>
                      <w:szCs w:val="21"/>
                    </w:rPr>
                    <w:t>的初期雨水收集池</w:t>
                  </w:r>
                </w:p>
              </w:tc>
              <w:tc>
                <w:tcPr>
                  <w:tcW w:w="702" w:type="dxa"/>
                  <w:vAlign w:val="center"/>
                </w:tcPr>
                <w:p>
                  <w:pPr>
                    <w:pStyle w:val="32"/>
                    <w:spacing w:line="360" w:lineRule="exact"/>
                    <w:rPr>
                      <w:color w:val="000000" w:themeColor="text1"/>
                      <w:szCs w:val="21"/>
                    </w:rPr>
                  </w:pPr>
                  <w:r>
                    <w:rPr>
                      <w:color w:val="000000" w:themeColor="text1"/>
                      <w:szCs w:val="21"/>
                    </w:rPr>
                    <w:t>9</w:t>
                  </w:r>
                </w:p>
              </w:tc>
              <w:tc>
                <w:tcPr>
                  <w:tcW w:w="709" w:type="dxa"/>
                  <w:vMerge w:val="continue"/>
                  <w:vAlign w:val="center"/>
                </w:tcPr>
                <w:p>
                  <w:pPr>
                    <w:pStyle w:val="32"/>
                    <w:spacing w:line="360" w:lineRule="exact"/>
                    <w:rPr>
                      <w:color w:val="000000" w:themeColor="text1"/>
                      <w:szCs w:val="21"/>
                    </w:rPr>
                  </w:pPr>
                </w:p>
              </w:tc>
              <w:tc>
                <w:tcPr>
                  <w:tcW w:w="782" w:type="dxa"/>
                  <w:vAlign w:val="center"/>
                </w:tcPr>
                <w:p>
                  <w:pPr>
                    <w:pStyle w:val="32"/>
                    <w:spacing w:line="360" w:lineRule="exact"/>
                    <w:rPr>
                      <w:color w:val="000000" w:themeColor="text1"/>
                      <w:szCs w:val="21"/>
                    </w:rPr>
                  </w:pPr>
                  <w:r>
                    <w:rPr>
                      <w:color w:val="000000" w:themeColor="text1"/>
                      <w:szCs w:val="21"/>
                    </w:rPr>
                    <w:t>1</w:t>
                  </w:r>
                </w:p>
              </w:tc>
              <w:tc>
                <w:tcPr>
                  <w:tcW w:w="712"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vMerge w:val="continue"/>
                  <w:vAlign w:val="center"/>
                </w:tcPr>
                <w:p>
                  <w:pPr>
                    <w:pStyle w:val="32"/>
                    <w:spacing w:line="360" w:lineRule="exact"/>
                    <w:rPr>
                      <w:color w:val="000000" w:themeColor="text1"/>
                      <w:szCs w:val="21"/>
                    </w:rPr>
                  </w:pPr>
                </w:p>
              </w:tc>
              <w:tc>
                <w:tcPr>
                  <w:tcW w:w="1276" w:type="dxa"/>
                  <w:gridSpan w:val="3"/>
                  <w:vMerge w:val="restart"/>
                  <w:vAlign w:val="center"/>
                </w:tcPr>
                <w:p>
                  <w:pPr>
                    <w:pStyle w:val="32"/>
                    <w:spacing w:line="360" w:lineRule="exact"/>
                    <w:rPr>
                      <w:color w:val="000000" w:themeColor="text1"/>
                      <w:szCs w:val="21"/>
                    </w:rPr>
                  </w:pPr>
                  <w:r>
                    <w:rPr>
                      <w:color w:val="000000" w:themeColor="text1"/>
                      <w:szCs w:val="21"/>
                    </w:rPr>
                    <w:t>地下水防渗</w:t>
                  </w:r>
                </w:p>
              </w:tc>
              <w:tc>
                <w:tcPr>
                  <w:tcW w:w="1417" w:type="dxa"/>
                  <w:vAlign w:val="center"/>
                </w:tcPr>
                <w:p>
                  <w:pPr>
                    <w:pStyle w:val="32"/>
                    <w:spacing w:line="360" w:lineRule="exact"/>
                    <w:rPr>
                      <w:color w:val="000000" w:themeColor="text1"/>
                      <w:szCs w:val="21"/>
                    </w:rPr>
                  </w:pPr>
                  <w:r>
                    <w:rPr>
                      <w:color w:val="000000" w:themeColor="text1"/>
                      <w:szCs w:val="21"/>
                    </w:rPr>
                    <w:t>重点防渗区</w:t>
                  </w:r>
                </w:p>
              </w:tc>
              <w:tc>
                <w:tcPr>
                  <w:tcW w:w="2554" w:type="dxa"/>
                  <w:gridSpan w:val="2"/>
                  <w:vAlign w:val="center"/>
                </w:tcPr>
                <w:p>
                  <w:pPr>
                    <w:pStyle w:val="32"/>
                    <w:spacing w:line="360" w:lineRule="exact"/>
                    <w:ind w:firstLine="210" w:firstLineChars="100"/>
                    <w:jc w:val="left"/>
                    <w:rPr>
                      <w:color w:val="000000" w:themeColor="text1"/>
                      <w:szCs w:val="21"/>
                      <w:lang w:val="en-US"/>
                    </w:rPr>
                  </w:pPr>
                  <w:r>
                    <w:rPr>
                      <w:rFonts w:hint="eastAsia"/>
                      <w:color w:val="000000" w:themeColor="text1"/>
                      <w:szCs w:val="21"/>
                    </w:rPr>
                    <w:t>--</w:t>
                  </w:r>
                </w:p>
              </w:tc>
              <w:tc>
                <w:tcPr>
                  <w:tcW w:w="702" w:type="dxa"/>
                  <w:vAlign w:val="center"/>
                </w:tcPr>
                <w:p>
                  <w:pPr>
                    <w:pStyle w:val="32"/>
                    <w:spacing w:line="360" w:lineRule="exact"/>
                    <w:rPr>
                      <w:color w:val="000000" w:themeColor="text1"/>
                      <w:szCs w:val="21"/>
                    </w:rPr>
                  </w:pPr>
                  <w:r>
                    <w:rPr>
                      <w:rFonts w:hint="eastAsia"/>
                      <w:color w:val="000000" w:themeColor="text1"/>
                      <w:szCs w:val="21"/>
                    </w:rPr>
                    <w:t>0</w:t>
                  </w:r>
                </w:p>
              </w:tc>
              <w:tc>
                <w:tcPr>
                  <w:tcW w:w="709" w:type="dxa"/>
                  <w:vMerge w:val="continue"/>
                  <w:vAlign w:val="center"/>
                </w:tcPr>
                <w:p>
                  <w:pPr>
                    <w:pStyle w:val="32"/>
                    <w:spacing w:line="360" w:lineRule="exact"/>
                    <w:rPr>
                      <w:color w:val="000000" w:themeColor="text1"/>
                      <w:szCs w:val="21"/>
                    </w:rPr>
                  </w:pPr>
                </w:p>
              </w:tc>
              <w:tc>
                <w:tcPr>
                  <w:tcW w:w="782" w:type="dxa"/>
                  <w:vAlign w:val="center"/>
                </w:tcPr>
                <w:p>
                  <w:pPr>
                    <w:pStyle w:val="32"/>
                    <w:spacing w:line="360" w:lineRule="exact"/>
                    <w:rPr>
                      <w:color w:val="000000" w:themeColor="text1"/>
                      <w:szCs w:val="21"/>
                    </w:rPr>
                  </w:pPr>
                  <w:r>
                    <w:rPr>
                      <w:color w:val="000000" w:themeColor="text1"/>
                      <w:szCs w:val="21"/>
                    </w:rPr>
                    <w:t>0</w:t>
                  </w:r>
                </w:p>
              </w:tc>
              <w:tc>
                <w:tcPr>
                  <w:tcW w:w="712"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vMerge w:val="continue"/>
                  <w:vAlign w:val="center"/>
                </w:tcPr>
                <w:p>
                  <w:pPr>
                    <w:pStyle w:val="32"/>
                    <w:spacing w:line="360" w:lineRule="exact"/>
                    <w:rPr>
                      <w:color w:val="000000" w:themeColor="text1"/>
                      <w:szCs w:val="21"/>
                    </w:rPr>
                  </w:pPr>
                </w:p>
              </w:tc>
              <w:tc>
                <w:tcPr>
                  <w:tcW w:w="1276" w:type="dxa"/>
                  <w:gridSpan w:val="3"/>
                  <w:vMerge w:val="continue"/>
                  <w:vAlign w:val="center"/>
                </w:tcPr>
                <w:p>
                  <w:pPr>
                    <w:pStyle w:val="32"/>
                    <w:spacing w:line="360" w:lineRule="exact"/>
                    <w:rPr>
                      <w:color w:val="000000" w:themeColor="text1"/>
                      <w:szCs w:val="21"/>
                    </w:rPr>
                  </w:pPr>
                </w:p>
              </w:tc>
              <w:tc>
                <w:tcPr>
                  <w:tcW w:w="1417" w:type="dxa"/>
                  <w:vAlign w:val="center"/>
                </w:tcPr>
                <w:p>
                  <w:pPr>
                    <w:pStyle w:val="32"/>
                    <w:spacing w:line="360" w:lineRule="exact"/>
                    <w:rPr>
                      <w:color w:val="000000" w:themeColor="text1"/>
                      <w:szCs w:val="21"/>
                    </w:rPr>
                  </w:pPr>
                  <w:r>
                    <w:rPr>
                      <w:color w:val="000000" w:themeColor="text1"/>
                      <w:szCs w:val="21"/>
                    </w:rPr>
                    <w:t>一般防渗区</w:t>
                  </w:r>
                </w:p>
              </w:tc>
              <w:tc>
                <w:tcPr>
                  <w:tcW w:w="2554" w:type="dxa"/>
                  <w:gridSpan w:val="2"/>
                  <w:vAlign w:val="center"/>
                </w:tcPr>
                <w:p>
                  <w:pPr>
                    <w:pStyle w:val="32"/>
                    <w:spacing w:line="360" w:lineRule="exact"/>
                    <w:ind w:firstLine="210" w:firstLineChars="100"/>
                    <w:jc w:val="left"/>
                    <w:rPr>
                      <w:color w:val="000000" w:themeColor="text1"/>
                      <w:szCs w:val="21"/>
                    </w:rPr>
                  </w:pPr>
                  <w:r>
                    <w:rPr>
                      <w:color w:val="000000" w:themeColor="text1"/>
                      <w:szCs w:val="21"/>
                    </w:rPr>
                    <w:t>根据分区防渗规范要求，项目</w:t>
                  </w:r>
                  <w:r>
                    <w:rPr>
                      <w:rFonts w:hint="eastAsia"/>
                      <w:color w:val="000000" w:themeColor="text1"/>
                      <w:szCs w:val="21"/>
                    </w:rPr>
                    <w:t>二期工程</w:t>
                  </w:r>
                  <w:r>
                    <w:rPr>
                      <w:color w:val="000000" w:themeColor="text1"/>
                      <w:szCs w:val="21"/>
                    </w:rPr>
                    <w:t>生产区、养护废水处理系统、</w:t>
                  </w:r>
                  <w:r>
                    <w:rPr>
                      <w:rFonts w:hint="eastAsia"/>
                      <w:color w:val="000000" w:themeColor="text1"/>
                      <w:szCs w:val="21"/>
                    </w:rPr>
                    <w:t>二期工程</w:t>
                  </w:r>
                  <w:r>
                    <w:rPr>
                      <w:color w:val="000000" w:themeColor="text1"/>
                      <w:szCs w:val="21"/>
                    </w:rPr>
                    <w:t>初期雨水收集系统区域划定为一般防渗区，一般防渗区措施在地面采取粘土铺底，并在上层铺30cm的混凝土进行硬化。确保防渗性能，使其渗透系数≤1.0×10</w:t>
                  </w:r>
                  <w:r>
                    <w:rPr>
                      <w:color w:val="000000" w:themeColor="text1"/>
                      <w:szCs w:val="21"/>
                      <w:vertAlign w:val="superscript"/>
                    </w:rPr>
                    <w:t>-7</w:t>
                  </w:r>
                  <w:r>
                    <w:rPr>
                      <w:color w:val="000000" w:themeColor="text1"/>
                      <w:szCs w:val="21"/>
                    </w:rPr>
                    <w:t>cm/s。</w:t>
                  </w:r>
                </w:p>
              </w:tc>
              <w:tc>
                <w:tcPr>
                  <w:tcW w:w="702" w:type="dxa"/>
                  <w:vAlign w:val="center"/>
                </w:tcPr>
                <w:p>
                  <w:pPr>
                    <w:pStyle w:val="32"/>
                    <w:spacing w:line="360" w:lineRule="exact"/>
                    <w:rPr>
                      <w:color w:val="000000" w:themeColor="text1"/>
                      <w:szCs w:val="21"/>
                    </w:rPr>
                  </w:pPr>
                  <w:r>
                    <w:rPr>
                      <w:rFonts w:hint="eastAsia"/>
                      <w:color w:val="000000" w:themeColor="text1"/>
                      <w:szCs w:val="21"/>
                    </w:rPr>
                    <w:t>20.5</w:t>
                  </w:r>
                </w:p>
              </w:tc>
              <w:tc>
                <w:tcPr>
                  <w:tcW w:w="709" w:type="dxa"/>
                  <w:vMerge w:val="continue"/>
                  <w:vAlign w:val="center"/>
                </w:tcPr>
                <w:p>
                  <w:pPr>
                    <w:pStyle w:val="32"/>
                    <w:spacing w:line="360" w:lineRule="exact"/>
                    <w:rPr>
                      <w:color w:val="000000" w:themeColor="text1"/>
                      <w:szCs w:val="21"/>
                    </w:rPr>
                  </w:pPr>
                </w:p>
              </w:tc>
              <w:tc>
                <w:tcPr>
                  <w:tcW w:w="782" w:type="dxa"/>
                  <w:vAlign w:val="center"/>
                </w:tcPr>
                <w:p>
                  <w:pPr>
                    <w:pStyle w:val="32"/>
                    <w:spacing w:line="360" w:lineRule="exact"/>
                    <w:rPr>
                      <w:color w:val="000000" w:themeColor="text1"/>
                      <w:szCs w:val="21"/>
                    </w:rPr>
                  </w:pPr>
                  <w:r>
                    <w:rPr>
                      <w:color w:val="000000" w:themeColor="text1"/>
                      <w:szCs w:val="21"/>
                    </w:rPr>
                    <w:t>0</w:t>
                  </w:r>
                </w:p>
              </w:tc>
              <w:tc>
                <w:tcPr>
                  <w:tcW w:w="712"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vMerge w:val="continue"/>
                  <w:vAlign w:val="center"/>
                </w:tcPr>
                <w:p>
                  <w:pPr>
                    <w:pStyle w:val="32"/>
                    <w:spacing w:line="360" w:lineRule="exact"/>
                    <w:rPr>
                      <w:color w:val="000000" w:themeColor="text1"/>
                      <w:szCs w:val="21"/>
                    </w:rPr>
                  </w:pPr>
                </w:p>
              </w:tc>
              <w:tc>
                <w:tcPr>
                  <w:tcW w:w="607" w:type="dxa"/>
                  <w:gridSpan w:val="2"/>
                  <w:vAlign w:val="center"/>
                </w:tcPr>
                <w:p>
                  <w:pPr>
                    <w:pStyle w:val="32"/>
                    <w:spacing w:line="360" w:lineRule="exact"/>
                    <w:rPr>
                      <w:color w:val="000000" w:themeColor="text1"/>
                      <w:szCs w:val="21"/>
                    </w:rPr>
                  </w:pPr>
                  <w:r>
                    <w:rPr>
                      <w:color w:val="000000" w:themeColor="text1"/>
                      <w:szCs w:val="21"/>
                    </w:rPr>
                    <w:t>噪声</w:t>
                  </w:r>
                </w:p>
              </w:tc>
              <w:tc>
                <w:tcPr>
                  <w:tcW w:w="669" w:type="dxa"/>
                  <w:vAlign w:val="center"/>
                </w:tcPr>
                <w:p>
                  <w:pPr>
                    <w:pStyle w:val="32"/>
                    <w:spacing w:line="360" w:lineRule="exact"/>
                    <w:rPr>
                      <w:color w:val="000000" w:themeColor="text1"/>
                      <w:szCs w:val="21"/>
                    </w:rPr>
                  </w:pPr>
                  <w:r>
                    <w:rPr>
                      <w:color w:val="000000" w:themeColor="text1"/>
                      <w:szCs w:val="21"/>
                    </w:rPr>
                    <w:t>设备噪声</w:t>
                  </w:r>
                </w:p>
              </w:tc>
              <w:tc>
                <w:tcPr>
                  <w:tcW w:w="1417" w:type="dxa"/>
                  <w:vAlign w:val="center"/>
                </w:tcPr>
                <w:p>
                  <w:pPr>
                    <w:pStyle w:val="32"/>
                    <w:spacing w:line="360" w:lineRule="exact"/>
                    <w:rPr>
                      <w:color w:val="000000" w:themeColor="text1"/>
                      <w:szCs w:val="21"/>
                    </w:rPr>
                  </w:pPr>
                  <w:r>
                    <w:rPr>
                      <w:color w:val="000000" w:themeColor="text1"/>
                      <w:szCs w:val="21"/>
                    </w:rPr>
                    <w:t>减震垫、消声器等</w:t>
                  </w:r>
                </w:p>
              </w:tc>
              <w:tc>
                <w:tcPr>
                  <w:tcW w:w="2554" w:type="dxa"/>
                  <w:gridSpan w:val="2"/>
                  <w:vAlign w:val="center"/>
                </w:tcPr>
                <w:p>
                  <w:pPr>
                    <w:pStyle w:val="32"/>
                    <w:spacing w:line="360" w:lineRule="exact"/>
                    <w:ind w:firstLine="210" w:firstLineChars="100"/>
                    <w:jc w:val="left"/>
                    <w:rPr>
                      <w:color w:val="000000" w:themeColor="text1"/>
                      <w:szCs w:val="21"/>
                    </w:rPr>
                  </w:pPr>
                  <w:r>
                    <w:rPr>
                      <w:color w:val="000000" w:themeColor="text1"/>
                      <w:szCs w:val="21"/>
                    </w:rPr>
                    <w:t>设备基础加装减震垫、消声器等</w:t>
                  </w:r>
                </w:p>
              </w:tc>
              <w:tc>
                <w:tcPr>
                  <w:tcW w:w="702" w:type="dxa"/>
                  <w:vAlign w:val="center"/>
                </w:tcPr>
                <w:p>
                  <w:pPr>
                    <w:pStyle w:val="32"/>
                    <w:spacing w:line="360" w:lineRule="exact"/>
                    <w:rPr>
                      <w:color w:val="000000" w:themeColor="text1"/>
                      <w:szCs w:val="21"/>
                    </w:rPr>
                  </w:pPr>
                  <w:r>
                    <w:rPr>
                      <w:rFonts w:hint="eastAsia"/>
                      <w:color w:val="000000" w:themeColor="text1"/>
                      <w:szCs w:val="21"/>
                    </w:rPr>
                    <w:t>1</w:t>
                  </w:r>
                </w:p>
              </w:tc>
              <w:tc>
                <w:tcPr>
                  <w:tcW w:w="709" w:type="dxa"/>
                  <w:vMerge w:val="continue"/>
                  <w:vAlign w:val="center"/>
                </w:tcPr>
                <w:p>
                  <w:pPr>
                    <w:pStyle w:val="32"/>
                    <w:spacing w:line="360" w:lineRule="exact"/>
                    <w:rPr>
                      <w:color w:val="000000" w:themeColor="text1"/>
                      <w:szCs w:val="21"/>
                    </w:rPr>
                  </w:pPr>
                </w:p>
              </w:tc>
              <w:tc>
                <w:tcPr>
                  <w:tcW w:w="782" w:type="dxa"/>
                  <w:vAlign w:val="center"/>
                </w:tcPr>
                <w:p>
                  <w:pPr>
                    <w:pStyle w:val="32"/>
                    <w:spacing w:line="360" w:lineRule="exact"/>
                    <w:rPr>
                      <w:color w:val="000000" w:themeColor="text1"/>
                      <w:szCs w:val="21"/>
                    </w:rPr>
                  </w:pPr>
                  <w:r>
                    <w:rPr>
                      <w:color w:val="000000" w:themeColor="text1"/>
                      <w:szCs w:val="21"/>
                    </w:rPr>
                    <w:t>0</w:t>
                  </w:r>
                </w:p>
              </w:tc>
              <w:tc>
                <w:tcPr>
                  <w:tcW w:w="712"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vMerge w:val="continue"/>
                  <w:vAlign w:val="center"/>
                </w:tcPr>
                <w:p>
                  <w:pPr>
                    <w:pStyle w:val="32"/>
                    <w:spacing w:line="360" w:lineRule="exact"/>
                    <w:rPr>
                      <w:color w:val="000000" w:themeColor="text1"/>
                      <w:szCs w:val="21"/>
                    </w:rPr>
                  </w:pPr>
                </w:p>
              </w:tc>
              <w:tc>
                <w:tcPr>
                  <w:tcW w:w="607" w:type="dxa"/>
                  <w:gridSpan w:val="2"/>
                  <w:vAlign w:val="center"/>
                </w:tcPr>
                <w:p>
                  <w:pPr>
                    <w:pStyle w:val="32"/>
                    <w:spacing w:line="360" w:lineRule="exact"/>
                    <w:rPr>
                      <w:color w:val="000000" w:themeColor="text1"/>
                      <w:szCs w:val="21"/>
                    </w:rPr>
                  </w:pPr>
                  <w:r>
                    <w:rPr>
                      <w:color w:val="000000" w:themeColor="text1"/>
                      <w:szCs w:val="21"/>
                    </w:rPr>
                    <w:t>其他</w:t>
                  </w:r>
                </w:p>
              </w:tc>
              <w:tc>
                <w:tcPr>
                  <w:tcW w:w="2086" w:type="dxa"/>
                  <w:gridSpan w:val="2"/>
                  <w:vAlign w:val="center"/>
                </w:tcPr>
                <w:p>
                  <w:pPr>
                    <w:pStyle w:val="32"/>
                    <w:spacing w:line="360" w:lineRule="exact"/>
                    <w:rPr>
                      <w:color w:val="000000" w:themeColor="text1"/>
                      <w:szCs w:val="21"/>
                    </w:rPr>
                  </w:pPr>
                  <w:r>
                    <w:rPr>
                      <w:color w:val="000000" w:themeColor="text1"/>
                      <w:szCs w:val="21"/>
                    </w:rPr>
                    <w:t>标识牌</w:t>
                  </w:r>
                </w:p>
              </w:tc>
              <w:tc>
                <w:tcPr>
                  <w:tcW w:w="2554" w:type="dxa"/>
                  <w:gridSpan w:val="2"/>
                  <w:vAlign w:val="center"/>
                </w:tcPr>
                <w:p>
                  <w:pPr>
                    <w:pStyle w:val="32"/>
                    <w:spacing w:line="360" w:lineRule="exact"/>
                    <w:ind w:firstLine="210" w:firstLineChars="100"/>
                    <w:jc w:val="left"/>
                    <w:rPr>
                      <w:color w:val="000000" w:themeColor="text1"/>
                      <w:szCs w:val="21"/>
                    </w:rPr>
                  </w:pPr>
                  <w:r>
                    <w:rPr>
                      <w:color w:val="000000" w:themeColor="text1"/>
                      <w:szCs w:val="21"/>
                    </w:rPr>
                    <w:t>--</w:t>
                  </w:r>
                </w:p>
              </w:tc>
              <w:tc>
                <w:tcPr>
                  <w:tcW w:w="702" w:type="dxa"/>
                  <w:vAlign w:val="center"/>
                </w:tcPr>
                <w:p>
                  <w:pPr>
                    <w:pStyle w:val="32"/>
                    <w:spacing w:line="360" w:lineRule="exact"/>
                    <w:rPr>
                      <w:color w:val="000000" w:themeColor="text1"/>
                      <w:szCs w:val="21"/>
                    </w:rPr>
                  </w:pPr>
                  <w:r>
                    <w:rPr>
                      <w:color w:val="000000" w:themeColor="text1"/>
                      <w:szCs w:val="21"/>
                    </w:rPr>
                    <w:t>0.</w:t>
                  </w:r>
                  <w:r>
                    <w:rPr>
                      <w:rFonts w:hint="eastAsia"/>
                      <w:color w:val="000000" w:themeColor="text1"/>
                      <w:szCs w:val="21"/>
                    </w:rPr>
                    <w:t>05</w:t>
                  </w:r>
                </w:p>
              </w:tc>
              <w:tc>
                <w:tcPr>
                  <w:tcW w:w="709" w:type="dxa"/>
                  <w:vMerge w:val="continue"/>
                  <w:vAlign w:val="center"/>
                </w:tcPr>
                <w:p>
                  <w:pPr>
                    <w:pStyle w:val="32"/>
                    <w:spacing w:line="360" w:lineRule="exact"/>
                    <w:rPr>
                      <w:color w:val="000000" w:themeColor="text1"/>
                      <w:szCs w:val="21"/>
                    </w:rPr>
                  </w:pPr>
                </w:p>
              </w:tc>
              <w:tc>
                <w:tcPr>
                  <w:tcW w:w="782" w:type="dxa"/>
                  <w:vAlign w:val="center"/>
                </w:tcPr>
                <w:p>
                  <w:pPr>
                    <w:pStyle w:val="32"/>
                    <w:spacing w:line="360" w:lineRule="exact"/>
                    <w:rPr>
                      <w:color w:val="000000" w:themeColor="text1"/>
                      <w:szCs w:val="21"/>
                    </w:rPr>
                  </w:pPr>
                  <w:r>
                    <w:rPr>
                      <w:color w:val="000000" w:themeColor="text1"/>
                      <w:szCs w:val="21"/>
                    </w:rPr>
                    <w:t>0</w:t>
                  </w:r>
                </w:p>
              </w:tc>
              <w:tc>
                <w:tcPr>
                  <w:tcW w:w="712" w:type="dxa"/>
                  <w:vMerge w:val="continue"/>
                  <w:vAlign w:val="center"/>
                </w:tcPr>
                <w:p>
                  <w:pPr>
                    <w:pStyle w:val="32"/>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0" w:type="dxa"/>
                  <w:gridSpan w:val="7"/>
                  <w:vAlign w:val="center"/>
                </w:tcPr>
                <w:p>
                  <w:pPr>
                    <w:pStyle w:val="32"/>
                    <w:spacing w:line="360" w:lineRule="exact"/>
                    <w:rPr>
                      <w:color w:val="000000" w:themeColor="text1"/>
                      <w:szCs w:val="21"/>
                    </w:rPr>
                  </w:pPr>
                  <w:r>
                    <w:rPr>
                      <w:color w:val="000000" w:themeColor="text1"/>
                      <w:szCs w:val="21"/>
                    </w:rPr>
                    <w:t>合计</w:t>
                  </w:r>
                </w:p>
              </w:tc>
              <w:tc>
                <w:tcPr>
                  <w:tcW w:w="705" w:type="dxa"/>
                  <w:vAlign w:val="center"/>
                </w:tcPr>
                <w:p>
                  <w:pPr>
                    <w:pStyle w:val="32"/>
                    <w:spacing w:line="360" w:lineRule="exact"/>
                    <w:rPr>
                      <w:color w:val="000000" w:themeColor="text1"/>
                      <w:szCs w:val="21"/>
                    </w:rPr>
                  </w:pPr>
                  <w:r>
                    <w:rPr>
                      <w:rFonts w:hint="eastAsia"/>
                      <w:color w:val="000000" w:themeColor="text1"/>
                      <w:szCs w:val="21"/>
                    </w:rPr>
                    <w:t>40.55</w:t>
                  </w:r>
                </w:p>
              </w:tc>
              <w:tc>
                <w:tcPr>
                  <w:tcW w:w="706" w:type="dxa"/>
                  <w:vAlign w:val="center"/>
                </w:tcPr>
                <w:p>
                  <w:pPr>
                    <w:pStyle w:val="32"/>
                    <w:spacing w:line="360" w:lineRule="exact"/>
                    <w:rPr>
                      <w:color w:val="000000" w:themeColor="text1"/>
                      <w:szCs w:val="21"/>
                    </w:rPr>
                  </w:pPr>
                  <w:r>
                    <w:rPr>
                      <w:color w:val="000000" w:themeColor="text1"/>
                      <w:szCs w:val="21"/>
                    </w:rPr>
                    <w:t>--</w:t>
                  </w:r>
                </w:p>
              </w:tc>
              <w:tc>
                <w:tcPr>
                  <w:tcW w:w="782" w:type="dxa"/>
                  <w:vAlign w:val="center"/>
                </w:tcPr>
                <w:p>
                  <w:pPr>
                    <w:pStyle w:val="32"/>
                    <w:spacing w:line="360" w:lineRule="exact"/>
                    <w:rPr>
                      <w:color w:val="000000" w:themeColor="text1"/>
                      <w:szCs w:val="21"/>
                    </w:rPr>
                  </w:pPr>
                  <w:r>
                    <w:rPr>
                      <w:rFonts w:hint="eastAsia"/>
                      <w:color w:val="000000" w:themeColor="text1"/>
                      <w:szCs w:val="21"/>
                    </w:rPr>
                    <w:t>3.1</w:t>
                  </w:r>
                </w:p>
              </w:tc>
              <w:tc>
                <w:tcPr>
                  <w:tcW w:w="712" w:type="dxa"/>
                  <w:vAlign w:val="center"/>
                </w:tcPr>
                <w:p>
                  <w:pPr>
                    <w:pStyle w:val="32"/>
                    <w:spacing w:line="360" w:lineRule="exact"/>
                    <w:rPr>
                      <w:color w:val="000000" w:themeColor="text1"/>
                      <w:szCs w:val="21"/>
                    </w:rPr>
                  </w:pPr>
                  <w:r>
                    <w:rPr>
                      <w:color w:val="000000" w:themeColor="text1"/>
                      <w:szCs w:val="21"/>
                    </w:rPr>
                    <w:t>--</w:t>
                  </w:r>
                </w:p>
              </w:tc>
            </w:tr>
          </w:tbl>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由上表可知，</w:t>
            </w:r>
            <w:r>
              <w:rPr>
                <w:rFonts w:ascii="Times New Roman" w:hAnsi="Times New Roman" w:cs="Times New Roman"/>
                <w:color w:val="000000" w:themeColor="text1"/>
                <w:sz w:val="24"/>
                <w:szCs w:val="24"/>
              </w:rPr>
              <w:t>总投资</w:t>
            </w:r>
            <w:r>
              <w:rPr>
                <w:rFonts w:hint="eastAsia" w:ascii="Times New Roman" w:hAnsi="Times New Roman" w:cs="Times New Roman"/>
                <w:color w:val="000000" w:themeColor="text1"/>
                <w:sz w:val="24"/>
                <w:szCs w:val="24"/>
              </w:rPr>
              <w:t>二期工程</w:t>
            </w:r>
            <w:r>
              <w:rPr>
                <w:rFonts w:ascii="Times New Roman" w:hAnsi="Times New Roman" w:cs="Times New Roman"/>
                <w:color w:val="000000" w:themeColor="text1"/>
                <w:sz w:val="24"/>
                <w:szCs w:val="24"/>
              </w:rPr>
              <w:t>基建环保投资为</w:t>
            </w:r>
            <w:r>
              <w:rPr>
                <w:rFonts w:hint="eastAsia" w:ascii="Times New Roman" w:hAnsi="Times New Roman" w:cs="Times New Roman"/>
                <w:color w:val="000000" w:themeColor="text1"/>
                <w:sz w:val="24"/>
                <w:szCs w:val="24"/>
              </w:rPr>
              <w:t>40.55</w:t>
            </w:r>
            <w:r>
              <w:rPr>
                <w:rFonts w:ascii="Times New Roman" w:hAnsi="Times New Roman" w:cs="Times New Roman"/>
                <w:color w:val="000000" w:themeColor="text1"/>
                <w:sz w:val="24"/>
                <w:szCs w:val="24"/>
              </w:rPr>
              <w:t>万元，占总投资</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5256万元</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的</w:t>
            </w:r>
            <w:r>
              <w:rPr>
                <w:rFonts w:hint="eastAsia" w:ascii="Times New Roman" w:hAnsi="Times New Roman" w:cs="Times New Roman"/>
                <w:color w:val="000000" w:themeColor="text1"/>
                <w:sz w:val="24"/>
                <w:szCs w:val="24"/>
              </w:rPr>
              <w:t>0.77</w:t>
            </w:r>
            <w:r>
              <w:rPr>
                <w:rFonts w:ascii="Times New Roman" w:hAnsi="Times New Roman" w:cs="Times New Roman"/>
                <w:color w:val="000000" w:themeColor="text1"/>
                <w:sz w:val="24"/>
                <w:szCs w:val="24"/>
              </w:rPr>
              <w:t>%。年环保投资运行费用约为</w:t>
            </w:r>
            <w:r>
              <w:rPr>
                <w:rFonts w:hint="eastAsia" w:ascii="Times New Roman" w:hAnsi="Times New Roman" w:cs="Times New Roman"/>
                <w:color w:val="000000" w:themeColor="text1"/>
                <w:sz w:val="24"/>
                <w:szCs w:val="24"/>
              </w:rPr>
              <w:t>3.1</w:t>
            </w:r>
            <w:r>
              <w:rPr>
                <w:rFonts w:ascii="Times New Roman" w:hAnsi="Times New Roman" w:cs="Times New Roman"/>
                <w:color w:val="000000" w:themeColor="text1"/>
                <w:sz w:val="24"/>
                <w:szCs w:val="24"/>
              </w:rPr>
              <w:t>万元</w:t>
            </w:r>
            <w:r>
              <w:rPr>
                <w:rFonts w:hint="eastAsia" w:ascii="Times New Roman" w:hAnsi="Times New Roman" w:cs="Times New Roman"/>
                <w:color w:val="000000" w:themeColor="text1"/>
                <w:sz w:val="24"/>
                <w:szCs w:val="24"/>
              </w:rPr>
              <w:t>。</w:t>
            </w:r>
          </w:p>
          <w:p>
            <w:pPr>
              <w:pStyle w:val="40"/>
              <w:ind w:firstLine="480"/>
              <w:rPr>
                <w:color w:val="000000" w:themeColor="text1"/>
                <w:szCs w:val="24"/>
              </w:rPr>
            </w:pPr>
            <w:r>
              <w:rPr>
                <w:rFonts w:hint="eastAsia" w:eastAsiaTheme="minorEastAsia"/>
                <w:color w:val="000000" w:themeColor="text1"/>
                <w:szCs w:val="24"/>
              </w:rPr>
              <w:t>综上，</w:t>
            </w:r>
            <w:r>
              <w:rPr>
                <w:color w:val="000000" w:themeColor="text1"/>
                <w:szCs w:val="24"/>
              </w:rPr>
              <w:t>项目总投资5256万元，其中基建环保投资为175.11万元，占总投资的3.33%。年环保投资运行费用约为1</w:t>
            </w:r>
            <w:r>
              <w:rPr>
                <w:rFonts w:hint="eastAsia"/>
                <w:color w:val="000000" w:themeColor="text1"/>
                <w:szCs w:val="24"/>
              </w:rPr>
              <w:t>9</w:t>
            </w:r>
            <w:r>
              <w:rPr>
                <w:color w:val="000000" w:themeColor="text1"/>
                <w:szCs w:val="24"/>
              </w:rPr>
              <w:t>.3万元</w:t>
            </w:r>
            <w:r>
              <w:rPr>
                <w:rFonts w:hint="eastAsia"/>
                <w:color w:val="000000" w:themeColor="text1"/>
                <w:szCs w:val="24"/>
              </w:rPr>
              <w:t>。</w:t>
            </w: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color w:val="000000" w:themeColor="text1"/>
                <w:szCs w:val="24"/>
              </w:rPr>
            </w:pPr>
          </w:p>
          <w:p>
            <w:pPr>
              <w:pStyle w:val="40"/>
              <w:ind w:firstLine="480"/>
              <w:rPr>
                <w:rFonts w:eastAsiaTheme="minorEastAsia"/>
                <w:color w:val="000000" w:themeColor="text1"/>
                <w:szCs w:val="24"/>
              </w:rPr>
            </w:pPr>
          </w:p>
        </w:tc>
      </w:tr>
    </w:tbl>
    <w:p>
      <w:pPr>
        <w:spacing w:line="360" w:lineRule="auto"/>
        <w:jc w:val="left"/>
        <w:outlineLvl w:val="0"/>
        <w:rPr>
          <w:rFonts w:ascii="Times New Roman" w:hAnsi="Times New Roman" w:cs="Times New Roman"/>
          <w:b/>
          <w:color w:val="000000" w:themeColor="text1"/>
          <w:sz w:val="28"/>
          <w:szCs w:val="20"/>
        </w:rPr>
        <w:sectPr>
          <w:footerReference r:id="rId3" w:type="default"/>
          <w:pgSz w:w="11906" w:h="16838"/>
          <w:pgMar w:top="1440" w:right="1797" w:bottom="1440" w:left="1797" w:header="851" w:footer="992" w:gutter="0"/>
          <w:cols w:space="425" w:num="1"/>
          <w:docGrid w:type="lines" w:linePitch="312" w:charSpace="0"/>
        </w:sectPr>
      </w:pPr>
    </w:p>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五、环境保护措施监督检查清单</w:t>
      </w:r>
    </w:p>
    <w:tbl>
      <w:tblPr>
        <w:tblStyle w:val="21"/>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6"/>
        <w:gridCol w:w="702"/>
        <w:gridCol w:w="709"/>
        <w:gridCol w:w="13"/>
        <w:gridCol w:w="1127"/>
        <w:gridCol w:w="150"/>
        <w:gridCol w:w="1276"/>
        <w:gridCol w:w="999"/>
        <w:gridCol w:w="1306"/>
        <w:gridCol w:w="5633"/>
        <w:gridCol w:w="173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28" w:type="dxa"/>
            <w:gridSpan w:val="2"/>
            <w:tcBorders>
              <w:tl2br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 xml:space="preserve">  内容</w:t>
            </w:r>
          </w:p>
          <w:p>
            <w:pPr>
              <w:spacing w:line="360" w:lineRule="exact"/>
              <w:jc w:val="left"/>
              <w:rPr>
                <w:rFonts w:ascii="Times New Roman" w:hAnsi="Times New Roman" w:cs="Times New Roman"/>
                <w:color w:val="000000" w:themeColor="text1"/>
              </w:rPr>
            </w:pPr>
            <w:r>
              <w:rPr>
                <w:rFonts w:ascii="Times New Roman" w:hAnsi="Times New Roman" w:cs="Times New Roman"/>
                <w:color w:val="000000" w:themeColor="text1"/>
              </w:rPr>
              <w:t>要素</w:t>
            </w:r>
          </w:p>
        </w:tc>
        <w:tc>
          <w:tcPr>
            <w:tcW w:w="4274" w:type="dxa"/>
            <w:gridSpan w:val="6"/>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排放口（编号、名称）/污染源</w:t>
            </w:r>
          </w:p>
        </w:tc>
        <w:tc>
          <w:tcPr>
            <w:tcW w:w="130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污染物项目</w:t>
            </w:r>
          </w:p>
        </w:tc>
        <w:tc>
          <w:tcPr>
            <w:tcW w:w="5633"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环境保护措施</w:t>
            </w:r>
          </w:p>
        </w:tc>
        <w:tc>
          <w:tcPr>
            <w:tcW w:w="1733"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执行标准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6" w:type="dxa"/>
            <w:vMerge w:val="restart"/>
            <w:tcBorders>
              <w:right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大气环境</w:t>
            </w:r>
          </w:p>
        </w:tc>
        <w:tc>
          <w:tcPr>
            <w:tcW w:w="702" w:type="dxa"/>
            <w:tcBorders>
              <w:left w:val="single" w:color="auto" w:sz="4" w:space="0"/>
              <w:bottom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施工期</w:t>
            </w:r>
          </w:p>
        </w:tc>
        <w:tc>
          <w:tcPr>
            <w:tcW w:w="3275" w:type="dxa"/>
            <w:gridSpan w:val="5"/>
            <w:tcBorders>
              <w:right w:val="single" w:color="auto" w:sz="4" w:space="0"/>
            </w:tcBorders>
            <w:vAlign w:val="center"/>
          </w:tcPr>
          <w:p>
            <w:pPr>
              <w:pStyle w:val="32"/>
              <w:spacing w:line="360" w:lineRule="exact"/>
              <w:rPr>
                <w:rFonts w:eastAsiaTheme="minorEastAsia"/>
                <w:bCs w:val="0"/>
                <w:snapToGrid/>
                <w:color w:val="000000" w:themeColor="text1"/>
                <w:kern w:val="0"/>
                <w:szCs w:val="21"/>
                <w:lang w:val="en-US"/>
              </w:rPr>
            </w:pPr>
            <w:r>
              <w:rPr>
                <w:rFonts w:eastAsiaTheme="minorEastAsia"/>
                <w:bCs w:val="0"/>
                <w:snapToGrid/>
                <w:color w:val="000000" w:themeColor="text1"/>
                <w:kern w:val="0"/>
                <w:szCs w:val="21"/>
                <w:lang w:val="en-US"/>
              </w:rPr>
              <w:t>施工场地</w:t>
            </w:r>
          </w:p>
        </w:tc>
        <w:tc>
          <w:tcPr>
            <w:tcW w:w="999" w:type="dxa"/>
            <w:tcBorders>
              <w:left w:val="single" w:color="auto" w:sz="4" w:space="0"/>
            </w:tcBorders>
            <w:vAlign w:val="center"/>
          </w:tcPr>
          <w:p>
            <w:pPr>
              <w:pStyle w:val="32"/>
              <w:spacing w:line="360" w:lineRule="exact"/>
              <w:rPr>
                <w:rFonts w:eastAsiaTheme="minorEastAsia"/>
                <w:bCs w:val="0"/>
                <w:snapToGrid/>
                <w:color w:val="000000" w:themeColor="text1"/>
                <w:kern w:val="0"/>
                <w:szCs w:val="21"/>
                <w:lang w:val="en-US"/>
              </w:rPr>
            </w:pPr>
            <w:r>
              <w:rPr>
                <w:rFonts w:eastAsiaTheme="minorEastAsia"/>
                <w:bCs w:val="0"/>
                <w:snapToGrid/>
                <w:color w:val="000000" w:themeColor="text1"/>
                <w:kern w:val="0"/>
                <w:szCs w:val="21"/>
                <w:lang w:val="en-US"/>
              </w:rPr>
              <w:t>无组织</w:t>
            </w:r>
          </w:p>
        </w:tc>
        <w:tc>
          <w:tcPr>
            <w:tcW w:w="1306" w:type="dxa"/>
            <w:vAlign w:val="center"/>
          </w:tcPr>
          <w:p>
            <w:pPr>
              <w:pStyle w:val="32"/>
              <w:spacing w:line="360" w:lineRule="exact"/>
              <w:rPr>
                <w:rFonts w:eastAsiaTheme="minorEastAsia"/>
                <w:bCs w:val="0"/>
                <w:snapToGrid/>
                <w:color w:val="000000" w:themeColor="text1"/>
                <w:kern w:val="0"/>
                <w:szCs w:val="21"/>
                <w:lang w:val="en-US"/>
              </w:rPr>
            </w:pPr>
            <w:r>
              <w:rPr>
                <w:rFonts w:eastAsiaTheme="minorEastAsia"/>
                <w:bCs w:val="0"/>
                <w:snapToGrid/>
                <w:color w:val="000000" w:themeColor="text1"/>
                <w:kern w:val="0"/>
                <w:szCs w:val="21"/>
                <w:lang w:val="en-US"/>
              </w:rPr>
              <w:t>扬尘</w:t>
            </w:r>
          </w:p>
        </w:tc>
        <w:tc>
          <w:tcPr>
            <w:tcW w:w="5633" w:type="dxa"/>
            <w:vAlign w:val="center"/>
          </w:tcPr>
          <w:p>
            <w:pPr>
              <w:pStyle w:val="32"/>
              <w:spacing w:line="360" w:lineRule="exact"/>
              <w:ind w:firstLine="210" w:firstLineChars="100"/>
              <w:jc w:val="both"/>
              <w:rPr>
                <w:color w:val="000000" w:themeColor="text1"/>
                <w:szCs w:val="21"/>
              </w:rPr>
            </w:pPr>
            <w:r>
              <w:rPr>
                <w:color w:val="000000" w:themeColor="text1"/>
                <w:szCs w:val="21"/>
              </w:rPr>
              <w:fldChar w:fldCharType="begin"/>
            </w:r>
            <w:r>
              <w:rPr>
                <w:color w:val="000000" w:themeColor="text1"/>
                <w:szCs w:val="21"/>
              </w:rPr>
              <w:instrText xml:space="preserve"> = 1 \* GB3 </w:instrText>
            </w:r>
            <w:r>
              <w:rPr>
                <w:color w:val="000000" w:themeColor="text1"/>
                <w:szCs w:val="21"/>
              </w:rPr>
              <w:fldChar w:fldCharType="separate"/>
            </w:r>
            <w:r>
              <w:rPr>
                <w:color w:val="000000" w:themeColor="text1"/>
                <w:szCs w:val="21"/>
              </w:rPr>
              <w:t>①</w:t>
            </w:r>
            <w:r>
              <w:rPr>
                <w:color w:val="000000" w:themeColor="text1"/>
                <w:szCs w:val="21"/>
              </w:rPr>
              <w:fldChar w:fldCharType="end"/>
            </w:r>
            <w:r>
              <w:rPr>
                <w:color w:val="000000" w:themeColor="text1"/>
                <w:szCs w:val="21"/>
              </w:rPr>
              <w:t>在施工场地安排员工定期对施工场地洒水以减少扬尘量，若遇到大风或干燥天气可适当增加洒水次数；并采取遮阴网覆盖等措施降低扬尘产生；</w:t>
            </w:r>
          </w:p>
          <w:p>
            <w:pPr>
              <w:pStyle w:val="32"/>
              <w:spacing w:line="360" w:lineRule="exact"/>
              <w:ind w:firstLine="210" w:firstLineChars="100"/>
              <w:jc w:val="both"/>
              <w:rPr>
                <w:color w:val="000000" w:themeColor="text1"/>
                <w:szCs w:val="21"/>
              </w:rPr>
            </w:pPr>
            <w:r>
              <w:rPr>
                <w:color w:val="000000" w:themeColor="text1"/>
                <w:szCs w:val="21"/>
              </w:rPr>
              <w:fldChar w:fldCharType="begin"/>
            </w:r>
            <w:r>
              <w:rPr>
                <w:color w:val="000000" w:themeColor="text1"/>
                <w:szCs w:val="21"/>
              </w:rPr>
              <w:instrText xml:space="preserve"> = 2 \* GB3 </w:instrText>
            </w:r>
            <w:r>
              <w:rPr>
                <w:color w:val="000000" w:themeColor="text1"/>
                <w:szCs w:val="21"/>
              </w:rPr>
              <w:fldChar w:fldCharType="separate"/>
            </w:r>
            <w:r>
              <w:rPr>
                <w:color w:val="000000" w:themeColor="text1"/>
                <w:szCs w:val="21"/>
              </w:rPr>
              <w:t>②</w:t>
            </w:r>
            <w:r>
              <w:rPr>
                <w:color w:val="000000" w:themeColor="text1"/>
                <w:szCs w:val="21"/>
              </w:rPr>
              <w:fldChar w:fldCharType="end"/>
            </w:r>
            <w:r>
              <w:rPr>
                <w:color w:val="000000" w:themeColor="text1"/>
                <w:szCs w:val="21"/>
              </w:rPr>
              <w:t>尽量避免在大风天气下进行施工作业。根据同类项目工程经验，4级以上大风天气不宜实施土方施工；</w:t>
            </w:r>
          </w:p>
          <w:p>
            <w:pPr>
              <w:pStyle w:val="32"/>
              <w:spacing w:line="360" w:lineRule="exact"/>
              <w:ind w:firstLine="210" w:firstLineChars="100"/>
              <w:jc w:val="both"/>
              <w:rPr>
                <w:color w:val="000000" w:themeColor="text1"/>
                <w:szCs w:val="21"/>
              </w:rPr>
            </w:pPr>
            <w:r>
              <w:rPr>
                <w:color w:val="000000" w:themeColor="text1"/>
                <w:szCs w:val="21"/>
              </w:rPr>
              <w:fldChar w:fldCharType="begin"/>
            </w:r>
            <w:r>
              <w:rPr>
                <w:color w:val="000000" w:themeColor="text1"/>
                <w:szCs w:val="21"/>
              </w:rPr>
              <w:instrText xml:space="preserve"> = 3 \* GB3 </w:instrText>
            </w:r>
            <w:r>
              <w:rPr>
                <w:color w:val="000000" w:themeColor="text1"/>
                <w:szCs w:val="21"/>
              </w:rPr>
              <w:fldChar w:fldCharType="separate"/>
            </w:r>
            <w:r>
              <w:rPr>
                <w:color w:val="000000" w:themeColor="text1"/>
                <w:szCs w:val="21"/>
              </w:rPr>
              <w:t>③</w:t>
            </w:r>
            <w:r>
              <w:rPr>
                <w:color w:val="000000" w:themeColor="text1"/>
                <w:szCs w:val="21"/>
              </w:rPr>
              <w:fldChar w:fldCharType="end"/>
            </w:r>
            <w:r>
              <w:rPr>
                <w:color w:val="000000" w:themeColor="text1"/>
                <w:szCs w:val="21"/>
              </w:rPr>
              <w:t>加强施工现场运输车辆管理。进出建筑工地的运输车辆必须车身整洁，装载车厢完好，装载货物堆码整齐，不得污染道路；运输车辆严禁带泥上路，严禁超载，渣土及易抛洒材料实行封闭车辆运输，防止建筑材料、垃圾和尘土飞扬、洒落和流溢，在进出施工工地的出入口地面设置湿润的草席，以减轻汽车轮胎行驶携带的扬尘。</w:t>
            </w:r>
          </w:p>
        </w:tc>
        <w:tc>
          <w:tcPr>
            <w:tcW w:w="1733" w:type="dxa"/>
            <w:tcBorders>
              <w:bottom w:val="single" w:color="auto" w:sz="4" w:space="0"/>
            </w:tcBorders>
            <w:vAlign w:val="center"/>
          </w:tcPr>
          <w:p>
            <w:pPr>
              <w:pStyle w:val="32"/>
              <w:spacing w:line="360" w:lineRule="exact"/>
              <w:ind w:firstLine="210" w:firstLineChars="100"/>
              <w:jc w:val="both"/>
              <w:rPr>
                <w:rFonts w:eastAsiaTheme="minorEastAsia"/>
                <w:color w:val="000000" w:themeColor="text1"/>
                <w:szCs w:val="21"/>
              </w:rPr>
            </w:pPr>
            <w:r>
              <w:rPr>
                <w:color w:val="000000" w:themeColor="text1"/>
                <w:szCs w:val="21"/>
              </w:rPr>
              <w:t>《大气污染物综合排放标准》（GB16297-1996）表2中无组织排放浓度排放限值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restart"/>
            <w:tcBorders>
              <w:top w:val="single" w:color="auto" w:sz="4" w:space="0"/>
              <w:left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运营期</w:t>
            </w:r>
          </w:p>
        </w:tc>
        <w:tc>
          <w:tcPr>
            <w:tcW w:w="709" w:type="dxa"/>
            <w:vMerge w:val="restart"/>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一期工程</w:t>
            </w:r>
          </w:p>
        </w:tc>
        <w:tc>
          <w:tcPr>
            <w:tcW w:w="1140" w:type="dxa"/>
            <w:gridSpan w:val="2"/>
            <w:vMerge w:val="restart"/>
            <w:tcBorders>
              <w:left w:val="single" w:color="auto" w:sz="4" w:space="0"/>
            </w:tcBorders>
            <w:vAlign w:val="center"/>
          </w:tcPr>
          <w:p>
            <w:pPr>
              <w:pStyle w:val="32"/>
              <w:spacing w:line="360" w:lineRule="exact"/>
              <w:rPr>
                <w:color w:val="000000" w:themeColor="text1"/>
                <w:szCs w:val="21"/>
              </w:rPr>
            </w:pPr>
            <w:r>
              <w:rPr>
                <w:color w:val="000000" w:themeColor="text1"/>
                <w:szCs w:val="21"/>
              </w:rPr>
              <w:t>堆场</w:t>
            </w:r>
          </w:p>
        </w:tc>
        <w:tc>
          <w:tcPr>
            <w:tcW w:w="1426" w:type="dxa"/>
            <w:gridSpan w:val="2"/>
            <w:vAlign w:val="center"/>
          </w:tcPr>
          <w:p>
            <w:pPr>
              <w:pStyle w:val="32"/>
              <w:spacing w:line="360" w:lineRule="exact"/>
              <w:rPr>
                <w:color w:val="000000" w:themeColor="text1"/>
                <w:szCs w:val="21"/>
              </w:rPr>
            </w:pPr>
            <w:r>
              <w:rPr>
                <w:color w:val="000000" w:themeColor="text1"/>
                <w:szCs w:val="21"/>
              </w:rPr>
              <w:t>贮存</w:t>
            </w:r>
          </w:p>
        </w:tc>
        <w:tc>
          <w:tcPr>
            <w:tcW w:w="999" w:type="dxa"/>
            <w:vAlign w:val="center"/>
          </w:tcPr>
          <w:p>
            <w:pPr>
              <w:pStyle w:val="32"/>
              <w:spacing w:line="360" w:lineRule="exact"/>
              <w:rPr>
                <w:rFonts w:eastAsiaTheme="minorEastAsia"/>
                <w:bCs w:val="0"/>
                <w:snapToGrid/>
                <w:color w:val="000000" w:themeColor="text1"/>
                <w:kern w:val="0"/>
                <w:szCs w:val="21"/>
                <w:lang w:val="en-US"/>
              </w:rPr>
            </w:pPr>
            <w:r>
              <w:rPr>
                <w:rFonts w:eastAsiaTheme="minorEastAsia"/>
                <w:bCs w:val="0"/>
                <w:snapToGrid/>
                <w:color w:val="000000" w:themeColor="text1"/>
                <w:kern w:val="0"/>
                <w:szCs w:val="21"/>
                <w:lang w:val="en-US"/>
              </w:rPr>
              <w:t>无组织</w:t>
            </w:r>
          </w:p>
        </w:tc>
        <w:tc>
          <w:tcPr>
            <w:tcW w:w="1306" w:type="dxa"/>
            <w:vAlign w:val="center"/>
          </w:tcPr>
          <w:p>
            <w:pPr>
              <w:pStyle w:val="32"/>
              <w:rPr>
                <w:rFonts w:eastAsiaTheme="minorEastAsia"/>
                <w:color w:val="000000" w:themeColor="text1"/>
                <w:szCs w:val="21"/>
              </w:rPr>
            </w:pPr>
            <w:r>
              <w:rPr>
                <w:color w:val="000000" w:themeColor="text1"/>
                <w:szCs w:val="21"/>
              </w:rPr>
              <w:t>颗粒物</w:t>
            </w:r>
          </w:p>
        </w:tc>
        <w:tc>
          <w:tcPr>
            <w:tcW w:w="5633" w:type="dxa"/>
            <w:vAlign w:val="center"/>
          </w:tcPr>
          <w:p>
            <w:pPr>
              <w:pStyle w:val="32"/>
              <w:spacing w:line="360" w:lineRule="exact"/>
              <w:ind w:firstLine="210" w:firstLineChars="100"/>
              <w:jc w:val="both"/>
              <w:rPr>
                <w:color w:val="000000" w:themeColor="text1"/>
                <w:szCs w:val="21"/>
              </w:rPr>
            </w:pPr>
            <w:r>
              <w:rPr>
                <w:color w:val="000000" w:themeColor="text1"/>
                <w:szCs w:val="21"/>
              </w:rPr>
              <w:t>为了降低废石堆场和产品堆场的扬尘，对废石堆场和产品堆场除车辆进出区域，其他区域均设置不低于物料堆存高度围挡和顶棚，其扬尘抑制率约为80%。</w:t>
            </w:r>
          </w:p>
        </w:tc>
        <w:tc>
          <w:tcPr>
            <w:tcW w:w="1733" w:type="dxa"/>
            <w:vMerge w:val="restart"/>
            <w:tcBorders>
              <w:top w:val="single" w:color="auto" w:sz="4" w:space="0"/>
            </w:tcBorders>
            <w:vAlign w:val="center"/>
          </w:tcPr>
          <w:p>
            <w:pPr>
              <w:pStyle w:val="32"/>
              <w:spacing w:line="360" w:lineRule="exact"/>
              <w:ind w:firstLine="210" w:firstLineChars="100"/>
              <w:jc w:val="both"/>
              <w:rPr>
                <w:color w:val="000000" w:themeColor="text1"/>
                <w:szCs w:val="21"/>
              </w:rPr>
            </w:pPr>
            <w:r>
              <w:rPr>
                <w:color w:val="000000" w:themeColor="text1"/>
                <w:szCs w:val="21"/>
              </w:rPr>
              <w:t>《水泥工业大气污染物排放标准》（GB4915-2013）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top w:val="single" w:color="auto" w:sz="4" w:space="0"/>
              <w:left w:val="single" w:color="auto" w:sz="4" w:space="0"/>
            </w:tcBorders>
            <w:vAlign w:val="center"/>
          </w:tcPr>
          <w:p>
            <w:pPr>
              <w:spacing w:line="360" w:lineRule="exact"/>
              <w:jc w:val="center"/>
              <w:rPr>
                <w:rFonts w:ascii="Times New Roman" w:hAnsi="Times New Roman" w:cs="Times New Roman"/>
                <w:color w:val="000000" w:themeColor="text1"/>
              </w:rPr>
            </w:pPr>
          </w:p>
        </w:tc>
        <w:tc>
          <w:tcPr>
            <w:tcW w:w="709" w:type="dxa"/>
            <w:vMerge w:val="continue"/>
            <w:tcBorders>
              <w:right w:val="single" w:color="auto" w:sz="4" w:space="0"/>
            </w:tcBorders>
            <w:vAlign w:val="center"/>
          </w:tcPr>
          <w:p>
            <w:pPr>
              <w:pStyle w:val="32"/>
              <w:spacing w:line="360" w:lineRule="exact"/>
              <w:rPr>
                <w:color w:val="000000" w:themeColor="text1"/>
                <w:szCs w:val="21"/>
              </w:rPr>
            </w:pPr>
          </w:p>
        </w:tc>
        <w:tc>
          <w:tcPr>
            <w:tcW w:w="1140" w:type="dxa"/>
            <w:gridSpan w:val="2"/>
            <w:vMerge w:val="continue"/>
            <w:tcBorders>
              <w:left w:val="single" w:color="auto" w:sz="4" w:space="0"/>
            </w:tcBorders>
            <w:vAlign w:val="center"/>
          </w:tcPr>
          <w:p>
            <w:pPr>
              <w:pStyle w:val="32"/>
              <w:spacing w:line="360" w:lineRule="exact"/>
              <w:rPr>
                <w:color w:val="000000" w:themeColor="text1"/>
                <w:szCs w:val="21"/>
              </w:rPr>
            </w:pPr>
          </w:p>
        </w:tc>
        <w:tc>
          <w:tcPr>
            <w:tcW w:w="1426" w:type="dxa"/>
            <w:gridSpan w:val="2"/>
            <w:vAlign w:val="center"/>
          </w:tcPr>
          <w:p>
            <w:pPr>
              <w:pStyle w:val="32"/>
              <w:spacing w:line="360" w:lineRule="exact"/>
              <w:rPr>
                <w:color w:val="000000" w:themeColor="text1"/>
                <w:szCs w:val="21"/>
              </w:rPr>
            </w:pPr>
            <w:r>
              <w:rPr>
                <w:color w:val="000000" w:themeColor="text1"/>
                <w:szCs w:val="21"/>
              </w:rPr>
              <w:t>装卸</w:t>
            </w:r>
          </w:p>
        </w:tc>
        <w:tc>
          <w:tcPr>
            <w:tcW w:w="999" w:type="dxa"/>
            <w:vAlign w:val="center"/>
          </w:tcPr>
          <w:p>
            <w:pPr>
              <w:pStyle w:val="32"/>
              <w:spacing w:line="360" w:lineRule="exact"/>
              <w:rPr>
                <w:rFonts w:eastAsiaTheme="minorEastAsia"/>
                <w:bCs w:val="0"/>
                <w:snapToGrid/>
                <w:color w:val="000000" w:themeColor="text1"/>
                <w:kern w:val="0"/>
                <w:szCs w:val="21"/>
                <w:lang w:val="en-US"/>
              </w:rPr>
            </w:pPr>
            <w:r>
              <w:rPr>
                <w:rFonts w:eastAsiaTheme="minorEastAsia"/>
                <w:bCs w:val="0"/>
                <w:snapToGrid/>
                <w:color w:val="000000" w:themeColor="text1"/>
                <w:kern w:val="0"/>
                <w:szCs w:val="21"/>
                <w:lang w:val="en-US"/>
              </w:rPr>
              <w:t>无组织</w:t>
            </w:r>
          </w:p>
        </w:tc>
        <w:tc>
          <w:tcPr>
            <w:tcW w:w="1306" w:type="dxa"/>
            <w:vAlign w:val="center"/>
          </w:tcPr>
          <w:p>
            <w:pPr>
              <w:pStyle w:val="32"/>
              <w:rPr>
                <w:rFonts w:eastAsiaTheme="minorEastAsia"/>
                <w:color w:val="000000" w:themeColor="text1"/>
                <w:szCs w:val="21"/>
              </w:rPr>
            </w:pPr>
            <w:r>
              <w:rPr>
                <w:color w:val="000000" w:themeColor="text1"/>
                <w:szCs w:val="21"/>
              </w:rPr>
              <w:t>颗粒物</w:t>
            </w:r>
          </w:p>
        </w:tc>
        <w:tc>
          <w:tcPr>
            <w:tcW w:w="5633" w:type="dxa"/>
            <w:vAlign w:val="center"/>
          </w:tcPr>
          <w:p>
            <w:pPr>
              <w:pStyle w:val="32"/>
              <w:spacing w:line="360" w:lineRule="exact"/>
              <w:ind w:firstLine="210" w:firstLineChars="100"/>
              <w:jc w:val="both"/>
              <w:rPr>
                <w:color w:val="000000" w:themeColor="text1"/>
                <w:szCs w:val="21"/>
              </w:rPr>
            </w:pPr>
            <w:r>
              <w:rPr>
                <w:rFonts w:hint="eastAsia" w:ascii="宋体" w:hAnsi="宋体" w:cs="宋体"/>
                <w:color w:val="000000" w:themeColor="text1"/>
                <w:szCs w:val="21"/>
              </w:rPr>
              <w:t>①</w:t>
            </w:r>
            <w:r>
              <w:rPr>
                <w:color w:val="000000" w:themeColor="text1"/>
                <w:szCs w:val="21"/>
              </w:rPr>
              <w:t>针对废石装卸扬尘，废石卸料均在废石堆场，废石堆场除车辆进出区域，其他区域均设置不低于物料堆存高度围挡和顶棚，并配套1台雾炮机对厂区内废矿石采装、卸料及运输过程扬尘进行洒水抑尘，其扬尘抑制率约为80%；</w:t>
            </w:r>
          </w:p>
          <w:p>
            <w:pPr>
              <w:pStyle w:val="32"/>
              <w:spacing w:line="360" w:lineRule="exact"/>
              <w:ind w:firstLine="210" w:firstLineChars="100"/>
              <w:jc w:val="both"/>
              <w:rPr>
                <w:color w:val="000000" w:themeColor="text1"/>
                <w:szCs w:val="21"/>
              </w:rPr>
            </w:pPr>
            <w:r>
              <w:rPr>
                <w:color w:val="000000" w:themeColor="text1"/>
                <w:szCs w:val="21"/>
              </w:rPr>
              <w:t>针对砂石骨料装卸扬尘，砂石骨料卸料均在产品堆场，产品堆场除车辆进出区域，其他区域均设置不低于物料堆存高度围挡和顶棚，且项目生产的砂石骨料含水率较高，因此其其扬尘抑制率约为80%。</w:t>
            </w:r>
          </w:p>
        </w:tc>
        <w:tc>
          <w:tcPr>
            <w:tcW w:w="1733" w:type="dxa"/>
            <w:vMerge w:val="continue"/>
            <w:tcBorders>
              <w:top w:val="single" w:color="auto" w:sz="4" w:space="0"/>
            </w:tcBorders>
            <w:vAlign w:val="center"/>
          </w:tcPr>
          <w:p>
            <w:pPr>
              <w:pStyle w:val="32"/>
              <w:spacing w:line="360" w:lineRule="exact"/>
              <w:ind w:firstLine="210" w:firstLineChars="100"/>
              <w:jc w:val="both"/>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top w:val="single" w:color="auto" w:sz="4" w:space="0"/>
              <w:left w:val="single" w:color="auto" w:sz="4" w:space="0"/>
            </w:tcBorders>
            <w:vAlign w:val="center"/>
          </w:tcPr>
          <w:p>
            <w:pPr>
              <w:spacing w:line="360" w:lineRule="exact"/>
              <w:jc w:val="center"/>
              <w:rPr>
                <w:rFonts w:ascii="Times New Roman" w:hAnsi="Times New Roman" w:cs="Times New Roman"/>
                <w:color w:val="000000" w:themeColor="text1"/>
              </w:rPr>
            </w:pPr>
          </w:p>
        </w:tc>
        <w:tc>
          <w:tcPr>
            <w:tcW w:w="709" w:type="dxa"/>
            <w:vMerge w:val="continue"/>
            <w:tcBorders>
              <w:right w:val="single" w:color="auto" w:sz="4" w:space="0"/>
            </w:tcBorders>
            <w:vAlign w:val="center"/>
          </w:tcPr>
          <w:p>
            <w:pPr>
              <w:pStyle w:val="32"/>
              <w:spacing w:line="360" w:lineRule="exact"/>
              <w:rPr>
                <w:color w:val="000000" w:themeColor="text1"/>
                <w:szCs w:val="21"/>
              </w:rPr>
            </w:pPr>
          </w:p>
        </w:tc>
        <w:tc>
          <w:tcPr>
            <w:tcW w:w="1140" w:type="dxa"/>
            <w:gridSpan w:val="2"/>
            <w:vMerge w:val="restart"/>
            <w:tcBorders>
              <w:left w:val="single" w:color="auto" w:sz="4" w:space="0"/>
            </w:tcBorders>
            <w:vAlign w:val="center"/>
          </w:tcPr>
          <w:p>
            <w:pPr>
              <w:pStyle w:val="32"/>
              <w:spacing w:line="360" w:lineRule="exact"/>
              <w:rPr>
                <w:color w:val="000000" w:themeColor="text1"/>
                <w:szCs w:val="21"/>
              </w:rPr>
            </w:pPr>
            <w:r>
              <w:rPr>
                <w:color w:val="000000" w:themeColor="text1"/>
                <w:szCs w:val="21"/>
              </w:rPr>
              <w:t>生产车间</w:t>
            </w:r>
          </w:p>
        </w:tc>
        <w:tc>
          <w:tcPr>
            <w:tcW w:w="1426" w:type="dxa"/>
            <w:gridSpan w:val="2"/>
            <w:vAlign w:val="center"/>
          </w:tcPr>
          <w:p>
            <w:pPr>
              <w:pStyle w:val="32"/>
              <w:spacing w:line="360" w:lineRule="exact"/>
              <w:rPr>
                <w:color w:val="000000" w:themeColor="text1"/>
                <w:szCs w:val="21"/>
              </w:rPr>
            </w:pPr>
            <w:r>
              <w:rPr>
                <w:color w:val="000000" w:themeColor="text1"/>
                <w:szCs w:val="21"/>
              </w:rPr>
              <w:t>皮带输送</w:t>
            </w:r>
          </w:p>
        </w:tc>
        <w:tc>
          <w:tcPr>
            <w:tcW w:w="999" w:type="dxa"/>
            <w:vAlign w:val="center"/>
          </w:tcPr>
          <w:p>
            <w:pPr>
              <w:pStyle w:val="32"/>
              <w:spacing w:line="360" w:lineRule="exact"/>
              <w:rPr>
                <w:rFonts w:eastAsiaTheme="minorEastAsia"/>
                <w:bCs w:val="0"/>
                <w:snapToGrid/>
                <w:color w:val="000000" w:themeColor="text1"/>
                <w:kern w:val="0"/>
                <w:szCs w:val="21"/>
                <w:lang w:val="en-US"/>
              </w:rPr>
            </w:pPr>
            <w:r>
              <w:rPr>
                <w:rFonts w:eastAsiaTheme="minorEastAsia"/>
                <w:bCs w:val="0"/>
                <w:snapToGrid/>
                <w:color w:val="000000" w:themeColor="text1"/>
                <w:kern w:val="0"/>
                <w:szCs w:val="21"/>
                <w:lang w:val="en-US"/>
              </w:rPr>
              <w:t>无组织</w:t>
            </w:r>
          </w:p>
        </w:tc>
        <w:tc>
          <w:tcPr>
            <w:tcW w:w="1306" w:type="dxa"/>
            <w:vAlign w:val="center"/>
          </w:tcPr>
          <w:p>
            <w:pPr>
              <w:pStyle w:val="32"/>
              <w:rPr>
                <w:rFonts w:eastAsiaTheme="minorEastAsia"/>
                <w:color w:val="000000" w:themeColor="text1"/>
                <w:szCs w:val="21"/>
              </w:rPr>
            </w:pPr>
            <w:r>
              <w:rPr>
                <w:color w:val="000000" w:themeColor="text1"/>
                <w:szCs w:val="21"/>
              </w:rPr>
              <w:t>颗粒物</w:t>
            </w:r>
          </w:p>
        </w:tc>
        <w:tc>
          <w:tcPr>
            <w:tcW w:w="5633"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w:t>
            </w:r>
          </w:p>
        </w:tc>
        <w:tc>
          <w:tcPr>
            <w:tcW w:w="1733" w:type="dxa"/>
            <w:vMerge w:val="continue"/>
            <w:tcBorders>
              <w:top w:val="single" w:color="auto" w:sz="4" w:space="0"/>
            </w:tcBorders>
            <w:vAlign w:val="center"/>
          </w:tcPr>
          <w:p>
            <w:pPr>
              <w:pStyle w:val="32"/>
              <w:spacing w:line="360" w:lineRule="exact"/>
              <w:ind w:firstLine="210" w:firstLineChars="100"/>
              <w:jc w:val="both"/>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top w:val="single" w:color="auto" w:sz="4" w:space="0"/>
              <w:left w:val="single" w:color="auto" w:sz="4" w:space="0"/>
            </w:tcBorders>
            <w:vAlign w:val="center"/>
          </w:tcPr>
          <w:p>
            <w:pPr>
              <w:spacing w:line="360" w:lineRule="exact"/>
              <w:jc w:val="center"/>
              <w:rPr>
                <w:rFonts w:ascii="Times New Roman" w:hAnsi="Times New Roman" w:cs="Times New Roman"/>
                <w:color w:val="000000" w:themeColor="text1"/>
              </w:rPr>
            </w:pPr>
          </w:p>
        </w:tc>
        <w:tc>
          <w:tcPr>
            <w:tcW w:w="709" w:type="dxa"/>
            <w:vMerge w:val="continue"/>
            <w:tcBorders>
              <w:right w:val="single" w:color="auto" w:sz="4" w:space="0"/>
            </w:tcBorders>
            <w:vAlign w:val="center"/>
          </w:tcPr>
          <w:p>
            <w:pPr>
              <w:pStyle w:val="32"/>
              <w:spacing w:line="360" w:lineRule="exact"/>
              <w:rPr>
                <w:color w:val="000000" w:themeColor="text1"/>
                <w:szCs w:val="21"/>
              </w:rPr>
            </w:pPr>
          </w:p>
        </w:tc>
        <w:tc>
          <w:tcPr>
            <w:tcW w:w="1140" w:type="dxa"/>
            <w:gridSpan w:val="2"/>
            <w:vMerge w:val="continue"/>
            <w:tcBorders>
              <w:left w:val="single" w:color="auto" w:sz="4" w:space="0"/>
            </w:tcBorders>
            <w:vAlign w:val="center"/>
          </w:tcPr>
          <w:p>
            <w:pPr>
              <w:pStyle w:val="32"/>
              <w:spacing w:line="360" w:lineRule="exact"/>
              <w:rPr>
                <w:color w:val="000000" w:themeColor="text1"/>
                <w:szCs w:val="21"/>
              </w:rPr>
            </w:pPr>
          </w:p>
        </w:tc>
        <w:tc>
          <w:tcPr>
            <w:tcW w:w="1426" w:type="dxa"/>
            <w:gridSpan w:val="2"/>
            <w:vAlign w:val="center"/>
          </w:tcPr>
          <w:p>
            <w:pPr>
              <w:pStyle w:val="32"/>
              <w:spacing w:line="360" w:lineRule="exact"/>
              <w:rPr>
                <w:color w:val="000000" w:themeColor="text1"/>
                <w:szCs w:val="21"/>
              </w:rPr>
            </w:pPr>
            <w:r>
              <w:rPr>
                <w:color w:val="000000" w:themeColor="text1"/>
                <w:szCs w:val="21"/>
              </w:rPr>
              <w:t>破碎筛分</w:t>
            </w:r>
          </w:p>
        </w:tc>
        <w:tc>
          <w:tcPr>
            <w:tcW w:w="999" w:type="dxa"/>
            <w:vAlign w:val="center"/>
          </w:tcPr>
          <w:p>
            <w:pPr>
              <w:pStyle w:val="32"/>
              <w:spacing w:line="360" w:lineRule="exact"/>
              <w:rPr>
                <w:rFonts w:eastAsiaTheme="minorEastAsia"/>
                <w:bCs w:val="0"/>
                <w:snapToGrid/>
                <w:color w:val="000000" w:themeColor="text1"/>
                <w:kern w:val="0"/>
                <w:szCs w:val="21"/>
                <w:lang w:val="en-US"/>
              </w:rPr>
            </w:pPr>
            <w:r>
              <w:rPr>
                <w:rFonts w:eastAsiaTheme="minorEastAsia"/>
                <w:bCs w:val="0"/>
                <w:snapToGrid/>
                <w:color w:val="000000" w:themeColor="text1"/>
                <w:kern w:val="0"/>
                <w:szCs w:val="21"/>
                <w:lang w:val="en-US"/>
              </w:rPr>
              <w:t>无组织</w:t>
            </w:r>
          </w:p>
        </w:tc>
        <w:tc>
          <w:tcPr>
            <w:tcW w:w="1306" w:type="dxa"/>
            <w:vAlign w:val="center"/>
          </w:tcPr>
          <w:p>
            <w:pPr>
              <w:pStyle w:val="32"/>
              <w:rPr>
                <w:rFonts w:eastAsiaTheme="minorEastAsia"/>
                <w:color w:val="000000" w:themeColor="text1"/>
                <w:szCs w:val="21"/>
              </w:rPr>
            </w:pPr>
            <w:r>
              <w:rPr>
                <w:color w:val="000000" w:themeColor="text1"/>
                <w:szCs w:val="21"/>
              </w:rPr>
              <w:t>颗粒物</w:t>
            </w:r>
          </w:p>
        </w:tc>
        <w:tc>
          <w:tcPr>
            <w:tcW w:w="5633" w:type="dxa"/>
            <w:vAlign w:val="center"/>
          </w:tcPr>
          <w:p>
            <w:pPr>
              <w:pStyle w:val="32"/>
              <w:spacing w:line="360" w:lineRule="exact"/>
              <w:ind w:firstLine="210" w:firstLineChars="100"/>
              <w:jc w:val="both"/>
              <w:rPr>
                <w:color w:val="000000" w:themeColor="text1"/>
                <w:szCs w:val="21"/>
              </w:rPr>
            </w:pPr>
            <w:r>
              <w:rPr>
                <w:color w:val="000000" w:themeColor="text1"/>
                <w:szCs w:val="21"/>
              </w:rPr>
              <w:t>项目为降低破碎筛分粉尘产生，拟对一段筛分、鄂破、反击破、二段筛分、球磨和制砂等六个环节均采用加水作业，加水量较大，其处理效率大于湿式除尘+喷雾降尘组合，则实际除尘效率约为98%。</w:t>
            </w:r>
          </w:p>
        </w:tc>
        <w:tc>
          <w:tcPr>
            <w:tcW w:w="1733" w:type="dxa"/>
            <w:vMerge w:val="continue"/>
            <w:tcBorders>
              <w:top w:val="single" w:color="auto" w:sz="4" w:space="0"/>
              <w:bottom w:val="single" w:color="auto" w:sz="4" w:space="0"/>
            </w:tcBorders>
            <w:vAlign w:val="center"/>
          </w:tcPr>
          <w:p>
            <w:pPr>
              <w:pStyle w:val="32"/>
              <w:spacing w:line="360" w:lineRule="exact"/>
              <w:ind w:firstLine="210" w:firstLineChars="100"/>
              <w:jc w:val="both"/>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top w:val="single" w:color="auto" w:sz="4" w:space="0"/>
              <w:left w:val="single" w:color="auto" w:sz="4" w:space="0"/>
            </w:tcBorders>
            <w:vAlign w:val="center"/>
          </w:tcPr>
          <w:p>
            <w:pPr>
              <w:spacing w:line="360" w:lineRule="exact"/>
              <w:jc w:val="center"/>
              <w:rPr>
                <w:rFonts w:ascii="Times New Roman" w:hAnsi="Times New Roman" w:cs="Times New Roman"/>
                <w:color w:val="000000" w:themeColor="text1"/>
              </w:rPr>
            </w:pPr>
          </w:p>
        </w:tc>
        <w:tc>
          <w:tcPr>
            <w:tcW w:w="709" w:type="dxa"/>
            <w:vMerge w:val="restart"/>
            <w:tcBorders>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二期工程</w:t>
            </w:r>
          </w:p>
        </w:tc>
        <w:tc>
          <w:tcPr>
            <w:tcW w:w="1140" w:type="dxa"/>
            <w:gridSpan w:val="2"/>
            <w:tcBorders>
              <w:left w:val="single" w:color="auto" w:sz="4" w:space="0"/>
            </w:tcBorders>
            <w:vAlign w:val="center"/>
          </w:tcPr>
          <w:p>
            <w:pPr>
              <w:pStyle w:val="32"/>
              <w:spacing w:line="360" w:lineRule="exact"/>
              <w:rPr>
                <w:color w:val="000000" w:themeColor="text1"/>
                <w:szCs w:val="21"/>
              </w:rPr>
            </w:pPr>
            <w:r>
              <w:rPr>
                <w:color w:val="000000" w:themeColor="text1"/>
                <w:szCs w:val="21"/>
              </w:rPr>
              <w:t>水泥仓</w:t>
            </w:r>
          </w:p>
        </w:tc>
        <w:tc>
          <w:tcPr>
            <w:tcW w:w="1426" w:type="dxa"/>
            <w:gridSpan w:val="2"/>
            <w:vAlign w:val="center"/>
          </w:tcPr>
          <w:p>
            <w:pPr>
              <w:pStyle w:val="32"/>
              <w:spacing w:line="360" w:lineRule="exact"/>
              <w:rPr>
                <w:color w:val="000000" w:themeColor="text1"/>
                <w:szCs w:val="21"/>
              </w:rPr>
            </w:pPr>
            <w:r>
              <w:rPr>
                <w:color w:val="000000" w:themeColor="text1"/>
                <w:szCs w:val="21"/>
              </w:rPr>
              <w:t>水泥装卸、储存、输送过程</w:t>
            </w:r>
          </w:p>
        </w:tc>
        <w:tc>
          <w:tcPr>
            <w:tcW w:w="999" w:type="dxa"/>
            <w:vAlign w:val="center"/>
          </w:tcPr>
          <w:p>
            <w:pPr>
              <w:pStyle w:val="32"/>
              <w:spacing w:line="360" w:lineRule="exact"/>
              <w:rPr>
                <w:color w:val="000000" w:themeColor="text1"/>
                <w:szCs w:val="21"/>
              </w:rPr>
            </w:pPr>
            <w:r>
              <w:rPr>
                <w:rFonts w:hint="eastAsia"/>
                <w:color w:val="000000" w:themeColor="text1"/>
                <w:szCs w:val="21"/>
              </w:rPr>
              <w:t>有组织</w:t>
            </w:r>
          </w:p>
        </w:tc>
        <w:tc>
          <w:tcPr>
            <w:tcW w:w="1306" w:type="dxa"/>
            <w:vAlign w:val="center"/>
          </w:tcPr>
          <w:p>
            <w:pPr>
              <w:pStyle w:val="32"/>
              <w:rPr>
                <w:rFonts w:eastAsiaTheme="minorEastAsia"/>
                <w:color w:val="000000" w:themeColor="text1"/>
                <w:szCs w:val="21"/>
              </w:rPr>
            </w:pPr>
            <w:r>
              <w:rPr>
                <w:color w:val="000000" w:themeColor="text1"/>
                <w:szCs w:val="21"/>
              </w:rPr>
              <w:t>颗粒物</w:t>
            </w:r>
          </w:p>
        </w:tc>
        <w:tc>
          <w:tcPr>
            <w:tcW w:w="5633" w:type="dxa"/>
            <w:vAlign w:val="center"/>
          </w:tcPr>
          <w:p>
            <w:pPr>
              <w:pStyle w:val="32"/>
              <w:spacing w:line="360" w:lineRule="exact"/>
              <w:ind w:firstLine="210" w:firstLineChars="100"/>
              <w:jc w:val="both"/>
              <w:rPr>
                <w:color w:val="000000" w:themeColor="text1"/>
                <w:szCs w:val="21"/>
              </w:rPr>
            </w:pPr>
            <w:r>
              <w:rPr>
                <w:color w:val="000000" w:themeColor="text1"/>
                <w:szCs w:val="21"/>
              </w:rPr>
              <w:t>水泥仓顶端设置1#袋式除尘器对其处理后通过（DA001）外排，袋式除尘器除尘效率为99.7%。</w:t>
            </w:r>
          </w:p>
        </w:tc>
        <w:tc>
          <w:tcPr>
            <w:tcW w:w="1733" w:type="dxa"/>
            <w:vMerge w:val="restart"/>
            <w:tcBorders>
              <w:top w:val="single" w:color="auto" w:sz="4" w:space="0"/>
            </w:tcBorders>
            <w:vAlign w:val="center"/>
          </w:tcPr>
          <w:p>
            <w:pPr>
              <w:pStyle w:val="32"/>
              <w:spacing w:line="360" w:lineRule="exact"/>
              <w:ind w:firstLine="210" w:firstLineChars="100"/>
              <w:jc w:val="both"/>
              <w:rPr>
                <w:color w:val="000000" w:themeColor="text1"/>
                <w:szCs w:val="21"/>
              </w:rPr>
            </w:pPr>
            <w:r>
              <w:rPr>
                <w:color w:val="000000" w:themeColor="text1"/>
                <w:szCs w:val="21"/>
              </w:rPr>
              <w:t>《水泥工业大气污染物排放标准》（GB4915-2013）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top w:val="single" w:color="auto" w:sz="4" w:space="0"/>
              <w:left w:val="single" w:color="auto" w:sz="4" w:space="0"/>
            </w:tcBorders>
            <w:vAlign w:val="center"/>
          </w:tcPr>
          <w:p>
            <w:pPr>
              <w:spacing w:line="360" w:lineRule="exact"/>
              <w:jc w:val="center"/>
              <w:rPr>
                <w:rFonts w:ascii="Times New Roman" w:hAnsi="Times New Roman" w:cs="Times New Roman"/>
                <w:color w:val="000000" w:themeColor="text1"/>
              </w:rPr>
            </w:pPr>
          </w:p>
        </w:tc>
        <w:tc>
          <w:tcPr>
            <w:tcW w:w="709" w:type="dxa"/>
            <w:vMerge w:val="continue"/>
            <w:tcBorders>
              <w:right w:val="single" w:color="auto" w:sz="4" w:space="0"/>
            </w:tcBorders>
            <w:vAlign w:val="center"/>
          </w:tcPr>
          <w:p>
            <w:pPr>
              <w:pStyle w:val="32"/>
              <w:spacing w:line="360" w:lineRule="exact"/>
              <w:rPr>
                <w:color w:val="000000" w:themeColor="text1"/>
                <w:szCs w:val="21"/>
              </w:rPr>
            </w:pPr>
          </w:p>
        </w:tc>
        <w:tc>
          <w:tcPr>
            <w:tcW w:w="1140" w:type="dxa"/>
            <w:gridSpan w:val="2"/>
            <w:tcBorders>
              <w:left w:val="single" w:color="auto" w:sz="4" w:space="0"/>
            </w:tcBorders>
            <w:vAlign w:val="center"/>
          </w:tcPr>
          <w:p>
            <w:pPr>
              <w:pStyle w:val="32"/>
              <w:spacing w:line="360" w:lineRule="exact"/>
              <w:rPr>
                <w:color w:val="000000" w:themeColor="text1"/>
                <w:szCs w:val="21"/>
              </w:rPr>
            </w:pPr>
            <w:r>
              <w:rPr>
                <w:color w:val="000000" w:themeColor="text1"/>
                <w:szCs w:val="21"/>
              </w:rPr>
              <w:t>搅拌混合车间</w:t>
            </w:r>
          </w:p>
        </w:tc>
        <w:tc>
          <w:tcPr>
            <w:tcW w:w="1426" w:type="dxa"/>
            <w:gridSpan w:val="2"/>
            <w:vAlign w:val="center"/>
          </w:tcPr>
          <w:p>
            <w:pPr>
              <w:pStyle w:val="32"/>
              <w:spacing w:line="360" w:lineRule="exact"/>
              <w:rPr>
                <w:color w:val="000000" w:themeColor="text1"/>
                <w:szCs w:val="21"/>
              </w:rPr>
            </w:pPr>
            <w:r>
              <w:rPr>
                <w:color w:val="000000" w:themeColor="text1"/>
                <w:szCs w:val="21"/>
              </w:rPr>
              <w:t>搅拌混合</w:t>
            </w:r>
          </w:p>
        </w:tc>
        <w:tc>
          <w:tcPr>
            <w:tcW w:w="999" w:type="dxa"/>
            <w:vAlign w:val="center"/>
          </w:tcPr>
          <w:p>
            <w:pPr>
              <w:pStyle w:val="32"/>
              <w:spacing w:line="360" w:lineRule="exact"/>
              <w:rPr>
                <w:color w:val="000000" w:themeColor="text1"/>
                <w:szCs w:val="21"/>
              </w:rPr>
            </w:pPr>
            <w:r>
              <w:rPr>
                <w:rFonts w:hint="eastAsia"/>
                <w:color w:val="000000" w:themeColor="text1"/>
                <w:szCs w:val="21"/>
              </w:rPr>
              <w:t>有组织</w:t>
            </w:r>
          </w:p>
        </w:tc>
        <w:tc>
          <w:tcPr>
            <w:tcW w:w="1306" w:type="dxa"/>
            <w:vAlign w:val="center"/>
          </w:tcPr>
          <w:p>
            <w:pPr>
              <w:pStyle w:val="32"/>
              <w:rPr>
                <w:rFonts w:eastAsiaTheme="minorEastAsia"/>
                <w:color w:val="000000" w:themeColor="text1"/>
                <w:szCs w:val="21"/>
              </w:rPr>
            </w:pPr>
            <w:r>
              <w:rPr>
                <w:color w:val="000000" w:themeColor="text1"/>
                <w:szCs w:val="21"/>
              </w:rPr>
              <w:t>颗粒物</w:t>
            </w:r>
          </w:p>
        </w:tc>
        <w:tc>
          <w:tcPr>
            <w:tcW w:w="5633" w:type="dxa"/>
            <w:vAlign w:val="center"/>
          </w:tcPr>
          <w:p>
            <w:pPr>
              <w:pStyle w:val="32"/>
              <w:spacing w:line="360" w:lineRule="exact"/>
              <w:ind w:firstLine="210" w:firstLineChars="100"/>
              <w:jc w:val="both"/>
              <w:rPr>
                <w:color w:val="000000" w:themeColor="text1"/>
                <w:szCs w:val="21"/>
              </w:rPr>
            </w:pPr>
            <w:r>
              <w:rPr>
                <w:color w:val="000000" w:themeColor="text1"/>
                <w:szCs w:val="21"/>
              </w:rPr>
              <w:t>针对搅拌混合工序的粉尘，项目拟对该工序产尘点配套设置了集气罩，将其有效统一收集后，通过1台2#袋式除尘器进行处理，处理后通过1根15m高排气筒（DA002）外排。该集气罩风量为5000m³/h，集气效率不低于90%，袋式除尘器除尘效率为99.7%。</w:t>
            </w:r>
          </w:p>
        </w:tc>
        <w:tc>
          <w:tcPr>
            <w:tcW w:w="1733" w:type="dxa"/>
            <w:vMerge w:val="continue"/>
            <w:tcBorders>
              <w:top w:val="single" w:color="auto" w:sz="4" w:space="0"/>
            </w:tcBorders>
            <w:vAlign w:val="center"/>
          </w:tcPr>
          <w:p>
            <w:pPr>
              <w:pStyle w:val="32"/>
              <w:spacing w:line="360" w:lineRule="exact"/>
              <w:ind w:firstLine="210" w:firstLineChars="100"/>
              <w:jc w:val="both"/>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6" w:type="dxa"/>
            <w:vMerge w:val="restart"/>
            <w:tcBorders>
              <w:right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地表水环境</w:t>
            </w:r>
          </w:p>
        </w:tc>
        <w:tc>
          <w:tcPr>
            <w:tcW w:w="702" w:type="dxa"/>
            <w:vMerge w:val="restart"/>
            <w:tcBorders>
              <w:left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施工期</w:t>
            </w:r>
          </w:p>
        </w:tc>
        <w:tc>
          <w:tcPr>
            <w:tcW w:w="3275" w:type="dxa"/>
            <w:gridSpan w:val="5"/>
            <w:vMerge w:val="restart"/>
            <w:vAlign w:val="center"/>
          </w:tcPr>
          <w:p>
            <w:pPr>
              <w:pStyle w:val="32"/>
              <w:spacing w:line="360" w:lineRule="exact"/>
              <w:rPr>
                <w:color w:val="000000" w:themeColor="text1"/>
                <w:szCs w:val="21"/>
              </w:rPr>
            </w:pPr>
            <w:r>
              <w:rPr>
                <w:color w:val="000000" w:themeColor="text1"/>
                <w:szCs w:val="21"/>
              </w:rPr>
              <w:t>施工场地</w:t>
            </w:r>
          </w:p>
        </w:tc>
        <w:tc>
          <w:tcPr>
            <w:tcW w:w="999" w:type="dxa"/>
            <w:vMerge w:val="restart"/>
            <w:vAlign w:val="center"/>
          </w:tcPr>
          <w:p>
            <w:pPr>
              <w:pStyle w:val="32"/>
              <w:spacing w:line="360" w:lineRule="exact"/>
              <w:rPr>
                <w:color w:val="000000" w:themeColor="text1"/>
                <w:szCs w:val="21"/>
              </w:rPr>
            </w:pPr>
            <w:r>
              <w:rPr>
                <w:color w:val="000000" w:themeColor="text1"/>
                <w:szCs w:val="21"/>
              </w:rPr>
              <w:t>不外排</w:t>
            </w:r>
          </w:p>
        </w:tc>
        <w:tc>
          <w:tcPr>
            <w:tcW w:w="1306" w:type="dxa"/>
            <w:vAlign w:val="center"/>
          </w:tcPr>
          <w:p>
            <w:pPr>
              <w:pStyle w:val="32"/>
              <w:spacing w:line="360" w:lineRule="exact"/>
              <w:rPr>
                <w:color w:val="000000" w:themeColor="text1"/>
                <w:szCs w:val="21"/>
              </w:rPr>
            </w:pPr>
            <w:r>
              <w:rPr>
                <w:color w:val="000000" w:themeColor="text1"/>
                <w:szCs w:val="21"/>
              </w:rPr>
              <w:t>施工废水</w:t>
            </w:r>
          </w:p>
        </w:tc>
        <w:tc>
          <w:tcPr>
            <w:tcW w:w="5633" w:type="dxa"/>
            <w:vAlign w:val="center"/>
          </w:tcPr>
          <w:p>
            <w:pPr>
              <w:pStyle w:val="32"/>
              <w:spacing w:line="360" w:lineRule="exact"/>
              <w:ind w:firstLine="210" w:firstLineChars="100"/>
              <w:jc w:val="both"/>
              <w:rPr>
                <w:color w:val="000000" w:themeColor="text1"/>
                <w:szCs w:val="21"/>
              </w:rPr>
            </w:pPr>
            <w:r>
              <w:rPr>
                <w:color w:val="000000" w:themeColor="text1"/>
                <w:szCs w:val="21"/>
              </w:rPr>
              <w:t>施工废水通过施工场地的临时沉淀池沉淀处理后，回用于施工场地洒水抑尘，不外排。</w:t>
            </w:r>
          </w:p>
        </w:tc>
        <w:tc>
          <w:tcPr>
            <w:tcW w:w="1733" w:type="dxa"/>
            <w:tcBorders>
              <w:bottom w:val="single" w:color="auto" w:sz="4" w:space="0"/>
            </w:tcBorders>
            <w:vAlign w:val="center"/>
          </w:tcPr>
          <w:p>
            <w:pPr>
              <w:pStyle w:val="32"/>
              <w:spacing w:line="360" w:lineRule="exact"/>
              <w:ind w:firstLine="210" w:firstLineChars="100"/>
              <w:jc w:val="both"/>
              <w:rPr>
                <w:rFonts w:eastAsiaTheme="minorEastAsia"/>
                <w:color w:val="000000" w:themeColor="text1"/>
              </w:rPr>
            </w:pPr>
            <w:r>
              <w:rPr>
                <w:rFonts w:eastAsiaTheme="minorEastAsia"/>
                <w:color w:val="000000" w:themeColor="text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3275" w:type="dxa"/>
            <w:gridSpan w:val="5"/>
            <w:vMerge w:val="continue"/>
            <w:vAlign w:val="center"/>
          </w:tcPr>
          <w:p>
            <w:pPr>
              <w:pStyle w:val="32"/>
              <w:spacing w:line="360" w:lineRule="exact"/>
              <w:rPr>
                <w:color w:val="000000" w:themeColor="text1"/>
                <w:szCs w:val="21"/>
              </w:rPr>
            </w:pPr>
          </w:p>
        </w:tc>
        <w:tc>
          <w:tcPr>
            <w:tcW w:w="999" w:type="dxa"/>
            <w:vMerge w:val="continue"/>
            <w:vAlign w:val="center"/>
          </w:tcPr>
          <w:p>
            <w:pPr>
              <w:pStyle w:val="32"/>
              <w:spacing w:line="360" w:lineRule="exact"/>
              <w:rPr>
                <w:color w:val="000000" w:themeColor="text1"/>
                <w:szCs w:val="21"/>
              </w:rPr>
            </w:pPr>
          </w:p>
        </w:tc>
        <w:tc>
          <w:tcPr>
            <w:tcW w:w="1306" w:type="dxa"/>
            <w:vAlign w:val="center"/>
          </w:tcPr>
          <w:p>
            <w:pPr>
              <w:pStyle w:val="32"/>
              <w:spacing w:line="360" w:lineRule="exact"/>
              <w:rPr>
                <w:color w:val="000000" w:themeColor="text1"/>
                <w:szCs w:val="21"/>
              </w:rPr>
            </w:pPr>
            <w:r>
              <w:rPr>
                <w:color w:val="000000" w:themeColor="text1"/>
                <w:szCs w:val="21"/>
              </w:rPr>
              <w:t>生活污水</w:t>
            </w:r>
          </w:p>
        </w:tc>
        <w:tc>
          <w:tcPr>
            <w:tcW w:w="5633" w:type="dxa"/>
            <w:vAlign w:val="center"/>
          </w:tcPr>
          <w:p>
            <w:pPr>
              <w:pStyle w:val="32"/>
              <w:spacing w:line="360" w:lineRule="exact"/>
              <w:ind w:firstLine="210" w:firstLineChars="100"/>
              <w:jc w:val="both"/>
              <w:rPr>
                <w:color w:val="000000" w:themeColor="text1"/>
                <w:szCs w:val="21"/>
              </w:rPr>
            </w:pPr>
            <w:r>
              <w:rPr>
                <w:color w:val="000000" w:themeColor="text1"/>
                <w:szCs w:val="21"/>
              </w:rPr>
              <w:t>施工期施工人员不在项目区食宿，生活污水仅为洗手污水，生活污水通过施工场地的临时沉淀池沉淀处理后，回用于施工场地洒水抑尘，不外排。</w:t>
            </w:r>
          </w:p>
        </w:tc>
        <w:tc>
          <w:tcPr>
            <w:tcW w:w="1733" w:type="dxa"/>
            <w:tcBorders>
              <w:bottom w:val="single" w:color="auto" w:sz="4" w:space="0"/>
            </w:tcBorders>
            <w:vAlign w:val="center"/>
          </w:tcPr>
          <w:p>
            <w:pPr>
              <w:pStyle w:val="32"/>
              <w:spacing w:line="360" w:lineRule="exact"/>
              <w:ind w:firstLine="210" w:firstLineChars="100"/>
              <w:jc w:val="both"/>
              <w:rPr>
                <w:rFonts w:eastAsiaTheme="minorEastAsia"/>
                <w:color w:val="000000" w:themeColor="text1"/>
              </w:rPr>
            </w:pPr>
            <w:r>
              <w:rPr>
                <w:rFonts w:eastAsiaTheme="minorEastAsia"/>
                <w:color w:val="000000" w:themeColor="text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left w:val="single" w:color="auto" w:sz="4" w:space="0"/>
              <w:bottom w:val="single" w:color="auto" w:sz="4" w:space="0"/>
            </w:tcBorders>
            <w:vAlign w:val="center"/>
          </w:tcPr>
          <w:p>
            <w:pPr>
              <w:spacing w:line="360" w:lineRule="exact"/>
              <w:jc w:val="center"/>
              <w:rPr>
                <w:rFonts w:ascii="Times New Roman" w:hAnsi="Times New Roman" w:cs="Times New Roman"/>
                <w:color w:val="000000" w:themeColor="text1"/>
              </w:rPr>
            </w:pPr>
          </w:p>
        </w:tc>
        <w:tc>
          <w:tcPr>
            <w:tcW w:w="3275" w:type="dxa"/>
            <w:gridSpan w:val="5"/>
            <w:vMerge w:val="continue"/>
            <w:tcBorders>
              <w:bottom w:val="single" w:color="auto" w:sz="4" w:space="0"/>
            </w:tcBorders>
            <w:vAlign w:val="center"/>
          </w:tcPr>
          <w:p>
            <w:pPr>
              <w:pStyle w:val="32"/>
              <w:spacing w:line="360" w:lineRule="exact"/>
              <w:rPr>
                <w:color w:val="000000" w:themeColor="text1"/>
                <w:szCs w:val="21"/>
              </w:rPr>
            </w:pPr>
          </w:p>
        </w:tc>
        <w:tc>
          <w:tcPr>
            <w:tcW w:w="999" w:type="dxa"/>
            <w:vMerge w:val="continue"/>
            <w:vAlign w:val="center"/>
          </w:tcPr>
          <w:p>
            <w:pPr>
              <w:pStyle w:val="32"/>
              <w:spacing w:line="360" w:lineRule="exact"/>
              <w:rPr>
                <w:color w:val="000000" w:themeColor="text1"/>
                <w:szCs w:val="21"/>
              </w:rPr>
            </w:pPr>
          </w:p>
        </w:tc>
        <w:tc>
          <w:tcPr>
            <w:tcW w:w="1306" w:type="dxa"/>
            <w:vAlign w:val="center"/>
          </w:tcPr>
          <w:p>
            <w:pPr>
              <w:pStyle w:val="32"/>
              <w:spacing w:line="360" w:lineRule="exact"/>
              <w:rPr>
                <w:color w:val="000000" w:themeColor="text1"/>
                <w:szCs w:val="21"/>
              </w:rPr>
            </w:pPr>
            <w:r>
              <w:rPr>
                <w:color w:val="000000" w:themeColor="text1"/>
                <w:szCs w:val="21"/>
              </w:rPr>
              <w:t>地表径流</w:t>
            </w:r>
          </w:p>
        </w:tc>
        <w:tc>
          <w:tcPr>
            <w:tcW w:w="5633" w:type="dxa"/>
            <w:vAlign w:val="center"/>
          </w:tcPr>
          <w:p>
            <w:pPr>
              <w:pStyle w:val="32"/>
              <w:spacing w:line="360" w:lineRule="exact"/>
              <w:ind w:firstLine="210" w:firstLineChars="100"/>
              <w:jc w:val="both"/>
              <w:rPr>
                <w:color w:val="000000" w:themeColor="text1"/>
                <w:szCs w:val="21"/>
              </w:rPr>
            </w:pPr>
            <w:r>
              <w:rPr>
                <w:color w:val="000000" w:themeColor="text1"/>
                <w:szCs w:val="21"/>
              </w:rPr>
              <w:t>施工场地雨天产生的地表径流与施工期间天气状况有较大的关系，难以定量分析。雨天地表径流含有大量泥沙，直接外排会使周围水体的悬浮物含量增加，项目拟设临时排水沟、沉淀池收集雨天地表径流，使其经沉淀池处理后，回用于施工过程或施工场地洒水抑尘。</w:t>
            </w:r>
          </w:p>
        </w:tc>
        <w:tc>
          <w:tcPr>
            <w:tcW w:w="1733" w:type="dxa"/>
            <w:tcBorders>
              <w:bottom w:val="single" w:color="auto" w:sz="4" w:space="0"/>
            </w:tcBorders>
            <w:vAlign w:val="center"/>
          </w:tcPr>
          <w:p>
            <w:pPr>
              <w:pStyle w:val="32"/>
              <w:spacing w:line="360" w:lineRule="exact"/>
              <w:ind w:firstLine="210" w:firstLineChars="100"/>
              <w:jc w:val="both"/>
              <w:rPr>
                <w:rFonts w:eastAsiaTheme="minorEastAsia"/>
                <w:color w:val="000000" w:themeColor="text1"/>
              </w:rPr>
            </w:pPr>
            <w:r>
              <w:rPr>
                <w:rFonts w:eastAsiaTheme="minorEastAsia"/>
                <w:color w:val="000000" w:themeColor="text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restart"/>
            <w:tcBorders>
              <w:top w:val="single" w:color="auto" w:sz="4" w:space="0"/>
              <w:left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运营期</w:t>
            </w:r>
          </w:p>
        </w:tc>
        <w:tc>
          <w:tcPr>
            <w:tcW w:w="722" w:type="dxa"/>
            <w:gridSpan w:val="2"/>
            <w:vMerge w:val="restart"/>
            <w:tcBorders>
              <w:top w:val="single" w:color="auto" w:sz="4" w:space="0"/>
              <w:right w:val="single" w:color="auto" w:sz="4" w:space="0"/>
            </w:tcBorders>
            <w:vAlign w:val="center"/>
          </w:tcPr>
          <w:p>
            <w:pPr>
              <w:pStyle w:val="32"/>
              <w:spacing w:line="360" w:lineRule="exact"/>
              <w:rPr>
                <w:color w:val="000000" w:themeColor="text1"/>
                <w:szCs w:val="21"/>
              </w:rPr>
            </w:pPr>
            <w:r>
              <w:rPr>
                <w:rFonts w:hint="eastAsia"/>
                <w:color w:val="000000" w:themeColor="text1"/>
                <w:szCs w:val="21"/>
              </w:rPr>
              <w:t>一期工程</w:t>
            </w:r>
          </w:p>
        </w:tc>
        <w:tc>
          <w:tcPr>
            <w:tcW w:w="2553" w:type="dxa"/>
            <w:gridSpan w:val="3"/>
            <w:tcBorders>
              <w:top w:val="single" w:color="auto" w:sz="4" w:space="0"/>
              <w:left w:val="single" w:color="auto" w:sz="4" w:space="0"/>
            </w:tcBorders>
            <w:vAlign w:val="center"/>
          </w:tcPr>
          <w:p>
            <w:pPr>
              <w:pStyle w:val="32"/>
              <w:spacing w:line="360" w:lineRule="exact"/>
              <w:rPr>
                <w:color w:val="000000" w:themeColor="text1"/>
                <w:szCs w:val="21"/>
              </w:rPr>
            </w:pPr>
            <w:r>
              <w:rPr>
                <w:rFonts w:hint="eastAsia"/>
                <w:color w:val="000000" w:themeColor="text1"/>
                <w:szCs w:val="21"/>
              </w:rPr>
              <w:t>砂石骨料</w:t>
            </w:r>
            <w:r>
              <w:rPr>
                <w:color w:val="000000" w:themeColor="text1"/>
                <w:szCs w:val="21"/>
              </w:rPr>
              <w:t>生产</w:t>
            </w:r>
          </w:p>
        </w:tc>
        <w:tc>
          <w:tcPr>
            <w:tcW w:w="999" w:type="dxa"/>
            <w:vAlign w:val="center"/>
          </w:tcPr>
          <w:p>
            <w:pPr>
              <w:pStyle w:val="32"/>
              <w:spacing w:line="360" w:lineRule="exact"/>
              <w:rPr>
                <w:color w:val="000000" w:themeColor="text1"/>
                <w:szCs w:val="21"/>
              </w:rPr>
            </w:pPr>
            <w:r>
              <w:rPr>
                <w:rFonts w:hint="eastAsia"/>
                <w:color w:val="000000" w:themeColor="text1"/>
                <w:szCs w:val="21"/>
              </w:rPr>
              <w:t>废水不外排、含水污泥委托处置</w:t>
            </w:r>
          </w:p>
        </w:tc>
        <w:tc>
          <w:tcPr>
            <w:tcW w:w="1306" w:type="dxa"/>
            <w:vAlign w:val="center"/>
          </w:tcPr>
          <w:p>
            <w:pPr>
              <w:pStyle w:val="32"/>
              <w:spacing w:line="360" w:lineRule="exact"/>
              <w:rPr>
                <w:color w:val="000000" w:themeColor="text1"/>
                <w:szCs w:val="21"/>
              </w:rPr>
            </w:pPr>
            <w:r>
              <w:rPr>
                <w:rFonts w:hint="eastAsia"/>
                <w:color w:val="000000" w:themeColor="text1"/>
                <w:szCs w:val="21"/>
              </w:rPr>
              <w:t>砂石骨料</w:t>
            </w:r>
            <w:r>
              <w:rPr>
                <w:color w:val="000000" w:themeColor="text1"/>
                <w:szCs w:val="21"/>
              </w:rPr>
              <w:t>生产</w:t>
            </w:r>
            <w:r>
              <w:rPr>
                <w:rFonts w:hint="eastAsia"/>
                <w:color w:val="000000" w:themeColor="text1"/>
                <w:szCs w:val="21"/>
              </w:rPr>
              <w:t>废水</w:t>
            </w:r>
          </w:p>
        </w:tc>
        <w:tc>
          <w:tcPr>
            <w:tcW w:w="5633"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针对项目砂石骨料生产废水，</w:t>
            </w:r>
            <w:r>
              <w:rPr>
                <w:color w:val="000000" w:themeColor="text1"/>
                <w:szCs w:val="21"/>
              </w:rPr>
              <w:t>项目拟设置</w:t>
            </w:r>
            <w:r>
              <w:rPr>
                <w:rFonts w:hint="eastAsia"/>
                <w:color w:val="000000" w:themeColor="text1"/>
                <w:szCs w:val="21"/>
              </w:rPr>
              <w:t>1</w:t>
            </w:r>
            <w:r>
              <w:rPr>
                <w:color w:val="000000" w:themeColor="text1"/>
                <w:szCs w:val="21"/>
              </w:rPr>
              <w:t>套砂石骨料生产废水处理系统对生产废水进行处理，</w:t>
            </w:r>
            <w:r>
              <w:rPr>
                <w:color w:val="FF0000"/>
                <w:szCs w:val="21"/>
              </w:rPr>
              <w:t>该系统由</w:t>
            </w:r>
            <w:r>
              <w:rPr>
                <w:rFonts w:hint="eastAsia"/>
                <w:color w:val="FF0000"/>
                <w:szCs w:val="21"/>
              </w:rPr>
              <w:t>1组有效容积为60m³的三级沉淀池、1个10m³回水池和回水管道</w:t>
            </w:r>
            <w:r>
              <w:rPr>
                <w:color w:val="FF0000"/>
                <w:szCs w:val="21"/>
              </w:rPr>
              <w:t>组成。</w:t>
            </w:r>
            <w:r>
              <w:rPr>
                <w:color w:val="000000" w:themeColor="text1"/>
                <w:szCs w:val="21"/>
              </w:rPr>
              <w:t>砂石骨料生产废水主要污染物为CODcr、SS和石油类，首先进入三级沉淀池进行沉淀，沉淀后，约90%的上层清水进入回水池回用于骨料生产系统，而三级沉淀池产生的的含水污泥则进入</w:t>
            </w:r>
            <w:r>
              <w:rPr>
                <w:rFonts w:hint="eastAsia"/>
                <w:color w:val="000000" w:themeColor="text1"/>
                <w:szCs w:val="21"/>
              </w:rPr>
              <w:t>建设单位建设的</w:t>
            </w:r>
            <w:r>
              <w:rPr>
                <w:color w:val="000000" w:themeColor="text1"/>
                <w:szCs w:val="21"/>
              </w:rPr>
              <w:t>昆明市东川金水矿业有限责任公司牛厂坪尾矿充填环境综合治理项目</w:t>
            </w:r>
            <w:r>
              <w:rPr>
                <w:rFonts w:hint="eastAsia"/>
                <w:color w:val="000000" w:themeColor="text1"/>
                <w:szCs w:val="21"/>
              </w:rPr>
              <w:t>进行井下充填处理。</w:t>
            </w:r>
          </w:p>
        </w:tc>
        <w:tc>
          <w:tcPr>
            <w:tcW w:w="1733" w:type="dxa"/>
            <w:tcBorders>
              <w:top w:val="single" w:color="auto" w:sz="4" w:space="0"/>
              <w:bottom w:val="single" w:color="auto" w:sz="4" w:space="0"/>
            </w:tcBorders>
            <w:vAlign w:val="center"/>
          </w:tcPr>
          <w:p>
            <w:pPr>
              <w:pStyle w:val="32"/>
              <w:spacing w:line="360" w:lineRule="exact"/>
              <w:ind w:firstLine="210" w:firstLineChars="100"/>
              <w:jc w:val="both"/>
              <w:rPr>
                <w:rFonts w:eastAsiaTheme="minorEastAsia"/>
                <w:color w:val="000000" w:themeColor="text1"/>
              </w:rPr>
            </w:pPr>
            <w:r>
              <w:rPr>
                <w:rFonts w:eastAsiaTheme="minorEastAsia"/>
                <w:color w:val="000000" w:themeColor="text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top w:val="single" w:color="auto" w:sz="4" w:space="0"/>
              <w:left w:val="single" w:color="auto" w:sz="4" w:space="0"/>
            </w:tcBorders>
            <w:vAlign w:val="center"/>
          </w:tcPr>
          <w:p>
            <w:pPr>
              <w:spacing w:line="360" w:lineRule="exact"/>
              <w:jc w:val="center"/>
              <w:rPr>
                <w:rFonts w:ascii="Times New Roman" w:hAnsi="Times New Roman" w:cs="Times New Roman"/>
                <w:color w:val="000000" w:themeColor="text1"/>
              </w:rPr>
            </w:pPr>
          </w:p>
        </w:tc>
        <w:tc>
          <w:tcPr>
            <w:tcW w:w="722" w:type="dxa"/>
            <w:gridSpan w:val="2"/>
            <w:vMerge w:val="continue"/>
            <w:tcBorders>
              <w:right w:val="single" w:color="auto" w:sz="4" w:space="0"/>
            </w:tcBorders>
            <w:vAlign w:val="center"/>
          </w:tcPr>
          <w:p>
            <w:pPr>
              <w:pStyle w:val="32"/>
              <w:spacing w:line="360" w:lineRule="exact"/>
              <w:rPr>
                <w:color w:val="000000" w:themeColor="text1"/>
                <w:szCs w:val="21"/>
              </w:rPr>
            </w:pPr>
          </w:p>
        </w:tc>
        <w:tc>
          <w:tcPr>
            <w:tcW w:w="2553" w:type="dxa"/>
            <w:gridSpan w:val="3"/>
            <w:vMerge w:val="restart"/>
            <w:tcBorders>
              <w:top w:val="single" w:color="auto" w:sz="4" w:space="0"/>
              <w:left w:val="single" w:color="auto" w:sz="4" w:space="0"/>
            </w:tcBorders>
            <w:vAlign w:val="center"/>
          </w:tcPr>
          <w:p>
            <w:pPr>
              <w:pStyle w:val="32"/>
              <w:spacing w:line="360" w:lineRule="exact"/>
              <w:rPr>
                <w:color w:val="000000" w:themeColor="text1"/>
                <w:szCs w:val="21"/>
              </w:rPr>
            </w:pPr>
            <w:r>
              <w:rPr>
                <w:rFonts w:eastAsiaTheme="minorEastAsia"/>
                <w:color w:val="000000" w:themeColor="text1"/>
                <w:szCs w:val="21"/>
              </w:rPr>
              <w:t>厂区</w:t>
            </w:r>
            <w:r>
              <w:rPr>
                <w:rFonts w:hint="eastAsia" w:eastAsiaTheme="minorEastAsia"/>
                <w:color w:val="000000" w:themeColor="text1"/>
                <w:szCs w:val="21"/>
              </w:rPr>
              <w:t>一期工程范围</w:t>
            </w:r>
            <w:r>
              <w:rPr>
                <w:rFonts w:eastAsiaTheme="minorEastAsia"/>
                <w:color w:val="000000" w:themeColor="text1"/>
                <w:szCs w:val="21"/>
              </w:rPr>
              <w:t>范围</w:t>
            </w:r>
          </w:p>
        </w:tc>
        <w:tc>
          <w:tcPr>
            <w:tcW w:w="999" w:type="dxa"/>
            <w:vAlign w:val="center"/>
          </w:tcPr>
          <w:p>
            <w:pPr>
              <w:pStyle w:val="32"/>
              <w:spacing w:line="360" w:lineRule="exact"/>
              <w:rPr>
                <w:rFonts w:eastAsiaTheme="minorEastAsia"/>
                <w:color w:val="000000" w:themeColor="text1"/>
                <w:szCs w:val="21"/>
              </w:rPr>
            </w:pPr>
            <w:r>
              <w:rPr>
                <w:color w:val="000000" w:themeColor="text1"/>
                <w:szCs w:val="21"/>
              </w:rPr>
              <w:t>不外排</w:t>
            </w:r>
          </w:p>
        </w:tc>
        <w:tc>
          <w:tcPr>
            <w:tcW w:w="1306" w:type="dxa"/>
            <w:vAlign w:val="center"/>
          </w:tcPr>
          <w:p>
            <w:pPr>
              <w:pStyle w:val="32"/>
              <w:spacing w:line="360" w:lineRule="exact"/>
              <w:rPr>
                <w:color w:val="000000" w:themeColor="text1"/>
                <w:szCs w:val="21"/>
              </w:rPr>
            </w:pPr>
            <w:r>
              <w:rPr>
                <w:rFonts w:eastAsiaTheme="minorEastAsia"/>
                <w:color w:val="000000" w:themeColor="text1"/>
                <w:szCs w:val="21"/>
              </w:rPr>
              <w:t>初期雨水</w:t>
            </w:r>
          </w:p>
        </w:tc>
        <w:tc>
          <w:tcPr>
            <w:tcW w:w="5633" w:type="dxa"/>
            <w:vAlign w:val="center"/>
          </w:tcPr>
          <w:p>
            <w:pPr>
              <w:pStyle w:val="32"/>
              <w:spacing w:line="360" w:lineRule="exact"/>
              <w:ind w:firstLine="210" w:firstLineChars="100"/>
              <w:jc w:val="both"/>
              <w:rPr>
                <w:color w:val="000000" w:themeColor="text1"/>
                <w:szCs w:val="21"/>
              </w:rPr>
            </w:pPr>
            <w:r>
              <w:rPr>
                <w:color w:val="000000" w:themeColor="text1"/>
                <w:szCs w:val="21"/>
              </w:rPr>
              <w:t>该项目</w:t>
            </w:r>
            <w:r>
              <w:rPr>
                <w:rFonts w:hint="eastAsia"/>
                <w:color w:val="000000" w:themeColor="text1"/>
                <w:szCs w:val="21"/>
              </w:rPr>
              <w:t>一期工程</w:t>
            </w:r>
            <w:r>
              <w:rPr>
                <w:color w:val="000000" w:themeColor="text1"/>
                <w:szCs w:val="21"/>
              </w:rPr>
              <w:t>拟配套设置1个有效容积为</w:t>
            </w:r>
            <w:r>
              <w:rPr>
                <w:rFonts w:hint="eastAsia"/>
                <w:color w:val="000000" w:themeColor="text1"/>
                <w:szCs w:val="21"/>
              </w:rPr>
              <w:t>9</w:t>
            </w:r>
            <w:r>
              <w:rPr>
                <w:color w:val="000000" w:themeColor="text1"/>
                <w:szCs w:val="21"/>
              </w:rPr>
              <w:t>m³的初期雨水收集池对厂区</w:t>
            </w:r>
            <w:r>
              <w:rPr>
                <w:rFonts w:hint="eastAsia"/>
                <w:color w:val="000000" w:themeColor="text1"/>
                <w:szCs w:val="21"/>
              </w:rPr>
              <w:t>一期工程</w:t>
            </w:r>
            <w:r>
              <w:rPr>
                <w:color w:val="000000" w:themeColor="text1"/>
                <w:szCs w:val="21"/>
              </w:rPr>
              <w:t>初期雨水进行收集，收集后用于该项目生产用水，不外排。</w:t>
            </w:r>
          </w:p>
        </w:tc>
        <w:tc>
          <w:tcPr>
            <w:tcW w:w="1733" w:type="dxa"/>
            <w:tcBorders>
              <w:top w:val="single" w:color="auto" w:sz="4" w:space="0"/>
              <w:bottom w:val="single" w:color="auto" w:sz="4" w:space="0"/>
            </w:tcBorders>
            <w:vAlign w:val="center"/>
          </w:tcPr>
          <w:p>
            <w:pPr>
              <w:pStyle w:val="32"/>
              <w:spacing w:line="360" w:lineRule="exact"/>
              <w:ind w:firstLine="210" w:firstLineChars="100"/>
              <w:jc w:val="both"/>
              <w:rPr>
                <w:rFonts w:eastAsiaTheme="minorEastAsia"/>
                <w:color w:val="000000" w:themeColor="text1"/>
              </w:rPr>
            </w:pPr>
            <w:r>
              <w:rPr>
                <w:rFonts w:hint="eastAsia" w:eastAsiaTheme="minorEastAsia"/>
                <w:color w:val="000000" w:themeColor="text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top w:val="single" w:color="auto" w:sz="4" w:space="0"/>
              <w:left w:val="single" w:color="auto" w:sz="4" w:space="0"/>
            </w:tcBorders>
            <w:vAlign w:val="center"/>
          </w:tcPr>
          <w:p>
            <w:pPr>
              <w:spacing w:line="360" w:lineRule="exact"/>
              <w:jc w:val="center"/>
              <w:rPr>
                <w:rFonts w:ascii="Times New Roman" w:hAnsi="Times New Roman" w:cs="Times New Roman"/>
                <w:color w:val="000000" w:themeColor="text1"/>
              </w:rPr>
            </w:pPr>
          </w:p>
        </w:tc>
        <w:tc>
          <w:tcPr>
            <w:tcW w:w="722" w:type="dxa"/>
            <w:gridSpan w:val="2"/>
            <w:vMerge w:val="continue"/>
            <w:tcBorders>
              <w:right w:val="single" w:color="auto" w:sz="4" w:space="0"/>
            </w:tcBorders>
            <w:vAlign w:val="center"/>
          </w:tcPr>
          <w:p>
            <w:pPr>
              <w:pStyle w:val="32"/>
              <w:spacing w:line="360" w:lineRule="exact"/>
              <w:rPr>
                <w:color w:val="000000" w:themeColor="text1"/>
                <w:szCs w:val="21"/>
              </w:rPr>
            </w:pPr>
          </w:p>
        </w:tc>
        <w:tc>
          <w:tcPr>
            <w:tcW w:w="2553" w:type="dxa"/>
            <w:gridSpan w:val="3"/>
            <w:vMerge w:val="continue"/>
            <w:tcBorders>
              <w:left w:val="single" w:color="auto" w:sz="4" w:space="0"/>
            </w:tcBorders>
            <w:vAlign w:val="center"/>
          </w:tcPr>
          <w:p>
            <w:pPr>
              <w:pStyle w:val="32"/>
              <w:spacing w:line="360" w:lineRule="exact"/>
              <w:rPr>
                <w:color w:val="000000" w:themeColor="text1"/>
                <w:szCs w:val="21"/>
              </w:rPr>
            </w:pPr>
          </w:p>
        </w:tc>
        <w:tc>
          <w:tcPr>
            <w:tcW w:w="999" w:type="dxa"/>
            <w:vAlign w:val="center"/>
          </w:tcPr>
          <w:p>
            <w:pPr>
              <w:pStyle w:val="32"/>
              <w:spacing w:line="360" w:lineRule="exact"/>
              <w:rPr>
                <w:color w:val="000000" w:themeColor="text1"/>
                <w:szCs w:val="21"/>
              </w:rPr>
            </w:pPr>
            <w:r>
              <w:rPr>
                <w:color w:val="000000" w:themeColor="text1"/>
                <w:szCs w:val="21"/>
              </w:rPr>
              <w:t>雨水口</w:t>
            </w:r>
          </w:p>
        </w:tc>
        <w:tc>
          <w:tcPr>
            <w:tcW w:w="1306" w:type="dxa"/>
            <w:vAlign w:val="center"/>
          </w:tcPr>
          <w:p>
            <w:pPr>
              <w:pStyle w:val="32"/>
              <w:spacing w:line="360" w:lineRule="exact"/>
              <w:rPr>
                <w:color w:val="000000" w:themeColor="text1"/>
                <w:szCs w:val="21"/>
              </w:rPr>
            </w:pPr>
            <w:r>
              <w:rPr>
                <w:color w:val="000000" w:themeColor="text1"/>
                <w:szCs w:val="21"/>
              </w:rPr>
              <w:t>雨水</w:t>
            </w:r>
          </w:p>
        </w:tc>
        <w:tc>
          <w:tcPr>
            <w:tcW w:w="5633" w:type="dxa"/>
            <w:vAlign w:val="center"/>
          </w:tcPr>
          <w:p>
            <w:pPr>
              <w:pStyle w:val="32"/>
              <w:spacing w:line="360" w:lineRule="exact"/>
              <w:ind w:firstLine="210" w:firstLineChars="100"/>
              <w:jc w:val="both"/>
              <w:rPr>
                <w:color w:val="000000" w:themeColor="text1"/>
                <w:szCs w:val="21"/>
              </w:rPr>
            </w:pPr>
            <w:r>
              <w:rPr>
                <w:color w:val="000000" w:themeColor="text1"/>
                <w:szCs w:val="21"/>
              </w:rPr>
              <w:t>雨水外排。</w:t>
            </w:r>
          </w:p>
        </w:tc>
        <w:tc>
          <w:tcPr>
            <w:tcW w:w="1733" w:type="dxa"/>
            <w:tcBorders>
              <w:top w:val="single" w:color="auto" w:sz="4" w:space="0"/>
              <w:bottom w:val="single" w:color="auto" w:sz="4" w:space="0"/>
            </w:tcBorders>
            <w:vAlign w:val="center"/>
          </w:tcPr>
          <w:p>
            <w:pPr>
              <w:pStyle w:val="32"/>
              <w:spacing w:line="360" w:lineRule="exact"/>
              <w:ind w:firstLine="210" w:firstLineChars="100"/>
              <w:jc w:val="both"/>
              <w:rPr>
                <w:rFonts w:eastAsiaTheme="minorEastAsia"/>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top w:val="single" w:color="auto" w:sz="4" w:space="0"/>
              <w:left w:val="single" w:color="auto" w:sz="4" w:space="0"/>
            </w:tcBorders>
            <w:vAlign w:val="center"/>
          </w:tcPr>
          <w:p>
            <w:pPr>
              <w:spacing w:line="360" w:lineRule="exact"/>
              <w:jc w:val="center"/>
              <w:rPr>
                <w:rFonts w:ascii="Times New Roman" w:hAnsi="Times New Roman" w:cs="Times New Roman"/>
                <w:color w:val="000000" w:themeColor="text1"/>
              </w:rPr>
            </w:pPr>
          </w:p>
        </w:tc>
        <w:tc>
          <w:tcPr>
            <w:tcW w:w="722" w:type="dxa"/>
            <w:gridSpan w:val="2"/>
            <w:vMerge w:val="continue"/>
            <w:tcBorders>
              <w:right w:val="single" w:color="auto" w:sz="4" w:space="0"/>
            </w:tcBorders>
            <w:vAlign w:val="center"/>
          </w:tcPr>
          <w:p>
            <w:pPr>
              <w:pStyle w:val="32"/>
              <w:spacing w:line="360" w:lineRule="exact"/>
              <w:rPr>
                <w:color w:val="000000" w:themeColor="text1"/>
                <w:szCs w:val="21"/>
              </w:rPr>
            </w:pPr>
          </w:p>
        </w:tc>
        <w:tc>
          <w:tcPr>
            <w:tcW w:w="2553" w:type="dxa"/>
            <w:gridSpan w:val="3"/>
            <w:tcBorders>
              <w:lef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员工生活</w:t>
            </w:r>
          </w:p>
        </w:tc>
        <w:tc>
          <w:tcPr>
            <w:tcW w:w="999" w:type="dxa"/>
            <w:vAlign w:val="center"/>
          </w:tcPr>
          <w:p>
            <w:pPr>
              <w:pStyle w:val="32"/>
              <w:spacing w:line="360" w:lineRule="exact"/>
              <w:rPr>
                <w:rFonts w:eastAsiaTheme="minorEastAsia"/>
                <w:color w:val="000000" w:themeColor="text1"/>
                <w:szCs w:val="21"/>
              </w:rPr>
            </w:pPr>
            <w:r>
              <w:rPr>
                <w:color w:val="000000" w:themeColor="text1"/>
                <w:szCs w:val="21"/>
              </w:rPr>
              <w:t>不外排</w:t>
            </w:r>
          </w:p>
        </w:tc>
        <w:tc>
          <w:tcPr>
            <w:tcW w:w="1306" w:type="dxa"/>
            <w:vAlign w:val="center"/>
          </w:tcPr>
          <w:p>
            <w:pPr>
              <w:pStyle w:val="32"/>
              <w:spacing w:line="360" w:lineRule="exact"/>
              <w:rPr>
                <w:color w:val="000000" w:themeColor="text1"/>
                <w:szCs w:val="21"/>
              </w:rPr>
            </w:pPr>
            <w:r>
              <w:rPr>
                <w:rFonts w:eastAsiaTheme="minorEastAsia"/>
                <w:color w:val="000000" w:themeColor="text1"/>
                <w:szCs w:val="21"/>
              </w:rPr>
              <w:t>生活污水</w:t>
            </w:r>
          </w:p>
        </w:tc>
        <w:tc>
          <w:tcPr>
            <w:tcW w:w="5633" w:type="dxa"/>
            <w:vAlign w:val="center"/>
          </w:tcPr>
          <w:p>
            <w:pPr>
              <w:pStyle w:val="32"/>
              <w:spacing w:line="360" w:lineRule="exact"/>
              <w:ind w:firstLine="210" w:firstLineChars="100"/>
              <w:jc w:val="both"/>
              <w:rPr>
                <w:color w:val="000000" w:themeColor="text1"/>
                <w:szCs w:val="21"/>
              </w:rPr>
            </w:pPr>
            <w:r>
              <w:rPr>
                <w:color w:val="000000" w:themeColor="text1"/>
                <w:szCs w:val="21"/>
              </w:rPr>
              <w:t>生活污水先进入1个有效容积为3m³的化粪池预处理，处理后统一进入1套处理能力为3m³/d的一体化污水处理设施处理，处理达到《城市污水再生利用 城市杂用水水质》（GB/T18920-2020）城市绿化标准后，回用于项目区绿化，不外排。</w:t>
            </w:r>
          </w:p>
        </w:tc>
        <w:tc>
          <w:tcPr>
            <w:tcW w:w="1733" w:type="dxa"/>
            <w:tcBorders>
              <w:top w:val="single" w:color="auto" w:sz="4" w:space="0"/>
              <w:bottom w:val="single" w:color="auto" w:sz="4" w:space="0"/>
            </w:tcBorders>
            <w:vAlign w:val="center"/>
          </w:tcPr>
          <w:p>
            <w:pPr>
              <w:pStyle w:val="32"/>
              <w:spacing w:line="360" w:lineRule="exact"/>
              <w:ind w:firstLine="210" w:firstLineChars="100"/>
              <w:jc w:val="both"/>
              <w:rPr>
                <w:rFonts w:eastAsiaTheme="minorEastAsia"/>
                <w:color w:val="000000" w:themeColor="text1"/>
              </w:rPr>
            </w:pPr>
            <w:r>
              <w:rPr>
                <w:rFonts w:eastAsiaTheme="minorEastAsia"/>
                <w:color w:val="000000" w:themeColor="text1"/>
              </w:rPr>
              <w:t>城市污水再生利用 城市杂用水水质》（GB/T18920-2020）城市绿化标准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top w:val="single" w:color="auto" w:sz="4" w:space="0"/>
              <w:left w:val="single" w:color="auto" w:sz="4" w:space="0"/>
            </w:tcBorders>
            <w:vAlign w:val="center"/>
          </w:tcPr>
          <w:p>
            <w:pPr>
              <w:spacing w:line="360" w:lineRule="exact"/>
              <w:jc w:val="center"/>
              <w:rPr>
                <w:rFonts w:ascii="Times New Roman" w:hAnsi="Times New Roman" w:cs="Times New Roman"/>
                <w:color w:val="000000" w:themeColor="text1"/>
              </w:rPr>
            </w:pPr>
          </w:p>
        </w:tc>
        <w:tc>
          <w:tcPr>
            <w:tcW w:w="722" w:type="dxa"/>
            <w:gridSpan w:val="2"/>
            <w:vMerge w:val="restart"/>
            <w:tcBorders>
              <w:top w:val="single" w:color="auto" w:sz="4" w:space="0"/>
              <w:right w:val="single" w:color="auto" w:sz="4"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二期工程</w:t>
            </w:r>
          </w:p>
        </w:tc>
        <w:tc>
          <w:tcPr>
            <w:tcW w:w="2553" w:type="dxa"/>
            <w:gridSpan w:val="3"/>
            <w:tcBorders>
              <w:top w:val="single" w:color="auto" w:sz="4" w:space="0"/>
              <w:left w:val="single" w:color="auto" w:sz="4"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水泥砖养护</w:t>
            </w:r>
          </w:p>
        </w:tc>
        <w:tc>
          <w:tcPr>
            <w:tcW w:w="999" w:type="dxa"/>
            <w:vAlign w:val="center"/>
          </w:tcPr>
          <w:p>
            <w:pPr>
              <w:pStyle w:val="32"/>
              <w:spacing w:line="360" w:lineRule="exact"/>
              <w:rPr>
                <w:rFonts w:eastAsiaTheme="minorEastAsia"/>
                <w:color w:val="000000" w:themeColor="text1"/>
                <w:szCs w:val="21"/>
              </w:rPr>
            </w:pPr>
            <w:r>
              <w:rPr>
                <w:color w:val="000000" w:themeColor="text1"/>
                <w:szCs w:val="21"/>
              </w:rPr>
              <w:t>不外排</w:t>
            </w:r>
          </w:p>
        </w:tc>
        <w:tc>
          <w:tcPr>
            <w:tcW w:w="1306" w:type="dxa"/>
            <w:vAlign w:val="center"/>
          </w:tcPr>
          <w:p>
            <w:pPr>
              <w:pStyle w:val="32"/>
              <w:spacing w:line="360" w:lineRule="exact"/>
              <w:rPr>
                <w:color w:val="000000" w:themeColor="text1"/>
                <w:szCs w:val="21"/>
              </w:rPr>
            </w:pPr>
            <w:r>
              <w:rPr>
                <w:rFonts w:hint="eastAsia" w:eastAsiaTheme="minorEastAsia"/>
                <w:color w:val="000000" w:themeColor="text1"/>
                <w:szCs w:val="21"/>
              </w:rPr>
              <w:t>水泥砖养护废水（SS）</w:t>
            </w:r>
          </w:p>
        </w:tc>
        <w:tc>
          <w:tcPr>
            <w:tcW w:w="5633" w:type="dxa"/>
            <w:vAlign w:val="center"/>
          </w:tcPr>
          <w:p>
            <w:pPr>
              <w:pStyle w:val="32"/>
              <w:spacing w:line="360" w:lineRule="exact"/>
              <w:ind w:firstLine="210" w:firstLineChars="100"/>
              <w:jc w:val="both"/>
              <w:rPr>
                <w:color w:val="000000" w:themeColor="text1"/>
                <w:szCs w:val="21"/>
              </w:rPr>
            </w:pPr>
            <w:r>
              <w:rPr>
                <w:rFonts w:hint="eastAsia"/>
                <w:color w:val="000000" w:themeColor="text1"/>
                <w:szCs w:val="21"/>
              </w:rPr>
              <w:t>项目拟设置1个有效容积为6</w:t>
            </w:r>
            <w:r>
              <w:rPr>
                <w:color w:val="000000" w:themeColor="text1"/>
                <w:szCs w:val="21"/>
              </w:rPr>
              <w:t>m³</w:t>
            </w:r>
            <w:r>
              <w:rPr>
                <w:rFonts w:hint="eastAsia"/>
                <w:color w:val="000000" w:themeColor="text1"/>
                <w:szCs w:val="21"/>
              </w:rPr>
              <w:t>的养护废水收集池对其进行收集后，返回养护工序使用，不外排。</w:t>
            </w:r>
          </w:p>
        </w:tc>
        <w:tc>
          <w:tcPr>
            <w:tcW w:w="1733" w:type="dxa"/>
            <w:tcBorders>
              <w:top w:val="single" w:color="auto" w:sz="4" w:space="0"/>
              <w:bottom w:val="single" w:color="auto" w:sz="4" w:space="0"/>
            </w:tcBorders>
            <w:vAlign w:val="center"/>
          </w:tcPr>
          <w:p>
            <w:pPr>
              <w:pStyle w:val="32"/>
              <w:spacing w:line="360" w:lineRule="exact"/>
              <w:ind w:firstLine="210" w:firstLineChars="100"/>
              <w:jc w:val="both"/>
              <w:rPr>
                <w:rFonts w:eastAsiaTheme="minorEastAsia"/>
                <w:color w:val="000000" w:themeColor="text1"/>
              </w:rPr>
            </w:pPr>
            <w:r>
              <w:rPr>
                <w:rFonts w:hint="eastAsia" w:eastAsiaTheme="minorEastAsia"/>
                <w:color w:val="000000" w:themeColor="text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top w:val="single" w:color="auto" w:sz="4" w:space="0"/>
              <w:left w:val="single" w:color="auto" w:sz="4" w:space="0"/>
            </w:tcBorders>
            <w:vAlign w:val="center"/>
          </w:tcPr>
          <w:p>
            <w:pPr>
              <w:spacing w:line="360" w:lineRule="exact"/>
              <w:jc w:val="center"/>
              <w:rPr>
                <w:rFonts w:ascii="Times New Roman" w:hAnsi="Times New Roman" w:cs="Times New Roman"/>
                <w:color w:val="000000" w:themeColor="text1"/>
              </w:rPr>
            </w:pPr>
          </w:p>
        </w:tc>
        <w:tc>
          <w:tcPr>
            <w:tcW w:w="722" w:type="dxa"/>
            <w:gridSpan w:val="2"/>
            <w:vMerge w:val="continue"/>
            <w:tcBorders>
              <w:right w:val="single" w:color="auto" w:sz="4" w:space="0"/>
            </w:tcBorders>
            <w:vAlign w:val="center"/>
          </w:tcPr>
          <w:p>
            <w:pPr>
              <w:pStyle w:val="32"/>
              <w:spacing w:line="360" w:lineRule="exact"/>
              <w:rPr>
                <w:rFonts w:eastAsiaTheme="minorEastAsia"/>
                <w:color w:val="000000" w:themeColor="text1"/>
                <w:szCs w:val="21"/>
              </w:rPr>
            </w:pPr>
          </w:p>
        </w:tc>
        <w:tc>
          <w:tcPr>
            <w:tcW w:w="2553" w:type="dxa"/>
            <w:gridSpan w:val="3"/>
            <w:vMerge w:val="restart"/>
            <w:tcBorders>
              <w:top w:val="single" w:color="auto" w:sz="4" w:space="0"/>
              <w:lef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厂区</w:t>
            </w:r>
            <w:r>
              <w:rPr>
                <w:rFonts w:hint="eastAsia" w:eastAsiaTheme="minorEastAsia"/>
                <w:color w:val="000000" w:themeColor="text1"/>
                <w:szCs w:val="21"/>
              </w:rPr>
              <w:t>二期工程</w:t>
            </w:r>
            <w:r>
              <w:rPr>
                <w:rFonts w:eastAsiaTheme="minorEastAsia"/>
                <w:color w:val="000000" w:themeColor="text1"/>
                <w:szCs w:val="21"/>
              </w:rPr>
              <w:t>范围</w:t>
            </w:r>
          </w:p>
        </w:tc>
        <w:tc>
          <w:tcPr>
            <w:tcW w:w="999" w:type="dxa"/>
            <w:vAlign w:val="center"/>
          </w:tcPr>
          <w:p>
            <w:pPr>
              <w:pStyle w:val="32"/>
              <w:spacing w:line="360" w:lineRule="exact"/>
              <w:rPr>
                <w:rFonts w:eastAsiaTheme="minorEastAsia"/>
                <w:color w:val="000000" w:themeColor="text1"/>
                <w:szCs w:val="21"/>
              </w:rPr>
            </w:pPr>
            <w:r>
              <w:rPr>
                <w:color w:val="000000" w:themeColor="text1"/>
                <w:szCs w:val="21"/>
              </w:rPr>
              <w:t>不外排</w:t>
            </w:r>
          </w:p>
        </w:tc>
        <w:tc>
          <w:tcPr>
            <w:tcW w:w="1306" w:type="dxa"/>
            <w:vAlign w:val="center"/>
          </w:tcPr>
          <w:p>
            <w:pPr>
              <w:pStyle w:val="32"/>
              <w:spacing w:line="360" w:lineRule="exact"/>
              <w:rPr>
                <w:color w:val="000000" w:themeColor="text1"/>
                <w:szCs w:val="21"/>
              </w:rPr>
            </w:pPr>
            <w:r>
              <w:rPr>
                <w:rFonts w:eastAsiaTheme="minorEastAsia"/>
                <w:color w:val="000000" w:themeColor="text1"/>
                <w:szCs w:val="21"/>
              </w:rPr>
              <w:t>初期雨水</w:t>
            </w:r>
          </w:p>
        </w:tc>
        <w:tc>
          <w:tcPr>
            <w:tcW w:w="5633" w:type="dxa"/>
            <w:vAlign w:val="center"/>
          </w:tcPr>
          <w:p>
            <w:pPr>
              <w:pStyle w:val="32"/>
              <w:spacing w:line="360" w:lineRule="exact"/>
              <w:ind w:firstLine="210" w:firstLineChars="100"/>
              <w:jc w:val="both"/>
              <w:rPr>
                <w:color w:val="000000" w:themeColor="text1"/>
                <w:szCs w:val="21"/>
              </w:rPr>
            </w:pPr>
            <w:r>
              <w:rPr>
                <w:color w:val="000000" w:themeColor="text1"/>
                <w:szCs w:val="21"/>
              </w:rPr>
              <w:t>该项目</w:t>
            </w:r>
            <w:r>
              <w:rPr>
                <w:rFonts w:hint="eastAsia"/>
                <w:color w:val="000000" w:themeColor="text1"/>
                <w:szCs w:val="21"/>
              </w:rPr>
              <w:t>二期工程</w:t>
            </w:r>
            <w:r>
              <w:rPr>
                <w:color w:val="000000" w:themeColor="text1"/>
                <w:szCs w:val="21"/>
              </w:rPr>
              <w:t>拟配套设置1个有效容积为</w:t>
            </w:r>
            <w:r>
              <w:rPr>
                <w:rFonts w:hint="eastAsia"/>
                <w:color w:val="000000" w:themeColor="text1"/>
                <w:szCs w:val="21"/>
              </w:rPr>
              <w:t>5</w:t>
            </w:r>
            <w:r>
              <w:rPr>
                <w:color w:val="000000" w:themeColor="text1"/>
                <w:szCs w:val="21"/>
              </w:rPr>
              <w:t>m³的</w:t>
            </w:r>
            <w:r>
              <w:rPr>
                <w:rFonts w:hint="eastAsia"/>
                <w:color w:val="000000" w:themeColor="text1"/>
                <w:szCs w:val="21"/>
              </w:rPr>
              <w:t>二期工程</w:t>
            </w:r>
            <w:r>
              <w:rPr>
                <w:color w:val="000000" w:themeColor="text1"/>
                <w:szCs w:val="21"/>
              </w:rPr>
              <w:t>初期雨水收集池对厂区的初期雨水进行收集，收集后用于该项目生产用水，不外排。</w:t>
            </w:r>
          </w:p>
        </w:tc>
        <w:tc>
          <w:tcPr>
            <w:tcW w:w="1733" w:type="dxa"/>
            <w:tcBorders>
              <w:top w:val="single" w:color="auto" w:sz="4" w:space="0"/>
            </w:tcBorders>
            <w:vAlign w:val="center"/>
          </w:tcPr>
          <w:p>
            <w:pPr>
              <w:pStyle w:val="32"/>
              <w:spacing w:line="360" w:lineRule="exact"/>
              <w:ind w:firstLine="210" w:firstLineChars="100"/>
              <w:jc w:val="both"/>
              <w:rPr>
                <w:rFonts w:eastAsiaTheme="minorEastAsia"/>
                <w:color w:val="000000" w:themeColor="text1"/>
              </w:rPr>
            </w:pPr>
            <w:r>
              <w:rPr>
                <w:rFonts w:hint="eastAsia" w:eastAsiaTheme="minorEastAsia"/>
                <w:color w:val="000000" w:themeColor="text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722" w:type="dxa"/>
            <w:gridSpan w:val="2"/>
            <w:vMerge w:val="continue"/>
            <w:tcBorders>
              <w:right w:val="single" w:color="auto" w:sz="4" w:space="0"/>
            </w:tcBorders>
            <w:vAlign w:val="center"/>
          </w:tcPr>
          <w:p>
            <w:pPr>
              <w:rPr>
                <w:rFonts w:ascii="Times New Roman" w:hAnsi="Times New Roman" w:cs="Times New Roman"/>
                <w:color w:val="000000" w:themeColor="text1"/>
              </w:rPr>
            </w:pPr>
          </w:p>
        </w:tc>
        <w:tc>
          <w:tcPr>
            <w:tcW w:w="2553" w:type="dxa"/>
            <w:gridSpan w:val="3"/>
            <w:vMerge w:val="continue"/>
            <w:tcBorders>
              <w:left w:val="single" w:color="auto" w:sz="4" w:space="0"/>
            </w:tcBorders>
            <w:vAlign w:val="center"/>
          </w:tcPr>
          <w:p>
            <w:pPr>
              <w:rPr>
                <w:rFonts w:ascii="Times New Roman" w:hAnsi="Times New Roman" w:cs="Times New Roman"/>
                <w:color w:val="000000" w:themeColor="text1"/>
              </w:rPr>
            </w:pPr>
          </w:p>
        </w:tc>
        <w:tc>
          <w:tcPr>
            <w:tcW w:w="999" w:type="dxa"/>
            <w:vAlign w:val="center"/>
          </w:tcPr>
          <w:p>
            <w:pPr>
              <w:pStyle w:val="32"/>
              <w:spacing w:line="360" w:lineRule="exact"/>
              <w:rPr>
                <w:color w:val="000000" w:themeColor="text1"/>
                <w:szCs w:val="21"/>
              </w:rPr>
            </w:pPr>
            <w:r>
              <w:rPr>
                <w:color w:val="000000" w:themeColor="text1"/>
                <w:szCs w:val="21"/>
              </w:rPr>
              <w:t>雨水口</w:t>
            </w:r>
          </w:p>
        </w:tc>
        <w:tc>
          <w:tcPr>
            <w:tcW w:w="1306" w:type="dxa"/>
            <w:vAlign w:val="center"/>
          </w:tcPr>
          <w:p>
            <w:pPr>
              <w:pStyle w:val="32"/>
              <w:spacing w:line="360" w:lineRule="exact"/>
              <w:rPr>
                <w:color w:val="000000" w:themeColor="text1"/>
                <w:szCs w:val="21"/>
              </w:rPr>
            </w:pPr>
            <w:r>
              <w:rPr>
                <w:color w:val="000000" w:themeColor="text1"/>
                <w:szCs w:val="21"/>
              </w:rPr>
              <w:t>雨水</w:t>
            </w:r>
          </w:p>
        </w:tc>
        <w:tc>
          <w:tcPr>
            <w:tcW w:w="5633" w:type="dxa"/>
            <w:vAlign w:val="center"/>
          </w:tcPr>
          <w:p>
            <w:pPr>
              <w:pStyle w:val="32"/>
              <w:spacing w:line="360" w:lineRule="exact"/>
              <w:ind w:firstLine="210" w:firstLineChars="100"/>
              <w:jc w:val="both"/>
              <w:rPr>
                <w:color w:val="000000" w:themeColor="text1"/>
                <w:szCs w:val="21"/>
              </w:rPr>
            </w:pPr>
            <w:r>
              <w:rPr>
                <w:color w:val="000000" w:themeColor="text1"/>
                <w:szCs w:val="21"/>
              </w:rPr>
              <w:t>雨水外排。</w:t>
            </w:r>
          </w:p>
        </w:tc>
        <w:tc>
          <w:tcPr>
            <w:tcW w:w="1733" w:type="dxa"/>
            <w:vAlign w:val="center"/>
          </w:tcPr>
          <w:p>
            <w:pPr>
              <w:pStyle w:val="32"/>
              <w:spacing w:line="360" w:lineRule="exact"/>
              <w:ind w:firstLine="210" w:firstLineChars="100"/>
              <w:jc w:val="both"/>
              <w:rPr>
                <w:rFonts w:eastAsiaTheme="minorEastAsia"/>
                <w:color w:val="000000" w:themeColor="text1"/>
              </w:rPr>
            </w:pPr>
            <w:r>
              <w:rPr>
                <w:rFonts w:eastAsiaTheme="minorEastAsia"/>
                <w:color w:val="000000" w:themeColor="text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6" w:type="dxa"/>
            <w:vMerge w:val="restart"/>
            <w:tcBorders>
              <w:right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声环境</w:t>
            </w:r>
          </w:p>
        </w:tc>
        <w:tc>
          <w:tcPr>
            <w:tcW w:w="702" w:type="dxa"/>
            <w:tcBorders>
              <w:left w:val="single" w:color="auto" w:sz="4" w:space="0"/>
              <w:bottom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施工期</w:t>
            </w:r>
          </w:p>
        </w:tc>
        <w:tc>
          <w:tcPr>
            <w:tcW w:w="1999" w:type="dxa"/>
            <w:gridSpan w:val="4"/>
            <w:tcBorders>
              <w:bottom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施工场地</w:t>
            </w:r>
          </w:p>
        </w:tc>
        <w:tc>
          <w:tcPr>
            <w:tcW w:w="2275"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生产设备</w:t>
            </w:r>
          </w:p>
        </w:tc>
        <w:tc>
          <w:tcPr>
            <w:tcW w:w="1306" w:type="dxa"/>
            <w:tcBorders>
              <w:bottom w:val="single" w:color="auto" w:sz="4" w:space="0"/>
            </w:tcBorders>
            <w:vAlign w:val="center"/>
          </w:tcPr>
          <w:p>
            <w:pPr>
              <w:spacing w:line="360" w:lineRule="exact"/>
              <w:jc w:val="center"/>
              <w:rPr>
                <w:rFonts w:ascii="Times New Roman" w:hAnsi="Times New Roman" w:cs="Times New Roman"/>
                <w:color w:val="000000" w:themeColor="text1"/>
                <w:kern w:val="0"/>
              </w:rPr>
            </w:pPr>
            <w:r>
              <w:rPr>
                <w:rFonts w:ascii="Times New Roman" w:hAnsi="Times New Roman" w:cs="Times New Roman"/>
                <w:color w:val="000000" w:themeColor="text1"/>
                <w:kern w:val="0"/>
              </w:rPr>
              <w:t>LeqdB（A）</w:t>
            </w:r>
          </w:p>
        </w:tc>
        <w:tc>
          <w:tcPr>
            <w:tcW w:w="5633" w:type="dxa"/>
            <w:tcBorders>
              <w:bottom w:val="single" w:color="auto" w:sz="4" w:space="0"/>
            </w:tcBorders>
            <w:vAlign w:val="center"/>
          </w:tcPr>
          <w:p>
            <w:pPr>
              <w:pStyle w:val="32"/>
              <w:spacing w:line="360" w:lineRule="exact"/>
              <w:ind w:firstLine="210" w:firstLineChars="100"/>
              <w:jc w:val="both"/>
              <w:rPr>
                <w:color w:val="000000" w:themeColor="text1"/>
                <w:szCs w:val="21"/>
              </w:rPr>
            </w:pPr>
            <w:r>
              <w:rPr>
                <w:rFonts w:hint="eastAsia" w:ascii="宋体" w:hAnsi="宋体" w:cs="宋体"/>
                <w:color w:val="000000" w:themeColor="text1"/>
                <w:szCs w:val="21"/>
              </w:rPr>
              <w:t>①</w:t>
            </w:r>
            <w:r>
              <w:rPr>
                <w:color w:val="000000" w:themeColor="text1"/>
                <w:szCs w:val="21"/>
              </w:rPr>
              <w:t>加强施工期的操作规范；</w:t>
            </w:r>
          </w:p>
          <w:p>
            <w:pPr>
              <w:pStyle w:val="32"/>
              <w:spacing w:line="360" w:lineRule="exact"/>
              <w:ind w:firstLine="210" w:firstLineChars="100"/>
              <w:jc w:val="both"/>
              <w:rPr>
                <w:color w:val="000000" w:themeColor="text1"/>
                <w:szCs w:val="21"/>
              </w:rPr>
            </w:pPr>
            <w:r>
              <w:rPr>
                <w:rFonts w:hint="eastAsia" w:ascii="宋体" w:hAnsi="宋体" w:cs="宋体"/>
                <w:color w:val="000000" w:themeColor="text1"/>
                <w:szCs w:val="21"/>
              </w:rPr>
              <w:t>②</w:t>
            </w:r>
            <w:r>
              <w:rPr>
                <w:color w:val="000000" w:themeColor="text1"/>
                <w:szCs w:val="21"/>
              </w:rPr>
              <w:t>运输车辆进出施工场地时应控制车速，禁止鸣笛，减少车辆在施工场地的停留时间，减小运输噪声对环境的影响；</w:t>
            </w:r>
          </w:p>
          <w:p>
            <w:pPr>
              <w:pStyle w:val="32"/>
              <w:spacing w:line="360" w:lineRule="exact"/>
              <w:ind w:firstLine="210" w:firstLineChars="100"/>
              <w:jc w:val="both"/>
              <w:rPr>
                <w:color w:val="000000" w:themeColor="text1"/>
                <w:szCs w:val="21"/>
              </w:rPr>
            </w:pPr>
            <w:r>
              <w:rPr>
                <w:rFonts w:hint="eastAsia" w:ascii="宋体" w:hAnsi="宋体" w:cs="宋体"/>
                <w:color w:val="000000" w:themeColor="text1"/>
                <w:szCs w:val="21"/>
              </w:rPr>
              <w:t>③</w:t>
            </w:r>
            <w:r>
              <w:rPr>
                <w:color w:val="000000" w:themeColor="text1"/>
                <w:szCs w:val="21"/>
              </w:rPr>
              <w:t>加强与周围居民的沟通，避免扰民事件发生。</w:t>
            </w:r>
          </w:p>
        </w:tc>
        <w:tc>
          <w:tcPr>
            <w:tcW w:w="1733" w:type="dxa"/>
            <w:tcBorders>
              <w:bottom w:val="single" w:color="auto" w:sz="4" w:space="0"/>
            </w:tcBorders>
            <w:vAlign w:val="center"/>
          </w:tcPr>
          <w:p>
            <w:pPr>
              <w:pStyle w:val="32"/>
              <w:spacing w:line="360" w:lineRule="exact"/>
              <w:ind w:firstLine="210" w:firstLineChars="100"/>
              <w:jc w:val="both"/>
              <w:rPr>
                <w:color w:val="000000" w:themeColor="text1"/>
                <w:szCs w:val="21"/>
              </w:rPr>
            </w:pPr>
            <w:r>
              <w:rPr>
                <w:color w:val="000000" w:themeColor="text1"/>
                <w:szCs w:val="21"/>
              </w:rPr>
              <w:t>《建筑施工场界噪声环境噪声排放标准》（GB12523-2011）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restart"/>
            <w:tcBorders>
              <w:top w:val="single" w:color="auto" w:sz="4" w:space="0"/>
              <w:left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运营期</w:t>
            </w:r>
          </w:p>
        </w:tc>
        <w:tc>
          <w:tcPr>
            <w:tcW w:w="722" w:type="dxa"/>
            <w:gridSpan w:val="2"/>
            <w:vMerge w:val="restart"/>
            <w:tcBorders>
              <w:top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一期工程</w:t>
            </w:r>
          </w:p>
        </w:tc>
        <w:tc>
          <w:tcPr>
            <w:tcW w:w="1277" w:type="dxa"/>
            <w:gridSpan w:val="2"/>
            <w:vMerge w:val="restart"/>
            <w:tcBorders>
              <w:top w:val="single" w:color="auto" w:sz="4" w:space="0"/>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破碎筛分车间</w:t>
            </w:r>
          </w:p>
        </w:tc>
        <w:tc>
          <w:tcPr>
            <w:tcW w:w="2275"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板式给料机</w:t>
            </w:r>
          </w:p>
        </w:tc>
        <w:tc>
          <w:tcPr>
            <w:tcW w:w="1306" w:type="dxa"/>
            <w:vMerge w:val="restart"/>
            <w:tcBorders>
              <w:top w:val="single" w:color="auto" w:sz="4" w:space="0"/>
            </w:tcBorders>
            <w:vAlign w:val="center"/>
          </w:tcPr>
          <w:p>
            <w:pPr>
              <w:spacing w:line="360" w:lineRule="exact"/>
              <w:jc w:val="center"/>
              <w:rPr>
                <w:rFonts w:ascii="Times New Roman" w:hAnsi="Times New Roman" w:cs="Times New Roman"/>
                <w:color w:val="000000" w:themeColor="text1"/>
                <w:kern w:val="0"/>
              </w:rPr>
            </w:pPr>
            <w:r>
              <w:rPr>
                <w:rFonts w:ascii="Times New Roman" w:hAnsi="Times New Roman" w:cs="Times New Roman"/>
                <w:color w:val="000000" w:themeColor="text1"/>
                <w:kern w:val="0"/>
              </w:rPr>
              <w:t>LeqdB（A）</w:t>
            </w:r>
          </w:p>
        </w:tc>
        <w:tc>
          <w:tcPr>
            <w:tcW w:w="5633" w:type="dxa"/>
            <w:vMerge w:val="restart"/>
            <w:tcBorders>
              <w:top w:val="single" w:color="auto" w:sz="4" w:space="0"/>
            </w:tcBorders>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设备安装减震垫、消声器、墙体阻隔等。</w:t>
            </w:r>
          </w:p>
        </w:tc>
        <w:tc>
          <w:tcPr>
            <w:tcW w:w="1733" w:type="dxa"/>
            <w:vMerge w:val="restart"/>
            <w:tcBorders>
              <w:top w:val="single" w:color="auto" w:sz="4" w:space="0"/>
            </w:tcBorders>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达到《工业企业厂界环境噪声排放标准》（GB12348-2008）2类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722" w:type="dxa"/>
            <w:gridSpan w:val="2"/>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277" w:type="dxa"/>
            <w:gridSpan w:val="2"/>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2275"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颚式破碎机</w:t>
            </w:r>
          </w:p>
        </w:tc>
        <w:tc>
          <w:tcPr>
            <w:tcW w:w="1306" w:type="dxa"/>
            <w:vMerge w:val="continue"/>
            <w:vAlign w:val="center"/>
          </w:tcPr>
          <w:p>
            <w:pPr>
              <w:spacing w:line="360" w:lineRule="exact"/>
              <w:jc w:val="center"/>
              <w:rPr>
                <w:rFonts w:ascii="Times New Roman" w:hAnsi="Times New Roman" w:cs="Times New Roman"/>
                <w:color w:val="000000" w:themeColor="text1"/>
                <w:kern w:val="0"/>
              </w:rPr>
            </w:pPr>
          </w:p>
        </w:tc>
        <w:tc>
          <w:tcPr>
            <w:tcW w:w="5633" w:type="dxa"/>
            <w:vMerge w:val="continue"/>
            <w:vAlign w:val="center"/>
          </w:tcPr>
          <w:p>
            <w:pPr>
              <w:pStyle w:val="32"/>
              <w:spacing w:line="360" w:lineRule="exact"/>
              <w:rPr>
                <w:rFonts w:eastAsiaTheme="minorEastAsia"/>
                <w:color w:val="000000" w:themeColor="text1"/>
                <w:szCs w:val="21"/>
              </w:rPr>
            </w:pPr>
          </w:p>
        </w:tc>
        <w:tc>
          <w:tcPr>
            <w:tcW w:w="173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722" w:type="dxa"/>
            <w:gridSpan w:val="2"/>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277" w:type="dxa"/>
            <w:gridSpan w:val="2"/>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2275"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反击破碎机</w:t>
            </w:r>
          </w:p>
        </w:tc>
        <w:tc>
          <w:tcPr>
            <w:tcW w:w="1306" w:type="dxa"/>
            <w:vMerge w:val="continue"/>
            <w:vAlign w:val="center"/>
          </w:tcPr>
          <w:p>
            <w:pPr>
              <w:spacing w:line="360" w:lineRule="exact"/>
              <w:jc w:val="center"/>
              <w:rPr>
                <w:rFonts w:ascii="Times New Roman" w:hAnsi="Times New Roman" w:cs="Times New Roman"/>
                <w:color w:val="000000" w:themeColor="text1"/>
                <w:kern w:val="0"/>
              </w:rPr>
            </w:pPr>
          </w:p>
        </w:tc>
        <w:tc>
          <w:tcPr>
            <w:tcW w:w="5633" w:type="dxa"/>
            <w:vMerge w:val="continue"/>
            <w:vAlign w:val="center"/>
          </w:tcPr>
          <w:p>
            <w:pPr>
              <w:pStyle w:val="32"/>
              <w:spacing w:line="360" w:lineRule="exact"/>
              <w:rPr>
                <w:rFonts w:eastAsiaTheme="minorEastAsia"/>
                <w:color w:val="000000" w:themeColor="text1"/>
                <w:szCs w:val="21"/>
              </w:rPr>
            </w:pPr>
          </w:p>
        </w:tc>
        <w:tc>
          <w:tcPr>
            <w:tcW w:w="173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722" w:type="dxa"/>
            <w:gridSpan w:val="2"/>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277" w:type="dxa"/>
            <w:gridSpan w:val="2"/>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2275"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圆振筛</w:t>
            </w:r>
          </w:p>
        </w:tc>
        <w:tc>
          <w:tcPr>
            <w:tcW w:w="1306" w:type="dxa"/>
            <w:vMerge w:val="continue"/>
            <w:vAlign w:val="center"/>
          </w:tcPr>
          <w:p>
            <w:pPr>
              <w:spacing w:line="360" w:lineRule="exact"/>
              <w:jc w:val="center"/>
              <w:rPr>
                <w:rFonts w:ascii="Times New Roman" w:hAnsi="Times New Roman" w:cs="Times New Roman"/>
                <w:color w:val="000000" w:themeColor="text1"/>
                <w:kern w:val="0"/>
              </w:rPr>
            </w:pPr>
          </w:p>
        </w:tc>
        <w:tc>
          <w:tcPr>
            <w:tcW w:w="5633" w:type="dxa"/>
            <w:vMerge w:val="continue"/>
            <w:vAlign w:val="center"/>
          </w:tcPr>
          <w:p>
            <w:pPr>
              <w:pStyle w:val="32"/>
              <w:spacing w:line="360" w:lineRule="exact"/>
              <w:rPr>
                <w:rFonts w:eastAsiaTheme="minorEastAsia"/>
                <w:color w:val="000000" w:themeColor="text1"/>
                <w:szCs w:val="21"/>
              </w:rPr>
            </w:pPr>
          </w:p>
        </w:tc>
        <w:tc>
          <w:tcPr>
            <w:tcW w:w="173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722" w:type="dxa"/>
            <w:gridSpan w:val="2"/>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277" w:type="dxa"/>
            <w:gridSpan w:val="2"/>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2275"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立轴制砂机</w:t>
            </w:r>
          </w:p>
        </w:tc>
        <w:tc>
          <w:tcPr>
            <w:tcW w:w="1306" w:type="dxa"/>
            <w:vMerge w:val="continue"/>
            <w:vAlign w:val="center"/>
          </w:tcPr>
          <w:p>
            <w:pPr>
              <w:spacing w:line="360" w:lineRule="exact"/>
              <w:jc w:val="center"/>
              <w:rPr>
                <w:rFonts w:ascii="Times New Roman" w:hAnsi="Times New Roman" w:cs="Times New Roman"/>
                <w:color w:val="000000" w:themeColor="text1"/>
                <w:kern w:val="0"/>
              </w:rPr>
            </w:pPr>
          </w:p>
        </w:tc>
        <w:tc>
          <w:tcPr>
            <w:tcW w:w="5633" w:type="dxa"/>
            <w:vMerge w:val="continue"/>
            <w:vAlign w:val="center"/>
          </w:tcPr>
          <w:p>
            <w:pPr>
              <w:pStyle w:val="32"/>
              <w:spacing w:line="360" w:lineRule="exact"/>
              <w:rPr>
                <w:rFonts w:eastAsiaTheme="minorEastAsia"/>
                <w:color w:val="000000" w:themeColor="text1"/>
                <w:szCs w:val="21"/>
              </w:rPr>
            </w:pPr>
          </w:p>
        </w:tc>
        <w:tc>
          <w:tcPr>
            <w:tcW w:w="173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722" w:type="dxa"/>
            <w:gridSpan w:val="2"/>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277" w:type="dxa"/>
            <w:gridSpan w:val="2"/>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2275"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球磨机</w:t>
            </w:r>
          </w:p>
        </w:tc>
        <w:tc>
          <w:tcPr>
            <w:tcW w:w="1306" w:type="dxa"/>
            <w:vMerge w:val="continue"/>
            <w:vAlign w:val="center"/>
          </w:tcPr>
          <w:p>
            <w:pPr>
              <w:spacing w:line="360" w:lineRule="exact"/>
              <w:jc w:val="center"/>
              <w:rPr>
                <w:rFonts w:ascii="Times New Roman" w:hAnsi="Times New Roman" w:cs="Times New Roman"/>
                <w:color w:val="000000" w:themeColor="text1"/>
                <w:kern w:val="0"/>
              </w:rPr>
            </w:pPr>
          </w:p>
        </w:tc>
        <w:tc>
          <w:tcPr>
            <w:tcW w:w="5633" w:type="dxa"/>
            <w:vMerge w:val="continue"/>
            <w:vAlign w:val="center"/>
          </w:tcPr>
          <w:p>
            <w:pPr>
              <w:pStyle w:val="32"/>
              <w:spacing w:line="360" w:lineRule="exact"/>
              <w:rPr>
                <w:rFonts w:eastAsiaTheme="minorEastAsia"/>
                <w:color w:val="000000" w:themeColor="text1"/>
                <w:szCs w:val="21"/>
              </w:rPr>
            </w:pPr>
          </w:p>
        </w:tc>
        <w:tc>
          <w:tcPr>
            <w:tcW w:w="173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722" w:type="dxa"/>
            <w:gridSpan w:val="2"/>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277" w:type="dxa"/>
            <w:gridSpan w:val="2"/>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2275"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皮带运输机</w:t>
            </w:r>
          </w:p>
        </w:tc>
        <w:tc>
          <w:tcPr>
            <w:tcW w:w="1306" w:type="dxa"/>
            <w:vMerge w:val="continue"/>
            <w:vAlign w:val="center"/>
          </w:tcPr>
          <w:p>
            <w:pPr>
              <w:spacing w:line="360" w:lineRule="exact"/>
              <w:jc w:val="center"/>
              <w:rPr>
                <w:rFonts w:ascii="Times New Roman" w:hAnsi="Times New Roman" w:cs="Times New Roman"/>
                <w:color w:val="000000" w:themeColor="text1"/>
                <w:kern w:val="0"/>
              </w:rPr>
            </w:pPr>
          </w:p>
        </w:tc>
        <w:tc>
          <w:tcPr>
            <w:tcW w:w="5633" w:type="dxa"/>
            <w:vMerge w:val="continue"/>
            <w:vAlign w:val="center"/>
          </w:tcPr>
          <w:p>
            <w:pPr>
              <w:pStyle w:val="32"/>
              <w:spacing w:line="360" w:lineRule="exact"/>
              <w:rPr>
                <w:rFonts w:eastAsiaTheme="minorEastAsia"/>
                <w:color w:val="000000" w:themeColor="text1"/>
                <w:szCs w:val="21"/>
              </w:rPr>
            </w:pPr>
          </w:p>
        </w:tc>
        <w:tc>
          <w:tcPr>
            <w:tcW w:w="173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722" w:type="dxa"/>
            <w:gridSpan w:val="2"/>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277" w:type="dxa"/>
            <w:gridSpan w:val="2"/>
            <w:vMerge w:val="restart"/>
            <w:tcBorders>
              <w:top w:val="single" w:color="auto" w:sz="4" w:space="0"/>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洗沙车间</w:t>
            </w:r>
          </w:p>
        </w:tc>
        <w:tc>
          <w:tcPr>
            <w:tcW w:w="2275"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轮式洗砂机</w:t>
            </w:r>
          </w:p>
        </w:tc>
        <w:tc>
          <w:tcPr>
            <w:tcW w:w="1306" w:type="dxa"/>
            <w:vMerge w:val="continue"/>
            <w:vAlign w:val="center"/>
          </w:tcPr>
          <w:p>
            <w:pPr>
              <w:spacing w:line="360" w:lineRule="exact"/>
              <w:jc w:val="center"/>
              <w:rPr>
                <w:rFonts w:ascii="Times New Roman" w:hAnsi="Times New Roman" w:cs="Times New Roman"/>
                <w:color w:val="000000" w:themeColor="text1"/>
                <w:kern w:val="0"/>
              </w:rPr>
            </w:pPr>
          </w:p>
        </w:tc>
        <w:tc>
          <w:tcPr>
            <w:tcW w:w="5633" w:type="dxa"/>
            <w:vMerge w:val="continue"/>
            <w:vAlign w:val="center"/>
          </w:tcPr>
          <w:p>
            <w:pPr>
              <w:pStyle w:val="32"/>
              <w:spacing w:line="360" w:lineRule="exact"/>
              <w:rPr>
                <w:rFonts w:eastAsiaTheme="minorEastAsia"/>
                <w:color w:val="000000" w:themeColor="text1"/>
                <w:szCs w:val="21"/>
              </w:rPr>
            </w:pPr>
          </w:p>
        </w:tc>
        <w:tc>
          <w:tcPr>
            <w:tcW w:w="173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722" w:type="dxa"/>
            <w:gridSpan w:val="2"/>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277" w:type="dxa"/>
            <w:gridSpan w:val="2"/>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2275"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细砂回收机</w:t>
            </w:r>
          </w:p>
        </w:tc>
        <w:tc>
          <w:tcPr>
            <w:tcW w:w="1306" w:type="dxa"/>
            <w:vMerge w:val="continue"/>
            <w:vAlign w:val="center"/>
          </w:tcPr>
          <w:p>
            <w:pPr>
              <w:spacing w:line="360" w:lineRule="exact"/>
              <w:jc w:val="center"/>
              <w:rPr>
                <w:rFonts w:ascii="Times New Roman" w:hAnsi="Times New Roman" w:cs="Times New Roman"/>
                <w:color w:val="000000" w:themeColor="text1"/>
                <w:kern w:val="0"/>
              </w:rPr>
            </w:pPr>
          </w:p>
        </w:tc>
        <w:tc>
          <w:tcPr>
            <w:tcW w:w="5633" w:type="dxa"/>
            <w:vMerge w:val="continue"/>
            <w:vAlign w:val="center"/>
          </w:tcPr>
          <w:p>
            <w:pPr>
              <w:pStyle w:val="32"/>
              <w:spacing w:line="360" w:lineRule="exact"/>
              <w:rPr>
                <w:rFonts w:eastAsiaTheme="minorEastAsia"/>
                <w:color w:val="000000" w:themeColor="text1"/>
                <w:szCs w:val="21"/>
              </w:rPr>
            </w:pPr>
          </w:p>
        </w:tc>
        <w:tc>
          <w:tcPr>
            <w:tcW w:w="173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722" w:type="dxa"/>
            <w:gridSpan w:val="2"/>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277" w:type="dxa"/>
            <w:gridSpan w:val="2"/>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2275"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高频振脱水筛</w:t>
            </w:r>
          </w:p>
        </w:tc>
        <w:tc>
          <w:tcPr>
            <w:tcW w:w="1306" w:type="dxa"/>
            <w:vMerge w:val="continue"/>
            <w:vAlign w:val="center"/>
          </w:tcPr>
          <w:p>
            <w:pPr>
              <w:spacing w:line="360" w:lineRule="exact"/>
              <w:jc w:val="center"/>
              <w:rPr>
                <w:rFonts w:ascii="Times New Roman" w:hAnsi="Times New Roman" w:cs="Times New Roman"/>
                <w:color w:val="000000" w:themeColor="text1"/>
                <w:kern w:val="0"/>
              </w:rPr>
            </w:pPr>
          </w:p>
        </w:tc>
        <w:tc>
          <w:tcPr>
            <w:tcW w:w="5633" w:type="dxa"/>
            <w:vMerge w:val="continue"/>
            <w:vAlign w:val="center"/>
          </w:tcPr>
          <w:p>
            <w:pPr>
              <w:pStyle w:val="32"/>
              <w:spacing w:line="360" w:lineRule="exact"/>
              <w:rPr>
                <w:rFonts w:eastAsiaTheme="minorEastAsia"/>
                <w:color w:val="000000" w:themeColor="text1"/>
                <w:szCs w:val="21"/>
              </w:rPr>
            </w:pPr>
          </w:p>
        </w:tc>
        <w:tc>
          <w:tcPr>
            <w:tcW w:w="173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722" w:type="dxa"/>
            <w:gridSpan w:val="2"/>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277" w:type="dxa"/>
            <w:gridSpan w:val="2"/>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废石堆场</w:t>
            </w:r>
          </w:p>
        </w:tc>
        <w:tc>
          <w:tcPr>
            <w:tcW w:w="2275"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履带式挖掘机</w:t>
            </w:r>
          </w:p>
        </w:tc>
        <w:tc>
          <w:tcPr>
            <w:tcW w:w="1306" w:type="dxa"/>
            <w:vMerge w:val="continue"/>
            <w:vAlign w:val="center"/>
          </w:tcPr>
          <w:p>
            <w:pPr>
              <w:spacing w:line="360" w:lineRule="exact"/>
              <w:jc w:val="center"/>
              <w:rPr>
                <w:rFonts w:ascii="Times New Roman" w:hAnsi="Times New Roman" w:cs="Times New Roman"/>
                <w:color w:val="000000" w:themeColor="text1"/>
                <w:kern w:val="0"/>
              </w:rPr>
            </w:pPr>
          </w:p>
        </w:tc>
        <w:tc>
          <w:tcPr>
            <w:tcW w:w="5633" w:type="dxa"/>
            <w:vMerge w:val="continue"/>
            <w:vAlign w:val="center"/>
          </w:tcPr>
          <w:p>
            <w:pPr>
              <w:pStyle w:val="32"/>
              <w:spacing w:line="360" w:lineRule="exact"/>
              <w:rPr>
                <w:rFonts w:eastAsiaTheme="minorEastAsia"/>
                <w:color w:val="000000" w:themeColor="text1"/>
                <w:szCs w:val="21"/>
              </w:rPr>
            </w:pPr>
          </w:p>
        </w:tc>
        <w:tc>
          <w:tcPr>
            <w:tcW w:w="173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722" w:type="dxa"/>
            <w:gridSpan w:val="2"/>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277" w:type="dxa"/>
            <w:gridSpan w:val="2"/>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产品堆场</w:t>
            </w:r>
          </w:p>
        </w:tc>
        <w:tc>
          <w:tcPr>
            <w:tcW w:w="2275" w:type="dxa"/>
            <w:gridSpan w:val="2"/>
            <w:vAlign w:val="center"/>
          </w:tcPr>
          <w:p>
            <w:pPr>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轮式装载机</w:t>
            </w:r>
          </w:p>
        </w:tc>
        <w:tc>
          <w:tcPr>
            <w:tcW w:w="1306" w:type="dxa"/>
            <w:vMerge w:val="continue"/>
            <w:vAlign w:val="center"/>
          </w:tcPr>
          <w:p>
            <w:pPr>
              <w:spacing w:line="360" w:lineRule="exact"/>
              <w:jc w:val="center"/>
              <w:rPr>
                <w:rFonts w:ascii="Times New Roman" w:hAnsi="Times New Roman" w:cs="Times New Roman"/>
                <w:color w:val="000000" w:themeColor="text1"/>
                <w:kern w:val="0"/>
              </w:rPr>
            </w:pPr>
          </w:p>
        </w:tc>
        <w:tc>
          <w:tcPr>
            <w:tcW w:w="5633" w:type="dxa"/>
            <w:vMerge w:val="continue"/>
            <w:vAlign w:val="center"/>
          </w:tcPr>
          <w:p>
            <w:pPr>
              <w:pStyle w:val="32"/>
              <w:spacing w:line="360" w:lineRule="exact"/>
              <w:rPr>
                <w:rFonts w:eastAsiaTheme="minorEastAsia"/>
                <w:color w:val="000000" w:themeColor="text1"/>
                <w:szCs w:val="21"/>
              </w:rPr>
            </w:pPr>
          </w:p>
        </w:tc>
        <w:tc>
          <w:tcPr>
            <w:tcW w:w="173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722" w:type="dxa"/>
            <w:gridSpan w:val="2"/>
            <w:vMerge w:val="restart"/>
            <w:tcBorders>
              <w:top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二期工程</w:t>
            </w:r>
          </w:p>
        </w:tc>
        <w:tc>
          <w:tcPr>
            <w:tcW w:w="1277" w:type="dxa"/>
            <w:gridSpan w:val="2"/>
            <w:vMerge w:val="restart"/>
            <w:tcBorders>
              <w:top w:val="single" w:color="auto" w:sz="4" w:space="0"/>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搅拌混合车间</w:t>
            </w:r>
          </w:p>
        </w:tc>
        <w:tc>
          <w:tcPr>
            <w:tcW w:w="2275" w:type="dxa"/>
            <w:gridSpan w:val="2"/>
            <w:tcBorders>
              <w:bottom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提升斗</w:t>
            </w:r>
          </w:p>
        </w:tc>
        <w:tc>
          <w:tcPr>
            <w:tcW w:w="1306" w:type="dxa"/>
            <w:vMerge w:val="continue"/>
            <w:vAlign w:val="center"/>
          </w:tcPr>
          <w:p>
            <w:pPr>
              <w:spacing w:line="360" w:lineRule="exact"/>
              <w:jc w:val="center"/>
              <w:rPr>
                <w:rFonts w:ascii="Times New Roman" w:hAnsi="Times New Roman" w:cs="Times New Roman"/>
                <w:color w:val="000000" w:themeColor="text1"/>
                <w:kern w:val="0"/>
              </w:rPr>
            </w:pPr>
          </w:p>
        </w:tc>
        <w:tc>
          <w:tcPr>
            <w:tcW w:w="5633" w:type="dxa"/>
            <w:vMerge w:val="continue"/>
            <w:vAlign w:val="center"/>
          </w:tcPr>
          <w:p>
            <w:pPr>
              <w:pStyle w:val="32"/>
              <w:spacing w:line="360" w:lineRule="exact"/>
              <w:rPr>
                <w:rFonts w:eastAsiaTheme="minorEastAsia"/>
                <w:color w:val="000000" w:themeColor="text1"/>
                <w:szCs w:val="21"/>
              </w:rPr>
            </w:pPr>
          </w:p>
        </w:tc>
        <w:tc>
          <w:tcPr>
            <w:tcW w:w="173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722" w:type="dxa"/>
            <w:gridSpan w:val="2"/>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277" w:type="dxa"/>
            <w:gridSpan w:val="2"/>
            <w:vMerge w:val="continue"/>
            <w:tcBorders>
              <w:top w:val="single" w:color="auto" w:sz="4" w:space="0"/>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2275" w:type="dxa"/>
            <w:gridSpan w:val="2"/>
            <w:tcBorders>
              <w:bottom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配料仓</w:t>
            </w:r>
          </w:p>
        </w:tc>
        <w:tc>
          <w:tcPr>
            <w:tcW w:w="1306" w:type="dxa"/>
            <w:vMerge w:val="continue"/>
            <w:vAlign w:val="center"/>
          </w:tcPr>
          <w:p>
            <w:pPr>
              <w:spacing w:line="360" w:lineRule="exact"/>
              <w:jc w:val="center"/>
              <w:rPr>
                <w:rFonts w:ascii="Times New Roman" w:hAnsi="Times New Roman" w:cs="Times New Roman"/>
                <w:color w:val="000000" w:themeColor="text1"/>
                <w:kern w:val="0"/>
              </w:rPr>
            </w:pPr>
          </w:p>
        </w:tc>
        <w:tc>
          <w:tcPr>
            <w:tcW w:w="5633" w:type="dxa"/>
            <w:vMerge w:val="continue"/>
            <w:vAlign w:val="center"/>
          </w:tcPr>
          <w:p>
            <w:pPr>
              <w:pStyle w:val="32"/>
              <w:spacing w:line="360" w:lineRule="exact"/>
              <w:rPr>
                <w:rFonts w:eastAsiaTheme="minorEastAsia"/>
                <w:color w:val="000000" w:themeColor="text1"/>
                <w:szCs w:val="21"/>
              </w:rPr>
            </w:pPr>
          </w:p>
        </w:tc>
        <w:tc>
          <w:tcPr>
            <w:tcW w:w="173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722" w:type="dxa"/>
            <w:gridSpan w:val="2"/>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277" w:type="dxa"/>
            <w:gridSpan w:val="2"/>
            <w:vMerge w:val="continue"/>
            <w:tcBorders>
              <w:left w:val="single" w:color="auto" w:sz="4" w:space="0"/>
              <w:bottom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2275" w:type="dxa"/>
            <w:gridSpan w:val="2"/>
            <w:tcBorders>
              <w:top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搅拌机</w:t>
            </w:r>
          </w:p>
        </w:tc>
        <w:tc>
          <w:tcPr>
            <w:tcW w:w="1306" w:type="dxa"/>
            <w:vMerge w:val="continue"/>
            <w:vAlign w:val="center"/>
          </w:tcPr>
          <w:p>
            <w:pPr>
              <w:spacing w:line="360" w:lineRule="exact"/>
              <w:jc w:val="center"/>
              <w:rPr>
                <w:rFonts w:ascii="Times New Roman" w:hAnsi="Times New Roman" w:cs="Times New Roman"/>
                <w:color w:val="000000" w:themeColor="text1"/>
                <w:kern w:val="0"/>
              </w:rPr>
            </w:pPr>
          </w:p>
        </w:tc>
        <w:tc>
          <w:tcPr>
            <w:tcW w:w="5633" w:type="dxa"/>
            <w:vMerge w:val="continue"/>
            <w:vAlign w:val="center"/>
          </w:tcPr>
          <w:p>
            <w:pPr>
              <w:pStyle w:val="32"/>
              <w:spacing w:line="360" w:lineRule="exact"/>
              <w:rPr>
                <w:rFonts w:eastAsiaTheme="minorEastAsia"/>
                <w:color w:val="000000" w:themeColor="text1"/>
                <w:szCs w:val="21"/>
              </w:rPr>
            </w:pPr>
          </w:p>
        </w:tc>
        <w:tc>
          <w:tcPr>
            <w:tcW w:w="173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722" w:type="dxa"/>
            <w:gridSpan w:val="2"/>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277" w:type="dxa"/>
            <w:gridSpan w:val="2"/>
            <w:tcBorders>
              <w:top w:val="single" w:color="auto" w:sz="4" w:space="0"/>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成型车间</w:t>
            </w:r>
          </w:p>
        </w:tc>
        <w:tc>
          <w:tcPr>
            <w:tcW w:w="2275"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砌块成型机</w:t>
            </w:r>
          </w:p>
        </w:tc>
        <w:tc>
          <w:tcPr>
            <w:tcW w:w="1306" w:type="dxa"/>
            <w:vMerge w:val="continue"/>
            <w:vAlign w:val="center"/>
          </w:tcPr>
          <w:p>
            <w:pPr>
              <w:spacing w:line="360" w:lineRule="exact"/>
              <w:jc w:val="center"/>
              <w:rPr>
                <w:rFonts w:ascii="Times New Roman" w:hAnsi="Times New Roman" w:cs="Times New Roman"/>
                <w:color w:val="000000" w:themeColor="text1"/>
                <w:kern w:val="0"/>
              </w:rPr>
            </w:pPr>
          </w:p>
        </w:tc>
        <w:tc>
          <w:tcPr>
            <w:tcW w:w="5633" w:type="dxa"/>
            <w:vMerge w:val="continue"/>
            <w:vAlign w:val="center"/>
          </w:tcPr>
          <w:p>
            <w:pPr>
              <w:pStyle w:val="32"/>
              <w:spacing w:line="360" w:lineRule="exact"/>
              <w:rPr>
                <w:rFonts w:eastAsiaTheme="minorEastAsia"/>
                <w:color w:val="000000" w:themeColor="text1"/>
                <w:szCs w:val="21"/>
              </w:rPr>
            </w:pPr>
          </w:p>
        </w:tc>
        <w:tc>
          <w:tcPr>
            <w:tcW w:w="173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722" w:type="dxa"/>
            <w:gridSpan w:val="2"/>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277" w:type="dxa"/>
            <w:gridSpan w:val="2"/>
            <w:vMerge w:val="restart"/>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养护区</w:t>
            </w:r>
          </w:p>
        </w:tc>
        <w:tc>
          <w:tcPr>
            <w:tcW w:w="2275"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叠砖机</w:t>
            </w:r>
          </w:p>
        </w:tc>
        <w:tc>
          <w:tcPr>
            <w:tcW w:w="1306" w:type="dxa"/>
            <w:vMerge w:val="continue"/>
            <w:vAlign w:val="center"/>
          </w:tcPr>
          <w:p>
            <w:pPr>
              <w:spacing w:line="360" w:lineRule="exact"/>
              <w:jc w:val="center"/>
              <w:rPr>
                <w:rFonts w:ascii="Times New Roman" w:hAnsi="Times New Roman" w:cs="Times New Roman"/>
                <w:color w:val="000000" w:themeColor="text1"/>
                <w:kern w:val="0"/>
              </w:rPr>
            </w:pPr>
          </w:p>
        </w:tc>
        <w:tc>
          <w:tcPr>
            <w:tcW w:w="5633" w:type="dxa"/>
            <w:vMerge w:val="continue"/>
            <w:vAlign w:val="center"/>
          </w:tcPr>
          <w:p>
            <w:pPr>
              <w:pStyle w:val="32"/>
              <w:spacing w:line="360" w:lineRule="exact"/>
              <w:rPr>
                <w:rFonts w:eastAsiaTheme="minorEastAsia"/>
                <w:color w:val="000000" w:themeColor="text1"/>
                <w:szCs w:val="21"/>
              </w:rPr>
            </w:pPr>
          </w:p>
        </w:tc>
        <w:tc>
          <w:tcPr>
            <w:tcW w:w="173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722" w:type="dxa"/>
            <w:gridSpan w:val="2"/>
            <w:vMerge w:val="continue"/>
            <w:tcBorders>
              <w:bottom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277" w:type="dxa"/>
            <w:gridSpan w:val="2"/>
            <w:vMerge w:val="continue"/>
            <w:tcBorders>
              <w:left w:val="single" w:color="auto" w:sz="4" w:space="0"/>
              <w:bottom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2275" w:type="dxa"/>
            <w:gridSpan w:val="2"/>
            <w:vAlign w:val="center"/>
          </w:tcPr>
          <w:p>
            <w:pPr>
              <w:widowControl/>
              <w:jc w:val="center"/>
              <w:textAlignment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合力叉车</w:t>
            </w:r>
          </w:p>
        </w:tc>
        <w:tc>
          <w:tcPr>
            <w:tcW w:w="1306" w:type="dxa"/>
            <w:vMerge w:val="continue"/>
            <w:vAlign w:val="center"/>
          </w:tcPr>
          <w:p>
            <w:pPr>
              <w:spacing w:line="360" w:lineRule="exact"/>
              <w:jc w:val="center"/>
              <w:rPr>
                <w:rFonts w:ascii="Times New Roman" w:hAnsi="Times New Roman" w:cs="Times New Roman"/>
                <w:color w:val="000000" w:themeColor="text1"/>
                <w:kern w:val="0"/>
              </w:rPr>
            </w:pPr>
          </w:p>
        </w:tc>
        <w:tc>
          <w:tcPr>
            <w:tcW w:w="5633" w:type="dxa"/>
            <w:vMerge w:val="continue"/>
            <w:vAlign w:val="center"/>
          </w:tcPr>
          <w:p>
            <w:pPr>
              <w:pStyle w:val="32"/>
              <w:spacing w:line="360" w:lineRule="exact"/>
              <w:rPr>
                <w:rFonts w:eastAsiaTheme="minorEastAsia"/>
                <w:color w:val="000000" w:themeColor="text1"/>
                <w:szCs w:val="21"/>
              </w:rPr>
            </w:pPr>
          </w:p>
        </w:tc>
        <w:tc>
          <w:tcPr>
            <w:tcW w:w="173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6" w:type="dxa"/>
            <w:vMerge w:val="restart"/>
            <w:tcBorders>
              <w:right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固体废物</w:t>
            </w:r>
          </w:p>
        </w:tc>
        <w:tc>
          <w:tcPr>
            <w:tcW w:w="702" w:type="dxa"/>
            <w:vMerge w:val="restart"/>
            <w:tcBorders>
              <w:left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施工期</w:t>
            </w:r>
          </w:p>
        </w:tc>
        <w:tc>
          <w:tcPr>
            <w:tcW w:w="4274" w:type="dxa"/>
            <w:gridSpan w:val="6"/>
            <w:vMerge w:val="restart"/>
            <w:vAlign w:val="center"/>
          </w:tcPr>
          <w:p>
            <w:pPr>
              <w:spacing w:line="360" w:lineRule="exact"/>
              <w:jc w:val="center"/>
              <w:rPr>
                <w:rFonts w:ascii="Times New Roman" w:hAnsi="Times New Roman" w:cs="Times New Roman"/>
                <w:color w:val="000000" w:themeColor="text1"/>
                <w:kern w:val="0"/>
              </w:rPr>
            </w:pPr>
            <w:r>
              <w:rPr>
                <w:rFonts w:ascii="Times New Roman" w:hAnsi="Times New Roman" w:cs="Times New Roman"/>
                <w:color w:val="000000" w:themeColor="text1"/>
                <w:kern w:val="0"/>
              </w:rPr>
              <w:t>施工场地</w:t>
            </w:r>
          </w:p>
        </w:tc>
        <w:tc>
          <w:tcPr>
            <w:tcW w:w="1306" w:type="dxa"/>
            <w:tcBorders>
              <w:bottom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建设垃圾</w:t>
            </w:r>
          </w:p>
        </w:tc>
        <w:tc>
          <w:tcPr>
            <w:tcW w:w="5633" w:type="dxa"/>
            <w:tcBorders>
              <w:bottom w:val="single" w:color="auto" w:sz="4" w:space="0"/>
            </w:tcBorders>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建设垃圾包括混凝土块、废木材、废钢材等，严格按照园区的要求，对其进行分类收集，其中废钢材收集后外售废品收购站，其他不能回收部分运至管理部门指定地点进行合理处置。</w:t>
            </w:r>
          </w:p>
        </w:tc>
        <w:tc>
          <w:tcPr>
            <w:tcW w:w="1733" w:type="dxa"/>
            <w:tcBorders>
              <w:bottom w:val="single" w:color="auto" w:sz="4" w:space="0"/>
            </w:tcBorders>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4274" w:type="dxa"/>
            <w:gridSpan w:val="6"/>
            <w:vMerge w:val="continue"/>
            <w:vAlign w:val="center"/>
          </w:tcPr>
          <w:p>
            <w:pPr>
              <w:spacing w:line="360" w:lineRule="exact"/>
              <w:jc w:val="center"/>
              <w:rPr>
                <w:rFonts w:ascii="Times New Roman" w:hAnsi="Times New Roman" w:cs="Times New Roman"/>
                <w:color w:val="000000" w:themeColor="text1"/>
                <w:kern w:val="0"/>
              </w:rPr>
            </w:pPr>
          </w:p>
        </w:tc>
        <w:tc>
          <w:tcPr>
            <w:tcW w:w="1306" w:type="dxa"/>
            <w:tcBorders>
              <w:bottom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废土石方</w:t>
            </w:r>
          </w:p>
        </w:tc>
        <w:tc>
          <w:tcPr>
            <w:tcW w:w="5633" w:type="dxa"/>
            <w:tcBorders>
              <w:bottom w:val="single" w:color="auto" w:sz="4" w:space="0"/>
            </w:tcBorders>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产生的少量废土石方直接用于场地低洼处平整。</w:t>
            </w:r>
          </w:p>
        </w:tc>
        <w:tc>
          <w:tcPr>
            <w:tcW w:w="1733" w:type="dxa"/>
            <w:tcBorders>
              <w:bottom w:val="single" w:color="auto" w:sz="4" w:space="0"/>
            </w:tcBorders>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left w:val="single" w:color="auto" w:sz="4" w:space="0"/>
              <w:bottom w:val="single" w:color="auto" w:sz="4" w:space="0"/>
            </w:tcBorders>
            <w:vAlign w:val="center"/>
          </w:tcPr>
          <w:p>
            <w:pPr>
              <w:spacing w:line="360" w:lineRule="exact"/>
              <w:jc w:val="center"/>
              <w:rPr>
                <w:rFonts w:ascii="Times New Roman" w:hAnsi="Times New Roman" w:cs="Times New Roman"/>
                <w:color w:val="000000" w:themeColor="text1"/>
              </w:rPr>
            </w:pPr>
          </w:p>
        </w:tc>
        <w:tc>
          <w:tcPr>
            <w:tcW w:w="4274" w:type="dxa"/>
            <w:gridSpan w:val="6"/>
            <w:vMerge w:val="continue"/>
            <w:tcBorders>
              <w:bottom w:val="single" w:color="auto" w:sz="4" w:space="0"/>
            </w:tcBorders>
            <w:vAlign w:val="center"/>
          </w:tcPr>
          <w:p>
            <w:pPr>
              <w:spacing w:line="360" w:lineRule="exact"/>
              <w:jc w:val="center"/>
              <w:rPr>
                <w:rFonts w:ascii="Times New Roman" w:hAnsi="Times New Roman" w:cs="Times New Roman"/>
                <w:color w:val="000000" w:themeColor="text1"/>
                <w:kern w:val="0"/>
              </w:rPr>
            </w:pPr>
          </w:p>
        </w:tc>
        <w:tc>
          <w:tcPr>
            <w:tcW w:w="1306" w:type="dxa"/>
            <w:tcBorders>
              <w:bottom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生活垃圾</w:t>
            </w:r>
          </w:p>
        </w:tc>
        <w:tc>
          <w:tcPr>
            <w:tcW w:w="5633" w:type="dxa"/>
            <w:tcBorders>
              <w:bottom w:val="single" w:color="auto" w:sz="4" w:space="0"/>
            </w:tcBorders>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生活垃圾委托环卫部门清运处置。</w:t>
            </w:r>
          </w:p>
        </w:tc>
        <w:tc>
          <w:tcPr>
            <w:tcW w:w="1733" w:type="dxa"/>
            <w:tcBorders>
              <w:bottom w:val="single" w:color="auto" w:sz="4" w:space="0"/>
            </w:tcBorders>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restart"/>
            <w:tcBorders>
              <w:top w:val="single" w:color="auto" w:sz="4" w:space="0"/>
              <w:left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运营期</w:t>
            </w:r>
          </w:p>
        </w:tc>
        <w:tc>
          <w:tcPr>
            <w:tcW w:w="722" w:type="dxa"/>
            <w:gridSpan w:val="2"/>
            <w:vMerge w:val="restart"/>
            <w:tcBorders>
              <w:top w:val="single" w:color="auto" w:sz="4" w:space="0"/>
              <w:right w:val="single" w:color="auto" w:sz="4"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一期工程</w:t>
            </w:r>
          </w:p>
        </w:tc>
        <w:tc>
          <w:tcPr>
            <w:tcW w:w="3552" w:type="dxa"/>
            <w:gridSpan w:val="4"/>
            <w:tcBorders>
              <w:top w:val="single" w:color="auto" w:sz="4" w:space="0"/>
              <w:lef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砂石骨料生产废水处理系统</w:t>
            </w:r>
          </w:p>
        </w:tc>
        <w:tc>
          <w:tcPr>
            <w:tcW w:w="1306" w:type="dxa"/>
            <w:tcBorders>
              <w:bottom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含水污泥</w:t>
            </w:r>
          </w:p>
        </w:tc>
        <w:tc>
          <w:tcPr>
            <w:tcW w:w="5633" w:type="dxa"/>
            <w:tcBorders>
              <w:top w:val="single" w:color="auto" w:sz="4" w:space="0"/>
              <w:bottom w:val="single" w:color="auto" w:sz="4" w:space="0"/>
            </w:tcBorders>
            <w:vAlign w:val="center"/>
          </w:tcPr>
          <w:p>
            <w:pPr>
              <w:pStyle w:val="32"/>
              <w:spacing w:line="360" w:lineRule="exact"/>
              <w:ind w:firstLine="210" w:firstLineChars="100"/>
              <w:jc w:val="both"/>
              <w:rPr>
                <w:rFonts w:eastAsiaTheme="minorEastAsia"/>
                <w:color w:val="000000" w:themeColor="text1"/>
                <w:szCs w:val="24"/>
              </w:rPr>
            </w:pPr>
            <w:r>
              <w:rPr>
                <w:rFonts w:hint="eastAsia" w:eastAsiaTheme="minorEastAsia"/>
                <w:color w:val="000000" w:themeColor="text1"/>
                <w:szCs w:val="24"/>
              </w:rPr>
              <w:t>依托</w:t>
            </w:r>
            <w:r>
              <w:rPr>
                <w:rFonts w:eastAsiaTheme="minorEastAsia"/>
                <w:color w:val="000000" w:themeColor="text1"/>
                <w:szCs w:val="24"/>
              </w:rPr>
              <w:t>昆明市东川金水矿业有限责任公司牛厂坪尾矿充填环境综合治理项目进行井下充填处理</w:t>
            </w:r>
            <w:r>
              <w:rPr>
                <w:rFonts w:hint="eastAsia" w:eastAsiaTheme="minorEastAsia"/>
                <w:color w:val="000000" w:themeColor="text1"/>
                <w:szCs w:val="24"/>
              </w:rPr>
              <w:t>。</w:t>
            </w:r>
          </w:p>
        </w:tc>
        <w:tc>
          <w:tcPr>
            <w:tcW w:w="1733" w:type="dxa"/>
            <w:tcBorders>
              <w:top w:val="single" w:color="auto" w:sz="4" w:space="0"/>
              <w:bottom w:val="single" w:color="auto" w:sz="4" w:space="0"/>
            </w:tcBorders>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6" w:hRule="atLeast"/>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722" w:type="dxa"/>
            <w:gridSpan w:val="2"/>
            <w:vMerge w:val="continue"/>
            <w:tcBorders>
              <w:right w:val="single" w:color="auto" w:sz="4" w:space="0"/>
            </w:tcBorders>
            <w:vAlign w:val="center"/>
          </w:tcPr>
          <w:p>
            <w:pPr>
              <w:spacing w:line="360" w:lineRule="exact"/>
              <w:jc w:val="center"/>
              <w:rPr>
                <w:rFonts w:ascii="Times New Roman" w:hAnsi="Times New Roman" w:cs="Times New Roman"/>
                <w:color w:val="000000" w:themeColor="text1"/>
                <w:kern w:val="0"/>
              </w:rPr>
            </w:pPr>
          </w:p>
        </w:tc>
        <w:tc>
          <w:tcPr>
            <w:tcW w:w="3552" w:type="dxa"/>
            <w:gridSpan w:val="4"/>
            <w:vMerge w:val="restart"/>
            <w:tcBorders>
              <w:left w:val="single" w:color="auto" w:sz="4" w:space="0"/>
            </w:tcBorders>
            <w:vAlign w:val="center"/>
          </w:tcPr>
          <w:p>
            <w:pPr>
              <w:spacing w:line="360" w:lineRule="exact"/>
              <w:jc w:val="center"/>
              <w:rPr>
                <w:rFonts w:ascii="Times New Roman" w:hAnsi="Times New Roman" w:cs="Times New Roman"/>
                <w:color w:val="000000" w:themeColor="text1"/>
                <w:kern w:val="0"/>
              </w:rPr>
            </w:pPr>
            <w:r>
              <w:rPr>
                <w:rFonts w:ascii="Times New Roman" w:hAnsi="Times New Roman" w:cs="Times New Roman"/>
                <w:color w:val="000000" w:themeColor="text1"/>
              </w:rPr>
              <w:t>设备维护</w:t>
            </w:r>
            <w:r>
              <w:rPr>
                <w:rFonts w:hint="eastAsia"/>
                <w:color w:val="000000" w:themeColor="text1"/>
              </w:rPr>
              <w:t>（纳入一期管理）</w:t>
            </w:r>
          </w:p>
        </w:tc>
        <w:tc>
          <w:tcPr>
            <w:tcW w:w="130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废机油</w:t>
            </w:r>
          </w:p>
        </w:tc>
        <w:tc>
          <w:tcPr>
            <w:tcW w:w="5633" w:type="dxa"/>
            <w:vMerge w:val="restart"/>
            <w:tcBorders>
              <w:top w:val="single" w:color="auto" w:sz="4" w:space="0"/>
            </w:tcBorders>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厂区拟建设了1个10m²的危险废物贮存间对项目区产生的危险废物进行分类暂存；废机油部分用于生产设备润滑使用，无法使用部分委托有资质的单位处置。</w:t>
            </w:r>
            <w:r>
              <w:rPr>
                <w:rFonts w:eastAsiaTheme="minorEastAsia"/>
                <w:color w:val="000000" w:themeColor="text1"/>
                <w:szCs w:val="21"/>
              </w:rPr>
              <w:t>废弃沾油抹布</w:t>
            </w:r>
            <w:r>
              <w:rPr>
                <w:rFonts w:eastAsiaTheme="minorEastAsia"/>
                <w:color w:val="000000" w:themeColor="text1"/>
                <w:szCs w:val="24"/>
              </w:rPr>
              <w:t>委托有资质的单位处置。</w:t>
            </w:r>
          </w:p>
        </w:tc>
        <w:tc>
          <w:tcPr>
            <w:tcW w:w="1733" w:type="dxa"/>
            <w:vMerge w:val="restart"/>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满足《危险废物贮存污染控制标准》（GB18597-2001）及修改单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722" w:type="dxa"/>
            <w:gridSpan w:val="2"/>
            <w:vMerge w:val="continue"/>
            <w:tcBorders>
              <w:right w:val="single" w:color="auto" w:sz="4" w:space="0"/>
            </w:tcBorders>
            <w:vAlign w:val="center"/>
          </w:tcPr>
          <w:p>
            <w:pPr>
              <w:spacing w:line="360" w:lineRule="exact"/>
              <w:jc w:val="center"/>
              <w:rPr>
                <w:rFonts w:ascii="Times New Roman" w:hAnsi="Times New Roman" w:cs="Times New Roman"/>
                <w:color w:val="000000" w:themeColor="text1"/>
                <w:kern w:val="0"/>
              </w:rPr>
            </w:pPr>
          </w:p>
        </w:tc>
        <w:tc>
          <w:tcPr>
            <w:tcW w:w="3552" w:type="dxa"/>
            <w:gridSpan w:val="4"/>
            <w:vMerge w:val="continue"/>
            <w:tcBorders>
              <w:left w:val="single" w:color="auto" w:sz="4" w:space="0"/>
            </w:tcBorders>
            <w:vAlign w:val="center"/>
          </w:tcPr>
          <w:p>
            <w:pPr>
              <w:spacing w:line="360" w:lineRule="exact"/>
              <w:jc w:val="center"/>
              <w:rPr>
                <w:rFonts w:ascii="Times New Roman" w:hAnsi="Times New Roman" w:cs="Times New Roman"/>
                <w:color w:val="000000" w:themeColor="text1"/>
                <w:kern w:val="0"/>
              </w:rPr>
            </w:pPr>
          </w:p>
        </w:tc>
        <w:tc>
          <w:tcPr>
            <w:tcW w:w="130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废弃沾油抹布</w:t>
            </w:r>
          </w:p>
        </w:tc>
        <w:tc>
          <w:tcPr>
            <w:tcW w:w="5633" w:type="dxa"/>
            <w:vMerge w:val="continue"/>
            <w:vAlign w:val="center"/>
          </w:tcPr>
          <w:p>
            <w:pPr>
              <w:pStyle w:val="32"/>
              <w:spacing w:line="360" w:lineRule="exact"/>
              <w:ind w:firstLine="210" w:firstLineChars="100"/>
              <w:jc w:val="both"/>
              <w:rPr>
                <w:rFonts w:eastAsiaTheme="minorEastAsia"/>
                <w:color w:val="000000" w:themeColor="text1"/>
                <w:szCs w:val="24"/>
              </w:rPr>
            </w:pPr>
          </w:p>
        </w:tc>
        <w:tc>
          <w:tcPr>
            <w:tcW w:w="173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722" w:type="dxa"/>
            <w:gridSpan w:val="2"/>
            <w:vMerge w:val="continue"/>
            <w:tcBorders>
              <w:right w:val="single" w:color="auto" w:sz="4" w:space="0"/>
            </w:tcBorders>
            <w:vAlign w:val="center"/>
          </w:tcPr>
          <w:p>
            <w:pPr>
              <w:pStyle w:val="32"/>
              <w:spacing w:line="360" w:lineRule="exact"/>
              <w:rPr>
                <w:color w:val="000000" w:themeColor="text1"/>
                <w:szCs w:val="21"/>
              </w:rPr>
            </w:pPr>
          </w:p>
        </w:tc>
        <w:tc>
          <w:tcPr>
            <w:tcW w:w="3552" w:type="dxa"/>
            <w:gridSpan w:val="4"/>
            <w:vMerge w:val="restart"/>
            <w:tcBorders>
              <w:left w:val="single" w:color="auto" w:sz="4" w:space="0"/>
            </w:tcBorders>
            <w:vAlign w:val="center"/>
          </w:tcPr>
          <w:p>
            <w:pPr>
              <w:pStyle w:val="32"/>
              <w:spacing w:line="360" w:lineRule="exact"/>
              <w:rPr>
                <w:color w:val="000000" w:themeColor="text1"/>
                <w:szCs w:val="21"/>
              </w:rPr>
            </w:pPr>
            <w:r>
              <w:rPr>
                <w:color w:val="000000" w:themeColor="text1"/>
                <w:szCs w:val="21"/>
              </w:rPr>
              <w:t>员工生活</w:t>
            </w:r>
            <w:r>
              <w:rPr>
                <w:rFonts w:hint="eastAsia"/>
                <w:color w:val="000000" w:themeColor="text1"/>
                <w:szCs w:val="21"/>
              </w:rPr>
              <w:t>（纳入一期管理）</w:t>
            </w:r>
          </w:p>
        </w:tc>
        <w:tc>
          <w:tcPr>
            <w:tcW w:w="130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生活垃圾</w:t>
            </w:r>
          </w:p>
        </w:tc>
        <w:tc>
          <w:tcPr>
            <w:tcW w:w="5633" w:type="dxa"/>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委托环卫部门定期清运处置。</w:t>
            </w:r>
          </w:p>
        </w:tc>
        <w:tc>
          <w:tcPr>
            <w:tcW w:w="1733" w:type="dxa"/>
            <w:vMerge w:val="restart"/>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722" w:type="dxa"/>
            <w:gridSpan w:val="2"/>
            <w:vMerge w:val="continue"/>
            <w:tcBorders>
              <w:right w:val="single" w:color="auto" w:sz="4" w:space="0"/>
            </w:tcBorders>
            <w:vAlign w:val="center"/>
          </w:tcPr>
          <w:p>
            <w:pPr>
              <w:rPr>
                <w:rFonts w:ascii="Times New Roman" w:hAnsi="Times New Roman" w:cs="Times New Roman"/>
                <w:color w:val="000000" w:themeColor="text1"/>
              </w:rPr>
            </w:pPr>
          </w:p>
        </w:tc>
        <w:tc>
          <w:tcPr>
            <w:tcW w:w="3552" w:type="dxa"/>
            <w:gridSpan w:val="4"/>
            <w:vMerge w:val="continue"/>
            <w:tcBorders>
              <w:left w:val="single" w:color="auto" w:sz="4" w:space="0"/>
            </w:tcBorders>
            <w:vAlign w:val="center"/>
          </w:tcPr>
          <w:p>
            <w:pPr>
              <w:rPr>
                <w:rFonts w:ascii="Times New Roman" w:hAnsi="Times New Roman" w:cs="Times New Roman"/>
                <w:color w:val="000000" w:themeColor="text1"/>
              </w:rPr>
            </w:pPr>
          </w:p>
        </w:tc>
        <w:tc>
          <w:tcPr>
            <w:tcW w:w="130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污水处理设施污泥</w:t>
            </w:r>
          </w:p>
        </w:tc>
        <w:tc>
          <w:tcPr>
            <w:tcW w:w="5633" w:type="dxa"/>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委托环卫部门清运处理。</w:t>
            </w:r>
          </w:p>
        </w:tc>
        <w:tc>
          <w:tcPr>
            <w:tcW w:w="1733" w:type="dxa"/>
            <w:vMerge w:val="continue"/>
            <w:vAlign w:val="center"/>
          </w:tcPr>
          <w:p>
            <w:pPr>
              <w:pStyle w:val="32"/>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722" w:type="dxa"/>
            <w:gridSpan w:val="2"/>
            <w:vMerge w:val="restart"/>
            <w:tcBorders>
              <w:right w:val="single" w:color="auto" w:sz="4" w:space="0"/>
            </w:tcBorders>
            <w:vAlign w:val="center"/>
          </w:tcPr>
          <w:p>
            <w:pPr>
              <w:pStyle w:val="32"/>
              <w:spacing w:line="360" w:lineRule="exact"/>
              <w:rPr>
                <w:color w:val="000000" w:themeColor="text1"/>
              </w:rPr>
            </w:pPr>
            <w:r>
              <w:rPr>
                <w:rFonts w:hint="eastAsia" w:eastAsiaTheme="minorEastAsia"/>
                <w:color w:val="000000" w:themeColor="text1"/>
                <w:szCs w:val="21"/>
              </w:rPr>
              <w:t>二期工程</w:t>
            </w:r>
          </w:p>
        </w:tc>
        <w:tc>
          <w:tcPr>
            <w:tcW w:w="3552" w:type="dxa"/>
            <w:gridSpan w:val="4"/>
            <w:tcBorders>
              <w:left w:val="single" w:color="auto" w:sz="4" w:space="0"/>
            </w:tcBorders>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成型养护</w:t>
            </w:r>
          </w:p>
        </w:tc>
        <w:tc>
          <w:tcPr>
            <w:tcW w:w="130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废砖</w:t>
            </w:r>
          </w:p>
        </w:tc>
        <w:tc>
          <w:tcPr>
            <w:tcW w:w="5633" w:type="dxa"/>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直接</w:t>
            </w:r>
            <w:r>
              <w:rPr>
                <w:rFonts w:hint="eastAsia" w:eastAsiaTheme="minorEastAsia"/>
                <w:color w:val="000000" w:themeColor="text1"/>
                <w:szCs w:val="24"/>
              </w:rPr>
              <w:t>返回砂石骨料生产线处理。</w:t>
            </w:r>
          </w:p>
        </w:tc>
        <w:tc>
          <w:tcPr>
            <w:tcW w:w="1733" w:type="dxa"/>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6" w:type="dxa"/>
            <w:vMerge w:val="continue"/>
            <w:tcBorders>
              <w:right w:val="single" w:color="auto" w:sz="4" w:space="0"/>
            </w:tcBorders>
            <w:vAlign w:val="center"/>
          </w:tcPr>
          <w:p>
            <w:pPr>
              <w:spacing w:line="360" w:lineRule="exact"/>
              <w:jc w:val="center"/>
              <w:rPr>
                <w:rFonts w:ascii="Times New Roman" w:hAnsi="Times New Roman" w:cs="Times New Roman"/>
                <w:color w:val="000000" w:themeColor="text1"/>
              </w:rPr>
            </w:pPr>
          </w:p>
        </w:tc>
        <w:tc>
          <w:tcPr>
            <w:tcW w:w="702" w:type="dxa"/>
            <w:vMerge w:val="continue"/>
            <w:tcBorders>
              <w:left w:val="single" w:color="auto" w:sz="4" w:space="0"/>
            </w:tcBorders>
            <w:vAlign w:val="center"/>
          </w:tcPr>
          <w:p>
            <w:pPr>
              <w:spacing w:line="360" w:lineRule="exact"/>
              <w:jc w:val="center"/>
              <w:rPr>
                <w:rFonts w:ascii="Times New Roman" w:hAnsi="Times New Roman" w:cs="Times New Roman"/>
                <w:color w:val="000000" w:themeColor="text1"/>
              </w:rPr>
            </w:pPr>
          </w:p>
        </w:tc>
        <w:tc>
          <w:tcPr>
            <w:tcW w:w="722" w:type="dxa"/>
            <w:gridSpan w:val="2"/>
            <w:vMerge w:val="continue"/>
            <w:tcBorders>
              <w:right w:val="single" w:color="auto" w:sz="4" w:space="0"/>
            </w:tcBorders>
            <w:vAlign w:val="center"/>
          </w:tcPr>
          <w:p>
            <w:pPr>
              <w:rPr>
                <w:rFonts w:ascii="Times New Roman" w:hAnsi="Times New Roman" w:cs="Times New Roman"/>
                <w:color w:val="000000" w:themeColor="text1"/>
              </w:rPr>
            </w:pPr>
          </w:p>
        </w:tc>
        <w:tc>
          <w:tcPr>
            <w:tcW w:w="3552" w:type="dxa"/>
            <w:gridSpan w:val="4"/>
            <w:tcBorders>
              <w:left w:val="single" w:color="auto" w:sz="4" w:space="0"/>
            </w:tcBorders>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袋式除尘器</w:t>
            </w:r>
          </w:p>
        </w:tc>
        <w:tc>
          <w:tcPr>
            <w:tcW w:w="1306"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袋式除尘器收集粉尘</w:t>
            </w:r>
          </w:p>
        </w:tc>
        <w:tc>
          <w:tcPr>
            <w:tcW w:w="5633" w:type="dxa"/>
            <w:vAlign w:val="center"/>
          </w:tcPr>
          <w:p>
            <w:pPr>
              <w:pStyle w:val="32"/>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1#袋式除尘器</w:t>
            </w:r>
            <w:r>
              <w:rPr>
                <w:rFonts w:hint="eastAsia" w:eastAsiaTheme="minorEastAsia"/>
                <w:color w:val="000000" w:themeColor="text1"/>
                <w:szCs w:val="24"/>
              </w:rPr>
              <w:t>收集粉尘直接返回水泥仓暂存后利用；2</w:t>
            </w:r>
            <w:r>
              <w:rPr>
                <w:rFonts w:eastAsiaTheme="minorEastAsia"/>
                <w:color w:val="000000" w:themeColor="text1"/>
                <w:szCs w:val="24"/>
              </w:rPr>
              <w:t>#袋式除尘器</w:t>
            </w:r>
            <w:r>
              <w:rPr>
                <w:rFonts w:hint="eastAsia" w:eastAsiaTheme="minorEastAsia"/>
                <w:color w:val="000000" w:themeColor="text1"/>
                <w:szCs w:val="24"/>
              </w:rPr>
              <w:t>收集粉尘收集后作为水泥砖生产原料。</w:t>
            </w:r>
          </w:p>
        </w:tc>
        <w:tc>
          <w:tcPr>
            <w:tcW w:w="1733" w:type="dxa"/>
            <w:vAlign w:val="center"/>
          </w:tcPr>
          <w:p>
            <w:pPr>
              <w:pStyle w:val="32"/>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28" w:type="dxa"/>
            <w:gridSpan w:val="2"/>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土壤及地下水污染防治措施</w:t>
            </w:r>
          </w:p>
        </w:tc>
        <w:tc>
          <w:tcPr>
            <w:tcW w:w="12946" w:type="dxa"/>
            <w:gridSpan w:val="9"/>
            <w:vAlign w:val="center"/>
          </w:tcPr>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①</w:t>
            </w:r>
            <w:r>
              <w:rPr>
                <w:rFonts w:ascii="Times New Roman" w:hAnsi="Times New Roman" w:cs="Times New Roman"/>
                <w:color w:val="000000" w:themeColor="text1"/>
                <w:sz w:val="24"/>
                <w:szCs w:val="24"/>
              </w:rPr>
              <w:t>源头控制措施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严格按照公司制定的规范管理要求进行危险废物的管理。</w:t>
            </w:r>
          </w:p>
          <w:p>
            <w:pPr>
              <w:pStyle w:val="40"/>
              <w:ind w:firstLine="480"/>
              <w:rPr>
                <w:color w:val="000000" w:themeColor="text1"/>
                <w:szCs w:val="24"/>
              </w:rPr>
            </w:pPr>
            <w:r>
              <w:rPr>
                <w:rFonts w:hint="eastAsia" w:ascii="宋体" w:hAnsi="宋体" w:cs="宋体"/>
                <w:color w:val="000000" w:themeColor="text1"/>
                <w:szCs w:val="24"/>
              </w:rPr>
              <w:t>②</w:t>
            </w:r>
            <w:r>
              <w:rPr>
                <w:color w:val="000000" w:themeColor="text1"/>
                <w:szCs w:val="24"/>
              </w:rPr>
              <w:t>分区控制措施</w:t>
            </w:r>
          </w:p>
          <w:p>
            <w:pPr>
              <w:pStyle w:val="40"/>
              <w:ind w:firstLine="480"/>
              <w:rPr>
                <w:color w:val="000000" w:themeColor="text1"/>
                <w:szCs w:val="24"/>
              </w:rPr>
            </w:pPr>
            <w:r>
              <w:rPr>
                <w:color w:val="000000" w:themeColor="text1"/>
                <w:szCs w:val="24"/>
              </w:rPr>
              <w:fldChar w:fldCharType="begin"/>
            </w:r>
            <w:r>
              <w:rPr>
                <w:color w:val="000000" w:themeColor="text1"/>
                <w:szCs w:val="24"/>
              </w:rPr>
              <w:instrText xml:space="preserve"> </w:instrText>
            </w:r>
            <w:r>
              <w:rPr>
                <w:rFonts w:hint="eastAsia"/>
                <w:color w:val="000000" w:themeColor="text1"/>
                <w:szCs w:val="24"/>
              </w:rPr>
              <w:instrText xml:space="preserve">= 1 \* GB4</w:instrText>
            </w:r>
            <w:r>
              <w:rPr>
                <w:color w:val="000000" w:themeColor="text1"/>
                <w:szCs w:val="24"/>
              </w:rPr>
              <w:instrText xml:space="preserve"> </w:instrText>
            </w:r>
            <w:r>
              <w:rPr>
                <w:color w:val="000000" w:themeColor="text1"/>
                <w:szCs w:val="24"/>
              </w:rPr>
              <w:fldChar w:fldCharType="separate"/>
            </w:r>
            <w:r>
              <w:rPr>
                <w:rFonts w:hint="eastAsia"/>
                <w:color w:val="000000" w:themeColor="text1"/>
                <w:szCs w:val="24"/>
              </w:rPr>
              <w:t>㈠</w:t>
            </w:r>
            <w:r>
              <w:rPr>
                <w:color w:val="000000" w:themeColor="text1"/>
                <w:szCs w:val="24"/>
              </w:rPr>
              <w:fldChar w:fldCharType="end"/>
            </w:r>
            <w:r>
              <w:rPr>
                <w:rFonts w:hint="eastAsia"/>
                <w:color w:val="000000" w:themeColor="text1"/>
                <w:szCs w:val="24"/>
              </w:rPr>
              <w:t>一期工程</w:t>
            </w:r>
            <w:r>
              <w:rPr>
                <w:color w:val="000000" w:themeColor="text1"/>
                <w:szCs w:val="24"/>
              </w:rPr>
              <w:t>分区控制措施</w:t>
            </w:r>
          </w:p>
          <w:p>
            <w:pPr>
              <w:pStyle w:val="40"/>
              <w:ind w:firstLine="480"/>
              <w:rPr>
                <w:color w:val="000000" w:themeColor="text1"/>
                <w:szCs w:val="24"/>
              </w:rPr>
            </w:pPr>
            <w:r>
              <w:rPr>
                <w:color w:val="000000" w:themeColor="text1"/>
                <w:szCs w:val="24"/>
              </w:rPr>
              <w:t>根据以上分区原则可知，</w:t>
            </w:r>
            <w:r>
              <w:rPr>
                <w:rFonts w:hint="eastAsia"/>
                <w:color w:val="000000" w:themeColor="text1"/>
                <w:szCs w:val="24"/>
              </w:rPr>
              <w:t>一期工程包括</w:t>
            </w:r>
            <w:r>
              <w:rPr>
                <w:color w:val="000000" w:themeColor="text1"/>
                <w:szCs w:val="24"/>
              </w:rPr>
              <w:t>重点防渗区</w:t>
            </w:r>
            <w:r>
              <w:rPr>
                <w:rFonts w:hint="eastAsia"/>
                <w:color w:val="000000" w:themeColor="text1"/>
                <w:szCs w:val="24"/>
              </w:rPr>
              <w:t>、</w:t>
            </w:r>
            <w:r>
              <w:rPr>
                <w:color w:val="000000" w:themeColor="text1"/>
                <w:szCs w:val="24"/>
              </w:rPr>
              <w:t>一般防渗区</w:t>
            </w:r>
            <w:r>
              <w:rPr>
                <w:rFonts w:hint="eastAsia"/>
                <w:color w:val="000000" w:themeColor="text1"/>
                <w:szCs w:val="24"/>
              </w:rPr>
              <w:t>和</w:t>
            </w:r>
            <w:r>
              <w:rPr>
                <w:color w:val="000000" w:themeColor="text1"/>
                <w:szCs w:val="24"/>
              </w:rPr>
              <w:t>简单防渗区</w:t>
            </w:r>
            <w:r>
              <w:rPr>
                <w:rFonts w:hint="eastAsia"/>
                <w:color w:val="000000" w:themeColor="text1"/>
                <w:szCs w:val="24"/>
              </w:rPr>
              <w:t>，</w:t>
            </w:r>
            <w:r>
              <w:rPr>
                <w:color w:val="000000" w:themeColor="text1"/>
                <w:szCs w:val="24"/>
              </w:rPr>
              <w:t>项目分区防渗具体如下：</w:t>
            </w:r>
          </w:p>
          <w:p>
            <w:pPr>
              <w:pStyle w:val="40"/>
              <w:ind w:firstLine="480"/>
              <w:rPr>
                <w:color w:val="000000" w:themeColor="text1"/>
                <w:szCs w:val="24"/>
              </w:rPr>
            </w:pPr>
            <w:r>
              <w:rPr>
                <w:color w:val="000000" w:themeColor="text1"/>
                <w:szCs w:val="24"/>
              </w:rPr>
              <w:fldChar w:fldCharType="begin"/>
            </w:r>
            <w:r>
              <w:rPr>
                <w:color w:val="000000" w:themeColor="text1"/>
                <w:szCs w:val="24"/>
              </w:rPr>
              <w:instrText xml:space="preserve"> = 1 \* GB2 </w:instrText>
            </w:r>
            <w:r>
              <w:rPr>
                <w:color w:val="000000" w:themeColor="text1"/>
                <w:szCs w:val="24"/>
              </w:rPr>
              <w:fldChar w:fldCharType="separate"/>
            </w:r>
            <w:r>
              <w:rPr>
                <w:rFonts w:hint="eastAsia"/>
                <w:color w:val="000000" w:themeColor="text1"/>
                <w:szCs w:val="24"/>
              </w:rPr>
              <w:t>⑴</w:t>
            </w:r>
            <w:r>
              <w:rPr>
                <w:color w:val="000000" w:themeColor="text1"/>
                <w:szCs w:val="24"/>
              </w:rPr>
              <w:fldChar w:fldCharType="end"/>
            </w:r>
            <w:r>
              <w:rPr>
                <w:rFonts w:hint="eastAsia"/>
                <w:color w:val="000000" w:themeColor="text1"/>
                <w:szCs w:val="24"/>
              </w:rPr>
              <w:t>一期工程</w:t>
            </w:r>
            <w:r>
              <w:rPr>
                <w:color w:val="000000" w:themeColor="text1"/>
                <w:szCs w:val="24"/>
              </w:rPr>
              <w:t>重点防渗区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项目重点防渗区为危险废物贮存间：危险废物贮存间地面和裙墙应采用不低于2mm厚的HDPE膜或其他人工防渗材料进行防渗，使其渗透系数≤10</w:t>
            </w:r>
            <w:r>
              <w:rPr>
                <w:rFonts w:ascii="Times New Roman" w:hAnsi="Times New Roman" w:cs="Times New Roman"/>
                <w:color w:val="000000" w:themeColor="text1"/>
                <w:sz w:val="24"/>
                <w:szCs w:val="24"/>
                <w:vertAlign w:val="superscript"/>
              </w:rPr>
              <w:t>-10</w:t>
            </w:r>
            <w:r>
              <w:rPr>
                <w:rFonts w:ascii="Times New Roman" w:hAnsi="Times New Roman" w:cs="Times New Roman"/>
                <w:color w:val="000000" w:themeColor="text1"/>
                <w:sz w:val="24"/>
                <w:szCs w:val="24"/>
              </w:rPr>
              <w:t>cm/s；</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2 \* GB2 </w:instrText>
            </w:r>
            <w:r>
              <w:rPr>
                <w:rFonts w:ascii="Times New Roman" w:hAnsi="Times New Roman" w:cs="Times New Roman"/>
                <w:color w:val="000000" w:themeColor="text1"/>
                <w:sz w:val="24"/>
                <w:szCs w:val="24"/>
              </w:rPr>
              <w:fldChar w:fldCharType="separate"/>
            </w:r>
            <w:r>
              <w:rPr>
                <w:rFonts w:hint="eastAsia" w:ascii="Times New Roman" w:hAnsi="Times New Roman" w:cs="Times New Roman"/>
                <w:color w:val="000000" w:themeColor="text1"/>
                <w:sz w:val="24"/>
                <w:szCs w:val="24"/>
              </w:rPr>
              <w:t>⑵</w:t>
            </w:r>
            <w:r>
              <w:rPr>
                <w:rFonts w:ascii="Times New Roman" w:hAnsi="Times New Roman" w:cs="Times New Roman"/>
                <w:color w:val="000000" w:themeColor="text1"/>
                <w:sz w:val="24"/>
                <w:szCs w:val="24"/>
              </w:rPr>
              <w:fldChar w:fldCharType="end"/>
            </w: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一般防渗区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根据分区防渗规范要求，项目</w:t>
            </w: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生产区、砂石骨料生产废水处理系统、</w:t>
            </w: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初期雨水收集系统和生活污水处理系统区域划定为一般防渗区，一般防渗区措施在地面采取粘土铺底，并在上层铺30cm的混凝土进行硬化。确保防渗性能，使其渗透系数≤1.0×10</w:t>
            </w:r>
            <w:r>
              <w:rPr>
                <w:rFonts w:ascii="Times New Roman" w:hAnsi="Times New Roman" w:cs="Times New Roman"/>
                <w:color w:val="000000" w:themeColor="text1"/>
                <w:sz w:val="24"/>
                <w:szCs w:val="24"/>
                <w:vertAlign w:val="superscript"/>
              </w:rPr>
              <w:t>-7</w:t>
            </w:r>
            <w:r>
              <w:rPr>
                <w:rFonts w:ascii="Times New Roman" w:hAnsi="Times New Roman" w:cs="Times New Roman"/>
                <w:color w:val="000000" w:themeColor="text1"/>
                <w:sz w:val="24"/>
                <w:szCs w:val="24"/>
              </w:rPr>
              <w:t>cm/s。</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3 \* GB2 </w:instrText>
            </w:r>
            <w:r>
              <w:rPr>
                <w:rFonts w:ascii="Times New Roman" w:hAnsi="Times New Roman" w:cs="Times New Roman"/>
                <w:color w:val="000000" w:themeColor="text1"/>
                <w:sz w:val="24"/>
                <w:szCs w:val="24"/>
              </w:rPr>
              <w:fldChar w:fldCharType="separate"/>
            </w:r>
            <w:r>
              <w:rPr>
                <w:rFonts w:hint="eastAsia" w:ascii="Times New Roman" w:hAnsi="Times New Roman" w:cs="Times New Roman"/>
                <w:color w:val="000000" w:themeColor="text1"/>
                <w:sz w:val="24"/>
                <w:szCs w:val="24"/>
              </w:rPr>
              <w:t>⑶</w:t>
            </w:r>
            <w:r>
              <w:rPr>
                <w:rFonts w:ascii="Times New Roman" w:hAnsi="Times New Roman" w:cs="Times New Roman"/>
                <w:color w:val="000000" w:themeColor="text1"/>
                <w:sz w:val="24"/>
                <w:szCs w:val="24"/>
              </w:rPr>
              <w:fldChar w:fldCharType="end"/>
            </w:r>
            <w:r>
              <w:rPr>
                <w:rFonts w:hint="eastAsia" w:ascii="Times New Roman" w:hAnsi="Times New Roman" w:cs="Times New Roman"/>
                <w:color w:val="000000" w:themeColor="text1"/>
                <w:sz w:val="24"/>
                <w:szCs w:val="24"/>
              </w:rPr>
              <w:t>一期工程</w:t>
            </w:r>
            <w:r>
              <w:rPr>
                <w:rFonts w:ascii="Times New Roman" w:hAnsi="Times New Roman" w:cs="Times New Roman"/>
                <w:color w:val="000000" w:themeColor="text1"/>
                <w:sz w:val="24"/>
                <w:szCs w:val="24"/>
              </w:rPr>
              <w:t>简单防渗区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根据项目特点，对于基本上不产生污染物的简单防渗区，不采取专门针对地下水污染的防治措施。</w:t>
            </w:r>
          </w:p>
          <w:p>
            <w:pPr>
              <w:pStyle w:val="40"/>
              <w:ind w:firstLine="480"/>
              <w:rPr>
                <w:color w:val="000000" w:themeColor="text1"/>
                <w:szCs w:val="24"/>
              </w:rPr>
            </w:pPr>
            <w:r>
              <w:rPr>
                <w:color w:val="000000" w:themeColor="text1"/>
                <w:szCs w:val="24"/>
              </w:rPr>
              <w:fldChar w:fldCharType="begin"/>
            </w:r>
            <w:r>
              <w:rPr>
                <w:color w:val="000000" w:themeColor="text1"/>
                <w:szCs w:val="24"/>
              </w:rPr>
              <w:instrText xml:space="preserve"> </w:instrText>
            </w:r>
            <w:r>
              <w:rPr>
                <w:rFonts w:hint="eastAsia"/>
                <w:color w:val="000000" w:themeColor="text1"/>
                <w:szCs w:val="24"/>
              </w:rPr>
              <w:instrText xml:space="preserve">= 2 \* GB4</w:instrText>
            </w:r>
            <w:r>
              <w:rPr>
                <w:color w:val="000000" w:themeColor="text1"/>
                <w:szCs w:val="24"/>
              </w:rPr>
              <w:instrText xml:space="preserve"> </w:instrText>
            </w:r>
            <w:r>
              <w:rPr>
                <w:color w:val="000000" w:themeColor="text1"/>
                <w:szCs w:val="24"/>
              </w:rPr>
              <w:fldChar w:fldCharType="separate"/>
            </w:r>
            <w:r>
              <w:rPr>
                <w:rFonts w:hint="eastAsia"/>
                <w:color w:val="000000" w:themeColor="text1"/>
                <w:szCs w:val="24"/>
              </w:rPr>
              <w:t>㈡</w:t>
            </w:r>
            <w:r>
              <w:rPr>
                <w:color w:val="000000" w:themeColor="text1"/>
                <w:szCs w:val="24"/>
              </w:rPr>
              <w:fldChar w:fldCharType="end"/>
            </w:r>
            <w:r>
              <w:rPr>
                <w:rFonts w:hint="eastAsia"/>
                <w:color w:val="000000" w:themeColor="text1"/>
                <w:szCs w:val="24"/>
              </w:rPr>
              <w:t>二期工程</w:t>
            </w:r>
            <w:r>
              <w:rPr>
                <w:color w:val="000000" w:themeColor="text1"/>
                <w:szCs w:val="24"/>
              </w:rPr>
              <w:t>分区控制措施</w:t>
            </w:r>
          </w:p>
          <w:p>
            <w:pPr>
              <w:pStyle w:val="40"/>
              <w:ind w:firstLine="480"/>
              <w:rPr>
                <w:color w:val="000000" w:themeColor="text1"/>
                <w:szCs w:val="24"/>
              </w:rPr>
            </w:pPr>
            <w:r>
              <w:rPr>
                <w:color w:val="000000" w:themeColor="text1"/>
                <w:szCs w:val="24"/>
              </w:rPr>
              <w:t>根据以上分区原则可知，</w:t>
            </w:r>
            <w:r>
              <w:rPr>
                <w:rFonts w:hint="eastAsia"/>
                <w:color w:val="000000" w:themeColor="text1"/>
                <w:szCs w:val="24"/>
              </w:rPr>
              <w:t>二期工程包括</w:t>
            </w:r>
            <w:r>
              <w:rPr>
                <w:color w:val="000000" w:themeColor="text1"/>
                <w:szCs w:val="24"/>
              </w:rPr>
              <w:t>一般防渗区</w:t>
            </w:r>
            <w:r>
              <w:rPr>
                <w:rFonts w:hint="eastAsia"/>
                <w:color w:val="000000" w:themeColor="text1"/>
                <w:szCs w:val="24"/>
              </w:rPr>
              <w:t>和</w:t>
            </w:r>
            <w:r>
              <w:rPr>
                <w:color w:val="000000" w:themeColor="text1"/>
                <w:szCs w:val="24"/>
              </w:rPr>
              <w:t>简单防渗区</w:t>
            </w:r>
            <w:r>
              <w:rPr>
                <w:rFonts w:hint="eastAsia"/>
                <w:color w:val="000000" w:themeColor="text1"/>
                <w:szCs w:val="24"/>
              </w:rPr>
              <w:t>，</w:t>
            </w:r>
            <w:r>
              <w:rPr>
                <w:color w:val="000000" w:themeColor="text1"/>
                <w:szCs w:val="24"/>
              </w:rPr>
              <w:t>项目分区防渗具体如下：</w:t>
            </w:r>
          </w:p>
          <w:p>
            <w:pPr>
              <w:pStyle w:val="40"/>
              <w:ind w:firstLine="480"/>
              <w:rPr>
                <w:color w:val="000000" w:themeColor="text1"/>
                <w:szCs w:val="24"/>
              </w:rPr>
            </w:pPr>
            <w:r>
              <w:rPr>
                <w:color w:val="000000" w:themeColor="text1"/>
                <w:szCs w:val="24"/>
              </w:rPr>
              <w:fldChar w:fldCharType="begin"/>
            </w:r>
            <w:r>
              <w:rPr>
                <w:color w:val="000000" w:themeColor="text1"/>
                <w:szCs w:val="24"/>
              </w:rPr>
              <w:instrText xml:space="preserve"> = 1 \* GB2 </w:instrText>
            </w:r>
            <w:r>
              <w:rPr>
                <w:color w:val="000000" w:themeColor="text1"/>
                <w:szCs w:val="24"/>
              </w:rPr>
              <w:fldChar w:fldCharType="separate"/>
            </w:r>
            <w:r>
              <w:rPr>
                <w:rFonts w:hint="eastAsia" w:ascii="宋体" w:hAnsi="宋体" w:cs="宋体"/>
                <w:color w:val="000000" w:themeColor="text1"/>
                <w:szCs w:val="24"/>
              </w:rPr>
              <w:t>⑴</w:t>
            </w:r>
            <w:r>
              <w:rPr>
                <w:color w:val="000000" w:themeColor="text1"/>
                <w:szCs w:val="24"/>
              </w:rPr>
              <w:fldChar w:fldCharType="end"/>
            </w:r>
            <w:r>
              <w:rPr>
                <w:rFonts w:hint="eastAsia"/>
                <w:color w:val="000000" w:themeColor="text1"/>
                <w:szCs w:val="24"/>
              </w:rPr>
              <w:t>二期工程</w:t>
            </w:r>
            <w:r>
              <w:rPr>
                <w:color w:val="000000" w:themeColor="text1"/>
                <w:szCs w:val="24"/>
              </w:rPr>
              <w:t>一般防渗区</w:t>
            </w:r>
          </w:p>
          <w:p>
            <w:pPr>
              <w:pStyle w:val="40"/>
              <w:ind w:firstLine="480"/>
              <w:rPr>
                <w:color w:val="000000" w:themeColor="text1"/>
                <w:szCs w:val="24"/>
              </w:rPr>
            </w:pPr>
            <w:r>
              <w:rPr>
                <w:color w:val="000000" w:themeColor="text1"/>
                <w:szCs w:val="24"/>
              </w:rPr>
              <w:t>根据分区防渗规范要求，项目</w:t>
            </w:r>
            <w:r>
              <w:rPr>
                <w:rFonts w:hint="eastAsia"/>
                <w:color w:val="000000" w:themeColor="text1"/>
                <w:szCs w:val="24"/>
              </w:rPr>
              <w:t>二期工程</w:t>
            </w:r>
            <w:r>
              <w:rPr>
                <w:color w:val="000000" w:themeColor="text1"/>
                <w:szCs w:val="24"/>
              </w:rPr>
              <w:t>生产区、养护废水处理系统、</w:t>
            </w:r>
            <w:r>
              <w:rPr>
                <w:rFonts w:hint="eastAsia"/>
                <w:color w:val="000000" w:themeColor="text1"/>
                <w:szCs w:val="24"/>
              </w:rPr>
              <w:t>二期工程</w:t>
            </w:r>
            <w:r>
              <w:rPr>
                <w:color w:val="000000" w:themeColor="text1"/>
                <w:szCs w:val="24"/>
              </w:rPr>
              <w:t>初期雨水收集系统区域划定为一般防渗区，一般防渗区措施在地面采取粘土铺底，并在上层铺30cm的混凝土进行硬化。确保防渗性能，使其渗透系数≤1.0×10</w:t>
            </w:r>
            <w:r>
              <w:rPr>
                <w:color w:val="000000" w:themeColor="text1"/>
                <w:szCs w:val="24"/>
                <w:vertAlign w:val="superscript"/>
              </w:rPr>
              <w:t>-7</w:t>
            </w:r>
            <w:r>
              <w:rPr>
                <w:color w:val="000000" w:themeColor="text1"/>
                <w:szCs w:val="24"/>
              </w:rPr>
              <w:t>cm/s。</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2 \* GB2 </w:instrText>
            </w:r>
            <w:r>
              <w:rPr>
                <w:rFonts w:ascii="Times New Roman" w:hAnsi="Times New Roman" w:cs="Times New Roman"/>
                <w:color w:val="000000" w:themeColor="text1"/>
                <w:sz w:val="24"/>
                <w:szCs w:val="24"/>
              </w:rPr>
              <w:fldChar w:fldCharType="separate"/>
            </w:r>
            <w:r>
              <w:rPr>
                <w:rFonts w:hint="eastAsia" w:ascii="宋体" w:hAnsi="宋体" w:eastAsia="宋体" w:cs="宋体"/>
                <w:color w:val="000000" w:themeColor="text1"/>
                <w:sz w:val="24"/>
                <w:szCs w:val="24"/>
              </w:rPr>
              <w:t>⑵</w:t>
            </w:r>
            <w:r>
              <w:rPr>
                <w:rFonts w:ascii="Times New Roman" w:hAnsi="Times New Roman" w:cs="Times New Roman"/>
                <w:color w:val="000000" w:themeColor="text1"/>
                <w:sz w:val="24"/>
                <w:szCs w:val="24"/>
              </w:rPr>
              <w:fldChar w:fldCharType="end"/>
            </w:r>
            <w:r>
              <w:rPr>
                <w:rFonts w:hint="eastAsia" w:ascii="Times New Roman" w:hAnsi="Times New Roman" w:cs="Times New Roman"/>
                <w:color w:val="000000" w:themeColor="text1"/>
                <w:sz w:val="24"/>
                <w:szCs w:val="24"/>
              </w:rPr>
              <w:t>二期工程</w:t>
            </w:r>
            <w:r>
              <w:rPr>
                <w:rFonts w:ascii="Times New Roman" w:hAnsi="Times New Roman" w:cs="Times New Roman"/>
                <w:color w:val="000000" w:themeColor="text1"/>
                <w:sz w:val="24"/>
                <w:szCs w:val="24"/>
              </w:rPr>
              <w:t>简单防渗区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根据项目特点，对于基本上不产生污染物的简单防渗区，不采取专门针对地下水污染的防治措施。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28" w:type="dxa"/>
            <w:gridSpan w:val="2"/>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生态保护措施</w:t>
            </w:r>
          </w:p>
        </w:tc>
        <w:tc>
          <w:tcPr>
            <w:tcW w:w="12946" w:type="dxa"/>
            <w:gridSpan w:val="9"/>
            <w:vAlign w:val="center"/>
          </w:tcPr>
          <w:p>
            <w:pPr>
              <w:pStyle w:val="32"/>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项目采取尽量错开雨天进行地面施工，减少水土流失带来的环境影响。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28" w:type="dxa"/>
            <w:gridSpan w:val="2"/>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环境风险防范措施</w:t>
            </w:r>
          </w:p>
        </w:tc>
        <w:tc>
          <w:tcPr>
            <w:tcW w:w="12946" w:type="dxa"/>
            <w:gridSpan w:val="9"/>
            <w:vAlign w:val="center"/>
          </w:tcPr>
          <w:p>
            <w:pPr>
              <w:pStyle w:val="32"/>
              <w:spacing w:line="360" w:lineRule="auto"/>
              <w:ind w:firstLine="240" w:firstLineChars="100"/>
              <w:jc w:val="both"/>
              <w:rPr>
                <w:rFonts w:eastAsiaTheme="minorEastAsia"/>
                <w:color w:val="000000" w:themeColor="text1"/>
                <w:sz w:val="24"/>
                <w:szCs w:val="21"/>
              </w:rPr>
            </w:pPr>
            <w:r>
              <w:rPr>
                <w:rFonts w:hint="eastAsia" w:ascii="宋体" w:hAnsi="宋体" w:cs="宋体"/>
                <w:color w:val="000000" w:themeColor="text1"/>
                <w:sz w:val="24"/>
                <w:szCs w:val="21"/>
              </w:rPr>
              <w:t>①</w:t>
            </w:r>
            <w:r>
              <w:rPr>
                <w:rFonts w:eastAsiaTheme="minorEastAsia"/>
                <w:color w:val="000000" w:themeColor="text1"/>
                <w:sz w:val="24"/>
                <w:szCs w:val="21"/>
              </w:rPr>
              <w:t>危废废物应储存于规范的危险废物贮存间；危险废物贮存间地面和裙墙应采用不低于2mm厚的HDPE膜或其他人工防渗材料进行防渗，使其渗透系数≤10</w:t>
            </w:r>
            <w:r>
              <w:rPr>
                <w:rFonts w:eastAsiaTheme="minorEastAsia"/>
                <w:color w:val="000000" w:themeColor="text1"/>
                <w:sz w:val="24"/>
                <w:szCs w:val="21"/>
                <w:vertAlign w:val="superscript"/>
              </w:rPr>
              <w:t>-10</w:t>
            </w:r>
            <w:r>
              <w:rPr>
                <w:rFonts w:eastAsiaTheme="minorEastAsia"/>
                <w:color w:val="000000" w:themeColor="text1"/>
                <w:sz w:val="24"/>
                <w:szCs w:val="21"/>
              </w:rPr>
              <w:t>cm/s；危险废物入库时，严格检验物品质量、数量、包装情况、有无泄漏。</w:t>
            </w:r>
          </w:p>
          <w:p>
            <w:pPr>
              <w:pStyle w:val="32"/>
              <w:spacing w:line="360" w:lineRule="auto"/>
              <w:ind w:firstLine="240" w:firstLineChars="100"/>
              <w:jc w:val="both"/>
              <w:rPr>
                <w:rFonts w:eastAsiaTheme="minorEastAsia"/>
                <w:color w:val="000000" w:themeColor="text1"/>
                <w:sz w:val="24"/>
                <w:szCs w:val="21"/>
              </w:rPr>
            </w:pPr>
            <w:r>
              <w:rPr>
                <w:rFonts w:hint="eastAsia" w:ascii="宋体" w:hAnsi="宋体" w:cs="宋体"/>
                <w:color w:val="000000" w:themeColor="text1"/>
                <w:sz w:val="24"/>
                <w:szCs w:val="21"/>
              </w:rPr>
              <w:t>②</w:t>
            </w:r>
            <w:r>
              <w:rPr>
                <w:rFonts w:eastAsiaTheme="minorEastAsia"/>
                <w:color w:val="000000" w:themeColor="text1"/>
                <w:sz w:val="24"/>
                <w:szCs w:val="21"/>
              </w:rPr>
              <w:t>危险废物应由具有《危险废物经营许可证》并可以处置该类废物的单位进行处理处置，并严格执行危险废物转移联单制度，在危险废物转移前三日内报告移出地环境保护行政主管部门，并同时将预期到达时间报告接受地环境保护行政主管部门。严禁将各类废物转移给没有相应处理资质及能力的单位。</w:t>
            </w:r>
          </w:p>
          <w:p>
            <w:pPr>
              <w:pStyle w:val="32"/>
              <w:spacing w:line="360" w:lineRule="auto"/>
              <w:ind w:firstLine="240" w:firstLineChars="100"/>
              <w:jc w:val="both"/>
              <w:rPr>
                <w:rFonts w:eastAsiaTheme="minorEastAsia"/>
                <w:color w:val="000000" w:themeColor="text1"/>
                <w:sz w:val="24"/>
                <w:szCs w:val="21"/>
              </w:rPr>
            </w:pPr>
            <w:r>
              <w:rPr>
                <w:rFonts w:hint="eastAsia" w:ascii="宋体" w:hAnsi="宋体" w:cs="宋体"/>
                <w:color w:val="000000" w:themeColor="text1"/>
                <w:sz w:val="24"/>
                <w:szCs w:val="21"/>
              </w:rPr>
              <w:t>③</w:t>
            </w:r>
            <w:r>
              <w:rPr>
                <w:rFonts w:eastAsiaTheme="minorEastAsia"/>
                <w:color w:val="000000" w:themeColor="text1"/>
                <w:sz w:val="24"/>
                <w:szCs w:val="21"/>
              </w:rPr>
              <w:t>项目区配备相应品种的消防器材。</w:t>
            </w:r>
          </w:p>
          <w:p>
            <w:pPr>
              <w:pStyle w:val="32"/>
              <w:spacing w:line="360" w:lineRule="auto"/>
              <w:ind w:firstLine="240" w:firstLineChars="100"/>
              <w:jc w:val="both"/>
              <w:rPr>
                <w:rFonts w:eastAsiaTheme="minorEastAsia"/>
                <w:color w:val="000000" w:themeColor="text1"/>
                <w:sz w:val="24"/>
                <w:szCs w:val="21"/>
              </w:rPr>
            </w:pPr>
            <w:r>
              <w:rPr>
                <w:rFonts w:hint="eastAsia" w:ascii="宋体" w:hAnsi="宋体" w:cs="宋体"/>
                <w:color w:val="000000" w:themeColor="text1"/>
                <w:sz w:val="24"/>
                <w:szCs w:val="21"/>
              </w:rPr>
              <w:t>④</w:t>
            </w:r>
            <w:r>
              <w:rPr>
                <w:rFonts w:eastAsiaTheme="minorEastAsia"/>
                <w:color w:val="000000" w:themeColor="text1"/>
                <w:sz w:val="24"/>
                <w:szCs w:val="21"/>
              </w:rPr>
              <w:t>次氯酸钠入库时，严格检验物品质量、数量、包装情况、有无泄漏。入库后应采取适当的养护措施，在贮存期内，定期检查，发现其品质变化、包装破损、渗漏等，应及时处理。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28" w:type="dxa"/>
            <w:gridSpan w:val="2"/>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其他环境管理要求</w:t>
            </w:r>
          </w:p>
        </w:tc>
        <w:tc>
          <w:tcPr>
            <w:tcW w:w="12946" w:type="dxa"/>
            <w:gridSpan w:val="9"/>
            <w:vAlign w:val="center"/>
          </w:tcPr>
          <w:p>
            <w:pPr>
              <w:pStyle w:val="32"/>
              <w:spacing w:line="360" w:lineRule="auto"/>
              <w:ind w:firstLine="240" w:firstLineChars="100"/>
              <w:jc w:val="both"/>
              <w:rPr>
                <w:rFonts w:eastAsiaTheme="minorEastAsia"/>
                <w:color w:val="000000" w:themeColor="text1"/>
                <w:sz w:val="24"/>
                <w:szCs w:val="21"/>
              </w:rPr>
            </w:pPr>
            <w:r>
              <w:rPr>
                <w:rFonts w:hint="eastAsia" w:eastAsiaTheme="minorEastAsia"/>
                <w:color w:val="000000" w:themeColor="text1"/>
                <w:sz w:val="24"/>
                <w:szCs w:val="21"/>
              </w:rPr>
              <w:t>①</w:t>
            </w:r>
            <w:r>
              <w:rPr>
                <w:rFonts w:eastAsiaTheme="minorEastAsia"/>
                <w:color w:val="000000" w:themeColor="text1"/>
                <w:sz w:val="24"/>
                <w:szCs w:val="21"/>
              </w:rPr>
              <w:t>建设单位按照危险废物管理的规范要求，设置危险废物识别标志、环境保护图形标志。</w:t>
            </w:r>
          </w:p>
          <w:p>
            <w:pPr>
              <w:pStyle w:val="32"/>
              <w:spacing w:line="360" w:lineRule="auto"/>
              <w:ind w:firstLine="240" w:firstLineChars="100"/>
              <w:jc w:val="both"/>
              <w:rPr>
                <w:rFonts w:eastAsiaTheme="minorEastAsia"/>
                <w:color w:val="000000" w:themeColor="text1"/>
                <w:sz w:val="24"/>
                <w:szCs w:val="21"/>
              </w:rPr>
            </w:pPr>
            <w:r>
              <w:rPr>
                <w:rFonts w:hint="eastAsia" w:eastAsiaTheme="minorEastAsia"/>
                <w:color w:val="000000" w:themeColor="text1"/>
                <w:sz w:val="24"/>
                <w:szCs w:val="21"/>
              </w:rPr>
              <w:t>②</w:t>
            </w:r>
            <w:r>
              <w:rPr>
                <w:rFonts w:eastAsiaTheme="minorEastAsia"/>
                <w:color w:val="000000" w:themeColor="text1"/>
                <w:sz w:val="24"/>
                <w:szCs w:val="21"/>
              </w:rPr>
              <w:t>要求建设单位制定突发环境事件应急预案，报所在地县级以上环境保护行政主管部门备案并按照预案要求每年组织演练。</w:t>
            </w: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40" w:firstLineChars="100"/>
              <w:jc w:val="both"/>
              <w:rPr>
                <w:rFonts w:hint="eastAsia" w:eastAsiaTheme="minorEastAsia"/>
                <w:color w:val="000000" w:themeColor="text1"/>
                <w:sz w:val="24"/>
                <w:szCs w:val="21"/>
              </w:rPr>
            </w:pPr>
          </w:p>
          <w:p>
            <w:pPr>
              <w:pStyle w:val="32"/>
              <w:spacing w:line="360" w:lineRule="auto"/>
              <w:ind w:firstLine="240" w:firstLineChars="100"/>
              <w:jc w:val="both"/>
              <w:rPr>
                <w:rFonts w:hint="eastAsia" w:eastAsiaTheme="minorEastAsia"/>
                <w:color w:val="000000" w:themeColor="text1"/>
                <w:sz w:val="24"/>
                <w:szCs w:val="21"/>
              </w:rPr>
            </w:pPr>
          </w:p>
          <w:p>
            <w:pPr>
              <w:pStyle w:val="32"/>
              <w:spacing w:line="360" w:lineRule="auto"/>
              <w:ind w:firstLine="240" w:firstLineChars="100"/>
              <w:jc w:val="both"/>
              <w:rPr>
                <w:rFonts w:hint="eastAsia" w:eastAsiaTheme="minorEastAsia"/>
                <w:color w:val="000000" w:themeColor="text1"/>
                <w:sz w:val="24"/>
                <w:szCs w:val="21"/>
              </w:rPr>
            </w:pPr>
          </w:p>
          <w:p>
            <w:pPr>
              <w:pStyle w:val="32"/>
              <w:spacing w:line="360" w:lineRule="auto"/>
              <w:ind w:firstLine="240" w:firstLineChars="100"/>
              <w:jc w:val="both"/>
              <w:rPr>
                <w:rFonts w:hint="eastAsia" w:eastAsiaTheme="minorEastAsia"/>
                <w:color w:val="000000" w:themeColor="text1"/>
                <w:sz w:val="24"/>
                <w:szCs w:val="21"/>
              </w:rPr>
            </w:pPr>
          </w:p>
          <w:p>
            <w:pPr>
              <w:pStyle w:val="32"/>
              <w:spacing w:line="360" w:lineRule="auto"/>
              <w:ind w:firstLine="240" w:firstLineChars="100"/>
              <w:jc w:val="both"/>
              <w:rPr>
                <w:rFonts w:hint="eastAsia" w:eastAsiaTheme="minorEastAsia"/>
                <w:color w:val="000000" w:themeColor="text1"/>
                <w:sz w:val="24"/>
                <w:szCs w:val="21"/>
              </w:rPr>
            </w:pPr>
          </w:p>
          <w:p>
            <w:pPr>
              <w:pStyle w:val="32"/>
              <w:spacing w:line="360" w:lineRule="auto"/>
              <w:ind w:firstLine="240" w:firstLineChars="100"/>
              <w:jc w:val="both"/>
              <w:rPr>
                <w:rFonts w:hint="eastAsia" w:eastAsiaTheme="minorEastAsia"/>
                <w:color w:val="000000" w:themeColor="text1"/>
                <w:sz w:val="24"/>
                <w:szCs w:val="21"/>
              </w:rPr>
            </w:pPr>
          </w:p>
          <w:p>
            <w:pPr>
              <w:pStyle w:val="32"/>
              <w:spacing w:line="360" w:lineRule="auto"/>
              <w:ind w:firstLine="240" w:firstLineChars="100"/>
              <w:jc w:val="both"/>
              <w:rPr>
                <w:rFonts w:hint="eastAsia" w:eastAsiaTheme="minorEastAsia"/>
                <w:color w:val="000000" w:themeColor="text1"/>
                <w:sz w:val="24"/>
                <w:szCs w:val="21"/>
              </w:rPr>
            </w:pPr>
          </w:p>
          <w:p>
            <w:pPr>
              <w:pStyle w:val="32"/>
              <w:spacing w:line="360" w:lineRule="auto"/>
              <w:ind w:firstLine="240" w:firstLineChars="100"/>
              <w:jc w:val="both"/>
              <w:rPr>
                <w:rFonts w:eastAsiaTheme="minorEastAsia"/>
                <w:color w:val="000000" w:themeColor="text1"/>
                <w:sz w:val="24"/>
                <w:szCs w:val="21"/>
              </w:rPr>
            </w:pPr>
          </w:p>
          <w:p>
            <w:pPr>
              <w:pStyle w:val="32"/>
              <w:spacing w:line="360" w:lineRule="auto"/>
              <w:ind w:firstLine="210" w:firstLineChars="100"/>
              <w:jc w:val="both"/>
              <w:rPr>
                <w:rFonts w:eastAsiaTheme="minorEastAsia"/>
                <w:color w:val="000000" w:themeColor="text1"/>
                <w:szCs w:val="21"/>
              </w:rPr>
            </w:pPr>
          </w:p>
        </w:tc>
      </w:tr>
    </w:tbl>
    <w:p>
      <w:pPr>
        <w:pStyle w:val="32"/>
        <w:spacing w:line="360" w:lineRule="auto"/>
        <w:jc w:val="both"/>
        <w:rPr>
          <w:b/>
          <w:color w:val="000000" w:themeColor="text1"/>
          <w:sz w:val="28"/>
        </w:rPr>
        <w:sectPr>
          <w:pgSz w:w="16838" w:h="11906" w:orient="landscape"/>
          <w:pgMar w:top="1797" w:right="1440" w:bottom="1797" w:left="1440" w:header="851" w:footer="992" w:gutter="0"/>
          <w:cols w:space="425" w:num="1"/>
          <w:docGrid w:type="linesAndChars" w:linePitch="312" w:charSpace="0"/>
        </w:sectPr>
      </w:pPr>
    </w:p>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六、结论</w:t>
      </w:r>
    </w:p>
    <w:tbl>
      <w:tblPr>
        <w:tblStyle w:val="21"/>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3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356" w:type="dxa"/>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市东川金水矿业有限责任公司拟建设的昆明市东川金水矿业有限责任公司牛厂坪资源综合利用生产建设项目的建设符合国家产业政策，符合相关规划，选址合理，项目建设满足“三线一单”的管理要求，项目选址区域环境空气、地表水环境和声环境质量现状均可达到相应的质量标准要求，该项目产生的污染物均可得到合理处置，建设单位在项目运行过程中严格执行环境管理和监测计划，项目对外环境影响较小，环境风险可控；从环境影响的角度分析，项目建设可行。</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bl>
    <w:p>
      <w:pPr>
        <w:spacing w:line="360" w:lineRule="auto"/>
        <w:rPr>
          <w:rFonts w:ascii="Times New Roman" w:hAnsi="Times New Roman" w:cs="Times New Roman"/>
          <w:color w:val="000000" w:themeColor="text1"/>
          <w:sz w:val="24"/>
          <w:szCs w:val="24"/>
        </w:rPr>
        <w:sectPr>
          <w:pgSz w:w="11906" w:h="16838"/>
          <w:pgMar w:top="1440" w:right="1797" w:bottom="1440" w:left="1797" w:header="851" w:footer="992" w:gutter="0"/>
          <w:cols w:space="425" w:num="1"/>
          <w:docGrid w:type="lines" w:linePitch="312" w:charSpace="0"/>
        </w:sectPr>
      </w:pPr>
    </w:p>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附表</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建设项目污染物排放量汇总表</w:t>
      </w:r>
    </w:p>
    <w:tbl>
      <w:tblPr>
        <w:tblStyle w:val="2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1984"/>
        <w:gridCol w:w="1560"/>
        <w:gridCol w:w="1417"/>
        <w:gridCol w:w="1701"/>
        <w:gridCol w:w="1828"/>
        <w:gridCol w:w="1575"/>
        <w:gridCol w:w="1842"/>
        <w:gridCol w:w="13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Borders>
              <w:tl2br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 xml:space="preserve">   项目</w:t>
            </w:r>
          </w:p>
          <w:p>
            <w:pPr>
              <w:spacing w:line="360" w:lineRule="exact"/>
              <w:jc w:val="left"/>
              <w:rPr>
                <w:rFonts w:ascii="Times New Roman" w:hAnsi="Times New Roman" w:cs="Times New Roman"/>
                <w:color w:val="000000" w:themeColor="text1"/>
              </w:rPr>
            </w:pPr>
            <w:r>
              <w:rPr>
                <w:rFonts w:ascii="Times New Roman" w:hAnsi="Times New Roman" w:cs="Times New Roman"/>
                <w:color w:val="000000" w:themeColor="text1"/>
              </w:rPr>
              <w:t>分类</w:t>
            </w:r>
          </w:p>
        </w:tc>
        <w:tc>
          <w:tcPr>
            <w:tcW w:w="1984"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污染物名称</w:t>
            </w:r>
          </w:p>
        </w:tc>
        <w:tc>
          <w:tcPr>
            <w:tcW w:w="1560"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现有工程排放量（固体废物产生量）</w:t>
            </w:r>
            <w:r>
              <w:rPr>
                <w:rFonts w:ascii="Times New Roman" w:hAnsi="Times New Roman" w:eastAsia="宋体" w:cs="Times New Roman"/>
                <w:color w:val="000000" w:themeColor="text1"/>
              </w:rPr>
              <w:t>①</w:t>
            </w:r>
          </w:p>
        </w:tc>
        <w:tc>
          <w:tcPr>
            <w:tcW w:w="1417"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现有工程许可排放量</w:t>
            </w:r>
            <w:r>
              <w:rPr>
                <w:rFonts w:ascii="Times New Roman" w:hAnsi="Times New Roman" w:eastAsia="宋体" w:cs="Times New Roman"/>
                <w:color w:val="000000" w:themeColor="text1"/>
              </w:rPr>
              <w:t>②</w:t>
            </w:r>
          </w:p>
        </w:tc>
        <w:tc>
          <w:tcPr>
            <w:tcW w:w="1701"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在建工程排放量（固体废物产生量）</w:t>
            </w:r>
            <w:r>
              <w:rPr>
                <w:rFonts w:ascii="Times New Roman" w:hAnsi="Times New Roman" w:eastAsia="宋体" w:cs="Times New Roman"/>
                <w:color w:val="000000" w:themeColor="text1"/>
              </w:rPr>
              <w:t>③</w:t>
            </w:r>
          </w:p>
        </w:tc>
        <w:tc>
          <w:tcPr>
            <w:tcW w:w="1828"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该项目排放量（固体废物产生量）</w:t>
            </w:r>
            <w:r>
              <w:rPr>
                <w:rFonts w:ascii="Times New Roman" w:hAnsi="Times New Roman" w:eastAsia="宋体" w:cs="Times New Roman"/>
                <w:color w:val="000000" w:themeColor="text1"/>
              </w:rPr>
              <w:t>④</w:t>
            </w:r>
          </w:p>
        </w:tc>
        <w:tc>
          <w:tcPr>
            <w:tcW w:w="1575"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以新带老削减量（新建项目不填）</w:t>
            </w:r>
            <w:r>
              <w:rPr>
                <w:rFonts w:ascii="Times New Roman" w:hAnsi="Times New Roman" w:eastAsia="宋体" w:cs="Times New Roman"/>
                <w:color w:val="000000" w:themeColor="text1"/>
              </w:rPr>
              <w:t>⑤</w:t>
            </w:r>
          </w:p>
        </w:tc>
        <w:tc>
          <w:tcPr>
            <w:tcW w:w="1842"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该项目建成后全厂排放量（固体废物产生量）</w:t>
            </w:r>
            <w:r>
              <w:rPr>
                <w:rFonts w:ascii="Times New Roman" w:hAnsi="Times New Roman" w:eastAsia="宋体" w:cs="Times New Roman"/>
                <w:color w:val="000000" w:themeColor="text1"/>
              </w:rPr>
              <w:t>⑥</w:t>
            </w:r>
          </w:p>
        </w:tc>
        <w:tc>
          <w:tcPr>
            <w:tcW w:w="1308"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变化量</w:t>
            </w:r>
            <w:r>
              <w:rPr>
                <w:rFonts w:ascii="Times New Roman" w:hAnsi="Times New Roman" w:eastAsia="宋体" w:cs="Times New Roman"/>
                <w:color w:val="000000" w:themeColor="text1"/>
              </w:rPr>
              <w:t>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废气</w:t>
            </w:r>
          </w:p>
        </w:tc>
        <w:tc>
          <w:tcPr>
            <w:tcW w:w="198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颗粒物（有组织）</w:t>
            </w:r>
          </w:p>
        </w:tc>
        <w:tc>
          <w:tcPr>
            <w:tcW w:w="156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0.0315t/a</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0.0315t/a</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2"/>
              <w:spacing w:line="360" w:lineRule="exact"/>
              <w:rPr>
                <w:rFonts w:eastAsiaTheme="minorEastAsia"/>
                <w:color w:val="000000" w:themeColor="text1"/>
                <w:szCs w:val="21"/>
              </w:rPr>
            </w:pPr>
          </w:p>
        </w:tc>
        <w:tc>
          <w:tcPr>
            <w:tcW w:w="198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颗粒物（无组织）</w:t>
            </w:r>
          </w:p>
        </w:tc>
        <w:tc>
          <w:tcPr>
            <w:tcW w:w="156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45.04</w:t>
            </w:r>
            <w:r>
              <w:rPr>
                <w:rFonts w:eastAsiaTheme="minorEastAsia"/>
                <w:color w:val="000000" w:themeColor="text1"/>
                <w:szCs w:val="21"/>
              </w:rPr>
              <w:t>t/a</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hint="eastAsia" w:eastAsiaTheme="minorEastAsia"/>
                <w:color w:val="000000" w:themeColor="text1"/>
                <w:szCs w:val="21"/>
              </w:rPr>
              <w:t>45.04</w:t>
            </w:r>
            <w:r>
              <w:rPr>
                <w:rFonts w:eastAsiaTheme="minorEastAsia"/>
                <w:color w:val="000000" w:themeColor="text1"/>
                <w:szCs w:val="21"/>
              </w:rPr>
              <w:t>t/a</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废水</w:t>
            </w:r>
          </w:p>
        </w:tc>
        <w:tc>
          <w:tcPr>
            <w:tcW w:w="198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废水量</w:t>
            </w:r>
          </w:p>
        </w:tc>
        <w:tc>
          <w:tcPr>
            <w:tcW w:w="156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pH</w:t>
            </w:r>
          </w:p>
        </w:tc>
        <w:tc>
          <w:tcPr>
            <w:tcW w:w="156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CODcr</w:t>
            </w:r>
          </w:p>
        </w:tc>
        <w:tc>
          <w:tcPr>
            <w:tcW w:w="156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156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156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SS</w:t>
            </w:r>
          </w:p>
        </w:tc>
        <w:tc>
          <w:tcPr>
            <w:tcW w:w="156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总磷</w:t>
            </w:r>
          </w:p>
        </w:tc>
        <w:tc>
          <w:tcPr>
            <w:tcW w:w="156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总氮</w:t>
            </w:r>
          </w:p>
        </w:tc>
        <w:tc>
          <w:tcPr>
            <w:tcW w:w="156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阴离子表面活性剂</w:t>
            </w:r>
          </w:p>
        </w:tc>
        <w:tc>
          <w:tcPr>
            <w:tcW w:w="156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粪大肠菌群数（MPN/L）</w:t>
            </w:r>
          </w:p>
        </w:tc>
        <w:tc>
          <w:tcPr>
            <w:tcW w:w="156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一般工业固废</w:t>
            </w:r>
          </w:p>
        </w:tc>
        <w:tc>
          <w:tcPr>
            <w:tcW w:w="198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含水污泥</w:t>
            </w:r>
          </w:p>
        </w:tc>
        <w:tc>
          <w:tcPr>
            <w:tcW w:w="156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31500t/a</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31500t/a</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2"/>
              <w:spacing w:line="360" w:lineRule="exact"/>
              <w:rPr>
                <w:rFonts w:eastAsiaTheme="minorEastAsia"/>
                <w:color w:val="000000" w:themeColor="text1"/>
                <w:szCs w:val="21"/>
              </w:rPr>
            </w:pPr>
          </w:p>
        </w:tc>
        <w:tc>
          <w:tcPr>
            <w:tcW w:w="198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废砖</w:t>
            </w:r>
          </w:p>
        </w:tc>
        <w:tc>
          <w:tcPr>
            <w:tcW w:w="156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8.63t/a</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8.63t/a</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2"/>
              <w:spacing w:line="360" w:lineRule="exact"/>
              <w:rPr>
                <w:rFonts w:eastAsiaTheme="minorEastAsia"/>
                <w:color w:val="000000" w:themeColor="text1"/>
                <w:szCs w:val="21"/>
              </w:rPr>
            </w:pPr>
          </w:p>
        </w:tc>
        <w:tc>
          <w:tcPr>
            <w:tcW w:w="198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袋式除尘器收集粉尘</w:t>
            </w:r>
          </w:p>
        </w:tc>
        <w:tc>
          <w:tcPr>
            <w:tcW w:w="156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9.4985t/a</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9.4985t/a</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危险废物</w:t>
            </w:r>
          </w:p>
        </w:tc>
        <w:tc>
          <w:tcPr>
            <w:tcW w:w="198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废机油</w:t>
            </w:r>
          </w:p>
        </w:tc>
        <w:tc>
          <w:tcPr>
            <w:tcW w:w="156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80kg/a</w:t>
            </w:r>
          </w:p>
        </w:tc>
        <w:tc>
          <w:tcPr>
            <w:tcW w:w="141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80kg/a</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80kg/a</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80kg/a</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2"/>
              <w:spacing w:line="360" w:lineRule="exact"/>
              <w:rPr>
                <w:rFonts w:eastAsiaTheme="minorEastAsia"/>
                <w:color w:val="000000" w:themeColor="text1"/>
                <w:szCs w:val="21"/>
              </w:rPr>
            </w:pPr>
          </w:p>
        </w:tc>
        <w:tc>
          <w:tcPr>
            <w:tcW w:w="1984"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废弃沾油抹布</w:t>
            </w:r>
          </w:p>
        </w:tc>
        <w:tc>
          <w:tcPr>
            <w:tcW w:w="1560"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10kg/a</w:t>
            </w:r>
          </w:p>
        </w:tc>
        <w:tc>
          <w:tcPr>
            <w:tcW w:w="1417"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10kg/a</w:t>
            </w:r>
          </w:p>
        </w:tc>
        <w:tc>
          <w:tcPr>
            <w:tcW w:w="1575"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10kg/a</w:t>
            </w:r>
          </w:p>
        </w:tc>
        <w:tc>
          <w:tcPr>
            <w:tcW w:w="1842"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10kg/a</w:t>
            </w:r>
          </w:p>
        </w:tc>
        <w:tc>
          <w:tcPr>
            <w:tcW w:w="1308" w:type="dxa"/>
            <w:vAlign w:val="center"/>
          </w:tcPr>
          <w:p>
            <w:pPr>
              <w:pStyle w:val="32"/>
              <w:spacing w:line="360" w:lineRule="exact"/>
              <w:rPr>
                <w:rFonts w:eastAsiaTheme="minorEastAsia"/>
                <w:color w:val="000000" w:themeColor="text1"/>
                <w:szCs w:val="21"/>
              </w:rPr>
            </w:pPr>
            <w:r>
              <w:rPr>
                <w:rFonts w:eastAsiaTheme="minorEastAsia"/>
                <w:color w:val="000000" w:themeColor="text1"/>
                <w:szCs w:val="21"/>
              </w:rPr>
              <w:t>0</w:t>
            </w:r>
          </w:p>
        </w:tc>
      </w:tr>
    </w:tbl>
    <w:p>
      <w:pPr>
        <w:ind w:firstLine="420" w:firstLineChars="200"/>
        <w:jc w:val="left"/>
        <w:rPr>
          <w:rFonts w:ascii="Times New Roman" w:hAnsi="Times New Roman" w:eastAsia="宋体" w:cs="Times New Roman"/>
          <w:b/>
          <w:color w:val="000000" w:themeColor="text1"/>
        </w:rPr>
      </w:pPr>
      <w:r>
        <w:rPr>
          <w:rFonts w:ascii="Times New Roman" w:hAnsi="Times New Roman" w:cs="Times New Roman"/>
          <w:b/>
          <w:color w:val="000000" w:themeColor="text1"/>
        </w:rPr>
        <w:t>注：</w:t>
      </w:r>
      <w:r>
        <w:rPr>
          <w:rFonts w:ascii="Times New Roman" w:hAnsi="Times New Roman" w:eastAsia="宋体" w:cs="Times New Roman"/>
          <w:b/>
          <w:color w:val="000000" w:themeColor="text1"/>
        </w:rPr>
        <w:t>⑥</w:t>
      </w:r>
      <w:r>
        <w:rPr>
          <w:rFonts w:ascii="Times New Roman" w:hAnsi="Times New Roman" w:cs="Times New Roman"/>
          <w:b/>
          <w:color w:val="000000" w:themeColor="text1"/>
        </w:rPr>
        <w:t>=</w:t>
      </w:r>
      <w:r>
        <w:rPr>
          <w:rFonts w:ascii="Times New Roman" w:hAnsi="Times New Roman" w:eastAsia="宋体" w:cs="Times New Roman"/>
          <w:b/>
          <w:color w:val="000000" w:themeColor="text1"/>
        </w:rPr>
        <w:t>①</w:t>
      </w:r>
      <w:r>
        <w:rPr>
          <w:rFonts w:ascii="Times New Roman" w:hAnsi="Times New Roman" w:cs="Times New Roman"/>
          <w:b/>
          <w:color w:val="000000" w:themeColor="text1"/>
        </w:rPr>
        <w:t>+</w:t>
      </w:r>
      <w:r>
        <w:rPr>
          <w:rFonts w:ascii="Times New Roman" w:hAnsi="Times New Roman" w:eastAsia="宋体" w:cs="Times New Roman"/>
          <w:b/>
          <w:color w:val="000000" w:themeColor="text1"/>
        </w:rPr>
        <w:t>③</w:t>
      </w:r>
      <w:r>
        <w:rPr>
          <w:rFonts w:ascii="Times New Roman" w:hAnsi="Times New Roman" w:cs="Times New Roman"/>
          <w:b/>
          <w:color w:val="000000" w:themeColor="text1"/>
        </w:rPr>
        <w:t>+</w:t>
      </w:r>
      <w:r>
        <w:rPr>
          <w:rFonts w:ascii="Times New Roman" w:hAnsi="Times New Roman" w:eastAsia="宋体" w:cs="Times New Roman"/>
          <w:b/>
          <w:color w:val="000000" w:themeColor="text1"/>
        </w:rPr>
        <w:t>④</w:t>
      </w:r>
      <w:r>
        <w:rPr>
          <w:rFonts w:ascii="Times New Roman" w:hAnsi="Times New Roman" w:cs="Times New Roman"/>
          <w:b/>
          <w:color w:val="000000" w:themeColor="text1"/>
        </w:rPr>
        <w:t>-</w:t>
      </w:r>
      <w:r>
        <w:rPr>
          <w:rFonts w:ascii="Times New Roman" w:hAnsi="Times New Roman" w:eastAsia="宋体" w:cs="Times New Roman"/>
          <w:b/>
          <w:color w:val="000000" w:themeColor="text1"/>
        </w:rPr>
        <w:t>⑤</w:t>
      </w:r>
      <w:r>
        <w:rPr>
          <w:rFonts w:ascii="Times New Roman" w:hAnsi="Times New Roman" w:cs="Times New Roman"/>
          <w:b/>
          <w:color w:val="000000" w:themeColor="text1"/>
        </w:rPr>
        <w:t>；</w:t>
      </w:r>
      <w:r>
        <w:rPr>
          <w:rFonts w:ascii="Times New Roman" w:hAnsi="Times New Roman" w:eastAsia="宋体" w:cs="Times New Roman"/>
          <w:b/>
          <w:color w:val="000000" w:themeColor="text1"/>
        </w:rPr>
        <w:t>⑦</w:t>
      </w:r>
      <w:r>
        <w:rPr>
          <w:rFonts w:ascii="Times New Roman" w:hAnsi="Times New Roman" w:cs="Times New Roman"/>
          <w:b/>
          <w:color w:val="000000" w:themeColor="text1"/>
        </w:rPr>
        <w:t>=</w:t>
      </w:r>
      <w:r>
        <w:rPr>
          <w:rFonts w:ascii="Times New Roman" w:hAnsi="Times New Roman" w:eastAsia="宋体" w:cs="Times New Roman"/>
          <w:b/>
          <w:color w:val="000000" w:themeColor="text1"/>
        </w:rPr>
        <w:t>⑥</w:t>
      </w:r>
      <w:r>
        <w:rPr>
          <w:rFonts w:ascii="Times New Roman" w:hAnsi="Times New Roman" w:cs="Times New Roman"/>
          <w:b/>
          <w:color w:val="000000" w:themeColor="text1"/>
        </w:rPr>
        <w:t>-</w:t>
      </w:r>
      <w:r>
        <w:rPr>
          <w:rFonts w:ascii="Times New Roman" w:hAnsi="Times New Roman" w:eastAsia="宋体" w:cs="Times New Roman"/>
          <w:b/>
          <w:color w:val="000000" w:themeColor="text1"/>
        </w:rPr>
        <w:t>①</w:t>
      </w: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angSong_GB2312">
    <w:altName w:val="仿宋_GB2312"/>
    <w:panose1 w:val="02010609060101010101"/>
    <w:charset w:val="00"/>
    <w:family w:val="roma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sz w:val="20"/>
        <w:lang w:val="zh-CN"/>
      </w:rPr>
      <w:t>98</w:t>
    </w:r>
    <w:r>
      <w:rPr>
        <w:rFonts w:ascii="Times New Roman" w:hAnsi="Times New Roman" w:cs="Times New Roman"/>
        <w:sz w:val="2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dit="forms" w:enforcement="1" w:cryptProviderType="rsaFull" w:cryptAlgorithmClass="hash" w:cryptAlgorithmType="typeAny" w:cryptAlgorithmSid="4" w:cryptSpinCount="0" w:hash="3/6Yo9TfuhH79QyL+ERGUJ6j1G8=" w:salt="aci+ZYtu3buk+F6kN6Biy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2045F"/>
    <w:rsid w:val="0000037C"/>
    <w:rsid w:val="00001460"/>
    <w:rsid w:val="00001C9A"/>
    <w:rsid w:val="00010A49"/>
    <w:rsid w:val="00012C80"/>
    <w:rsid w:val="00013833"/>
    <w:rsid w:val="00014662"/>
    <w:rsid w:val="00021721"/>
    <w:rsid w:val="0002285A"/>
    <w:rsid w:val="00030115"/>
    <w:rsid w:val="00031A59"/>
    <w:rsid w:val="00031E6A"/>
    <w:rsid w:val="00032B08"/>
    <w:rsid w:val="000344EF"/>
    <w:rsid w:val="00034809"/>
    <w:rsid w:val="00035576"/>
    <w:rsid w:val="00035973"/>
    <w:rsid w:val="00040A28"/>
    <w:rsid w:val="00040D99"/>
    <w:rsid w:val="00041742"/>
    <w:rsid w:val="00046D9B"/>
    <w:rsid w:val="00050E55"/>
    <w:rsid w:val="00053379"/>
    <w:rsid w:val="00054F28"/>
    <w:rsid w:val="0005744F"/>
    <w:rsid w:val="00060FF4"/>
    <w:rsid w:val="00062FAD"/>
    <w:rsid w:val="00066661"/>
    <w:rsid w:val="00067BF4"/>
    <w:rsid w:val="00070F66"/>
    <w:rsid w:val="0007395E"/>
    <w:rsid w:val="00075FFD"/>
    <w:rsid w:val="000760FE"/>
    <w:rsid w:val="0008069A"/>
    <w:rsid w:val="00082602"/>
    <w:rsid w:val="0008625A"/>
    <w:rsid w:val="00092548"/>
    <w:rsid w:val="000954A9"/>
    <w:rsid w:val="000B04E4"/>
    <w:rsid w:val="000B35C4"/>
    <w:rsid w:val="000B6EE8"/>
    <w:rsid w:val="000B7547"/>
    <w:rsid w:val="000B7F0F"/>
    <w:rsid w:val="000C1655"/>
    <w:rsid w:val="000C67D1"/>
    <w:rsid w:val="000D1B94"/>
    <w:rsid w:val="000D4D91"/>
    <w:rsid w:val="000D6A48"/>
    <w:rsid w:val="000E445E"/>
    <w:rsid w:val="000E500A"/>
    <w:rsid w:val="000E5549"/>
    <w:rsid w:val="000E6F05"/>
    <w:rsid w:val="000F31A2"/>
    <w:rsid w:val="000F5DE9"/>
    <w:rsid w:val="00101B86"/>
    <w:rsid w:val="0010241D"/>
    <w:rsid w:val="001050AD"/>
    <w:rsid w:val="00105349"/>
    <w:rsid w:val="00111F14"/>
    <w:rsid w:val="00116200"/>
    <w:rsid w:val="00116546"/>
    <w:rsid w:val="001175D4"/>
    <w:rsid w:val="00117639"/>
    <w:rsid w:val="00120973"/>
    <w:rsid w:val="00121AAE"/>
    <w:rsid w:val="00122036"/>
    <w:rsid w:val="00124112"/>
    <w:rsid w:val="001250CA"/>
    <w:rsid w:val="00125B5D"/>
    <w:rsid w:val="00126836"/>
    <w:rsid w:val="001307E7"/>
    <w:rsid w:val="00142600"/>
    <w:rsid w:val="0015464F"/>
    <w:rsid w:val="001555F5"/>
    <w:rsid w:val="00155F06"/>
    <w:rsid w:val="00155F5D"/>
    <w:rsid w:val="0015799F"/>
    <w:rsid w:val="00162258"/>
    <w:rsid w:val="00166793"/>
    <w:rsid w:val="0017180C"/>
    <w:rsid w:val="001719D1"/>
    <w:rsid w:val="00171AF4"/>
    <w:rsid w:val="00172D3E"/>
    <w:rsid w:val="001731F9"/>
    <w:rsid w:val="001750E1"/>
    <w:rsid w:val="0017574F"/>
    <w:rsid w:val="0018089D"/>
    <w:rsid w:val="00182D5B"/>
    <w:rsid w:val="001864CE"/>
    <w:rsid w:val="001877FF"/>
    <w:rsid w:val="00187B44"/>
    <w:rsid w:val="00190097"/>
    <w:rsid w:val="001904A0"/>
    <w:rsid w:val="00197070"/>
    <w:rsid w:val="001977B7"/>
    <w:rsid w:val="00197C78"/>
    <w:rsid w:val="001A0AC4"/>
    <w:rsid w:val="001A3F17"/>
    <w:rsid w:val="001A70EF"/>
    <w:rsid w:val="001B4198"/>
    <w:rsid w:val="001B4D27"/>
    <w:rsid w:val="001B6461"/>
    <w:rsid w:val="001C0A81"/>
    <w:rsid w:val="001C3FC6"/>
    <w:rsid w:val="001D1FB1"/>
    <w:rsid w:val="001D3CCB"/>
    <w:rsid w:val="001E1D94"/>
    <w:rsid w:val="001F03FE"/>
    <w:rsid w:val="001F0A05"/>
    <w:rsid w:val="001F2DED"/>
    <w:rsid w:val="001F522D"/>
    <w:rsid w:val="00201D47"/>
    <w:rsid w:val="00203A93"/>
    <w:rsid w:val="00206762"/>
    <w:rsid w:val="0021020E"/>
    <w:rsid w:val="00210AC5"/>
    <w:rsid w:val="002171C9"/>
    <w:rsid w:val="0022106E"/>
    <w:rsid w:val="002210A0"/>
    <w:rsid w:val="0023376F"/>
    <w:rsid w:val="002349BA"/>
    <w:rsid w:val="00245CA3"/>
    <w:rsid w:val="002504C7"/>
    <w:rsid w:val="00252D41"/>
    <w:rsid w:val="00263EC2"/>
    <w:rsid w:val="002666BE"/>
    <w:rsid w:val="0027349F"/>
    <w:rsid w:val="002735A4"/>
    <w:rsid w:val="00273B36"/>
    <w:rsid w:val="00275FC9"/>
    <w:rsid w:val="002771FA"/>
    <w:rsid w:val="00277862"/>
    <w:rsid w:val="00283568"/>
    <w:rsid w:val="002909A1"/>
    <w:rsid w:val="00292A4E"/>
    <w:rsid w:val="002931E6"/>
    <w:rsid w:val="002963A7"/>
    <w:rsid w:val="00296512"/>
    <w:rsid w:val="002A1028"/>
    <w:rsid w:val="002A1BFA"/>
    <w:rsid w:val="002A1DB1"/>
    <w:rsid w:val="002A5629"/>
    <w:rsid w:val="002B2BE4"/>
    <w:rsid w:val="002B394A"/>
    <w:rsid w:val="002B40E5"/>
    <w:rsid w:val="002B50B9"/>
    <w:rsid w:val="002B5B05"/>
    <w:rsid w:val="002C07C0"/>
    <w:rsid w:val="002C3853"/>
    <w:rsid w:val="002D0160"/>
    <w:rsid w:val="002D272C"/>
    <w:rsid w:val="002D756D"/>
    <w:rsid w:val="002E25DE"/>
    <w:rsid w:val="002E3C02"/>
    <w:rsid w:val="002E3E71"/>
    <w:rsid w:val="002E3F5D"/>
    <w:rsid w:val="002E4EE2"/>
    <w:rsid w:val="002F3465"/>
    <w:rsid w:val="002F37F6"/>
    <w:rsid w:val="002F3E5B"/>
    <w:rsid w:val="002F5DF3"/>
    <w:rsid w:val="003012BB"/>
    <w:rsid w:val="003072B7"/>
    <w:rsid w:val="00317F26"/>
    <w:rsid w:val="00322DCE"/>
    <w:rsid w:val="00323170"/>
    <w:rsid w:val="003271C9"/>
    <w:rsid w:val="00332BCA"/>
    <w:rsid w:val="003401BF"/>
    <w:rsid w:val="0034317D"/>
    <w:rsid w:val="00346057"/>
    <w:rsid w:val="00354B52"/>
    <w:rsid w:val="00360F4E"/>
    <w:rsid w:val="00361CF9"/>
    <w:rsid w:val="003707A9"/>
    <w:rsid w:val="00371986"/>
    <w:rsid w:val="00371B13"/>
    <w:rsid w:val="00372641"/>
    <w:rsid w:val="00375E22"/>
    <w:rsid w:val="003852E6"/>
    <w:rsid w:val="00385DE6"/>
    <w:rsid w:val="003879AF"/>
    <w:rsid w:val="00390401"/>
    <w:rsid w:val="00394E91"/>
    <w:rsid w:val="003A0D2E"/>
    <w:rsid w:val="003A1A97"/>
    <w:rsid w:val="003A2C94"/>
    <w:rsid w:val="003A4F39"/>
    <w:rsid w:val="003B149E"/>
    <w:rsid w:val="003B2DB5"/>
    <w:rsid w:val="003B6B9D"/>
    <w:rsid w:val="003C4D0F"/>
    <w:rsid w:val="003C600D"/>
    <w:rsid w:val="003D01EE"/>
    <w:rsid w:val="003D03A2"/>
    <w:rsid w:val="003D10CA"/>
    <w:rsid w:val="003D15BD"/>
    <w:rsid w:val="003D25E7"/>
    <w:rsid w:val="003D4831"/>
    <w:rsid w:val="003E09E8"/>
    <w:rsid w:val="003E1314"/>
    <w:rsid w:val="003E1882"/>
    <w:rsid w:val="003E1A39"/>
    <w:rsid w:val="003E24A1"/>
    <w:rsid w:val="003E2878"/>
    <w:rsid w:val="003E4647"/>
    <w:rsid w:val="003F0CB4"/>
    <w:rsid w:val="003F2912"/>
    <w:rsid w:val="003F4B40"/>
    <w:rsid w:val="003F5310"/>
    <w:rsid w:val="004029F9"/>
    <w:rsid w:val="004032CC"/>
    <w:rsid w:val="00405DB9"/>
    <w:rsid w:val="00411F09"/>
    <w:rsid w:val="00412056"/>
    <w:rsid w:val="0042165D"/>
    <w:rsid w:val="00423CA5"/>
    <w:rsid w:val="0042483F"/>
    <w:rsid w:val="004329BC"/>
    <w:rsid w:val="004369B4"/>
    <w:rsid w:val="004431BA"/>
    <w:rsid w:val="00444FBC"/>
    <w:rsid w:val="004459AB"/>
    <w:rsid w:val="00445CD5"/>
    <w:rsid w:val="004521CF"/>
    <w:rsid w:val="00452F00"/>
    <w:rsid w:val="00465080"/>
    <w:rsid w:val="00477A89"/>
    <w:rsid w:val="004840C4"/>
    <w:rsid w:val="00484777"/>
    <w:rsid w:val="00490ECA"/>
    <w:rsid w:val="0049193B"/>
    <w:rsid w:val="00496706"/>
    <w:rsid w:val="004A0BC4"/>
    <w:rsid w:val="004A0E4C"/>
    <w:rsid w:val="004A1EEA"/>
    <w:rsid w:val="004A2FFF"/>
    <w:rsid w:val="004A37C5"/>
    <w:rsid w:val="004A4E36"/>
    <w:rsid w:val="004A7486"/>
    <w:rsid w:val="004B6893"/>
    <w:rsid w:val="004C2E9F"/>
    <w:rsid w:val="004C500B"/>
    <w:rsid w:val="004C7D2E"/>
    <w:rsid w:val="004D1330"/>
    <w:rsid w:val="004D3DA8"/>
    <w:rsid w:val="004D5133"/>
    <w:rsid w:val="004D5440"/>
    <w:rsid w:val="004D55E7"/>
    <w:rsid w:val="004D5651"/>
    <w:rsid w:val="004D620C"/>
    <w:rsid w:val="004E0B6A"/>
    <w:rsid w:val="004E3B7E"/>
    <w:rsid w:val="004F046C"/>
    <w:rsid w:val="004F4CD1"/>
    <w:rsid w:val="004F79F0"/>
    <w:rsid w:val="004F7ED7"/>
    <w:rsid w:val="00505002"/>
    <w:rsid w:val="00505137"/>
    <w:rsid w:val="00511B6E"/>
    <w:rsid w:val="00512026"/>
    <w:rsid w:val="005164B3"/>
    <w:rsid w:val="00516F69"/>
    <w:rsid w:val="00531AD8"/>
    <w:rsid w:val="00531E5D"/>
    <w:rsid w:val="00533467"/>
    <w:rsid w:val="005340F1"/>
    <w:rsid w:val="005344D8"/>
    <w:rsid w:val="00542078"/>
    <w:rsid w:val="00543C10"/>
    <w:rsid w:val="00544F28"/>
    <w:rsid w:val="005513D1"/>
    <w:rsid w:val="00551B30"/>
    <w:rsid w:val="00551E76"/>
    <w:rsid w:val="005528F5"/>
    <w:rsid w:val="0055331A"/>
    <w:rsid w:val="0055558F"/>
    <w:rsid w:val="0055687A"/>
    <w:rsid w:val="005568AC"/>
    <w:rsid w:val="005571AA"/>
    <w:rsid w:val="00560E9C"/>
    <w:rsid w:val="00566E33"/>
    <w:rsid w:val="00570AC5"/>
    <w:rsid w:val="00570B7C"/>
    <w:rsid w:val="005729FD"/>
    <w:rsid w:val="00572A09"/>
    <w:rsid w:val="00582AD6"/>
    <w:rsid w:val="00586942"/>
    <w:rsid w:val="0059271E"/>
    <w:rsid w:val="00595DFB"/>
    <w:rsid w:val="00595DFF"/>
    <w:rsid w:val="00597AED"/>
    <w:rsid w:val="005A040B"/>
    <w:rsid w:val="005A468F"/>
    <w:rsid w:val="005A4E1D"/>
    <w:rsid w:val="005B2471"/>
    <w:rsid w:val="005B5075"/>
    <w:rsid w:val="005B60E2"/>
    <w:rsid w:val="005B6614"/>
    <w:rsid w:val="005C3240"/>
    <w:rsid w:val="005C358A"/>
    <w:rsid w:val="005C38F9"/>
    <w:rsid w:val="005C4004"/>
    <w:rsid w:val="005C5209"/>
    <w:rsid w:val="005C568F"/>
    <w:rsid w:val="005C6ECF"/>
    <w:rsid w:val="005C77F4"/>
    <w:rsid w:val="005D1BB5"/>
    <w:rsid w:val="005D2878"/>
    <w:rsid w:val="005D2D5E"/>
    <w:rsid w:val="005D2DAC"/>
    <w:rsid w:val="005D40A7"/>
    <w:rsid w:val="005D615F"/>
    <w:rsid w:val="005D6D94"/>
    <w:rsid w:val="005E43DF"/>
    <w:rsid w:val="005E5DB0"/>
    <w:rsid w:val="005E7578"/>
    <w:rsid w:val="005E7C08"/>
    <w:rsid w:val="005F2890"/>
    <w:rsid w:val="006064CE"/>
    <w:rsid w:val="00607B6F"/>
    <w:rsid w:val="00612FB5"/>
    <w:rsid w:val="00613414"/>
    <w:rsid w:val="00613C50"/>
    <w:rsid w:val="00614783"/>
    <w:rsid w:val="00615657"/>
    <w:rsid w:val="006165E9"/>
    <w:rsid w:val="00617A01"/>
    <w:rsid w:val="0062045F"/>
    <w:rsid w:val="00620CC6"/>
    <w:rsid w:val="00623A6B"/>
    <w:rsid w:val="0063583F"/>
    <w:rsid w:val="00635E7E"/>
    <w:rsid w:val="00636BF7"/>
    <w:rsid w:val="006379C6"/>
    <w:rsid w:val="00642D37"/>
    <w:rsid w:val="00653F5D"/>
    <w:rsid w:val="00654D5E"/>
    <w:rsid w:val="00655AAA"/>
    <w:rsid w:val="00663A36"/>
    <w:rsid w:val="00665D2A"/>
    <w:rsid w:val="00666C84"/>
    <w:rsid w:val="00670600"/>
    <w:rsid w:val="00674BFA"/>
    <w:rsid w:val="006826DF"/>
    <w:rsid w:val="00685451"/>
    <w:rsid w:val="0068738A"/>
    <w:rsid w:val="00687D0A"/>
    <w:rsid w:val="006908E4"/>
    <w:rsid w:val="006946BA"/>
    <w:rsid w:val="006948E5"/>
    <w:rsid w:val="006952FD"/>
    <w:rsid w:val="006A0148"/>
    <w:rsid w:val="006A310F"/>
    <w:rsid w:val="006A5256"/>
    <w:rsid w:val="006A72E3"/>
    <w:rsid w:val="006A7586"/>
    <w:rsid w:val="006A78F8"/>
    <w:rsid w:val="006B128E"/>
    <w:rsid w:val="006B30E2"/>
    <w:rsid w:val="006B4D33"/>
    <w:rsid w:val="006C0272"/>
    <w:rsid w:val="006C0B93"/>
    <w:rsid w:val="006C1364"/>
    <w:rsid w:val="006C1666"/>
    <w:rsid w:val="006C1D02"/>
    <w:rsid w:val="006C1FE2"/>
    <w:rsid w:val="006C52A7"/>
    <w:rsid w:val="006C58DC"/>
    <w:rsid w:val="006C640B"/>
    <w:rsid w:val="006D1F47"/>
    <w:rsid w:val="006D449A"/>
    <w:rsid w:val="006D469B"/>
    <w:rsid w:val="006E20AC"/>
    <w:rsid w:val="006E2C47"/>
    <w:rsid w:val="006E3BBE"/>
    <w:rsid w:val="006E4148"/>
    <w:rsid w:val="006E69D9"/>
    <w:rsid w:val="006F2742"/>
    <w:rsid w:val="006F31A9"/>
    <w:rsid w:val="006F404F"/>
    <w:rsid w:val="006F6817"/>
    <w:rsid w:val="00702658"/>
    <w:rsid w:val="00702A5D"/>
    <w:rsid w:val="00702CD6"/>
    <w:rsid w:val="00703AE9"/>
    <w:rsid w:val="00705AE6"/>
    <w:rsid w:val="00710575"/>
    <w:rsid w:val="00712452"/>
    <w:rsid w:val="00714EBC"/>
    <w:rsid w:val="00715081"/>
    <w:rsid w:val="00715F71"/>
    <w:rsid w:val="007201DF"/>
    <w:rsid w:val="007205B9"/>
    <w:rsid w:val="00720BA9"/>
    <w:rsid w:val="00734F3E"/>
    <w:rsid w:val="00740A4F"/>
    <w:rsid w:val="00743085"/>
    <w:rsid w:val="007431C8"/>
    <w:rsid w:val="00745C1E"/>
    <w:rsid w:val="00751732"/>
    <w:rsid w:val="0075551E"/>
    <w:rsid w:val="00756F3F"/>
    <w:rsid w:val="00760397"/>
    <w:rsid w:val="007620A6"/>
    <w:rsid w:val="0076631D"/>
    <w:rsid w:val="00766376"/>
    <w:rsid w:val="00766AE0"/>
    <w:rsid w:val="00766AF2"/>
    <w:rsid w:val="00766D22"/>
    <w:rsid w:val="0077006B"/>
    <w:rsid w:val="00774F0B"/>
    <w:rsid w:val="007752A9"/>
    <w:rsid w:val="00775E85"/>
    <w:rsid w:val="007809B0"/>
    <w:rsid w:val="00785FBC"/>
    <w:rsid w:val="00786705"/>
    <w:rsid w:val="0079096A"/>
    <w:rsid w:val="0079172D"/>
    <w:rsid w:val="007923CD"/>
    <w:rsid w:val="00793033"/>
    <w:rsid w:val="00793C8B"/>
    <w:rsid w:val="00795DF7"/>
    <w:rsid w:val="00797D3A"/>
    <w:rsid w:val="007A17E9"/>
    <w:rsid w:val="007A1811"/>
    <w:rsid w:val="007A1DDD"/>
    <w:rsid w:val="007A6586"/>
    <w:rsid w:val="007B296B"/>
    <w:rsid w:val="007B2D0E"/>
    <w:rsid w:val="007B60C1"/>
    <w:rsid w:val="007B741C"/>
    <w:rsid w:val="007C0DE2"/>
    <w:rsid w:val="007C1376"/>
    <w:rsid w:val="007C48B8"/>
    <w:rsid w:val="007C64DE"/>
    <w:rsid w:val="007D01C3"/>
    <w:rsid w:val="007D01EC"/>
    <w:rsid w:val="007D3228"/>
    <w:rsid w:val="007D440B"/>
    <w:rsid w:val="007D66D8"/>
    <w:rsid w:val="007E68B1"/>
    <w:rsid w:val="007F29D3"/>
    <w:rsid w:val="007F4217"/>
    <w:rsid w:val="007F636C"/>
    <w:rsid w:val="00800713"/>
    <w:rsid w:val="0080313A"/>
    <w:rsid w:val="008037FF"/>
    <w:rsid w:val="00803BB5"/>
    <w:rsid w:val="00803E6E"/>
    <w:rsid w:val="00804005"/>
    <w:rsid w:val="008140BC"/>
    <w:rsid w:val="00814387"/>
    <w:rsid w:val="0081475D"/>
    <w:rsid w:val="00820EEF"/>
    <w:rsid w:val="008278FC"/>
    <w:rsid w:val="00844558"/>
    <w:rsid w:val="00847A3B"/>
    <w:rsid w:val="00853681"/>
    <w:rsid w:val="0085784B"/>
    <w:rsid w:val="00857DB7"/>
    <w:rsid w:val="00862A78"/>
    <w:rsid w:val="00873156"/>
    <w:rsid w:val="00875620"/>
    <w:rsid w:val="00876278"/>
    <w:rsid w:val="0087758A"/>
    <w:rsid w:val="00877DC6"/>
    <w:rsid w:val="00881AE9"/>
    <w:rsid w:val="00883F24"/>
    <w:rsid w:val="00884880"/>
    <w:rsid w:val="00885613"/>
    <w:rsid w:val="008902AE"/>
    <w:rsid w:val="008948EB"/>
    <w:rsid w:val="00897E97"/>
    <w:rsid w:val="008A1159"/>
    <w:rsid w:val="008A6FD6"/>
    <w:rsid w:val="008B21E0"/>
    <w:rsid w:val="008B702B"/>
    <w:rsid w:val="008C08AB"/>
    <w:rsid w:val="008C1FB7"/>
    <w:rsid w:val="008C50F0"/>
    <w:rsid w:val="008C7652"/>
    <w:rsid w:val="008D15CE"/>
    <w:rsid w:val="008D164F"/>
    <w:rsid w:val="008D6FF6"/>
    <w:rsid w:val="008E01DB"/>
    <w:rsid w:val="008E0774"/>
    <w:rsid w:val="008E375A"/>
    <w:rsid w:val="008E56A4"/>
    <w:rsid w:val="008F1331"/>
    <w:rsid w:val="008F2EC8"/>
    <w:rsid w:val="008F3815"/>
    <w:rsid w:val="008F4CE6"/>
    <w:rsid w:val="008F5F3E"/>
    <w:rsid w:val="008F74C5"/>
    <w:rsid w:val="008F7AE0"/>
    <w:rsid w:val="00903A8B"/>
    <w:rsid w:val="009050A1"/>
    <w:rsid w:val="0091238E"/>
    <w:rsid w:val="009133CD"/>
    <w:rsid w:val="00913BBF"/>
    <w:rsid w:val="009169FE"/>
    <w:rsid w:val="00920360"/>
    <w:rsid w:val="009206AC"/>
    <w:rsid w:val="009252EF"/>
    <w:rsid w:val="00925E63"/>
    <w:rsid w:val="00927433"/>
    <w:rsid w:val="00927C70"/>
    <w:rsid w:val="00931F67"/>
    <w:rsid w:val="009322B7"/>
    <w:rsid w:val="00935E07"/>
    <w:rsid w:val="00936AFA"/>
    <w:rsid w:val="00936B23"/>
    <w:rsid w:val="009371D8"/>
    <w:rsid w:val="00942D2C"/>
    <w:rsid w:val="00954268"/>
    <w:rsid w:val="009545F8"/>
    <w:rsid w:val="0095737E"/>
    <w:rsid w:val="00963844"/>
    <w:rsid w:val="00966221"/>
    <w:rsid w:val="00973DC5"/>
    <w:rsid w:val="00974646"/>
    <w:rsid w:val="00974EF8"/>
    <w:rsid w:val="009800F5"/>
    <w:rsid w:val="00985B1D"/>
    <w:rsid w:val="00985F41"/>
    <w:rsid w:val="00987D4A"/>
    <w:rsid w:val="0099248B"/>
    <w:rsid w:val="0099505A"/>
    <w:rsid w:val="009A28F3"/>
    <w:rsid w:val="009A570D"/>
    <w:rsid w:val="009A5B38"/>
    <w:rsid w:val="009A6A54"/>
    <w:rsid w:val="009A6B88"/>
    <w:rsid w:val="009A6C5B"/>
    <w:rsid w:val="009B74A4"/>
    <w:rsid w:val="009B7740"/>
    <w:rsid w:val="009C091A"/>
    <w:rsid w:val="009C166B"/>
    <w:rsid w:val="009D27CC"/>
    <w:rsid w:val="009D368A"/>
    <w:rsid w:val="009D3A91"/>
    <w:rsid w:val="009D41A3"/>
    <w:rsid w:val="009D6702"/>
    <w:rsid w:val="009E1AE2"/>
    <w:rsid w:val="009E20A5"/>
    <w:rsid w:val="009E33D7"/>
    <w:rsid w:val="009E461F"/>
    <w:rsid w:val="009E4666"/>
    <w:rsid w:val="009E7307"/>
    <w:rsid w:val="009F1793"/>
    <w:rsid w:val="009F2273"/>
    <w:rsid w:val="009F2D07"/>
    <w:rsid w:val="009F30AC"/>
    <w:rsid w:val="00A0234D"/>
    <w:rsid w:val="00A05164"/>
    <w:rsid w:val="00A0563B"/>
    <w:rsid w:val="00A05998"/>
    <w:rsid w:val="00A06B38"/>
    <w:rsid w:val="00A12706"/>
    <w:rsid w:val="00A158CC"/>
    <w:rsid w:val="00A2271E"/>
    <w:rsid w:val="00A22965"/>
    <w:rsid w:val="00A261F5"/>
    <w:rsid w:val="00A3300E"/>
    <w:rsid w:val="00A33875"/>
    <w:rsid w:val="00A34841"/>
    <w:rsid w:val="00A37D8D"/>
    <w:rsid w:val="00A4202F"/>
    <w:rsid w:val="00A4354F"/>
    <w:rsid w:val="00A4616E"/>
    <w:rsid w:val="00A46859"/>
    <w:rsid w:val="00A46F3A"/>
    <w:rsid w:val="00A475BE"/>
    <w:rsid w:val="00A52AFE"/>
    <w:rsid w:val="00A536B3"/>
    <w:rsid w:val="00A53E67"/>
    <w:rsid w:val="00A55D2C"/>
    <w:rsid w:val="00A62045"/>
    <w:rsid w:val="00A6574F"/>
    <w:rsid w:val="00A66BEE"/>
    <w:rsid w:val="00A707E4"/>
    <w:rsid w:val="00A719DE"/>
    <w:rsid w:val="00A73184"/>
    <w:rsid w:val="00A7751C"/>
    <w:rsid w:val="00A77714"/>
    <w:rsid w:val="00A8003A"/>
    <w:rsid w:val="00A80A3E"/>
    <w:rsid w:val="00A923EE"/>
    <w:rsid w:val="00A92F34"/>
    <w:rsid w:val="00A96334"/>
    <w:rsid w:val="00AA09E6"/>
    <w:rsid w:val="00AA2EAD"/>
    <w:rsid w:val="00AA4EA6"/>
    <w:rsid w:val="00AA5A9C"/>
    <w:rsid w:val="00AA7709"/>
    <w:rsid w:val="00AA7EA9"/>
    <w:rsid w:val="00AB571D"/>
    <w:rsid w:val="00AB68A8"/>
    <w:rsid w:val="00AB6D1E"/>
    <w:rsid w:val="00AB7EF8"/>
    <w:rsid w:val="00AC07DE"/>
    <w:rsid w:val="00AC6D60"/>
    <w:rsid w:val="00AC76D2"/>
    <w:rsid w:val="00AD1B30"/>
    <w:rsid w:val="00AD2BD7"/>
    <w:rsid w:val="00AD5086"/>
    <w:rsid w:val="00AD5A01"/>
    <w:rsid w:val="00AD624C"/>
    <w:rsid w:val="00AD70C8"/>
    <w:rsid w:val="00AE19CA"/>
    <w:rsid w:val="00AE1FB4"/>
    <w:rsid w:val="00AE2950"/>
    <w:rsid w:val="00AE3571"/>
    <w:rsid w:val="00AE48A8"/>
    <w:rsid w:val="00AE6373"/>
    <w:rsid w:val="00AF0DF7"/>
    <w:rsid w:val="00AF0FB2"/>
    <w:rsid w:val="00AF5DE0"/>
    <w:rsid w:val="00AF7020"/>
    <w:rsid w:val="00B019EC"/>
    <w:rsid w:val="00B031F5"/>
    <w:rsid w:val="00B0393E"/>
    <w:rsid w:val="00B06CED"/>
    <w:rsid w:val="00B070D4"/>
    <w:rsid w:val="00B11487"/>
    <w:rsid w:val="00B12184"/>
    <w:rsid w:val="00B1263B"/>
    <w:rsid w:val="00B1473D"/>
    <w:rsid w:val="00B1487D"/>
    <w:rsid w:val="00B1596E"/>
    <w:rsid w:val="00B16599"/>
    <w:rsid w:val="00B17674"/>
    <w:rsid w:val="00B20232"/>
    <w:rsid w:val="00B206E0"/>
    <w:rsid w:val="00B21DB0"/>
    <w:rsid w:val="00B26AB9"/>
    <w:rsid w:val="00B31882"/>
    <w:rsid w:val="00B33013"/>
    <w:rsid w:val="00B34787"/>
    <w:rsid w:val="00B40B29"/>
    <w:rsid w:val="00B41C8E"/>
    <w:rsid w:val="00B44CAA"/>
    <w:rsid w:val="00B4575C"/>
    <w:rsid w:val="00B45987"/>
    <w:rsid w:val="00B45CFC"/>
    <w:rsid w:val="00B46E0F"/>
    <w:rsid w:val="00B478D2"/>
    <w:rsid w:val="00B5125D"/>
    <w:rsid w:val="00B51983"/>
    <w:rsid w:val="00B51DF7"/>
    <w:rsid w:val="00B53D4D"/>
    <w:rsid w:val="00B56333"/>
    <w:rsid w:val="00B563B0"/>
    <w:rsid w:val="00B5798B"/>
    <w:rsid w:val="00B620DD"/>
    <w:rsid w:val="00B65470"/>
    <w:rsid w:val="00B7008E"/>
    <w:rsid w:val="00B75F10"/>
    <w:rsid w:val="00B77F51"/>
    <w:rsid w:val="00B80331"/>
    <w:rsid w:val="00B82AF0"/>
    <w:rsid w:val="00B83509"/>
    <w:rsid w:val="00B83528"/>
    <w:rsid w:val="00B846BB"/>
    <w:rsid w:val="00B8599C"/>
    <w:rsid w:val="00B87833"/>
    <w:rsid w:val="00B9657F"/>
    <w:rsid w:val="00BA29D5"/>
    <w:rsid w:val="00BA39DB"/>
    <w:rsid w:val="00BA4DC1"/>
    <w:rsid w:val="00BA79D2"/>
    <w:rsid w:val="00BB5F36"/>
    <w:rsid w:val="00BC0A66"/>
    <w:rsid w:val="00BC42B9"/>
    <w:rsid w:val="00BC4C15"/>
    <w:rsid w:val="00BC5093"/>
    <w:rsid w:val="00BD0523"/>
    <w:rsid w:val="00BD0FFC"/>
    <w:rsid w:val="00BD317E"/>
    <w:rsid w:val="00BD3256"/>
    <w:rsid w:val="00BD5EE1"/>
    <w:rsid w:val="00BE0032"/>
    <w:rsid w:val="00BE1784"/>
    <w:rsid w:val="00BE2288"/>
    <w:rsid w:val="00BE4393"/>
    <w:rsid w:val="00BE716A"/>
    <w:rsid w:val="00BF0309"/>
    <w:rsid w:val="00BF05A3"/>
    <w:rsid w:val="00BF0650"/>
    <w:rsid w:val="00BF117C"/>
    <w:rsid w:val="00BF5489"/>
    <w:rsid w:val="00BF592F"/>
    <w:rsid w:val="00BF739D"/>
    <w:rsid w:val="00BF7C1F"/>
    <w:rsid w:val="00C023BF"/>
    <w:rsid w:val="00C02EF3"/>
    <w:rsid w:val="00C102A5"/>
    <w:rsid w:val="00C11EC6"/>
    <w:rsid w:val="00C11F0E"/>
    <w:rsid w:val="00C21282"/>
    <w:rsid w:val="00C23DA0"/>
    <w:rsid w:val="00C2445F"/>
    <w:rsid w:val="00C2566E"/>
    <w:rsid w:val="00C31F22"/>
    <w:rsid w:val="00C323CA"/>
    <w:rsid w:val="00C337D6"/>
    <w:rsid w:val="00C36564"/>
    <w:rsid w:val="00C36C10"/>
    <w:rsid w:val="00C37163"/>
    <w:rsid w:val="00C37EB4"/>
    <w:rsid w:val="00C416AA"/>
    <w:rsid w:val="00C42ACA"/>
    <w:rsid w:val="00C4496D"/>
    <w:rsid w:val="00C458C4"/>
    <w:rsid w:val="00C466EA"/>
    <w:rsid w:val="00C46C54"/>
    <w:rsid w:val="00C47F54"/>
    <w:rsid w:val="00C53DB8"/>
    <w:rsid w:val="00C54650"/>
    <w:rsid w:val="00C5657F"/>
    <w:rsid w:val="00C5703D"/>
    <w:rsid w:val="00C62458"/>
    <w:rsid w:val="00C6321B"/>
    <w:rsid w:val="00C63515"/>
    <w:rsid w:val="00C635BA"/>
    <w:rsid w:val="00C63B71"/>
    <w:rsid w:val="00C64149"/>
    <w:rsid w:val="00C71B72"/>
    <w:rsid w:val="00C72737"/>
    <w:rsid w:val="00C72DAD"/>
    <w:rsid w:val="00C77C13"/>
    <w:rsid w:val="00C83B3E"/>
    <w:rsid w:val="00C83E72"/>
    <w:rsid w:val="00C85CB3"/>
    <w:rsid w:val="00C90CDE"/>
    <w:rsid w:val="00C91A59"/>
    <w:rsid w:val="00C92CDF"/>
    <w:rsid w:val="00C9314B"/>
    <w:rsid w:val="00CA1213"/>
    <w:rsid w:val="00CA4B4A"/>
    <w:rsid w:val="00CA4BB4"/>
    <w:rsid w:val="00CA4DD5"/>
    <w:rsid w:val="00CA6CE9"/>
    <w:rsid w:val="00CB20C7"/>
    <w:rsid w:val="00CB2F29"/>
    <w:rsid w:val="00CB6E12"/>
    <w:rsid w:val="00CC0808"/>
    <w:rsid w:val="00CC242F"/>
    <w:rsid w:val="00CC2BD0"/>
    <w:rsid w:val="00CC3974"/>
    <w:rsid w:val="00CC5962"/>
    <w:rsid w:val="00CD10E5"/>
    <w:rsid w:val="00CD34AD"/>
    <w:rsid w:val="00CD485D"/>
    <w:rsid w:val="00CD511C"/>
    <w:rsid w:val="00CE2306"/>
    <w:rsid w:val="00CE3245"/>
    <w:rsid w:val="00CE32C0"/>
    <w:rsid w:val="00CE4D56"/>
    <w:rsid w:val="00CF141D"/>
    <w:rsid w:val="00CF2AC6"/>
    <w:rsid w:val="00CF31B0"/>
    <w:rsid w:val="00CF5122"/>
    <w:rsid w:val="00CF51C9"/>
    <w:rsid w:val="00CF64FE"/>
    <w:rsid w:val="00CF7FB1"/>
    <w:rsid w:val="00D02159"/>
    <w:rsid w:val="00D077EB"/>
    <w:rsid w:val="00D1118C"/>
    <w:rsid w:val="00D11CB4"/>
    <w:rsid w:val="00D13852"/>
    <w:rsid w:val="00D1449F"/>
    <w:rsid w:val="00D2157C"/>
    <w:rsid w:val="00D21A6D"/>
    <w:rsid w:val="00D2295A"/>
    <w:rsid w:val="00D23738"/>
    <w:rsid w:val="00D2536F"/>
    <w:rsid w:val="00D33CC5"/>
    <w:rsid w:val="00D33F3C"/>
    <w:rsid w:val="00D35AA9"/>
    <w:rsid w:val="00D36E78"/>
    <w:rsid w:val="00D37AD4"/>
    <w:rsid w:val="00D426F0"/>
    <w:rsid w:val="00D4522A"/>
    <w:rsid w:val="00D51EA8"/>
    <w:rsid w:val="00D52226"/>
    <w:rsid w:val="00D54364"/>
    <w:rsid w:val="00D554CF"/>
    <w:rsid w:val="00D567D4"/>
    <w:rsid w:val="00D608C7"/>
    <w:rsid w:val="00D62262"/>
    <w:rsid w:val="00D625E0"/>
    <w:rsid w:val="00D66B7D"/>
    <w:rsid w:val="00D707F7"/>
    <w:rsid w:val="00D708CF"/>
    <w:rsid w:val="00D71E9C"/>
    <w:rsid w:val="00D72434"/>
    <w:rsid w:val="00D731D2"/>
    <w:rsid w:val="00D73B45"/>
    <w:rsid w:val="00D766E0"/>
    <w:rsid w:val="00D80837"/>
    <w:rsid w:val="00D8380C"/>
    <w:rsid w:val="00D8657E"/>
    <w:rsid w:val="00D911B2"/>
    <w:rsid w:val="00D928CE"/>
    <w:rsid w:val="00D965D5"/>
    <w:rsid w:val="00DA1769"/>
    <w:rsid w:val="00DA2FBA"/>
    <w:rsid w:val="00DA6C99"/>
    <w:rsid w:val="00DA707D"/>
    <w:rsid w:val="00DB6353"/>
    <w:rsid w:val="00DB680A"/>
    <w:rsid w:val="00DC3B2A"/>
    <w:rsid w:val="00DC3E12"/>
    <w:rsid w:val="00DC67B5"/>
    <w:rsid w:val="00DD0426"/>
    <w:rsid w:val="00DD3822"/>
    <w:rsid w:val="00DD7A9F"/>
    <w:rsid w:val="00DE4B23"/>
    <w:rsid w:val="00DF0D79"/>
    <w:rsid w:val="00DF5A36"/>
    <w:rsid w:val="00E015F5"/>
    <w:rsid w:val="00E03890"/>
    <w:rsid w:val="00E06BCD"/>
    <w:rsid w:val="00E1063F"/>
    <w:rsid w:val="00E122AF"/>
    <w:rsid w:val="00E2185D"/>
    <w:rsid w:val="00E25DBB"/>
    <w:rsid w:val="00E27815"/>
    <w:rsid w:val="00E303D4"/>
    <w:rsid w:val="00E42FBC"/>
    <w:rsid w:val="00E519CE"/>
    <w:rsid w:val="00E51BFD"/>
    <w:rsid w:val="00E57CBF"/>
    <w:rsid w:val="00E63B58"/>
    <w:rsid w:val="00E66D1F"/>
    <w:rsid w:val="00E67620"/>
    <w:rsid w:val="00E7474A"/>
    <w:rsid w:val="00E75E2F"/>
    <w:rsid w:val="00E80A5E"/>
    <w:rsid w:val="00E8453C"/>
    <w:rsid w:val="00E87BC1"/>
    <w:rsid w:val="00E914AF"/>
    <w:rsid w:val="00E9156B"/>
    <w:rsid w:val="00E91797"/>
    <w:rsid w:val="00E964EA"/>
    <w:rsid w:val="00E9735A"/>
    <w:rsid w:val="00EA0CF8"/>
    <w:rsid w:val="00EA3154"/>
    <w:rsid w:val="00EA3639"/>
    <w:rsid w:val="00EA3913"/>
    <w:rsid w:val="00EA3E90"/>
    <w:rsid w:val="00EA7D37"/>
    <w:rsid w:val="00EB0DD5"/>
    <w:rsid w:val="00EB0E32"/>
    <w:rsid w:val="00EB1CB2"/>
    <w:rsid w:val="00EB297D"/>
    <w:rsid w:val="00EB4C21"/>
    <w:rsid w:val="00EB5E37"/>
    <w:rsid w:val="00EB6CFB"/>
    <w:rsid w:val="00EC0172"/>
    <w:rsid w:val="00EC0446"/>
    <w:rsid w:val="00EC1495"/>
    <w:rsid w:val="00EC47F4"/>
    <w:rsid w:val="00ED22CC"/>
    <w:rsid w:val="00ED2EC4"/>
    <w:rsid w:val="00ED35F4"/>
    <w:rsid w:val="00ED3A56"/>
    <w:rsid w:val="00ED6676"/>
    <w:rsid w:val="00ED71D0"/>
    <w:rsid w:val="00EE061C"/>
    <w:rsid w:val="00EE14D0"/>
    <w:rsid w:val="00EE7659"/>
    <w:rsid w:val="00EF36F5"/>
    <w:rsid w:val="00EF3C0E"/>
    <w:rsid w:val="00EF4749"/>
    <w:rsid w:val="00EF62C3"/>
    <w:rsid w:val="00F003D2"/>
    <w:rsid w:val="00F02D22"/>
    <w:rsid w:val="00F057AE"/>
    <w:rsid w:val="00F12CFD"/>
    <w:rsid w:val="00F12E9C"/>
    <w:rsid w:val="00F1433A"/>
    <w:rsid w:val="00F153FF"/>
    <w:rsid w:val="00F20BB6"/>
    <w:rsid w:val="00F234D9"/>
    <w:rsid w:val="00F249CA"/>
    <w:rsid w:val="00F2526D"/>
    <w:rsid w:val="00F32629"/>
    <w:rsid w:val="00F41EA4"/>
    <w:rsid w:val="00F42462"/>
    <w:rsid w:val="00F440BB"/>
    <w:rsid w:val="00F44738"/>
    <w:rsid w:val="00F500E4"/>
    <w:rsid w:val="00F5271B"/>
    <w:rsid w:val="00F600C0"/>
    <w:rsid w:val="00F60F88"/>
    <w:rsid w:val="00F6192B"/>
    <w:rsid w:val="00F624A7"/>
    <w:rsid w:val="00F63B25"/>
    <w:rsid w:val="00F646F0"/>
    <w:rsid w:val="00F64760"/>
    <w:rsid w:val="00F66634"/>
    <w:rsid w:val="00F66966"/>
    <w:rsid w:val="00F772AB"/>
    <w:rsid w:val="00F80C21"/>
    <w:rsid w:val="00F81460"/>
    <w:rsid w:val="00F82262"/>
    <w:rsid w:val="00F827AD"/>
    <w:rsid w:val="00F82C79"/>
    <w:rsid w:val="00F83B32"/>
    <w:rsid w:val="00F83F93"/>
    <w:rsid w:val="00F84044"/>
    <w:rsid w:val="00F879F6"/>
    <w:rsid w:val="00F91ABB"/>
    <w:rsid w:val="00F924C3"/>
    <w:rsid w:val="00F93088"/>
    <w:rsid w:val="00FA0B2F"/>
    <w:rsid w:val="00FA1481"/>
    <w:rsid w:val="00FA56BC"/>
    <w:rsid w:val="00FB01E5"/>
    <w:rsid w:val="00FB1246"/>
    <w:rsid w:val="00FB44C5"/>
    <w:rsid w:val="00FB484A"/>
    <w:rsid w:val="00FB4D30"/>
    <w:rsid w:val="00FB5B45"/>
    <w:rsid w:val="00FC1290"/>
    <w:rsid w:val="00FC1DF3"/>
    <w:rsid w:val="00FC2BFB"/>
    <w:rsid w:val="00FD2BFA"/>
    <w:rsid w:val="00FD675C"/>
    <w:rsid w:val="00FD7052"/>
    <w:rsid w:val="00FE054F"/>
    <w:rsid w:val="00FE27FD"/>
    <w:rsid w:val="00FE4015"/>
    <w:rsid w:val="00FE4AB5"/>
    <w:rsid w:val="00FE596E"/>
    <w:rsid w:val="00FE6AD7"/>
    <w:rsid w:val="00FF727E"/>
    <w:rsid w:val="13315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0" w:semiHidden="0" w:name="Emphasis"/>
    <w:lsdException w:qFormat="1" w:uiPriority="99" w:name="Document Map"/>
    <w:lsdException w:qFormat="1" w:unhideWhenUsed="0" w:uiPriority="5"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5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6"/>
    <w:qFormat/>
    <w:uiPriority w:val="0"/>
    <w:pPr>
      <w:keepNext/>
      <w:keepLines/>
      <w:tabs>
        <w:tab w:val="left" w:pos="2223"/>
        <w:tab w:val="left" w:pos="2558"/>
      </w:tabs>
      <w:spacing w:before="120" w:after="120" w:line="360" w:lineRule="auto"/>
      <w:outlineLvl w:val="1"/>
    </w:pPr>
    <w:rPr>
      <w:rFonts w:ascii="Times New Roman" w:hAnsi="Times New Roman" w:eastAsia="黑体" w:cs="Times New Roman"/>
      <w:color w:val="000000" w:themeColor="text1"/>
      <w:sz w:val="30"/>
      <w:szCs w:val="24"/>
    </w:rPr>
  </w:style>
  <w:style w:type="paragraph" w:styleId="4">
    <w:name w:val="heading 3"/>
    <w:basedOn w:val="1"/>
    <w:next w:val="1"/>
    <w:link w:val="48"/>
    <w:semiHidden/>
    <w:unhideWhenUsed/>
    <w:qFormat/>
    <w:uiPriority w:val="9"/>
    <w:pPr>
      <w:keepNext/>
      <w:keepLines/>
      <w:spacing w:before="260" w:after="260" w:line="416" w:lineRule="auto"/>
      <w:outlineLvl w:val="2"/>
    </w:pPr>
    <w:rPr>
      <w:b/>
      <w:bCs/>
      <w:sz w:val="32"/>
      <w:szCs w:val="32"/>
    </w:rPr>
  </w:style>
  <w:style w:type="paragraph" w:styleId="5">
    <w:name w:val="heading 8"/>
    <w:basedOn w:val="1"/>
    <w:next w:val="1"/>
    <w:link w:val="50"/>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52"/>
    <w:qFormat/>
    <w:uiPriority w:val="99"/>
    <w:pPr>
      <w:widowControl/>
      <w:ind w:firstLine="420" w:firstLineChars="200"/>
      <w:jc w:val="left"/>
    </w:pPr>
    <w:rPr>
      <w:rFonts w:ascii="Calibri" w:hAnsi="Calibri" w:eastAsia="宋体" w:cs="Times New Roman"/>
      <w:sz w:val="28"/>
      <w:szCs w:val="20"/>
    </w:rPr>
  </w:style>
  <w:style w:type="paragraph" w:styleId="7">
    <w:name w:val="Document Map"/>
    <w:basedOn w:val="1"/>
    <w:link w:val="29"/>
    <w:semiHidden/>
    <w:unhideWhenUsed/>
    <w:qFormat/>
    <w:uiPriority w:val="99"/>
    <w:rPr>
      <w:rFonts w:ascii="宋体" w:eastAsia="宋体"/>
      <w:sz w:val="20"/>
      <w:szCs w:val="18"/>
    </w:rPr>
  </w:style>
  <w:style w:type="paragraph" w:styleId="8">
    <w:name w:val="annotation text"/>
    <w:basedOn w:val="1"/>
    <w:link w:val="36"/>
    <w:unhideWhenUsed/>
    <w:qFormat/>
    <w:uiPriority w:val="99"/>
    <w:pPr>
      <w:jc w:val="left"/>
    </w:pPr>
  </w:style>
  <w:style w:type="paragraph" w:styleId="9">
    <w:name w:val="Salutation"/>
    <w:basedOn w:val="1"/>
    <w:next w:val="1"/>
    <w:link w:val="61"/>
    <w:semiHidden/>
    <w:unhideWhenUsed/>
    <w:qFormat/>
    <w:uiPriority w:val="99"/>
  </w:style>
  <w:style w:type="paragraph" w:styleId="10">
    <w:name w:val="Body Text"/>
    <w:basedOn w:val="1"/>
    <w:link w:val="45"/>
    <w:semiHidden/>
    <w:unhideWhenUsed/>
    <w:uiPriority w:val="99"/>
    <w:pPr>
      <w:spacing w:after="120"/>
    </w:pPr>
  </w:style>
  <w:style w:type="paragraph" w:styleId="11">
    <w:name w:val="Plain Text"/>
    <w:basedOn w:val="1"/>
    <w:next w:val="9"/>
    <w:link w:val="59"/>
    <w:qFormat/>
    <w:uiPriority w:val="5"/>
    <w:pPr>
      <w:spacing w:line="360" w:lineRule="exact"/>
    </w:pPr>
    <w:rPr>
      <w:rFonts w:ascii="宋体" w:hAnsi="Courier New" w:eastAsia="宋体" w:cs="Times New Roman"/>
      <w:szCs w:val="20"/>
    </w:rPr>
  </w:style>
  <w:style w:type="paragraph" w:styleId="12">
    <w:name w:val="Balloon Text"/>
    <w:basedOn w:val="1"/>
    <w:link w:val="28"/>
    <w:unhideWhenUsed/>
    <w:qFormat/>
    <w:uiPriority w:val="99"/>
    <w:rPr>
      <w:sz w:val="18"/>
      <w:szCs w:val="18"/>
    </w:rPr>
  </w:style>
  <w:style w:type="paragraph" w:styleId="13">
    <w:name w:val="footer"/>
    <w:basedOn w:val="1"/>
    <w:link w:val="31"/>
    <w:semiHidden/>
    <w:unhideWhenUsed/>
    <w:qFormat/>
    <w:uiPriority w:val="99"/>
    <w:pPr>
      <w:tabs>
        <w:tab w:val="center" w:pos="4153"/>
        <w:tab w:val="right" w:pos="8306"/>
      </w:tabs>
      <w:snapToGrid w:val="0"/>
      <w:jc w:val="left"/>
    </w:pPr>
    <w:rPr>
      <w:sz w:val="18"/>
      <w:szCs w:val="18"/>
    </w:rPr>
  </w:style>
  <w:style w:type="paragraph" w:styleId="14">
    <w:name w:val="header"/>
    <w:basedOn w:val="1"/>
    <w:link w:val="30"/>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widowControl/>
      <w:spacing w:after="100" w:line="259" w:lineRule="auto"/>
      <w:jc w:val="left"/>
    </w:pPr>
    <w:rPr>
      <w:rFonts w:cs="Times New Roman"/>
      <w:kern w:val="0"/>
      <w:sz w:val="22"/>
      <w:szCs w:val="22"/>
    </w:rPr>
  </w:style>
  <w:style w:type="paragraph" w:styleId="16">
    <w:name w:val="Body Text Indent 3"/>
    <w:basedOn w:val="1"/>
    <w:link w:val="33"/>
    <w:qFormat/>
    <w:uiPriority w:val="0"/>
    <w:pPr>
      <w:spacing w:after="120"/>
      <w:ind w:left="420" w:leftChars="200"/>
    </w:pPr>
    <w:rPr>
      <w:rFonts w:ascii="Times New Roman" w:hAnsi="Times New Roman" w:eastAsia="宋体" w:cs="Times New Roman"/>
      <w:sz w:val="16"/>
      <w:szCs w:val="16"/>
    </w:rPr>
  </w:style>
  <w:style w:type="paragraph" w:styleId="1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8">
    <w:name w:val="index 1"/>
    <w:basedOn w:val="1"/>
    <w:next w:val="1"/>
    <w:qFormat/>
    <w:uiPriority w:val="0"/>
    <w:pPr>
      <w:ind w:left="560" w:hanging="560"/>
    </w:pPr>
    <w:rPr>
      <w:rFonts w:ascii="Times New Roman" w:hAnsi="宋体" w:eastAsia="宋体" w:cs="Times New Roman"/>
      <w:spacing w:val="10"/>
      <w:szCs w:val="24"/>
    </w:rPr>
  </w:style>
  <w:style w:type="paragraph" w:styleId="19">
    <w:name w:val="annotation subject"/>
    <w:basedOn w:val="8"/>
    <w:next w:val="8"/>
    <w:link w:val="37"/>
    <w:semiHidden/>
    <w:unhideWhenUsed/>
    <w:qFormat/>
    <w:uiPriority w:val="99"/>
    <w:rPr>
      <w:b/>
      <w:bCs/>
    </w:rPr>
  </w:style>
  <w:style w:type="table" w:styleId="21">
    <w:name w:val="Table Grid"/>
    <w:basedOn w:val="2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3">
    <w:name w:val="Strong"/>
    <w:basedOn w:val="22"/>
    <w:qFormat/>
    <w:uiPriority w:val="22"/>
    <w:rPr>
      <w:b/>
      <w:bCs/>
    </w:rPr>
  </w:style>
  <w:style w:type="character" w:styleId="24">
    <w:name w:val="page number"/>
    <w:basedOn w:val="22"/>
    <w:qFormat/>
    <w:uiPriority w:val="0"/>
  </w:style>
  <w:style w:type="character" w:styleId="25">
    <w:name w:val="Emphasis"/>
    <w:qFormat/>
    <w:uiPriority w:val="0"/>
    <w:rPr>
      <w:i/>
      <w:iCs/>
    </w:rPr>
  </w:style>
  <w:style w:type="character" w:styleId="26">
    <w:name w:val="Hyperlink"/>
    <w:basedOn w:val="22"/>
    <w:semiHidden/>
    <w:unhideWhenUsed/>
    <w:qFormat/>
    <w:uiPriority w:val="99"/>
    <w:rPr>
      <w:color w:val="0000FF"/>
      <w:u w:val="single"/>
    </w:rPr>
  </w:style>
  <w:style w:type="character" w:styleId="27">
    <w:name w:val="annotation reference"/>
    <w:basedOn w:val="22"/>
    <w:semiHidden/>
    <w:unhideWhenUsed/>
    <w:qFormat/>
    <w:uiPriority w:val="99"/>
    <w:rPr>
      <w:sz w:val="21"/>
      <w:szCs w:val="21"/>
    </w:rPr>
  </w:style>
  <w:style w:type="character" w:customStyle="1" w:styleId="28">
    <w:name w:val="批注框文本 Char"/>
    <w:basedOn w:val="22"/>
    <w:link w:val="12"/>
    <w:qFormat/>
    <w:uiPriority w:val="99"/>
    <w:rPr>
      <w:sz w:val="18"/>
      <w:szCs w:val="18"/>
    </w:rPr>
  </w:style>
  <w:style w:type="character" w:customStyle="1" w:styleId="29">
    <w:name w:val="文档结构图 Char"/>
    <w:basedOn w:val="22"/>
    <w:link w:val="7"/>
    <w:semiHidden/>
    <w:qFormat/>
    <w:uiPriority w:val="99"/>
    <w:rPr>
      <w:rFonts w:ascii="宋体" w:eastAsia="宋体"/>
      <w:sz w:val="20"/>
      <w:szCs w:val="18"/>
    </w:rPr>
  </w:style>
  <w:style w:type="character" w:customStyle="1" w:styleId="30">
    <w:name w:val="页眉 Char"/>
    <w:basedOn w:val="22"/>
    <w:link w:val="14"/>
    <w:qFormat/>
    <w:uiPriority w:val="0"/>
    <w:rPr>
      <w:sz w:val="18"/>
      <w:szCs w:val="18"/>
    </w:rPr>
  </w:style>
  <w:style w:type="character" w:customStyle="1" w:styleId="31">
    <w:name w:val="页脚 Char"/>
    <w:basedOn w:val="22"/>
    <w:link w:val="13"/>
    <w:semiHidden/>
    <w:qFormat/>
    <w:uiPriority w:val="99"/>
    <w:rPr>
      <w:sz w:val="18"/>
      <w:szCs w:val="18"/>
    </w:rPr>
  </w:style>
  <w:style w:type="paragraph" w:customStyle="1" w:styleId="32">
    <w:name w:val="表体"/>
    <w:basedOn w:val="1"/>
    <w:link w:val="44"/>
    <w:qFormat/>
    <w:uiPriority w:val="0"/>
    <w:pPr>
      <w:widowControl/>
      <w:tabs>
        <w:tab w:val="left" w:pos="540"/>
        <w:tab w:val="left" w:pos="851"/>
        <w:tab w:val="left" w:pos="994"/>
        <w:tab w:val="left" w:pos="1260"/>
        <w:tab w:val="left" w:pos="3108"/>
        <w:tab w:val="left" w:pos="3150"/>
      </w:tabs>
      <w:overflowPunct w:val="0"/>
      <w:adjustRightInd w:val="0"/>
      <w:spacing w:line="340" w:lineRule="exact"/>
      <w:jc w:val="center"/>
      <w:textAlignment w:val="baseline"/>
    </w:pPr>
    <w:rPr>
      <w:rFonts w:ascii="Times New Roman" w:hAnsi="Times New Roman" w:eastAsia="宋体" w:cs="Times New Roman"/>
      <w:bCs/>
      <w:snapToGrid w:val="0"/>
      <w:color w:val="000000"/>
      <w:kern w:val="32"/>
      <w:szCs w:val="20"/>
      <w:lang w:val="zh-CN"/>
    </w:rPr>
  </w:style>
  <w:style w:type="character" w:customStyle="1" w:styleId="33">
    <w:name w:val="正文文本缩进 3 Char"/>
    <w:basedOn w:val="22"/>
    <w:link w:val="16"/>
    <w:qFormat/>
    <w:uiPriority w:val="0"/>
    <w:rPr>
      <w:rFonts w:ascii="Times New Roman" w:hAnsi="Times New Roman" w:eastAsia="宋体" w:cs="Times New Roman"/>
      <w:sz w:val="16"/>
      <w:szCs w:val="16"/>
    </w:rPr>
  </w:style>
  <w:style w:type="paragraph" w:customStyle="1" w:styleId="34">
    <w:name w:val="表头"/>
    <w:basedOn w:val="1"/>
    <w:link w:val="35"/>
    <w:qFormat/>
    <w:uiPriority w:val="0"/>
    <w:pPr>
      <w:adjustRightInd w:val="0"/>
      <w:snapToGrid w:val="0"/>
      <w:spacing w:beforeLines="25"/>
      <w:jc w:val="center"/>
      <w:textAlignment w:val="baseline"/>
    </w:pPr>
    <w:rPr>
      <w:rFonts w:ascii="Times New Roman" w:hAnsi="宋体" w:eastAsia="FangSong_GB2312" w:cs="Times New Roman"/>
      <w:b/>
      <w:kern w:val="0"/>
      <w:sz w:val="28"/>
      <w:szCs w:val="28"/>
    </w:rPr>
  </w:style>
  <w:style w:type="character" w:customStyle="1" w:styleId="35">
    <w:name w:val="表头 Char Char"/>
    <w:link w:val="34"/>
    <w:qFormat/>
    <w:uiPriority w:val="0"/>
    <w:rPr>
      <w:rFonts w:ascii="Times New Roman" w:hAnsi="宋体" w:eastAsia="FangSong_GB2312" w:cs="Times New Roman"/>
      <w:b/>
      <w:kern w:val="0"/>
      <w:sz w:val="28"/>
      <w:szCs w:val="28"/>
    </w:rPr>
  </w:style>
  <w:style w:type="character" w:customStyle="1" w:styleId="36">
    <w:name w:val="批注文字 Char"/>
    <w:basedOn w:val="22"/>
    <w:link w:val="8"/>
    <w:uiPriority w:val="99"/>
  </w:style>
  <w:style w:type="character" w:customStyle="1" w:styleId="37">
    <w:name w:val="批注主题 Char"/>
    <w:basedOn w:val="36"/>
    <w:link w:val="19"/>
    <w:semiHidden/>
    <w:qFormat/>
    <w:uiPriority w:val="99"/>
    <w:rPr>
      <w:b/>
      <w:bCs/>
    </w:rPr>
  </w:style>
  <w:style w:type="character" w:customStyle="1" w:styleId="38">
    <w:name w:val="题注1 Char"/>
    <w:link w:val="39"/>
    <w:uiPriority w:val="0"/>
    <w:rPr>
      <w:rFonts w:cs="宋体"/>
      <w:b/>
      <w:bCs/>
      <w:spacing w:val="10"/>
      <w:szCs w:val="24"/>
    </w:rPr>
  </w:style>
  <w:style w:type="paragraph" w:customStyle="1" w:styleId="39">
    <w:name w:val="题注1"/>
    <w:basedOn w:val="1"/>
    <w:link w:val="38"/>
    <w:qFormat/>
    <w:uiPriority w:val="0"/>
    <w:pPr>
      <w:spacing w:beforeLines="20" w:afterLines="20"/>
      <w:jc w:val="center"/>
    </w:pPr>
    <w:rPr>
      <w:rFonts w:cs="宋体"/>
      <w:b/>
      <w:bCs/>
      <w:spacing w:val="10"/>
      <w:szCs w:val="24"/>
    </w:rPr>
  </w:style>
  <w:style w:type="paragraph" w:customStyle="1" w:styleId="40">
    <w:name w:val="赵"/>
    <w:basedOn w:val="1"/>
    <w:link w:val="41"/>
    <w:qFormat/>
    <w:uiPriority w:val="0"/>
    <w:pPr>
      <w:spacing w:line="360" w:lineRule="auto"/>
      <w:ind w:firstLine="200" w:firstLineChars="200"/>
    </w:pPr>
    <w:rPr>
      <w:rFonts w:ascii="Times New Roman" w:hAnsi="Times New Roman" w:eastAsia="宋体" w:cs="Times New Roman"/>
      <w:sz w:val="24"/>
      <w:szCs w:val="30"/>
    </w:rPr>
  </w:style>
  <w:style w:type="character" w:customStyle="1" w:styleId="41">
    <w:name w:val="赵 Char"/>
    <w:basedOn w:val="22"/>
    <w:link w:val="40"/>
    <w:uiPriority w:val="0"/>
    <w:rPr>
      <w:rFonts w:ascii="Times New Roman" w:hAnsi="Times New Roman" w:eastAsia="宋体" w:cs="Times New Roman"/>
      <w:sz w:val="24"/>
      <w:szCs w:val="30"/>
    </w:rPr>
  </w:style>
  <w:style w:type="paragraph" w:customStyle="1" w:styleId="42">
    <w:name w:val="【表头】"/>
    <w:basedOn w:val="1"/>
    <w:link w:val="43"/>
    <w:qFormat/>
    <w:uiPriority w:val="0"/>
    <w:pPr>
      <w:jc w:val="center"/>
    </w:pPr>
    <w:rPr>
      <w:rFonts w:ascii="Times New Roman" w:hAnsi="Times New Roman" w:eastAsia="宋体" w:cs="Times New Roman"/>
      <w:b/>
      <w:szCs w:val="24"/>
    </w:rPr>
  </w:style>
  <w:style w:type="character" w:customStyle="1" w:styleId="43">
    <w:name w:val="【表头】 Char"/>
    <w:link w:val="42"/>
    <w:uiPriority w:val="0"/>
    <w:rPr>
      <w:rFonts w:ascii="Times New Roman" w:hAnsi="Times New Roman" w:eastAsia="宋体" w:cs="Times New Roman"/>
      <w:b/>
      <w:szCs w:val="24"/>
    </w:rPr>
  </w:style>
  <w:style w:type="character" w:customStyle="1" w:styleId="44">
    <w:name w:val="表体 Char Char"/>
    <w:link w:val="32"/>
    <w:locked/>
    <w:uiPriority w:val="0"/>
    <w:rPr>
      <w:rFonts w:ascii="Times New Roman" w:hAnsi="Times New Roman" w:eastAsia="宋体" w:cs="Times New Roman"/>
      <w:bCs/>
      <w:snapToGrid w:val="0"/>
      <w:color w:val="000000"/>
      <w:kern w:val="32"/>
      <w:szCs w:val="20"/>
      <w:lang w:val="zh-CN"/>
    </w:rPr>
  </w:style>
  <w:style w:type="character" w:customStyle="1" w:styleId="45">
    <w:name w:val="正文文本 Char"/>
    <w:basedOn w:val="22"/>
    <w:link w:val="10"/>
    <w:semiHidden/>
    <w:qFormat/>
    <w:uiPriority w:val="99"/>
  </w:style>
  <w:style w:type="character" w:customStyle="1" w:styleId="46">
    <w:name w:val="标题 2 Char"/>
    <w:basedOn w:val="22"/>
    <w:link w:val="3"/>
    <w:uiPriority w:val="0"/>
    <w:rPr>
      <w:rFonts w:ascii="Times New Roman" w:hAnsi="Times New Roman" w:eastAsia="黑体" w:cs="Times New Roman"/>
      <w:color w:val="000000" w:themeColor="text1"/>
      <w:sz w:val="30"/>
      <w:szCs w:val="24"/>
    </w:rPr>
  </w:style>
  <w:style w:type="character" w:customStyle="1" w:styleId="47">
    <w:name w:val="表头 Char1"/>
    <w:basedOn w:val="22"/>
    <w:uiPriority w:val="0"/>
    <w:rPr>
      <w:rFonts w:ascii="Times New Roman" w:hAnsi="Times New Roman" w:eastAsia="宋体" w:cs="Times New Roman"/>
      <w:b/>
      <w:bCs/>
      <w:kern w:val="0"/>
      <w:szCs w:val="28"/>
    </w:rPr>
  </w:style>
  <w:style w:type="character" w:customStyle="1" w:styleId="48">
    <w:name w:val="标题 3 Char"/>
    <w:basedOn w:val="22"/>
    <w:link w:val="4"/>
    <w:semiHidden/>
    <w:uiPriority w:val="9"/>
    <w:rPr>
      <w:b/>
      <w:bCs/>
      <w:sz w:val="32"/>
      <w:szCs w:val="32"/>
    </w:rPr>
  </w:style>
  <w:style w:type="table" w:customStyle="1" w:styleId="49">
    <w:name w:val="Table Normal"/>
    <w:semiHidden/>
    <w:unhideWhenUsed/>
    <w:qFormat/>
    <w:uiPriority w:val="2"/>
    <w:pPr>
      <w:widowControl w:val="0"/>
    </w:pPr>
    <w:rPr>
      <w:kern w:val="0"/>
      <w:sz w:val="22"/>
      <w:szCs w:val="20"/>
      <w:lang w:eastAsia="en-US"/>
    </w:rPr>
    <w:tblPr>
      <w:tblCellMar>
        <w:top w:w="0" w:type="dxa"/>
        <w:left w:w="0" w:type="dxa"/>
        <w:bottom w:w="0" w:type="dxa"/>
        <w:right w:w="0" w:type="dxa"/>
      </w:tblCellMar>
    </w:tblPr>
  </w:style>
  <w:style w:type="character" w:customStyle="1" w:styleId="50">
    <w:name w:val="标题 8 Char"/>
    <w:basedOn w:val="22"/>
    <w:link w:val="5"/>
    <w:qFormat/>
    <w:uiPriority w:val="99"/>
    <w:rPr>
      <w:rFonts w:asciiTheme="majorHAnsi" w:hAnsiTheme="majorHAnsi" w:eastAsiaTheme="majorEastAsia" w:cstheme="majorBidi"/>
      <w:sz w:val="24"/>
      <w:szCs w:val="24"/>
    </w:rPr>
  </w:style>
  <w:style w:type="paragraph" w:customStyle="1" w:styleId="51">
    <w:name w:val="表格正文"/>
    <w:basedOn w:val="1"/>
    <w:uiPriority w:val="0"/>
    <w:pPr>
      <w:adjustRightInd w:val="0"/>
      <w:spacing w:line="0" w:lineRule="atLeast"/>
      <w:textAlignment w:val="baseline"/>
    </w:pPr>
    <w:rPr>
      <w:rFonts w:ascii="Times New Roman" w:hAnsi="Times New Roman" w:eastAsia="宋体" w:cs="Times New Roman"/>
      <w:szCs w:val="20"/>
    </w:rPr>
  </w:style>
  <w:style w:type="character" w:customStyle="1" w:styleId="52">
    <w:name w:val="正文缩进 Char1"/>
    <w:link w:val="6"/>
    <w:qFormat/>
    <w:uiPriority w:val="99"/>
    <w:rPr>
      <w:rFonts w:ascii="Calibri" w:hAnsi="Calibri" w:eastAsia="宋体" w:cs="Times New Roman"/>
      <w:sz w:val="28"/>
      <w:szCs w:val="20"/>
    </w:rPr>
  </w:style>
  <w:style w:type="paragraph" w:customStyle="1" w:styleId="53">
    <w:name w:val="样式1"/>
    <w:basedOn w:val="1"/>
    <w:link w:val="54"/>
    <w:qFormat/>
    <w:uiPriority w:val="0"/>
    <w:pPr>
      <w:spacing w:line="360" w:lineRule="auto"/>
      <w:ind w:firstLine="510"/>
    </w:pPr>
    <w:rPr>
      <w:rFonts w:ascii="Times New Roman" w:hAnsi="Times New Roman" w:eastAsia="宋体" w:cs="Times New Roman"/>
      <w:sz w:val="24"/>
      <w:szCs w:val="20"/>
    </w:rPr>
  </w:style>
  <w:style w:type="character" w:customStyle="1" w:styleId="54">
    <w:name w:val="样式1 Char"/>
    <w:link w:val="53"/>
    <w:qFormat/>
    <w:locked/>
    <w:uiPriority w:val="0"/>
    <w:rPr>
      <w:rFonts w:ascii="Times New Roman" w:hAnsi="Times New Roman" w:eastAsia="宋体" w:cs="Times New Roman"/>
      <w:sz w:val="24"/>
      <w:szCs w:val="20"/>
    </w:rPr>
  </w:style>
  <w:style w:type="paragraph" w:customStyle="1" w:styleId="55">
    <w:name w:val="Defaul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56">
    <w:name w:val="标题 1 Char"/>
    <w:basedOn w:val="22"/>
    <w:link w:val="2"/>
    <w:qFormat/>
    <w:uiPriority w:val="9"/>
    <w:rPr>
      <w:b/>
      <w:bCs/>
      <w:kern w:val="44"/>
      <w:sz w:val="44"/>
      <w:szCs w:val="44"/>
    </w:rPr>
  </w:style>
  <w:style w:type="character" w:customStyle="1" w:styleId="57">
    <w:name w:val="title"/>
    <w:basedOn w:val="22"/>
    <w:uiPriority w:val="0"/>
  </w:style>
  <w:style w:type="paragraph" w:customStyle="1" w:styleId="58">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character" w:customStyle="1" w:styleId="59">
    <w:name w:val="纯文本 Char"/>
    <w:basedOn w:val="22"/>
    <w:link w:val="11"/>
    <w:uiPriority w:val="5"/>
    <w:rPr>
      <w:rFonts w:ascii="宋体" w:hAnsi="Courier New" w:eastAsia="宋体" w:cs="Times New Roman"/>
      <w:szCs w:val="20"/>
    </w:rPr>
  </w:style>
  <w:style w:type="character" w:customStyle="1" w:styleId="60">
    <w:name w:val="15"/>
    <w:qFormat/>
    <w:uiPriority w:val="0"/>
    <w:rPr>
      <w:rFonts w:hint="default" w:ascii="Calibri" w:hAnsi="Calibri"/>
      <w:sz w:val="21"/>
      <w:szCs w:val="21"/>
    </w:rPr>
  </w:style>
  <w:style w:type="character" w:customStyle="1" w:styleId="61">
    <w:name w:val="称呼 Char"/>
    <w:basedOn w:val="22"/>
    <w:link w:val="9"/>
    <w:semiHidden/>
    <w:qFormat/>
    <w:uiPriority w:val="99"/>
  </w:style>
  <w:style w:type="paragraph" w:customStyle="1" w:styleId="62">
    <w:name w:val="正文1"/>
    <w:basedOn w:val="1"/>
    <w:uiPriority w:val="0"/>
    <w:pPr>
      <w:widowControl/>
    </w:pPr>
    <w:rPr>
      <w:rFonts w:ascii="Calibri" w:hAnsi="Calibri" w:eastAsia="宋体" w:cs="宋体"/>
    </w:rPr>
  </w:style>
  <w:style w:type="paragraph" w:customStyle="1" w:styleId="63">
    <w:name w:val="表格内容"/>
    <w:basedOn w:val="6"/>
    <w:qFormat/>
    <w:uiPriority w:val="0"/>
    <w:pPr>
      <w:widowControl w:val="0"/>
      <w:ind w:firstLine="0" w:firstLineChars="0"/>
      <w:jc w:val="center"/>
    </w:pPr>
    <w:rPr>
      <w:rFonts w:ascii="Times New Roman" w:hAnsi="Times New Roman"/>
      <w:sz w:val="21"/>
      <w:szCs w:val="18"/>
    </w:rPr>
  </w:style>
  <w:style w:type="character" w:customStyle="1" w:styleId="64">
    <w:name w:val="表格文字 Char"/>
    <w:basedOn w:val="22"/>
    <w:link w:val="65"/>
    <w:uiPriority w:val="0"/>
    <w:rPr>
      <w:rFonts w:eastAsia="宋体"/>
      <w:kern w:val="24"/>
      <w:sz w:val="24"/>
    </w:rPr>
  </w:style>
  <w:style w:type="paragraph" w:customStyle="1" w:styleId="65">
    <w:name w:val="表格文字"/>
    <w:basedOn w:val="1"/>
    <w:link w:val="64"/>
    <w:qFormat/>
    <w:uiPriority w:val="0"/>
    <w:pPr>
      <w:adjustRightInd w:val="0"/>
      <w:spacing w:line="400" w:lineRule="atLeast"/>
      <w:jc w:val="center"/>
    </w:pPr>
    <w:rPr>
      <w:rFonts w:eastAsia="宋体"/>
      <w:kern w:val="24"/>
      <w:sz w:val="24"/>
    </w:rPr>
  </w:style>
  <w:style w:type="character" w:customStyle="1" w:styleId="66">
    <w:name w:val="表格 Char Char"/>
    <w:basedOn w:val="22"/>
    <w:qFormat/>
    <w:uiPriority w:val="59"/>
    <w:rPr>
      <w:sz w:val="21"/>
      <w:szCs w:val="21"/>
      <w:lang w:bidi="ar-SA"/>
    </w:rPr>
  </w:style>
  <w:style w:type="character" w:customStyle="1" w:styleId="67">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customXml" Target="../customXml/item1.xml"/><Relationship Id="rId30" Type="http://schemas.openxmlformats.org/officeDocument/2006/relationships/image" Target="media/image13.wmf"/><Relationship Id="rId3" Type="http://schemas.openxmlformats.org/officeDocument/2006/relationships/footer" Target="footer1.xml"/><Relationship Id="rId29" Type="http://schemas.openxmlformats.org/officeDocument/2006/relationships/oleObject" Target="embeddings/oleObject13.bin"/><Relationship Id="rId28" Type="http://schemas.openxmlformats.org/officeDocument/2006/relationships/image" Target="media/image12.wmf"/><Relationship Id="rId27" Type="http://schemas.openxmlformats.org/officeDocument/2006/relationships/oleObject" Target="embeddings/oleObject12.bin"/><Relationship Id="rId26" Type="http://schemas.openxmlformats.org/officeDocument/2006/relationships/image" Target="media/image11.wmf"/><Relationship Id="rId25" Type="http://schemas.openxmlformats.org/officeDocument/2006/relationships/oleObject" Target="embeddings/oleObject11.bin"/><Relationship Id="rId24" Type="http://schemas.openxmlformats.org/officeDocument/2006/relationships/image" Target="media/image10.emf"/><Relationship Id="rId23" Type="http://schemas.openxmlformats.org/officeDocument/2006/relationships/oleObject" Target="embeddings/oleObject10.bin"/><Relationship Id="rId22" Type="http://schemas.openxmlformats.org/officeDocument/2006/relationships/image" Target="media/image9.emf"/><Relationship Id="rId21" Type="http://schemas.openxmlformats.org/officeDocument/2006/relationships/oleObject" Target="embeddings/oleObject9.bin"/><Relationship Id="rId20" Type="http://schemas.openxmlformats.org/officeDocument/2006/relationships/image" Target="media/image8.e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emf"/><Relationship Id="rId17" Type="http://schemas.openxmlformats.org/officeDocument/2006/relationships/oleObject" Target="embeddings/oleObject7.bin"/><Relationship Id="rId16" Type="http://schemas.openxmlformats.org/officeDocument/2006/relationships/image" Target="media/image6.emf"/><Relationship Id="rId15" Type="http://schemas.openxmlformats.org/officeDocument/2006/relationships/oleObject" Target="embeddings/oleObject6.bin"/><Relationship Id="rId14" Type="http://schemas.openxmlformats.org/officeDocument/2006/relationships/image" Target="media/image5.emf"/><Relationship Id="rId13" Type="http://schemas.openxmlformats.org/officeDocument/2006/relationships/oleObject" Target="embeddings/oleObject5.bin"/><Relationship Id="rId12" Type="http://schemas.openxmlformats.org/officeDocument/2006/relationships/image" Target="media/image4.emf"/><Relationship Id="rId11" Type="http://schemas.openxmlformats.org/officeDocument/2006/relationships/oleObject" Target="embeddings/oleObject4.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CBA8EA-7093-413F-9F40-6B4092C933C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98</Pages>
  <Words>9820</Words>
  <Characters>55977</Characters>
  <Lines>466</Lines>
  <Paragraphs>131</Paragraphs>
  <TotalTime>13785</TotalTime>
  <ScaleCrop>false</ScaleCrop>
  <LinksUpToDate>false</LinksUpToDate>
  <CharactersWithSpaces>65666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2021-01-08T02:43:00Z</dcterms:created>
  <dc:creator>微软用户</dc:creator>
  <cp:lastModifiedBy>曹恩耒</cp:lastModifiedBy>
  <cp:lastPrinted>2021-08-16T02:08:00Z</cp:lastPrinted>
  <dcterms:modified xsi:type="dcterms:W3CDTF">2022-02-24T09:27:33Z</dcterms:modified>
  <cp:revision>233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92D5BF7B67694657B0B857330D329A7A</vt:lpwstr>
  </property>
</Properties>
</file>