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殡葬费用补助</w:t>
      </w:r>
      <w:r>
        <w:rPr>
          <w:rFonts w:hint="eastAsia" w:ascii="黑体" w:hAnsi="黑体" w:eastAsia="黑体" w:cs="黑体"/>
          <w:sz w:val="44"/>
          <w:szCs w:val="44"/>
        </w:rPr>
        <w:t>项目支出绩效评价报告</w:t>
      </w:r>
      <w:bookmarkStart w:id="4" w:name="_GoBack"/>
      <w:bookmarkEnd w:id="4"/>
    </w:p>
    <w:p>
      <w:pPr>
        <w:spacing w:line="540" w:lineRule="exact"/>
        <w:ind w:firstLine="632" w:firstLineChars="200"/>
        <w:jc w:val="left"/>
        <w:rPr>
          <w:rFonts w:ascii="黑体" w:hAnsi="黑体" w:eastAsia="黑体"/>
          <w:szCs w:val="32"/>
        </w:rPr>
      </w:pPr>
    </w:p>
    <w:p>
      <w:pPr>
        <w:numPr>
          <w:ilvl w:val="0"/>
          <w:numId w:val="1"/>
        </w:numPr>
        <w:spacing w:line="540" w:lineRule="exact"/>
        <w:ind w:firstLine="632" w:firstLineChars="2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项目概况：</w:t>
      </w:r>
    </w:p>
    <w:p>
      <w:pPr>
        <w:numPr>
          <w:ilvl w:val="0"/>
          <w:numId w:val="0"/>
        </w:numPr>
        <w:spacing w:line="540" w:lineRule="exact"/>
        <w:ind w:firstLine="632" w:firstLineChars="200"/>
        <w:jc w:val="left"/>
        <w:rPr>
          <w:rFonts w:ascii="仿宋_GB2312" w:hAnsi="黑体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殡葬费用补助项目，从2017年申报至今，每年均向财政申报资金。因殡仪馆属于差额拨款事业单位，有40%的资金需要自收自支。殡仪馆202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年非税收入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万左右，全交于财政。申报该项目的目的在于，该项资金用于保障殡仪馆40%部分的支出，分别用于日常水费、电费以及人员经费的支出等。殡仪馆202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年申报殡葬（非税）补助资金为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44.5万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元，用于保障殡仪馆正常运转。</w:t>
      </w:r>
    </w:p>
    <w:p>
      <w:pPr>
        <w:numPr>
          <w:ilvl w:val="0"/>
          <w:numId w:val="1"/>
        </w:numPr>
        <w:spacing w:line="540" w:lineRule="exact"/>
        <w:ind w:left="0" w:leftChars="0" w:firstLine="632" w:firstLineChars="2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评价结论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32" w:firstLineChars="200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该项目申报，用以保障东川区殡仪馆日常人员工资、日常公用经费，以保障保障日常殡仪正常运转，以服务丧属为根本，以强化社会参与、创新服务机制、拓展服务内容、提升服务效能为重点，积极推殡葬改革，采取有力措施加强殡葬改革服务能力，努力做好殡葬改革工作。</w:t>
      </w:r>
    </w:p>
    <w:p>
      <w:pPr>
        <w:spacing w:line="540" w:lineRule="exact"/>
        <w:ind w:firstLine="632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三、经验、问题和建议</w:t>
      </w:r>
    </w:p>
    <w:p>
      <w:pPr>
        <w:spacing w:line="540" w:lineRule="exact"/>
        <w:ind w:firstLine="632" w:firstLineChars="200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1.主要经验及做法；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规范账务处理，提高财务信息的质量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严格按照《会计法》、《事业单位会计制度》、《行政单位财务规则》等规定执行财务核算，并结合实际的情况，完整、准确地反应相关信息，尽可能做到决算与预算相衔接。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完善管理制度，进一步加强资金的管理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进一步贯彻落实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中央八项规定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，严格按照《固定资产管理办法》的规定加强固定资产管理，及时登记、更新台账，加强资产卡片管理，年终前对各类实物资产进行全面盘点，确保账账、账实相符。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加强新行政单位会计制度和新预算法的学习培训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强新《预算法》、《事业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>
      <w:pPr>
        <w:numPr>
          <w:ilvl w:val="0"/>
          <w:numId w:val="0"/>
        </w:numPr>
        <w:spacing w:line="540" w:lineRule="exact"/>
        <w:ind w:firstLine="632" w:firstLineChars="200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  <w:lang w:val="en-US" w:eastAsia="zh-CN"/>
        </w:rPr>
        <w:t>2.</w:t>
      </w:r>
      <w:r>
        <w:rPr>
          <w:rFonts w:hint="eastAsia" w:ascii="楷体" w:hAnsi="楷体" w:eastAsia="楷体"/>
          <w:szCs w:val="32"/>
        </w:rPr>
        <w:t>存在的问题；</w:t>
      </w:r>
    </w:p>
    <w:p>
      <w:pPr>
        <w:topLinePunct/>
        <w:spacing w:line="560" w:lineRule="exact"/>
        <w:ind w:firstLine="679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bookmarkStart w:id="0" w:name="_Toc23441_WPSOffice_Level2"/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制度建设有待进一步加强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topLinePunct/>
        <w:spacing w:line="560" w:lineRule="exact"/>
        <w:ind w:firstLine="67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东川区殡仪馆制定了昆明市东川区殡仪馆预算内部控制管理制度，尚未制定详细的部门整体支出绩效问责机制，专项资金管理制度有待进行针对性逐一完善。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bookmarkStart w:id="1" w:name="_Toc8390_WPSOffice_Level2"/>
      <w:bookmarkStart w:id="2" w:name="_Toc3791_WPSOffice_Level2"/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绩效跟踪管理工作不到位</w:t>
      </w:r>
      <w:bookmarkEnd w:id="1"/>
      <w:bookmarkEnd w:id="2"/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东川区殡仪馆绩效目标开展了动态监控，但未对全部的绩效目标运行情况进行跟踪汇总，未定期采集绩效运行信息并汇总分析，对绩效目标运行情况进行跟踪管理和督促检查。</w:t>
      </w:r>
    </w:p>
    <w:p>
      <w:pPr>
        <w:topLinePunct/>
        <w:spacing w:line="560" w:lineRule="exact"/>
        <w:ind w:firstLine="679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bookmarkStart w:id="3" w:name="_Toc21913_WPSOffice_Level2"/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预算管理有待进一步完善</w:t>
      </w:r>
      <w:bookmarkEnd w:id="3"/>
    </w:p>
    <w:p>
      <w:pPr>
        <w:topLinePunct/>
        <w:spacing w:line="560" w:lineRule="exact"/>
        <w:ind w:firstLine="67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东川区针对预算管理的监督考核台账不够细致，在及时监控资金执行进度，评估资金使用质量效果方面有待进一步完善。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东川区殡仪馆在项目资金的使用时效上还有待提高。另外，项目资金使用后，所能产生的社会效益相对较高，而经济效益相对不明显。</w:t>
      </w:r>
    </w:p>
    <w:p>
      <w:pPr>
        <w:spacing w:line="540" w:lineRule="exact"/>
        <w:ind w:firstLine="632" w:firstLineChars="200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3.改进措施及建议。</w:t>
      </w:r>
    </w:p>
    <w:p>
      <w:pPr>
        <w:topLinePunct/>
        <w:spacing w:line="560" w:lineRule="exact"/>
        <w:ind w:firstLine="679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规范账务处理，提高财务信息的质量</w:t>
      </w:r>
    </w:p>
    <w:p>
      <w:pPr>
        <w:topLinePunct/>
        <w:spacing w:line="560" w:lineRule="exact"/>
        <w:ind w:firstLine="679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严格按照《会计法》、《事业单位会计制度》、《行政单位财务规则》等规定执行财务核算，并结合实际的情况，完整、准确地反应相关信息，尽可能做到决算与预算相衔接。</w:t>
      </w:r>
    </w:p>
    <w:p>
      <w:pPr>
        <w:topLinePunct/>
        <w:spacing w:line="560" w:lineRule="exact"/>
        <w:ind w:firstLine="679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完善管理制度，进一步加强资金的管理</w:t>
      </w:r>
    </w:p>
    <w:p>
      <w:pPr>
        <w:topLinePunct/>
        <w:spacing w:line="560" w:lineRule="exact"/>
        <w:ind w:firstLine="679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进一步贯彻落实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中央八项规定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，严格按照《固定资产管理办法》的规定加强固定资产管理，及时登记、更新台账，加强资产卡片管理，年终前对各类实物资产进行全面盘点，确保账账、账实相符。</w:t>
      </w:r>
    </w:p>
    <w:p>
      <w:pPr>
        <w:topLinePunct/>
        <w:spacing w:line="560" w:lineRule="exact"/>
        <w:ind w:firstLine="679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加强新行政单位会计制度和新预算法的学习培训</w:t>
      </w:r>
    </w:p>
    <w:p>
      <w:pPr>
        <w:topLinePunct/>
        <w:spacing w:line="560" w:lineRule="exact"/>
        <w:ind w:firstLine="679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强新《预算法》、《事业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>
      <w:pPr>
        <w:spacing w:line="540" w:lineRule="exact"/>
        <w:rPr>
          <w:rFonts w:eastAsia="黑体"/>
        </w:rPr>
      </w:pPr>
    </w:p>
    <w:p>
      <w:pPr>
        <w:widowControl w:val="0"/>
        <w:autoSpaceDE w:val="0"/>
        <w:autoSpaceDN w:val="0"/>
        <w:adjustRightInd w:val="0"/>
        <w:snapToGrid w:val="0"/>
        <w:spacing w:line="560" w:lineRule="exact"/>
        <w:ind w:right="53" w:rightChars="17"/>
        <w:jc w:val="left"/>
        <w:rPr>
          <w:rFonts w:ascii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35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t>—</w:t>
    </w: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3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ascii="宋体" w:hAnsi="宋体" w:eastAsia="宋体"/>
        <w:sz w:val="28"/>
      </w:rPr>
      <w:t>—</w:t>
    </w:r>
  </w:p>
  <w:p>
    <w:pPr>
      <w:pStyle w:val="5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35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t>—</w:t>
    </w: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4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ascii="宋体" w:hAnsi="宋体" w:eastAsia="宋体"/>
        <w:sz w:val="28"/>
      </w:rPr>
      <w:t>—</w:t>
    </w:r>
  </w:p>
  <w:p>
    <w:pPr>
      <w:pStyle w:val="5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0B4A9"/>
    <w:multiLevelType w:val="singleLevel"/>
    <w:tmpl w:val="CB60B4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evenAndOddHeaders w:val="1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F"/>
    <w:rsid w:val="00002E28"/>
    <w:rsid w:val="0001706E"/>
    <w:rsid w:val="00031386"/>
    <w:rsid w:val="00061B34"/>
    <w:rsid w:val="00085C25"/>
    <w:rsid w:val="000C6A55"/>
    <w:rsid w:val="000D0079"/>
    <w:rsid w:val="000E4635"/>
    <w:rsid w:val="000E57AE"/>
    <w:rsid w:val="000F0DDC"/>
    <w:rsid w:val="000F2D14"/>
    <w:rsid w:val="000F2E4E"/>
    <w:rsid w:val="00112694"/>
    <w:rsid w:val="0013625A"/>
    <w:rsid w:val="00155091"/>
    <w:rsid w:val="00167969"/>
    <w:rsid w:val="00171B5D"/>
    <w:rsid w:val="001776A1"/>
    <w:rsid w:val="00185A5A"/>
    <w:rsid w:val="00197124"/>
    <w:rsid w:val="001B5425"/>
    <w:rsid w:val="001D2295"/>
    <w:rsid w:val="002021EA"/>
    <w:rsid w:val="002164BD"/>
    <w:rsid w:val="00232238"/>
    <w:rsid w:val="00236F6F"/>
    <w:rsid w:val="00260330"/>
    <w:rsid w:val="0027333E"/>
    <w:rsid w:val="00280BDE"/>
    <w:rsid w:val="0028678C"/>
    <w:rsid w:val="00294EE5"/>
    <w:rsid w:val="00301902"/>
    <w:rsid w:val="00304EEE"/>
    <w:rsid w:val="003209BE"/>
    <w:rsid w:val="00320A77"/>
    <w:rsid w:val="003721CE"/>
    <w:rsid w:val="00386252"/>
    <w:rsid w:val="0039440A"/>
    <w:rsid w:val="003B609C"/>
    <w:rsid w:val="003B651F"/>
    <w:rsid w:val="003D3F92"/>
    <w:rsid w:val="003F15F1"/>
    <w:rsid w:val="003F7768"/>
    <w:rsid w:val="00441E1F"/>
    <w:rsid w:val="00443AFE"/>
    <w:rsid w:val="0044547C"/>
    <w:rsid w:val="00463CBD"/>
    <w:rsid w:val="0048484B"/>
    <w:rsid w:val="004B7A2C"/>
    <w:rsid w:val="004E5EBC"/>
    <w:rsid w:val="005456D8"/>
    <w:rsid w:val="00547454"/>
    <w:rsid w:val="00547D91"/>
    <w:rsid w:val="0055335F"/>
    <w:rsid w:val="0055784C"/>
    <w:rsid w:val="00587D66"/>
    <w:rsid w:val="00596EAF"/>
    <w:rsid w:val="005B05E9"/>
    <w:rsid w:val="005C1E91"/>
    <w:rsid w:val="005C3612"/>
    <w:rsid w:val="005D1F7C"/>
    <w:rsid w:val="00623770"/>
    <w:rsid w:val="00634A37"/>
    <w:rsid w:val="0067583F"/>
    <w:rsid w:val="00684F23"/>
    <w:rsid w:val="00691838"/>
    <w:rsid w:val="006A6EB6"/>
    <w:rsid w:val="006B11BB"/>
    <w:rsid w:val="0070331B"/>
    <w:rsid w:val="00711838"/>
    <w:rsid w:val="007347E8"/>
    <w:rsid w:val="00752484"/>
    <w:rsid w:val="00767A70"/>
    <w:rsid w:val="007740E0"/>
    <w:rsid w:val="007E48FF"/>
    <w:rsid w:val="007F24E4"/>
    <w:rsid w:val="007F5BD0"/>
    <w:rsid w:val="0080354F"/>
    <w:rsid w:val="008273F9"/>
    <w:rsid w:val="008452A9"/>
    <w:rsid w:val="0086384F"/>
    <w:rsid w:val="00885932"/>
    <w:rsid w:val="00896C1C"/>
    <w:rsid w:val="008D4DFD"/>
    <w:rsid w:val="008F3154"/>
    <w:rsid w:val="009156B6"/>
    <w:rsid w:val="009511E2"/>
    <w:rsid w:val="00960202"/>
    <w:rsid w:val="00971ACC"/>
    <w:rsid w:val="00984AA9"/>
    <w:rsid w:val="009B1D6B"/>
    <w:rsid w:val="009C2E24"/>
    <w:rsid w:val="009E07A7"/>
    <w:rsid w:val="00A032C7"/>
    <w:rsid w:val="00A449C0"/>
    <w:rsid w:val="00A45A91"/>
    <w:rsid w:val="00AB6099"/>
    <w:rsid w:val="00B1591B"/>
    <w:rsid w:val="00B268F0"/>
    <w:rsid w:val="00B6766E"/>
    <w:rsid w:val="00B8171D"/>
    <w:rsid w:val="00BA1A64"/>
    <w:rsid w:val="00BC60B5"/>
    <w:rsid w:val="00BC7CC4"/>
    <w:rsid w:val="00BD1B59"/>
    <w:rsid w:val="00BD7DE4"/>
    <w:rsid w:val="00BF7471"/>
    <w:rsid w:val="00C01F37"/>
    <w:rsid w:val="00C126D1"/>
    <w:rsid w:val="00C145B3"/>
    <w:rsid w:val="00C21CDB"/>
    <w:rsid w:val="00C40EC7"/>
    <w:rsid w:val="00C647AA"/>
    <w:rsid w:val="00CD2387"/>
    <w:rsid w:val="00D16944"/>
    <w:rsid w:val="00D20768"/>
    <w:rsid w:val="00D4728C"/>
    <w:rsid w:val="00D60CF2"/>
    <w:rsid w:val="00D611EB"/>
    <w:rsid w:val="00D77134"/>
    <w:rsid w:val="00D87244"/>
    <w:rsid w:val="00DA3649"/>
    <w:rsid w:val="00DD46DD"/>
    <w:rsid w:val="00E0768F"/>
    <w:rsid w:val="00E124FB"/>
    <w:rsid w:val="00E219E0"/>
    <w:rsid w:val="00E355E2"/>
    <w:rsid w:val="00E44E53"/>
    <w:rsid w:val="00E60A47"/>
    <w:rsid w:val="00E627D0"/>
    <w:rsid w:val="00E75F2E"/>
    <w:rsid w:val="00EB1222"/>
    <w:rsid w:val="00EB5E95"/>
    <w:rsid w:val="00F40020"/>
    <w:rsid w:val="00F525BE"/>
    <w:rsid w:val="00F613AB"/>
    <w:rsid w:val="00F8179E"/>
    <w:rsid w:val="00FB0339"/>
    <w:rsid w:val="0A0067FC"/>
    <w:rsid w:val="13A8044B"/>
    <w:rsid w:val="20B53567"/>
    <w:rsid w:val="213A56DC"/>
    <w:rsid w:val="24C14377"/>
    <w:rsid w:val="2EFB69EF"/>
    <w:rsid w:val="38031D6D"/>
    <w:rsid w:val="3BCA4F11"/>
    <w:rsid w:val="3D4E2699"/>
    <w:rsid w:val="477C14A3"/>
    <w:rsid w:val="4F7370ED"/>
    <w:rsid w:val="4FB02522"/>
    <w:rsid w:val="51E07BEC"/>
    <w:rsid w:val="56C42A1B"/>
    <w:rsid w:val="5E914308"/>
    <w:rsid w:val="68544C31"/>
    <w:rsid w:val="70BA2008"/>
    <w:rsid w:val="7B2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99"/>
    <w:pPr>
      <w:ind w:firstLine="632" w:firstLineChars="200"/>
    </w:p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页眉 Char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页脚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日期 Char"/>
    <w:link w:val="4"/>
    <w:semiHidden/>
    <w:uiPriority w:val="99"/>
    <w:rPr>
      <w:rFonts w:eastAsia="仿宋_GB2312"/>
      <w:sz w:val="32"/>
      <w:szCs w:val="20"/>
    </w:rPr>
  </w:style>
  <w:style w:type="character" w:customStyle="1" w:styleId="15">
    <w:name w:val="正文文本缩进 Char"/>
    <w:link w:val="3"/>
    <w:semiHidden/>
    <w:qFormat/>
    <w:uiPriority w:val="99"/>
    <w:rPr>
      <w:rFonts w:eastAsia="仿宋_GB2312"/>
      <w:sz w:val="32"/>
      <w:szCs w:val="20"/>
    </w:rPr>
  </w:style>
  <w:style w:type="paragraph" w:customStyle="1" w:styleId="16">
    <w:name w:val="Char Char Char Char Char Char"/>
    <w:basedOn w:val="1"/>
    <w:uiPriority w:val="99"/>
    <w:pPr>
      <w:adjustRightInd w:val="0"/>
    </w:pPr>
    <w:rPr>
      <w:rFonts w:ascii="Tahoma" w:hAnsi="Tahoma" w:eastAsia="宋体"/>
      <w:sz w:val="24"/>
    </w:rPr>
  </w:style>
  <w:style w:type="character" w:customStyle="1" w:styleId="17">
    <w:name w:val="标题 1 Char"/>
    <w:link w:val="2"/>
    <w:qFormat/>
    <w:uiPriority w:val="99"/>
    <w:rPr>
      <w:rFonts w:ascii="Calibri" w:hAnsi="Calibri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68;&#20010;&#21333;&#20301;&#25991;&#20214;&#65288;201412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一个单位文件（201412）</Template>
  <Company>家用电脑</Company>
  <Pages>10</Pages>
  <Words>355</Words>
  <Characters>2026</Characters>
  <Lines>16</Lines>
  <Paragraphs>4</Paragraphs>
  <TotalTime>8</TotalTime>
  <ScaleCrop>false</ScaleCrop>
  <LinksUpToDate>false</LinksUpToDate>
  <CharactersWithSpaces>2377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2016-02-18T07:51:00Z</dcterms:created>
  <dc:creator>y</dc:creator>
  <cp:lastModifiedBy>yo yo</cp:lastModifiedBy>
  <cp:lastPrinted>2021-08-24T07:19:00Z</cp:lastPrinted>
  <dcterms:modified xsi:type="dcterms:W3CDTF">2022-01-24T07:51:59Z</dcterms:modified>
  <dc:title>益财会〔2002〕4号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235295794_cloud</vt:lpwstr>
  </property>
  <property fmtid="{D5CDD505-2E9C-101B-9397-08002B2CF9AE}" pid="4" name="ICV">
    <vt:lpwstr>B718413EB20D4CAAB5262F105AE11EB7</vt:lpwstr>
  </property>
</Properties>
</file>