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bookmarkStart w:id="0" w:name="_GoBack"/>
      <w:bookmarkEnd w:id="0"/>
    </w:p>
    <w:p>
      <w:pPr>
        <w:ind w:firstLine="640"/>
      </w:pPr>
      <w:r>
        <w:rPr>
          <w:rFonts w:hint="eastAsia" w:ascii="华文中宋" w:hAnsi="华文中宋" w:eastAsia="华文中宋" w:cs="华文中宋"/>
          <w:sz w:val="20"/>
          <w:highlight w:val="red"/>
        </w:rPr>
        <w:pict>
          <v:shape id="_x0000_s1030" o:spid="_x0000_s1030" o:spt="136" type="#_x0000_t136" style="position:absolute;left:0pt;margin-left:-0.5pt;margin-top:8.35pt;height:49.35pt;width:441.3pt;z-index:251660288;mso-width-relative:page;mso-height-relative:page;" fillcolor="#FF0000" filled="t" stroked="t" coordsize="21600,21600" adj="10800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昆明市东川区财政局" style="font-family:华文中宋;font-size:24pt;font-weight:bold;v-rotate-letters:f;v-same-letter-heights:t;v-text-align:center;"/>
          </v:shape>
        </w:pict>
      </w:r>
    </w:p>
    <w:p>
      <w:pPr>
        <w:ind w:firstLine="64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>
      <w:pPr>
        <w:spacing w:line="200" w:lineRule="exact"/>
        <w:ind w:firstLine="0" w:firstLineChars="0"/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 xml:space="preserve">                                              </w:t>
      </w:r>
      <w:r>
        <w:rPr>
          <w:rFonts w:hint="eastAsia"/>
          <w:b/>
          <w:color w:val="FF0000"/>
          <w:u w:val="single"/>
          <w:lang w:val="en-US" w:eastAsia="zh-CN"/>
        </w:rPr>
        <w:t xml:space="preserve">   </w:t>
      </w:r>
      <w:r>
        <w:rPr>
          <w:rFonts w:hint="eastAsia"/>
          <w:b/>
          <w:color w:val="FF0000"/>
          <w:u w:val="single"/>
        </w:rPr>
        <w:t xml:space="preserve">       </w:t>
      </w:r>
    </w:p>
    <w:p>
      <w:pPr>
        <w:spacing w:line="60" w:lineRule="exact"/>
        <w:ind w:firstLine="0" w:firstLineChars="0"/>
        <w:rPr>
          <w:b/>
          <w:color w:val="FFFFFF"/>
        </w:rPr>
      </w:pPr>
    </w:p>
    <w:p>
      <w:pPr>
        <w:spacing w:line="60" w:lineRule="exact"/>
        <w:ind w:firstLine="640"/>
        <w:rPr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20" w:rightChars="10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东财便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笺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</w:t>
      </w:r>
      <w:r>
        <w:rPr>
          <w:rFonts w:hint="eastAsia" w:ascii="方正小标宋简体" w:eastAsia="方正小标宋简体"/>
          <w:sz w:val="44"/>
          <w:szCs w:val="44"/>
        </w:rPr>
        <w:t>东川区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财政局</w:t>
      </w:r>
      <w:r>
        <w:rPr>
          <w:rFonts w:hint="eastAsia" w:ascii="方正小标宋简体" w:eastAsia="方正小标宋简体"/>
          <w:sz w:val="44"/>
          <w:szCs w:val="44"/>
        </w:rPr>
        <w:t>2021年财政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衔接资金使用情况通报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各乡镇（街道）人民政府（办事处），区委组织部、区发展改革局、区工科信局、区民族宗教局、区交通运输局、区乡村振兴局、区农业农村局、区水务局、区林业草原局：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2021年，是巩固拓展脱贫攻坚成果同乡村振兴推进衔接的开局之年，东川区着力以提升财政资金绩效为主线，以预期绩效实现为目标，以财政资金过程管理为手段，以评价结果应用为导向，不断完善财政衔接资金管理体系，不断提高资金使用效益。现将相关工作通报如下：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一、资金基本情况</w:t>
      </w:r>
    </w:p>
    <w:p>
      <w:pPr>
        <w:keepNext w:val="0"/>
        <w:keepLines w:val="0"/>
        <w:pageBreakBefore w:val="0"/>
        <w:tabs>
          <w:tab w:val="left" w:pos="339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_GB2312" w:hAnsi="楷体" w:eastAsia="楷体_GB2312"/>
          <w:sz w:val="32"/>
          <w:szCs w:val="32"/>
        </w:rPr>
        <w:t>一）资金投入情况。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东川区2021年共投入财政衔接乡村振兴补助资金（以下简称“财政衔接资金”）</w:t>
      </w:r>
      <w:r>
        <w:rPr>
          <w:rFonts w:ascii="仿宋_GB2312" w:hAnsi="仿宋_GB2312" w:eastAsia="仿宋_GB2312" w:cs="仿宋_GB2312"/>
          <w:sz w:val="32"/>
          <w:szCs w:val="32"/>
        </w:rPr>
        <w:t>36,633.53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万元，其中：中央衔接资金23,040.24万元、省级衔接资金7,243.43万元、市级衔接资金5,758万元、区级衔接资金5</w:t>
      </w:r>
      <w:r>
        <w:rPr>
          <w:rFonts w:ascii="仿宋_GB2312" w:hAnsi="仿宋_GB2312" w:eastAsia="仿宋_GB2312" w:cs="仿宋_GB2312"/>
          <w:sz w:val="32"/>
          <w:szCs w:val="32"/>
        </w:rPr>
        <w:t>91.86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Times New Roman"/>
          <w:sz w:val="32"/>
          <w:szCs w:val="32"/>
        </w:rPr>
        <w:t>（二）资金分配情况。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资金到位后，根据责任单位年初项目实施计划申报情况，及时报区委、区政府审批分配到巩固脱贫攻坚成果助推乡村振兴项目。按照财政预算执行年度计算，东川区2021年到位的财政衔接资金分配到具体项目的时间全部控制在25日内，其中最短期限为1日、最长期限为24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二、资金使用管理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（一）公开公告公示情况。</w:t>
      </w:r>
      <w:r>
        <w:rPr>
          <w:rFonts w:hint="eastAsia" w:ascii="仿宋_GB2312" w:eastAsia="仿宋_GB2312"/>
          <w:sz w:val="32"/>
          <w:szCs w:val="32"/>
        </w:rPr>
        <w:t>2021年，严格按照“谁分配、谁公开，谁使用、谁公开，分配到哪里、公开到哪里”的原则，公开资金分配方案3个、资金管理文件1个，中央、省、市、区四级财政衔接资金</w:t>
      </w:r>
      <w:r>
        <w:rPr>
          <w:rFonts w:ascii="仿宋_GB2312" w:hAnsi="仿宋_GB2312" w:eastAsia="仿宋_GB2312" w:cs="仿宋_GB2312"/>
          <w:sz w:val="32"/>
          <w:szCs w:val="32"/>
        </w:rPr>
        <w:t>36,633.53</w:t>
      </w:r>
      <w:r>
        <w:rPr>
          <w:rFonts w:hint="eastAsia" w:ascii="仿宋_GB2312" w:eastAsia="仿宋_GB2312"/>
          <w:sz w:val="32"/>
          <w:szCs w:val="32"/>
        </w:rPr>
        <w:t>万元。主动接受社会和群众的监督，促进财政衔接资金阳光运行，确保群众的知情权、参与权，提高群众的认同感、获得感。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（二）监督检查落实情况。</w:t>
      </w:r>
      <w:r>
        <w:rPr>
          <w:rFonts w:hint="eastAsia" w:ascii="仿宋_GB2312" w:eastAsia="仿宋_GB2312"/>
          <w:sz w:val="32"/>
          <w:szCs w:val="32"/>
        </w:rPr>
        <w:t>东川区一直以来特别重视财政资金使用管理监督检查工作，严格按中央、省、市的要求，建立部门责任机制，规范资金分配程序，制发相应区级管理制度，明确支出责任。从项目评审、入库、资金分配到项目实施、检查验收、资金支出和结转结余率等，已初步形成常态化、规范化的管理机制。一是及时修订完善资金管理办法；二是进一步完善项目库管理；三是建立资金支出情况定期通报制度；四是成立项目资金推进工作专班；五是利用“云南省预算管理一体化平台”对资金支出末端监控；六是开展资金使用管理专项检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（三）资金管理业务培训。</w:t>
      </w:r>
      <w:r>
        <w:rPr>
          <w:rFonts w:hint="eastAsia" w:ascii="仿宋_GB2312" w:eastAsia="仿宋_GB2312"/>
          <w:sz w:val="32"/>
          <w:szCs w:val="32"/>
        </w:rPr>
        <w:t>脱贫县整合财政涉农资金政策的延续，是巩固脱贫成果和乡村振兴衔接的重大机遇，同时对资金使用的安全和规范也面临挑战，专项扶贫到衔接资金，变的是名称，不变的是资金规范使用要求。为进一步提高东川区项目资金的管理水平，区财政局加大业务培训力度，与项目实施单位沟通对接，分析资金使用管理存在的困难和问题，有针对性的做好业务指导和服务工作，全年专项培训2批次，不断提高项目实施单位的资金管理水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（四）资金绩效管理情况。</w:t>
      </w:r>
      <w:r>
        <w:rPr>
          <w:rFonts w:hint="eastAsia" w:ascii="仿宋_GB2312" w:eastAsia="仿宋_GB2312"/>
          <w:sz w:val="32"/>
          <w:szCs w:val="32"/>
        </w:rPr>
        <w:t>财政衔接资金有明确支出方向，各项任务需有具体的指标参数，东川区对衔接资金的项目绩效的管理，注重目标导向、注重实际效果，在整合资金方案项目联审时，对2021年扶贫资金绩效目标申报的项目基本信息、指标设置及具体指标值的合理性、真实性进行现场审核，并要求各项目单位在财政扶贫资金动态监控平台进行修改完善，预算执行中，线上线下双重监控，项目资金实际执行与绩效目标偏离的，及时通知项目单位予以纠正。截止12月16日根据预算资金指标下达和各单位清算情况，全区财政衔接资金扶贫动态监控填报比例、审核比例均为100%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三、资金使用成效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东川区2021年累计分配下达各级财政衔接资金</w:t>
      </w:r>
      <w:r>
        <w:rPr>
          <w:rFonts w:ascii="仿宋_GB2312" w:hAnsi="仿宋_GB2312" w:eastAsia="仿宋_GB2312" w:cs="仿宋_GB2312"/>
          <w:sz w:val="32"/>
          <w:szCs w:val="32"/>
        </w:rPr>
        <w:t>36,633.53</w:t>
      </w:r>
      <w:r>
        <w:rPr>
          <w:rFonts w:hint="eastAsia" w:ascii="仿宋_GB2312" w:eastAsia="仿宋_GB2312"/>
          <w:sz w:val="32"/>
          <w:szCs w:val="32"/>
        </w:rPr>
        <w:t>万元，截至12月23日已形成支出</w:t>
      </w:r>
      <w:r>
        <w:rPr>
          <w:rFonts w:ascii="仿宋_GB2312" w:eastAsia="仿宋_GB2312"/>
          <w:sz w:val="32"/>
          <w:szCs w:val="32"/>
        </w:rPr>
        <w:t>33,878.37</w:t>
      </w:r>
      <w:r>
        <w:rPr>
          <w:rFonts w:hint="eastAsia" w:ascii="仿宋_GB2312" w:eastAsia="仿宋_GB2312"/>
          <w:sz w:val="32"/>
          <w:szCs w:val="32"/>
        </w:rPr>
        <w:t xml:space="preserve"> 万元，资金使用率</w:t>
      </w:r>
      <w:r>
        <w:rPr>
          <w:rFonts w:ascii="仿宋_GB2312" w:eastAsia="仿宋_GB2312"/>
          <w:sz w:val="32"/>
          <w:szCs w:val="32"/>
        </w:rPr>
        <w:t>92.48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投入财政衔接资金5,172.978万元用于东川区创业就业园和易地搬迁就业基础建设，项目建成后预计每年带动搬迁群众1760人就业；投入“一县一业”花椒产业3,583.939万元，通过补植补造和中耕抚育，巩固花椒成效，花椒产业作为脱贫巩固经济增长点已初见成效；投入饮水安全保障3,946.83万元，保护饮用水源点不受污染，及时修护受冻、受损引水管道，全面解决农村饮水安全问题，提高水资源综合利用水平，初步实现“建、管、养、用”一体化格局；投入资金12,719.25万元用于11个示范村及巩固拓展脱贫攻坚示范镇建设，开展乡村振兴示范建设，以先进典型引领全面振兴建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四、下步工作措施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（一）统筹谋划项目，有序保障脱贫巩固和乡村振兴的衔接。</w:t>
      </w:r>
      <w:r>
        <w:rPr>
          <w:rFonts w:hint="eastAsia" w:ascii="仿宋_GB2312" w:eastAsia="仿宋_GB2312"/>
          <w:sz w:val="32"/>
          <w:szCs w:val="32"/>
        </w:rPr>
        <w:t>根据巩固脱贫攻坚成效和乡村振兴战略的需要，按照“成熟一批、入库一批、安排一批”的原则，评审一批成熟度高的项目入库，提前做好项目储备，待资金到位后及时将资金安排到项目，彻底改变“资金等项目”的现象，从而提高资金使用效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（二）从严管控资金，把资金监管贯穿项目实施全程。</w:t>
      </w:r>
      <w:r>
        <w:rPr>
          <w:rFonts w:hint="eastAsia" w:ascii="仿宋_GB2312" w:eastAsia="仿宋_GB2312"/>
          <w:sz w:val="32"/>
          <w:szCs w:val="32"/>
        </w:rPr>
        <w:t>继续做好资金使用管理日常监督工作，把资金使用结果管理贯穿至全过程管理，应用预算一体化平台、扶贫动态监控系统，实时监控资金使用情况，实现资金项目的监管制度化、常态化，促进各单位资金使用安全、规范、高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（三）强化绩效管理，从项目绩效申报环节抓细抓实。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在项目申报入库前，区级行业部门联合对项目实施部门申报的项目绩效进行联审、会审，确保财政衔接资金安排的项目绩效真实、可行、有效，项目绩效评审结果将作为项目入库的重要条件。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（四）明确管理职责，建立权责对等的责任追究机制。</w:t>
      </w:r>
      <w:r>
        <w:rPr>
          <w:rFonts w:hint="eastAsia" w:ascii="仿宋_GB2312" w:eastAsia="仿宋_GB2312"/>
          <w:sz w:val="32"/>
          <w:szCs w:val="32"/>
        </w:rPr>
        <w:t>为有效提高项目质量和加快建设进度，建立权责对等的部门职责机制。对项目建设推进缓慢、资金报账不及时、严重影响资金使用进度，甚至出现弄虚作假、截留、挪用、挤占、套取扶贫专项资金等违规违法行为的，报相关部门严格追究相关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w:pict>
          <v:shape id="_x0000_s1031" o:spid="_x0000_s1031" o:spt="201" type="#_x0000_t201" style="position:absolute;left:0pt;margin-left:253.05pt;margin-top:20.25pt;height:121pt;width:12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CWordOLECtrl1" w:shapeid="_x0000_s1031"/>
        </w:pic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昆明市东川区财政局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2021年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p>
      <w:pPr>
        <w:pStyle w:val="2"/>
        <w:rPr>
          <w:rFonts w:hint="eastAsia" w:ascii="仿宋_GB2312"/>
          <w:szCs w:val="32"/>
        </w:rPr>
      </w:pPr>
    </w:p>
    <w:p>
      <w:pPr>
        <w:pStyle w:val="2"/>
        <w:rPr>
          <w:rFonts w:hint="eastAsia" w:ascii="仿宋_GB2312"/>
          <w:szCs w:val="32"/>
        </w:rPr>
      </w:pPr>
    </w:p>
    <w:p>
      <w:pPr>
        <w:pStyle w:val="2"/>
        <w:rPr>
          <w:rFonts w:hint="eastAsia" w:ascii="仿宋_GB231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tbl>
      <w:tblPr>
        <w:tblStyle w:val="7"/>
        <w:tblpPr w:leftFromText="180" w:rightFromText="180" w:vertAnchor="text" w:horzAnchor="page" w:tblpX="1683" w:tblpY="850"/>
        <w:tblOverlap w:val="never"/>
        <w:tblW w:w="88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0" w:leftChars="50" w:right="160" w:rightChars="50" w:firstLine="0" w:firstLineChars="0"/>
              <w:jc w:val="left"/>
              <w:textAlignment w:val="auto"/>
              <w:rPr>
                <w:rFonts w:ascii="仿宋_GB2312"/>
                <w:szCs w:val="32"/>
                <w:vertAlign w:val="baselin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昆明市东川区财政局办公室           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202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7" w:header="567" w:footer="1587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9HjeX0s1l0865a67DICSWd6hltc=" w:salt="1ockJ6EInJKH2QkmV272V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B6"/>
    <w:rsid w:val="00142F4F"/>
    <w:rsid w:val="00197B0D"/>
    <w:rsid w:val="00256B99"/>
    <w:rsid w:val="004126D8"/>
    <w:rsid w:val="00480AB6"/>
    <w:rsid w:val="005D5755"/>
    <w:rsid w:val="005E35F5"/>
    <w:rsid w:val="00631250"/>
    <w:rsid w:val="006F4339"/>
    <w:rsid w:val="0076308A"/>
    <w:rsid w:val="007B5247"/>
    <w:rsid w:val="00BC6C5B"/>
    <w:rsid w:val="00EF20AA"/>
    <w:rsid w:val="00F00BC6"/>
    <w:rsid w:val="00FA395D"/>
    <w:rsid w:val="00FE4FCE"/>
    <w:rsid w:val="02D01271"/>
    <w:rsid w:val="03597747"/>
    <w:rsid w:val="06AA4A1C"/>
    <w:rsid w:val="0A9D0B56"/>
    <w:rsid w:val="0D414093"/>
    <w:rsid w:val="0F152FD6"/>
    <w:rsid w:val="0FAA6122"/>
    <w:rsid w:val="0FD01F7E"/>
    <w:rsid w:val="120462B8"/>
    <w:rsid w:val="1C8706C1"/>
    <w:rsid w:val="204A07CA"/>
    <w:rsid w:val="259A24EE"/>
    <w:rsid w:val="25D158B7"/>
    <w:rsid w:val="27493DD1"/>
    <w:rsid w:val="28F76CEC"/>
    <w:rsid w:val="2AA64313"/>
    <w:rsid w:val="2B7E2628"/>
    <w:rsid w:val="31C11FEB"/>
    <w:rsid w:val="360E7714"/>
    <w:rsid w:val="376233CC"/>
    <w:rsid w:val="38234E26"/>
    <w:rsid w:val="3E7C14F3"/>
    <w:rsid w:val="408E54E4"/>
    <w:rsid w:val="43104D85"/>
    <w:rsid w:val="4539242A"/>
    <w:rsid w:val="47C118DD"/>
    <w:rsid w:val="4D426B25"/>
    <w:rsid w:val="50C523C1"/>
    <w:rsid w:val="5DB95B21"/>
    <w:rsid w:val="5FED6EA1"/>
    <w:rsid w:val="62DB441B"/>
    <w:rsid w:val="69EA2D87"/>
    <w:rsid w:val="6BE3476F"/>
    <w:rsid w:val="72560CE8"/>
    <w:rsid w:val="740F56C5"/>
    <w:rsid w:val="75764FFF"/>
    <w:rsid w:val="782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szCs w:val="28"/>
    </w:rPr>
  </w:style>
  <w:style w:type="paragraph" w:styleId="3">
    <w:name w:val="Body Text Indent"/>
    <w:basedOn w:val="1"/>
    <w:link w:val="11"/>
    <w:qFormat/>
    <w:uiPriority w:val="0"/>
    <w:pPr>
      <w:ind w:firstLine="1440"/>
      <w:jc w:val="center"/>
    </w:pPr>
    <w:rPr>
      <w:sz w:val="72"/>
    </w:rPr>
  </w:style>
  <w:style w:type="paragraph" w:styleId="4">
    <w:name w:val="footer"/>
    <w:basedOn w:val="1"/>
    <w:link w:val="12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3"/>
    <w:qFormat/>
    <w:uiPriority w:val="0"/>
    <w:rPr>
      <w:rFonts w:ascii="Times New Roman" w:hAnsi="Times New Roman" w:eastAsia="仿宋_GB2312" w:cs="Times New Roman"/>
      <w:sz w:val="72"/>
      <w:szCs w:val="24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正文文本 (6)"/>
    <w:basedOn w:val="1"/>
    <w:uiPriority w:val="0"/>
    <w:pPr>
      <w:widowControl/>
      <w:shd w:val="clear" w:color="auto" w:fill="FFFFFF"/>
      <w:spacing w:before="300" w:line="278" w:lineRule="exact"/>
      <w:jc w:val="left"/>
    </w:pPr>
    <w:rPr>
      <w:rFonts w:ascii="黑体" w:hAnsi="黑体" w:eastAsia="黑体" w:cs="黑体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94A33-9E72-4BB4-A497-207082E4F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2020-01-21T07:08:00Z</dcterms:created>
  <dc:creator>微软用户</dc:creator>
  <cp:lastModifiedBy>USER</cp:lastModifiedBy>
  <cp:lastPrinted>2020-04-16T07:13:00Z</cp:lastPrinted>
  <dcterms:modified xsi:type="dcterms:W3CDTF">2021-12-24T00:35:37Z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docranid">
    <vt:lpwstr>DB994C6440624C3D9DD4FABB93EBE306</vt:lpwstr>
  </property>
</Properties>
</file>